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94EEE" w:rsidRPr="00ED5746" w:rsidP="00094EEE">
      <w:pPr>
        <w:jc w:val="center"/>
        <w:rPr>
          <w:b/>
        </w:rPr>
      </w:pPr>
      <w:bookmarkStart w:id="0" w:name="_GoBack"/>
      <w:bookmarkEnd w:id="0"/>
      <w:r w:rsidRPr="00ED5746">
        <w:rPr>
          <w:rFonts w:ascii="Times New Roman Bold" w:hAnsi="Times New Roman Bold"/>
          <w:b/>
          <w:kern w:val="0"/>
          <w:szCs w:val="22"/>
        </w:rPr>
        <w:t>Before</w:t>
      </w:r>
      <w:r w:rsidRPr="00ED5746">
        <w:rPr>
          <w:b/>
        </w:rPr>
        <w:t xml:space="preserve"> the</w:t>
      </w:r>
    </w:p>
    <w:p w:rsidR="00094EEE" w:rsidRPr="00ED5746" w:rsidP="00094EEE">
      <w:pPr>
        <w:pStyle w:val="StyleBoldCentered"/>
      </w:pPr>
      <w:r w:rsidRPr="00ED5746">
        <w:t>F</w:t>
      </w:r>
      <w:r w:rsidRPr="00ED5746">
        <w:rPr>
          <w:caps w:val="0"/>
        </w:rPr>
        <w:t>ederal Communications Commission</w:t>
      </w:r>
    </w:p>
    <w:p w:rsidR="00094EEE" w:rsidRPr="00ED5746" w:rsidP="00094EEE">
      <w:pPr>
        <w:pStyle w:val="StyleBoldCentered"/>
      </w:pPr>
      <w:r w:rsidRPr="00ED5746">
        <w:rPr>
          <w:caps w:val="0"/>
        </w:rPr>
        <w:t>Washington, DC 20554</w:t>
      </w:r>
    </w:p>
    <w:p w:rsidR="00094EEE" w:rsidRPr="00ED5746" w:rsidP="00094EEE"/>
    <w:tbl>
      <w:tblPr>
        <w:tblW w:w="0" w:type="auto"/>
        <w:tblLayout w:type="fixed"/>
        <w:tblLook w:val="0000"/>
      </w:tblPr>
      <w:tblGrid>
        <w:gridCol w:w="4698"/>
        <w:gridCol w:w="630"/>
        <w:gridCol w:w="4248"/>
      </w:tblGrid>
      <w:tr w:rsidTr="00127DA0">
        <w:tblPrEx>
          <w:tblW w:w="0" w:type="auto"/>
          <w:tblLayout w:type="fixed"/>
          <w:tblLook w:val="0000"/>
        </w:tblPrEx>
        <w:tc>
          <w:tcPr>
            <w:tcW w:w="4698" w:type="dxa"/>
          </w:tcPr>
          <w:p w:rsidR="00094EEE" w:rsidRPr="00D84548" w:rsidP="00127DA0">
            <w:pPr>
              <w:tabs>
                <w:tab w:val="center" w:pos="4680"/>
              </w:tabs>
              <w:suppressAutoHyphens/>
              <w:rPr>
                <w:spacing w:val="-2"/>
              </w:rPr>
            </w:pPr>
            <w:r w:rsidRPr="00ED5746">
              <w:rPr>
                <w:spacing w:val="-2"/>
              </w:rPr>
              <w:t>In the Matter of</w:t>
            </w:r>
          </w:p>
          <w:p w:rsidR="00094EEE" w:rsidRPr="00D23E19" w:rsidP="00127DA0">
            <w:pPr>
              <w:tabs>
                <w:tab w:val="left" w:pos="360"/>
                <w:tab w:val="center" w:pos="4680"/>
                <w:tab w:val="right" w:leader="dot" w:pos="9360"/>
              </w:tabs>
              <w:suppressAutoHyphens/>
              <w:ind w:left="360" w:right="720" w:hanging="360"/>
              <w:rPr>
                <w:spacing w:val="-2"/>
              </w:rPr>
            </w:pPr>
          </w:p>
          <w:p w:rsidR="00094EEE" w:rsidRPr="00D84548" w:rsidP="00127DA0">
            <w:pPr>
              <w:autoSpaceDE w:val="0"/>
              <w:autoSpaceDN w:val="0"/>
              <w:adjustRightInd w:val="0"/>
            </w:pPr>
            <w:r>
              <w:rPr>
                <w:szCs w:val="22"/>
              </w:rPr>
              <w:t>BLU Products, Inc.</w:t>
            </w:r>
          </w:p>
        </w:tc>
        <w:tc>
          <w:tcPr>
            <w:tcW w:w="630" w:type="dxa"/>
          </w:tcPr>
          <w:p w:rsidR="00094EEE" w:rsidRPr="00D84548" w:rsidP="00127DA0">
            <w:pPr>
              <w:tabs>
                <w:tab w:val="center" w:pos="4680"/>
              </w:tabs>
              <w:suppressAutoHyphens/>
              <w:rPr>
                <w:b/>
                <w:spacing w:val="-2"/>
              </w:rPr>
            </w:pPr>
            <w:r w:rsidRPr="00D84548">
              <w:rPr>
                <w:b/>
                <w:spacing w:val="-2"/>
              </w:rPr>
              <w:t>)</w:t>
            </w:r>
          </w:p>
          <w:p w:rsidR="00094EEE" w:rsidRPr="00D23E19" w:rsidP="00127DA0">
            <w:pPr>
              <w:tabs>
                <w:tab w:val="center" w:pos="4680"/>
              </w:tabs>
              <w:suppressAutoHyphens/>
              <w:rPr>
                <w:b/>
                <w:spacing w:val="-2"/>
              </w:rPr>
            </w:pPr>
            <w:r w:rsidRPr="00D84548">
              <w:rPr>
                <w:b/>
                <w:spacing w:val="-2"/>
              </w:rPr>
              <w:t>)</w:t>
            </w:r>
          </w:p>
          <w:p w:rsidR="00094EEE" w:rsidRPr="00D23E19" w:rsidP="00127DA0">
            <w:pPr>
              <w:tabs>
                <w:tab w:val="center" w:pos="4680"/>
              </w:tabs>
              <w:suppressAutoHyphens/>
              <w:rPr>
                <w:b/>
                <w:spacing w:val="-2"/>
              </w:rPr>
            </w:pPr>
            <w:r w:rsidRPr="00D84548">
              <w:rPr>
                <w:b/>
                <w:spacing w:val="-2"/>
              </w:rPr>
              <w:t>)</w:t>
            </w:r>
          </w:p>
          <w:p w:rsidR="00094EEE" w:rsidRPr="00D23E19" w:rsidP="00127DA0">
            <w:pPr>
              <w:tabs>
                <w:tab w:val="center" w:pos="4680"/>
              </w:tabs>
              <w:suppressAutoHyphens/>
              <w:rPr>
                <w:b/>
                <w:spacing w:val="-2"/>
              </w:rPr>
            </w:pPr>
            <w:r w:rsidRPr="00D84548">
              <w:rPr>
                <w:b/>
                <w:spacing w:val="-2"/>
              </w:rPr>
              <w:t>)</w:t>
            </w:r>
          </w:p>
          <w:p w:rsidR="00094EEE" w:rsidRPr="00D23E19" w:rsidP="00127DA0">
            <w:pPr>
              <w:tabs>
                <w:tab w:val="center" w:pos="4680"/>
              </w:tabs>
              <w:suppressAutoHyphens/>
              <w:rPr>
                <w:b/>
                <w:spacing w:val="-2"/>
              </w:rPr>
            </w:pPr>
            <w:r w:rsidRPr="00D84548">
              <w:rPr>
                <w:b/>
                <w:spacing w:val="-2"/>
              </w:rPr>
              <w:t>)</w:t>
            </w:r>
          </w:p>
          <w:p w:rsidR="00094EEE" w:rsidRPr="00D23E19" w:rsidP="00127DA0">
            <w:pPr>
              <w:tabs>
                <w:tab w:val="center" w:pos="4680"/>
              </w:tabs>
              <w:suppressAutoHyphens/>
              <w:rPr>
                <w:b/>
                <w:spacing w:val="-2"/>
              </w:rPr>
            </w:pPr>
            <w:r w:rsidRPr="00D84548">
              <w:rPr>
                <w:b/>
                <w:spacing w:val="-2"/>
              </w:rPr>
              <w:t>)</w:t>
            </w:r>
          </w:p>
          <w:p w:rsidR="00094EEE" w:rsidRPr="00D23E19" w:rsidP="00127DA0">
            <w:pPr>
              <w:tabs>
                <w:tab w:val="center" w:pos="4680"/>
              </w:tabs>
              <w:suppressAutoHyphens/>
              <w:rPr>
                <w:b/>
                <w:spacing w:val="-2"/>
              </w:rPr>
            </w:pPr>
          </w:p>
        </w:tc>
        <w:tc>
          <w:tcPr>
            <w:tcW w:w="4248" w:type="dxa"/>
          </w:tcPr>
          <w:p w:rsidR="00094EEE" w:rsidP="00127DA0">
            <w:pPr>
              <w:tabs>
                <w:tab w:val="center" w:pos="4680"/>
              </w:tabs>
              <w:suppressAutoHyphens/>
              <w:ind w:left="432"/>
              <w:rPr>
                <w:spacing w:val="-2"/>
                <w:szCs w:val="22"/>
              </w:rPr>
            </w:pPr>
          </w:p>
          <w:p w:rsidR="00094EEE" w:rsidP="00127DA0">
            <w:pPr>
              <w:tabs>
                <w:tab w:val="center" w:pos="4680"/>
              </w:tabs>
              <w:suppressAutoHyphens/>
              <w:ind w:left="432"/>
              <w:rPr>
                <w:spacing w:val="-2"/>
                <w:szCs w:val="22"/>
              </w:rPr>
            </w:pPr>
          </w:p>
          <w:p w:rsidR="00094EEE" w:rsidRPr="00D84548" w:rsidP="00127DA0">
            <w:pPr>
              <w:tabs>
                <w:tab w:val="center" w:pos="4680"/>
              </w:tabs>
              <w:suppressAutoHyphens/>
              <w:ind w:left="432"/>
              <w:rPr>
                <w:spacing w:val="-2"/>
                <w:szCs w:val="22"/>
              </w:rPr>
            </w:pPr>
            <w:r w:rsidRPr="00D84548">
              <w:rPr>
                <w:spacing w:val="-2"/>
                <w:szCs w:val="22"/>
              </w:rPr>
              <w:t xml:space="preserve">File No.:  </w:t>
            </w:r>
            <w:r>
              <w:rPr>
                <w:spacing w:val="-2"/>
                <w:szCs w:val="22"/>
              </w:rPr>
              <w:t>EB-SED-18-00027959</w:t>
            </w:r>
          </w:p>
          <w:p w:rsidR="00094EEE" w:rsidRPr="00D84548" w:rsidP="00127DA0">
            <w:pPr>
              <w:ind w:left="432"/>
              <w:rPr>
                <w:spacing w:val="-2"/>
                <w:szCs w:val="22"/>
              </w:rPr>
            </w:pPr>
            <w:r w:rsidRPr="00D84548">
              <w:rPr>
                <w:spacing w:val="-2"/>
                <w:szCs w:val="22"/>
              </w:rPr>
              <w:t xml:space="preserve">Acct. No.:  </w:t>
            </w:r>
            <w:r>
              <w:rPr>
                <w:spacing w:val="-2"/>
                <w:szCs w:val="22"/>
              </w:rPr>
              <w:t>202032100005</w:t>
            </w:r>
          </w:p>
          <w:p w:rsidR="00094EEE" w:rsidRPr="00D84548" w:rsidP="00127DA0">
            <w:pPr>
              <w:tabs>
                <w:tab w:val="center" w:pos="4680"/>
              </w:tabs>
              <w:suppressAutoHyphens/>
              <w:ind w:left="432"/>
              <w:rPr>
                <w:snapToGrid/>
                <w:spacing w:val="-2"/>
              </w:rPr>
            </w:pPr>
            <w:r w:rsidRPr="00D84548">
              <w:rPr>
                <w:szCs w:val="22"/>
              </w:rPr>
              <w:t xml:space="preserve">FRN:  </w:t>
            </w:r>
            <w:r>
              <w:rPr>
                <w:szCs w:val="22"/>
              </w:rPr>
              <w:t>0019890946</w:t>
            </w:r>
          </w:p>
        </w:tc>
      </w:tr>
    </w:tbl>
    <w:p w:rsidR="00094EEE" w:rsidRPr="00D84548" w:rsidP="00094EEE">
      <w:pPr>
        <w:jc w:val="center"/>
        <w:outlineLvl w:val="0"/>
        <w:rPr>
          <w:b/>
          <w:szCs w:val="22"/>
        </w:rPr>
      </w:pPr>
      <w:r w:rsidRPr="00D84548">
        <w:rPr>
          <w:b/>
          <w:szCs w:val="22"/>
        </w:rPr>
        <w:t>ORDER</w:t>
      </w:r>
    </w:p>
    <w:p w:rsidR="00094EEE" w:rsidRPr="00D84548" w:rsidP="00094EEE">
      <w:pPr>
        <w:tabs>
          <w:tab w:val="left" w:pos="-720"/>
        </w:tabs>
        <w:suppressAutoHyphens/>
        <w:spacing w:line="227" w:lineRule="auto"/>
        <w:rPr>
          <w:spacing w:val="-2"/>
        </w:rPr>
      </w:pPr>
    </w:p>
    <w:p w:rsidR="00094EEE" w:rsidRPr="00D84548" w:rsidP="00094EEE">
      <w:pPr>
        <w:tabs>
          <w:tab w:val="left" w:pos="720"/>
          <w:tab w:val="right" w:pos="9360"/>
        </w:tabs>
        <w:suppressAutoHyphens/>
        <w:spacing w:line="227" w:lineRule="auto"/>
        <w:rPr>
          <w:spacing w:val="-2"/>
        </w:rPr>
      </w:pPr>
      <w:r w:rsidRPr="00D84548">
        <w:rPr>
          <w:b/>
          <w:spacing w:val="-2"/>
        </w:rPr>
        <w:t xml:space="preserve">Adopted:  </w:t>
      </w:r>
      <w:r w:rsidR="00B642BB">
        <w:rPr>
          <w:b/>
          <w:spacing w:val="-2"/>
        </w:rPr>
        <w:t>April 2, 2020</w:t>
      </w:r>
      <w:r w:rsidRPr="00D84548">
        <w:rPr>
          <w:b/>
          <w:spacing w:val="-2"/>
        </w:rPr>
        <w:tab/>
        <w:t xml:space="preserve">Released:  </w:t>
      </w:r>
      <w:r w:rsidR="00B642BB">
        <w:rPr>
          <w:b/>
          <w:spacing w:val="-2"/>
        </w:rPr>
        <w:t>April 2, 2020</w:t>
      </w:r>
    </w:p>
    <w:p w:rsidR="00094EEE" w:rsidRPr="00D84548" w:rsidP="00094EEE"/>
    <w:p w:rsidR="00094EEE" w:rsidRPr="00D84548" w:rsidP="00094EEE">
      <w:pPr>
        <w:rPr>
          <w:spacing w:val="-2"/>
        </w:rPr>
      </w:pPr>
      <w:r w:rsidRPr="00D84548">
        <w:rPr>
          <w:spacing w:val="-2"/>
          <w:szCs w:val="22"/>
        </w:rPr>
        <w:t xml:space="preserve">By the Chief, </w:t>
      </w:r>
      <w:r>
        <w:rPr>
          <w:spacing w:val="-2"/>
          <w:szCs w:val="22"/>
        </w:rPr>
        <w:t>Enforcement Bureau:</w:t>
      </w:r>
    </w:p>
    <w:p w:rsidR="00094EEE" w:rsidRPr="00D84548" w:rsidP="00094EEE"/>
    <w:p w:rsidR="00094EEE" w:rsidRPr="00C02BC8" w:rsidP="00094EEE">
      <w:pPr>
        <w:pStyle w:val="ParaNum"/>
        <w:numPr>
          <w:ilvl w:val="0"/>
          <w:numId w:val="33"/>
        </w:numPr>
        <w:tabs>
          <w:tab w:val="clear" w:pos="1080"/>
        </w:tabs>
        <w:rPr>
          <w:color w:val="000000"/>
          <w:szCs w:val="22"/>
        </w:rPr>
      </w:pPr>
      <w:r>
        <w:t xml:space="preserve">To protect the public </w:t>
      </w:r>
      <w:r w:rsidRPr="004C65A4">
        <w:rPr>
          <w:color w:val="000000"/>
          <w:szCs w:val="22"/>
        </w:rPr>
        <w:t>from</w:t>
      </w:r>
      <w:r>
        <w:t xml:space="preserve"> exposure to potentially harmful radio frequency radiation, the Federal Communications Commission (Commission or FCC) established requirements setting forth specific absorption rate limits for ce</w:t>
      </w:r>
      <w:r>
        <w:t>rtain radio frequency devices.  As a matter of public health and safety, radio frequency devices must meet the specific absorption rate limits before the devices may be marketed to or used by the general public.  These devices must also comply with the Com</w:t>
      </w:r>
      <w:r>
        <w:t>mission’s equipment authorization rules prior to marketing because the devices could cause harmful interference to authorized communications if they do not conform to these rules.</w:t>
      </w:r>
    </w:p>
    <w:p w:rsidR="00094EEE" w:rsidRPr="00C02BC8" w:rsidP="00094EEE">
      <w:pPr>
        <w:pStyle w:val="ParaNum"/>
        <w:numPr>
          <w:ilvl w:val="0"/>
          <w:numId w:val="33"/>
        </w:numPr>
        <w:tabs>
          <w:tab w:val="clear" w:pos="1080"/>
        </w:tabs>
        <w:rPr>
          <w:color w:val="000000"/>
          <w:szCs w:val="22"/>
        </w:rPr>
      </w:pPr>
      <w:r w:rsidRPr="002F7938">
        <w:rPr>
          <w:szCs w:val="22"/>
        </w:rPr>
        <w:t>The Enforcement Bureau (Bureau) of the Commission has therefore entered into</w:t>
      </w:r>
      <w:r w:rsidRPr="002F7938">
        <w:rPr>
          <w:szCs w:val="22"/>
        </w:rPr>
        <w:t xml:space="preserve"> a Consent Decree to resolve its investigation into whether </w:t>
      </w:r>
      <w:r w:rsidRPr="003206B1">
        <w:rPr>
          <w:szCs w:val="22"/>
        </w:rPr>
        <w:t>BLU Products, Inc. (BLU Products or Company) marketed a mobile phone, model GRAND MAX, that exceeded the Commission’s specific absorption rate limit, and failed to comply with the labeling, user m</w:t>
      </w:r>
      <w:r w:rsidRPr="003206B1">
        <w:rPr>
          <w:szCs w:val="22"/>
        </w:rPr>
        <w:t>anual, and permissive change requirements of the equipment authorization rules.  To settle this matter, BLU Products admits that it violated the Commission’s rules, will implement a compliance plan, and will pay a $130,000 civil penalty.</w:t>
      </w:r>
    </w:p>
    <w:p w:rsidR="00094EEE" w:rsidRPr="00D84548" w:rsidP="00094EEE">
      <w:pPr>
        <w:pStyle w:val="ParaNum"/>
        <w:numPr>
          <w:ilvl w:val="0"/>
          <w:numId w:val="33"/>
        </w:numPr>
        <w:tabs>
          <w:tab w:val="clear" w:pos="1080"/>
          <w:tab w:val="left" w:pos="1440"/>
        </w:tabs>
        <w:rPr>
          <w:szCs w:val="22"/>
        </w:rPr>
      </w:pPr>
      <w:r w:rsidRPr="00D84548">
        <w:rPr>
          <w:szCs w:val="22"/>
        </w:rPr>
        <w:t xml:space="preserve">After reviewing the terms of the Consent Decree and evaluating the facts before us, we find that the public interest would be served by adopting the Consent Decree and terminating the referenced investigation </w:t>
      </w:r>
      <w:r>
        <w:rPr>
          <w:szCs w:val="22"/>
        </w:rPr>
        <w:t>regarding BLU Products’ compliance with the spe</w:t>
      </w:r>
      <w:r>
        <w:rPr>
          <w:szCs w:val="22"/>
        </w:rPr>
        <w:t xml:space="preserve">cific absorption rate limit and labeling, user manual, and permissive change requirements, as provided under </w:t>
      </w:r>
      <w:r>
        <w:t>section 302(b) of the Communications Act of 1934, as amended (Act),</w:t>
      </w:r>
      <w:r>
        <w:rPr>
          <w:rStyle w:val="FootnoteReference"/>
        </w:rPr>
        <w:footnoteReference w:id="3"/>
      </w:r>
      <w:r>
        <w:t xml:space="preserve"> and sections 2.803, 2.1043, 2.1093, 15.19, and 15.21 of the Commission’s rules</w:t>
      </w:r>
      <w:r>
        <w:rPr>
          <w:szCs w:val="22"/>
        </w:rPr>
        <w:t>.</w:t>
      </w:r>
      <w:r>
        <w:rPr>
          <w:rStyle w:val="FootnoteReference"/>
          <w:szCs w:val="22"/>
        </w:rPr>
        <w:footnoteReference w:id="4"/>
      </w:r>
    </w:p>
    <w:p w:rsidR="00094EEE" w:rsidRPr="00D84548" w:rsidP="00094EEE">
      <w:pPr>
        <w:pStyle w:val="ParaNum"/>
        <w:numPr>
          <w:ilvl w:val="0"/>
          <w:numId w:val="33"/>
        </w:numPr>
        <w:tabs>
          <w:tab w:val="clear" w:pos="1080"/>
          <w:tab w:val="left" w:pos="1440"/>
        </w:tabs>
        <w:rPr>
          <w:szCs w:val="22"/>
        </w:rPr>
      </w:pPr>
      <w:r>
        <w:rPr>
          <w:szCs w:val="22"/>
        </w:rPr>
        <w:t>In the absence of material new evidence relating to this matter, we do not set for hearing the question of BLU Products’ basic qualifications to hold or obtain any Commission license or authorization.</w:t>
      </w:r>
      <w:r>
        <w:rPr>
          <w:rStyle w:val="FootnoteReference"/>
          <w:szCs w:val="22"/>
        </w:rPr>
        <w:footnoteReference w:id="5"/>
      </w:r>
    </w:p>
    <w:p w:rsidR="00094EEE" w:rsidRPr="00D84548" w:rsidP="00094EEE">
      <w:pPr>
        <w:pStyle w:val="ParaNum"/>
        <w:widowControl/>
        <w:numPr>
          <w:ilvl w:val="0"/>
          <w:numId w:val="33"/>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w:t>
      </w:r>
      <w:r>
        <w:rPr>
          <w:szCs w:val="22"/>
        </w:rPr>
        <w:t>s</w:t>
      </w:r>
      <w:r w:rsidRPr="00D84548">
        <w:rPr>
          <w:szCs w:val="22"/>
        </w:rPr>
        <w:t>ectio</w:t>
      </w:r>
      <w:r w:rsidRPr="00D84548">
        <w:rPr>
          <w:szCs w:val="22"/>
        </w:rPr>
        <w:t>n 4(i)</w:t>
      </w:r>
      <w:r>
        <w:rPr>
          <w:szCs w:val="22"/>
        </w:rPr>
        <w:t xml:space="preserve"> </w:t>
      </w:r>
      <w:r w:rsidRPr="00D84548">
        <w:rPr>
          <w:szCs w:val="22"/>
        </w:rPr>
        <w:t>of the Act</w:t>
      </w:r>
      <w:r>
        <w:rPr>
          <w:rStyle w:val="FootnoteReference"/>
          <w:szCs w:val="22"/>
        </w:rPr>
        <w:footnoteReference w:id="6"/>
      </w:r>
      <w:r w:rsidRPr="00D84548">
        <w:rPr>
          <w:szCs w:val="22"/>
        </w:rPr>
        <w:t xml:space="preserve"> and the authority delegated by </w:t>
      </w:r>
      <w:r>
        <w:rPr>
          <w:szCs w:val="22"/>
        </w:rPr>
        <w:t>s</w:t>
      </w:r>
      <w:r w:rsidRPr="00D84548">
        <w:rPr>
          <w:szCs w:val="22"/>
        </w:rPr>
        <w:t xml:space="preserve">ections 0.111 and 0.311 of the </w:t>
      </w:r>
      <w:r>
        <w:rPr>
          <w:szCs w:val="22"/>
        </w:rPr>
        <w:t>Commission’s r</w:t>
      </w:r>
      <w:r w:rsidRPr="00D84548">
        <w:rPr>
          <w:szCs w:val="22"/>
        </w:rPr>
        <w:t>ules,</w:t>
      </w:r>
      <w:r>
        <w:rPr>
          <w:rStyle w:val="FootnoteReference"/>
          <w:szCs w:val="22"/>
        </w:rPr>
        <w:footnoteReference w:id="7"/>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rsidR="00094EEE" w:rsidRPr="00F9394D" w:rsidP="000B5374">
      <w:pPr>
        <w:pStyle w:val="ParaNum"/>
        <w:keepNext/>
        <w:widowControl/>
        <w:numPr>
          <w:ilvl w:val="0"/>
          <w:numId w:val="33"/>
        </w:numPr>
        <w:tabs>
          <w:tab w:val="clear" w:pos="1080"/>
          <w:tab w:val="left" w:pos="1440"/>
        </w:tabs>
        <w:rPr>
          <w:b/>
        </w:rPr>
      </w:pPr>
      <w:r w:rsidRPr="00F9394D">
        <w:rPr>
          <w:b/>
        </w:rPr>
        <w:t>IT IS FURTHER ORDERED</w:t>
      </w:r>
      <w:r w:rsidRPr="00D84548">
        <w:t xml:space="preserve"> that the above-captioned matter </w:t>
      </w:r>
      <w:r w:rsidRPr="00F9394D">
        <w:rPr>
          <w:b/>
        </w:rPr>
        <w:t>IS TERMINATED</w:t>
      </w:r>
      <w:r>
        <w:t>.</w:t>
      </w:r>
    </w:p>
    <w:p w:rsidR="00094EEE" w:rsidRPr="00D84548" w:rsidP="00094EEE">
      <w:pPr>
        <w:pStyle w:val="ParaNum"/>
        <w:numPr>
          <w:ilvl w:val="0"/>
          <w:numId w:val="33"/>
        </w:numPr>
        <w:tabs>
          <w:tab w:val="clear" w:pos="1080"/>
          <w:tab w:val="left" w:pos="1440"/>
        </w:tabs>
        <w:rPr>
          <w:szCs w:val="22"/>
        </w:rPr>
      </w:pPr>
      <w:r w:rsidRPr="00D84548">
        <w:rPr>
          <w:b/>
        </w:rPr>
        <w:t>IT IS FURTHER ORDERED</w:t>
      </w:r>
      <w:r w:rsidRPr="00D84548">
        <w:t xml:space="preserve"> that a copy of this Order and Consent Decree </w:t>
      </w:r>
      <w:r w:rsidRPr="00C02BC8">
        <w:rPr>
          <w:color w:val="000000"/>
          <w:szCs w:val="22"/>
        </w:rPr>
        <w:t xml:space="preserve">shall be sent </w:t>
      </w:r>
      <w:r>
        <w:rPr>
          <w:color w:val="000000"/>
          <w:szCs w:val="22"/>
        </w:rPr>
        <w:t xml:space="preserve">by e-mail </w:t>
      </w:r>
      <w:r w:rsidRPr="00C02BC8">
        <w:rPr>
          <w:color w:val="000000"/>
          <w:szCs w:val="22"/>
        </w:rPr>
        <w:t xml:space="preserve">to </w:t>
      </w:r>
      <w:r w:rsidRPr="00084120">
        <w:rPr>
          <w:szCs w:val="22"/>
        </w:rPr>
        <w:t>Mr.</w:t>
      </w:r>
      <w:r>
        <w:rPr>
          <w:szCs w:val="22"/>
        </w:rPr>
        <w:t xml:space="preserve"> Michael Ohevzion, Chief Operating Officer, BLU Products, Inc., c/o </w:t>
      </w:r>
      <w:r w:rsidRPr="00C02BC8">
        <w:rPr>
          <w:color w:val="000000"/>
          <w:szCs w:val="22"/>
        </w:rPr>
        <w:t>Egozi &amp; Bennett, P.A</w:t>
      </w:r>
      <w:r>
        <w:rPr>
          <w:color w:val="000000"/>
          <w:szCs w:val="22"/>
        </w:rPr>
        <w:t xml:space="preserve">, </w:t>
      </w:r>
      <w:r w:rsidRPr="00C02BC8">
        <w:rPr>
          <w:color w:val="000000"/>
          <w:szCs w:val="22"/>
        </w:rPr>
        <w:t xml:space="preserve">and to </w:t>
      </w:r>
      <w:r>
        <w:rPr>
          <w:color w:val="000000"/>
          <w:szCs w:val="22"/>
        </w:rPr>
        <w:t xml:space="preserve">Mr. </w:t>
      </w:r>
      <w:r w:rsidRPr="00C02BC8">
        <w:rPr>
          <w:color w:val="000000"/>
          <w:szCs w:val="22"/>
        </w:rPr>
        <w:t>Bernard L.</w:t>
      </w:r>
      <w:r w:rsidRPr="00C02BC8">
        <w:rPr>
          <w:color w:val="000000"/>
          <w:szCs w:val="22"/>
        </w:rPr>
        <w:t xml:space="preserve"> Egozi, Esq., </w:t>
      </w:r>
      <w:r>
        <w:rPr>
          <w:color w:val="000000"/>
          <w:szCs w:val="22"/>
        </w:rPr>
        <w:t xml:space="preserve">Counsel to BLU Products, Inc., </w:t>
      </w:r>
      <w:r w:rsidRPr="00C02BC8">
        <w:rPr>
          <w:color w:val="000000"/>
          <w:szCs w:val="22"/>
        </w:rPr>
        <w:t>Egozi &amp; Bennett, P.A</w:t>
      </w:r>
      <w:r>
        <w:rPr>
          <w:color w:val="000000"/>
          <w:szCs w:val="22"/>
        </w:rPr>
        <w:t xml:space="preserve">. </w:t>
      </w:r>
    </w:p>
    <w:p w:rsidR="00094EEE" w:rsidP="00094EEE">
      <w:pPr>
        <w:pStyle w:val="ParaNum"/>
        <w:numPr>
          <w:ilvl w:val="0"/>
          <w:numId w:val="0"/>
        </w:numPr>
        <w:tabs>
          <w:tab w:val="left" w:pos="1440"/>
        </w:tabs>
        <w:spacing w:after="240"/>
        <w:ind w:left="720"/>
        <w:rPr>
          <w:b/>
        </w:rPr>
      </w:pPr>
    </w:p>
    <w:p w:rsidR="00094EEE" w:rsidRPr="00EF505E" w:rsidP="00094EEE">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094EEE" w:rsidRPr="00EF505E" w:rsidP="00094EEE">
      <w:pPr>
        <w:rPr>
          <w:szCs w:val="22"/>
          <w:lang w:val="fr-FR"/>
        </w:rPr>
      </w:pPr>
    </w:p>
    <w:p w:rsidR="00094EEE" w:rsidRPr="00EF505E" w:rsidP="00094EEE">
      <w:pPr>
        <w:rPr>
          <w:szCs w:val="22"/>
          <w:lang w:val="fr-FR"/>
        </w:rPr>
      </w:pPr>
    </w:p>
    <w:p w:rsidR="00094EEE" w:rsidRPr="00EF505E" w:rsidP="00094EEE">
      <w:pPr>
        <w:rPr>
          <w:szCs w:val="22"/>
          <w:lang w:val="fr-FR"/>
        </w:rPr>
      </w:pPr>
    </w:p>
    <w:p w:rsidR="00094EEE" w:rsidRPr="00EF505E" w:rsidP="00094EEE">
      <w:pPr>
        <w:outlineLvl w:val="0"/>
        <w:rPr>
          <w:szCs w:val="22"/>
          <w:lang w:val="fr-FR"/>
        </w:rPr>
      </w:pPr>
    </w:p>
    <w:p w:rsidR="00094EEE" w:rsidP="00094EEE">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t>Rosemary C. Harold</w:t>
      </w:r>
    </w:p>
    <w:p w:rsidR="00094EEE" w:rsidP="00094EEE">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rPr>
        <w:t>Chief</w:t>
      </w:r>
    </w:p>
    <w:p w:rsidR="00094EEE" w:rsidP="00094EEE">
      <w:pPr>
        <w:ind w:left="3600" w:firstLine="720"/>
        <w:outlineLvl w:val="0"/>
        <w:rPr>
          <w:szCs w:val="22"/>
        </w:rPr>
      </w:pPr>
      <w:r>
        <w:rPr>
          <w:szCs w:val="22"/>
        </w:rPr>
        <w:t>Enforcement Bureau</w:t>
      </w:r>
    </w:p>
    <w:p w:rsidR="00094EEE" w:rsidRPr="008C4282" w:rsidP="00094EEE">
      <w:pPr>
        <w:rPr>
          <w:szCs w:val="22"/>
        </w:rPr>
      </w:pPr>
    </w:p>
    <w:p w:rsidR="00094EEE" w:rsidRPr="00A65E83" w:rsidP="00094EEE"/>
    <w:p w:rsidR="00094EEE" w:rsidP="005B4F0E">
      <w:pPr>
        <w:jc w:val="center"/>
        <w:rPr>
          <w:rFonts w:ascii="Times New Roman Bold" w:hAnsi="Times New Roman Bold"/>
          <w:b/>
          <w:kern w:val="0"/>
          <w:szCs w:val="22"/>
        </w:rPr>
        <w:sectPr w:rsidSect="00302835">
          <w:headerReference w:type="default" r:id="rId5"/>
          <w:footerReference w:type="default" r:id="rId6"/>
          <w:headerReference w:type="first" r:id="rId7"/>
          <w:footerReference w:type="first" r:id="rId8"/>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pPr>
    </w:p>
    <w:p w:rsidR="005B4F0E" w:rsidRPr="00843A5F" w:rsidP="005B4F0E">
      <w:pPr>
        <w:jc w:val="center"/>
        <w:rPr>
          <w:b/>
        </w:rPr>
      </w:pPr>
      <w:r w:rsidRPr="00843A5F">
        <w:rPr>
          <w:rFonts w:ascii="Times New Roman Bold" w:hAnsi="Times New Roman Bold"/>
          <w:b/>
          <w:kern w:val="0"/>
          <w:szCs w:val="22"/>
        </w:rPr>
        <w:t>Before</w:t>
      </w:r>
      <w:r w:rsidRPr="00843A5F">
        <w:rPr>
          <w:b/>
        </w:rPr>
        <w:t xml:space="preserve"> the</w:t>
      </w:r>
    </w:p>
    <w:p w:rsidR="005B4F0E" w:rsidRPr="00843A5F" w:rsidP="005B4F0E">
      <w:pPr>
        <w:pStyle w:val="StyleBoldCentered"/>
      </w:pPr>
      <w:r w:rsidRPr="00843A5F">
        <w:t>F</w:t>
      </w:r>
      <w:r w:rsidRPr="00843A5F">
        <w:rPr>
          <w:caps w:val="0"/>
        </w:rPr>
        <w:t>ederal Communications Commission</w:t>
      </w:r>
    </w:p>
    <w:p w:rsidR="005B4F0E" w:rsidRPr="00843A5F" w:rsidP="005B4F0E">
      <w:pPr>
        <w:pStyle w:val="StyleBoldCentered"/>
      </w:pPr>
      <w:r w:rsidRPr="00843A5F">
        <w:rPr>
          <w:caps w:val="0"/>
        </w:rPr>
        <w:t>Washington, DC 20554</w:t>
      </w:r>
    </w:p>
    <w:p w:rsidR="005B4F0E" w:rsidRPr="00843A5F" w:rsidP="005B4F0E"/>
    <w:tbl>
      <w:tblPr>
        <w:tblW w:w="9576" w:type="dxa"/>
        <w:tblLayout w:type="fixed"/>
        <w:tblLook w:val="0000"/>
      </w:tblPr>
      <w:tblGrid>
        <w:gridCol w:w="4698"/>
        <w:gridCol w:w="630"/>
        <w:gridCol w:w="4248"/>
      </w:tblGrid>
      <w:tr w:rsidTr="00E06D3A">
        <w:tblPrEx>
          <w:tblW w:w="9576" w:type="dxa"/>
          <w:tblLayout w:type="fixed"/>
          <w:tblLook w:val="0000"/>
        </w:tblPrEx>
        <w:trPr>
          <w:trHeight w:val="2043"/>
        </w:trPr>
        <w:tc>
          <w:tcPr>
            <w:tcW w:w="4698" w:type="dxa"/>
          </w:tcPr>
          <w:p w:rsidR="005B4F0E" w:rsidRPr="00843A5F" w:rsidP="00965222">
            <w:pPr>
              <w:tabs>
                <w:tab w:val="center" w:pos="4680"/>
              </w:tabs>
              <w:suppressAutoHyphens/>
              <w:rPr>
                <w:spacing w:val="-2"/>
              </w:rPr>
            </w:pPr>
            <w:r w:rsidRPr="00843A5F">
              <w:rPr>
                <w:spacing w:val="-2"/>
              </w:rPr>
              <w:t>In the Matter of</w:t>
            </w:r>
          </w:p>
          <w:p w:rsidR="005B4F0E" w:rsidRPr="00843A5F" w:rsidP="00965222">
            <w:pPr>
              <w:tabs>
                <w:tab w:val="center" w:pos="4680"/>
              </w:tabs>
              <w:suppressAutoHyphens/>
              <w:rPr>
                <w:spacing w:val="-2"/>
              </w:rPr>
            </w:pPr>
          </w:p>
          <w:p w:rsidR="008A1C76" w:rsidRPr="007C0B39" w:rsidP="00965222">
            <w:pPr>
              <w:tabs>
                <w:tab w:val="center" w:pos="4680"/>
              </w:tabs>
              <w:suppressAutoHyphens/>
              <w:rPr>
                <w:spacing w:val="-2"/>
              </w:rPr>
            </w:pPr>
            <w:r>
              <w:rPr>
                <w:szCs w:val="22"/>
              </w:rPr>
              <w:t>BLU Products, Inc.</w:t>
            </w:r>
          </w:p>
        </w:tc>
        <w:tc>
          <w:tcPr>
            <w:tcW w:w="630" w:type="dxa"/>
          </w:tcPr>
          <w:p w:rsidR="005B4F0E" w:rsidRPr="007C0B39" w:rsidP="00965222">
            <w:pPr>
              <w:tabs>
                <w:tab w:val="center" w:pos="4680"/>
              </w:tabs>
              <w:suppressAutoHyphens/>
              <w:rPr>
                <w:b/>
                <w:spacing w:val="-2"/>
              </w:rPr>
            </w:pPr>
            <w:r w:rsidRPr="007C0B39">
              <w:rPr>
                <w:b/>
                <w:spacing w:val="-2"/>
              </w:rPr>
              <w:t>)</w:t>
            </w:r>
          </w:p>
          <w:p w:rsidR="005B4F0E" w:rsidRPr="007C0B39" w:rsidP="00965222">
            <w:pPr>
              <w:tabs>
                <w:tab w:val="center" w:pos="4680"/>
              </w:tabs>
              <w:suppressAutoHyphens/>
              <w:rPr>
                <w:b/>
                <w:spacing w:val="-2"/>
              </w:rPr>
            </w:pPr>
            <w:r w:rsidRPr="007C0B39">
              <w:rPr>
                <w:b/>
                <w:spacing w:val="-2"/>
              </w:rPr>
              <w:t>)</w:t>
            </w:r>
          </w:p>
          <w:p w:rsidR="005B4F0E" w:rsidRPr="007C0B39" w:rsidP="00965222">
            <w:pPr>
              <w:tabs>
                <w:tab w:val="center" w:pos="4680"/>
              </w:tabs>
              <w:suppressAutoHyphens/>
              <w:rPr>
                <w:b/>
                <w:spacing w:val="-2"/>
              </w:rPr>
            </w:pPr>
            <w:r w:rsidRPr="007C0B39">
              <w:rPr>
                <w:b/>
                <w:spacing w:val="-2"/>
              </w:rPr>
              <w:t>)</w:t>
            </w:r>
          </w:p>
          <w:p w:rsidR="005B4F0E" w:rsidRPr="007C0B39" w:rsidP="00965222">
            <w:pPr>
              <w:tabs>
                <w:tab w:val="center" w:pos="4680"/>
              </w:tabs>
              <w:suppressAutoHyphens/>
              <w:rPr>
                <w:b/>
                <w:spacing w:val="-2"/>
              </w:rPr>
            </w:pPr>
            <w:r w:rsidRPr="007C0B39">
              <w:rPr>
                <w:b/>
                <w:spacing w:val="-2"/>
              </w:rPr>
              <w:t>)</w:t>
            </w:r>
          </w:p>
          <w:p w:rsidR="005B4F0E" w:rsidRPr="007C0B39" w:rsidP="00486AAF">
            <w:pPr>
              <w:tabs>
                <w:tab w:val="center" w:pos="4680"/>
              </w:tabs>
              <w:suppressAutoHyphens/>
              <w:rPr>
                <w:b/>
                <w:spacing w:val="-2"/>
              </w:rPr>
            </w:pPr>
            <w:r w:rsidRPr="007C0B39">
              <w:rPr>
                <w:b/>
                <w:spacing w:val="-2"/>
              </w:rPr>
              <w:t>)</w:t>
            </w:r>
          </w:p>
          <w:p w:rsidR="00076C13" w:rsidRPr="007C0B39" w:rsidP="00486AAF">
            <w:pPr>
              <w:tabs>
                <w:tab w:val="center" w:pos="4680"/>
              </w:tabs>
              <w:suppressAutoHyphens/>
              <w:rPr>
                <w:b/>
                <w:spacing w:val="-2"/>
              </w:rPr>
            </w:pPr>
            <w:r w:rsidRPr="007C0B39">
              <w:rPr>
                <w:b/>
                <w:spacing w:val="-2"/>
              </w:rPr>
              <w:t>)</w:t>
            </w:r>
          </w:p>
          <w:p w:rsidR="00302835" w:rsidRPr="007C0B39" w:rsidP="00486AAF">
            <w:pPr>
              <w:tabs>
                <w:tab w:val="center" w:pos="4680"/>
              </w:tabs>
              <w:suppressAutoHyphens/>
              <w:rPr>
                <w:spacing w:val="-2"/>
              </w:rPr>
            </w:pPr>
          </w:p>
        </w:tc>
        <w:tc>
          <w:tcPr>
            <w:tcW w:w="4248" w:type="dxa"/>
          </w:tcPr>
          <w:p w:rsidR="00843A5F" w:rsidP="00076C13">
            <w:pPr>
              <w:tabs>
                <w:tab w:val="center" w:pos="4680"/>
              </w:tabs>
              <w:suppressAutoHyphens/>
              <w:ind w:left="432"/>
              <w:rPr>
                <w:spacing w:val="-2"/>
                <w:szCs w:val="22"/>
              </w:rPr>
            </w:pPr>
          </w:p>
          <w:p w:rsidR="00843A5F" w:rsidP="00076C13">
            <w:pPr>
              <w:tabs>
                <w:tab w:val="center" w:pos="4680"/>
              </w:tabs>
              <w:suppressAutoHyphens/>
              <w:ind w:left="432"/>
              <w:rPr>
                <w:spacing w:val="-2"/>
                <w:szCs w:val="22"/>
              </w:rPr>
            </w:pPr>
          </w:p>
          <w:p w:rsidR="005B4F0E" w:rsidRPr="007C0B39" w:rsidP="00076C13">
            <w:pPr>
              <w:tabs>
                <w:tab w:val="center" w:pos="4680"/>
              </w:tabs>
              <w:suppressAutoHyphens/>
              <w:ind w:left="432"/>
              <w:rPr>
                <w:spacing w:val="-2"/>
                <w:szCs w:val="22"/>
              </w:rPr>
            </w:pPr>
            <w:r w:rsidRPr="007C0B39">
              <w:rPr>
                <w:spacing w:val="-2"/>
                <w:szCs w:val="22"/>
              </w:rPr>
              <w:t xml:space="preserve">File No.:  </w:t>
            </w:r>
            <w:r w:rsidR="00904888">
              <w:rPr>
                <w:spacing w:val="-2"/>
                <w:szCs w:val="22"/>
              </w:rPr>
              <w:t>EB-SED-18-00027959</w:t>
            </w:r>
          </w:p>
          <w:p w:rsidR="00C43E4A" w:rsidRPr="007C0B39" w:rsidP="00076C13">
            <w:pPr>
              <w:ind w:left="432"/>
              <w:rPr>
                <w:spacing w:val="-2"/>
                <w:szCs w:val="22"/>
              </w:rPr>
            </w:pPr>
            <w:r>
              <w:rPr>
                <w:spacing w:val="-2"/>
                <w:szCs w:val="22"/>
              </w:rPr>
              <w:t xml:space="preserve">CD </w:t>
            </w:r>
            <w:r w:rsidRPr="007C0B39" w:rsidR="005B4F0E">
              <w:rPr>
                <w:spacing w:val="-2"/>
                <w:szCs w:val="22"/>
              </w:rPr>
              <w:t xml:space="preserve">Acct. No.:  </w:t>
            </w:r>
            <w:r w:rsidR="00D057E8">
              <w:rPr>
                <w:spacing w:val="-2"/>
                <w:szCs w:val="22"/>
              </w:rPr>
              <w:t>202032100005</w:t>
            </w:r>
          </w:p>
          <w:p w:rsidR="005B4F0E" w:rsidRPr="007C0B39" w:rsidP="00076C13">
            <w:pPr>
              <w:tabs>
                <w:tab w:val="center" w:pos="4680"/>
              </w:tabs>
              <w:suppressAutoHyphens/>
              <w:ind w:left="432"/>
              <w:rPr>
                <w:spacing w:val="-2"/>
              </w:rPr>
            </w:pPr>
            <w:r w:rsidRPr="007C0B39">
              <w:rPr>
                <w:szCs w:val="22"/>
              </w:rPr>
              <w:t xml:space="preserve">FRN:  </w:t>
            </w:r>
            <w:r w:rsidR="00904888">
              <w:rPr>
                <w:szCs w:val="22"/>
              </w:rPr>
              <w:t>0019890946</w:t>
            </w:r>
          </w:p>
        </w:tc>
      </w:tr>
    </w:tbl>
    <w:p w:rsidR="00064ADC" w:rsidRPr="007C0B39" w:rsidP="00FD0F9C">
      <w:pPr>
        <w:pStyle w:val="StyleBoldCentered"/>
      </w:pPr>
      <w:r w:rsidRPr="007C0B39">
        <w:t>CONSENT DECREE</w:t>
      </w:r>
    </w:p>
    <w:p w:rsidR="00064ADC" w:rsidRPr="007C0B39" w:rsidP="00064ADC">
      <w:pPr>
        <w:pStyle w:val="StyleBoldCentered"/>
      </w:pPr>
    </w:p>
    <w:p w:rsidR="00E02214" w:rsidRPr="007C0B39" w:rsidP="00421ED1">
      <w:pPr>
        <w:pStyle w:val="ParaNum"/>
      </w:pPr>
      <w:bookmarkStart w:id="1" w:name="_Ref23844432"/>
      <w:bookmarkStart w:id="2" w:name="_Ref23926850"/>
      <w:r w:rsidRPr="007C0B39">
        <w:t xml:space="preserve">The Enforcement Bureau of the </w:t>
      </w:r>
      <w:r w:rsidR="00865380">
        <w:t xml:space="preserve">Federal Communications Commission (Commission or </w:t>
      </w:r>
      <w:r w:rsidRPr="007C0B39">
        <w:t>F</w:t>
      </w:r>
      <w:r w:rsidR="00E420CE">
        <w:t>CC</w:t>
      </w:r>
      <w:r w:rsidR="00865380">
        <w:t>)</w:t>
      </w:r>
      <w:r w:rsidRPr="007C0B39">
        <w:t xml:space="preserve"> and</w:t>
      </w:r>
      <w:r w:rsidRPr="007C0B39" w:rsidR="00302835">
        <w:t xml:space="preserve"> </w:t>
      </w:r>
      <w:r w:rsidR="00BB4579">
        <w:t>BLU Products, Inc.</w:t>
      </w:r>
      <w:r w:rsidR="009A55BC">
        <w:t xml:space="preserve"> (BLU Products</w:t>
      </w:r>
      <w:r w:rsidR="00AB2A36">
        <w:t xml:space="preserve"> or Company</w:t>
      </w:r>
      <w:r w:rsidR="009A55BC">
        <w:t>)</w:t>
      </w:r>
      <w:r w:rsidRPr="007C0B39">
        <w:t>, by their authorized representatives, here</w:t>
      </w:r>
      <w:r w:rsidRPr="007C0B39">
        <w:t xml:space="preserve">by enter into this Consent Decree for the purpose of terminating the </w:t>
      </w:r>
      <w:r w:rsidRPr="007C0B39" w:rsidR="00FD0F9C">
        <w:t xml:space="preserve">Enforcement </w:t>
      </w:r>
      <w:r w:rsidRPr="007C0B39" w:rsidR="00B709FD">
        <w:t xml:space="preserve">Bureau’s </w:t>
      </w:r>
      <w:r w:rsidRPr="007C0B39" w:rsidR="00D65117">
        <w:t>investigation into</w:t>
      </w:r>
      <w:r w:rsidRPr="007C0B39">
        <w:t xml:space="preserve"> </w:t>
      </w:r>
      <w:r w:rsidRPr="007C0B39" w:rsidR="00073450">
        <w:t>whether</w:t>
      </w:r>
      <w:r w:rsidRPr="007C0B39" w:rsidR="00EF5FE2">
        <w:t xml:space="preserve"> </w:t>
      </w:r>
      <w:r w:rsidR="00BB4579">
        <w:t xml:space="preserve">BLU Products </w:t>
      </w:r>
      <w:r w:rsidRPr="007C0B39" w:rsidR="00073450">
        <w:t>violated</w:t>
      </w:r>
      <w:r w:rsidR="00BB4579">
        <w:t xml:space="preserve"> </w:t>
      </w:r>
      <w:r w:rsidR="00317554">
        <w:t>section 302(b) of the Communications Act of 1934, as amended (Act)</w:t>
      </w:r>
      <w:r>
        <w:rPr>
          <w:rStyle w:val="FootnoteReference"/>
        </w:rPr>
        <w:footnoteReference w:id="8"/>
      </w:r>
      <w:r w:rsidR="00317554">
        <w:t xml:space="preserve"> and sections 2.803(b)(1), 2.1043(b)(2), 2.1093(d)(2), 15.19(a)(3), and 15.21 of the Commission’s rules</w:t>
      </w:r>
      <w:r w:rsidR="00CA07C4">
        <w:t>.</w:t>
      </w:r>
      <w:r>
        <w:rPr>
          <w:rStyle w:val="FootnoteReference"/>
        </w:rPr>
        <w:footnoteReference w:id="9"/>
      </w:r>
      <w:r w:rsidR="00CA07C4">
        <w:t xml:space="preserve">  The noted violations are in connection with </w:t>
      </w:r>
      <w:r w:rsidR="00E8360C">
        <w:t xml:space="preserve">BLU Products’ </w:t>
      </w:r>
      <w:r w:rsidRPr="00766BD9" w:rsidR="00B065BB">
        <w:rPr>
          <w:szCs w:val="22"/>
        </w:rPr>
        <w:t xml:space="preserve">marketing </w:t>
      </w:r>
      <w:r w:rsidRPr="00766BD9" w:rsidR="00715CA9">
        <w:rPr>
          <w:szCs w:val="22"/>
        </w:rPr>
        <w:t xml:space="preserve">of </w:t>
      </w:r>
      <w:r w:rsidRPr="00766BD9" w:rsidR="00B065BB">
        <w:rPr>
          <w:szCs w:val="22"/>
        </w:rPr>
        <w:t xml:space="preserve">a </w:t>
      </w:r>
      <w:r w:rsidR="00B065BB">
        <w:t xml:space="preserve">mobile phone, model GRAND MAX, that </w:t>
      </w:r>
      <w:r w:rsidR="00252B7A">
        <w:t xml:space="preserve">failed to comply with the </w:t>
      </w:r>
      <w:r w:rsidR="00F92C87">
        <w:t xml:space="preserve">Commission’s </w:t>
      </w:r>
      <w:r w:rsidR="00252B7A">
        <w:t>spec</w:t>
      </w:r>
      <w:r w:rsidR="002A20D1">
        <w:t xml:space="preserve">ific absorption rate limit and </w:t>
      </w:r>
      <w:r w:rsidR="005A5B25">
        <w:t xml:space="preserve">labeling and </w:t>
      </w:r>
      <w:r w:rsidR="002A20D1">
        <w:t>user manual disclosure requirements</w:t>
      </w:r>
      <w:r w:rsidR="00AB2A36">
        <w:t>, as well as</w:t>
      </w:r>
      <w:r w:rsidR="007C3FBF">
        <w:t xml:space="preserve"> </w:t>
      </w:r>
      <w:r w:rsidR="00AB2A36">
        <w:t>the Company’s</w:t>
      </w:r>
      <w:r w:rsidR="00E8360C">
        <w:t xml:space="preserve"> failure to obtain the requisite Commission approval for Class II permissive changes</w:t>
      </w:r>
      <w:r w:rsidR="008C38F0">
        <w:t xml:space="preserve"> it </w:t>
      </w:r>
      <w:r w:rsidR="00E8360C">
        <w:t>made to the device</w:t>
      </w:r>
      <w:r w:rsidRPr="007C0B39">
        <w:t>.</w:t>
      </w:r>
      <w:r w:rsidR="006A5BB3">
        <w:t xml:space="preserve">  As set forth herein, to resolve this matter</w:t>
      </w:r>
      <w:r w:rsidR="00632E3D">
        <w:t>,</w:t>
      </w:r>
      <w:r w:rsidR="006A5BB3">
        <w:t xml:space="preserve"> </w:t>
      </w:r>
      <w:r w:rsidR="007B020C">
        <w:t>BLU Products</w:t>
      </w:r>
      <w:r w:rsidR="00E8360C">
        <w:t xml:space="preserve"> </w:t>
      </w:r>
      <w:r w:rsidR="008C38F0">
        <w:t xml:space="preserve">admits that it violated the Commission’s rules, will </w:t>
      </w:r>
      <w:r w:rsidR="00ED3C07">
        <w:t xml:space="preserve">implement a </w:t>
      </w:r>
      <w:r w:rsidR="006A5BB3">
        <w:t>compliance plan</w:t>
      </w:r>
      <w:r w:rsidR="008C38F0">
        <w:t>,</w:t>
      </w:r>
      <w:r w:rsidR="006A5BB3">
        <w:t xml:space="preserve"> and </w:t>
      </w:r>
      <w:r w:rsidR="008C38F0">
        <w:t>will</w:t>
      </w:r>
      <w:r w:rsidR="00E738A4">
        <w:t xml:space="preserve"> </w:t>
      </w:r>
      <w:r w:rsidR="006A5BB3">
        <w:t>pay a $</w:t>
      </w:r>
      <w:r w:rsidR="00E8360C">
        <w:t xml:space="preserve">130,000 </w:t>
      </w:r>
      <w:r w:rsidR="006A5BB3">
        <w:t>civil penalty.</w:t>
      </w:r>
      <w:bookmarkEnd w:id="1"/>
      <w:r w:rsidR="006C37F5">
        <w:t xml:space="preserve">  </w:t>
      </w:r>
      <w:r w:rsidRPr="00F54AA1" w:rsidR="00605A7A">
        <w:t>This action demonstrates the Commission’s commitment to protecting the public through enforcement of the Commission’s equipment authorization rules and the radio frequency exposure limits.</w:t>
      </w:r>
      <w:r w:rsidR="00356A32">
        <w:t xml:space="preserve">  </w:t>
      </w:r>
      <w:bookmarkEnd w:id="2"/>
    </w:p>
    <w:p w:rsidR="00BD08D2" w:rsidRPr="007C0B39" w:rsidP="00E02214">
      <w:pPr>
        <w:pStyle w:val="Heading1"/>
      </w:pPr>
      <w:r w:rsidRPr="007C0B39">
        <w:t>DEFINITIONS</w:t>
      </w:r>
    </w:p>
    <w:p w:rsidR="00BD08D2" w:rsidRPr="007C0B39" w:rsidP="00ED419F">
      <w:pPr>
        <w:pStyle w:val="ParaNum"/>
      </w:pPr>
      <w:r w:rsidRPr="007C0B39">
        <w:t>For the purposes of this Consent Decree, the following definitions shall apply:</w:t>
      </w:r>
    </w:p>
    <w:p w:rsidR="00BD08D2" w:rsidRPr="007C0B39" w:rsidP="00EF1B1B">
      <w:pPr>
        <w:numPr>
          <w:ilvl w:val="0"/>
          <w:numId w:val="5"/>
        </w:numPr>
        <w:tabs>
          <w:tab w:val="clear" w:pos="1224"/>
        </w:tabs>
        <w:spacing w:after="120"/>
        <w:ind w:left="1890"/>
        <w:rPr>
          <w:szCs w:val="22"/>
        </w:rPr>
      </w:pPr>
      <w:r w:rsidRPr="007C0B39">
        <w:rPr>
          <w:szCs w:val="22"/>
        </w:rPr>
        <w:t>“Act”</w:t>
      </w:r>
      <w:r w:rsidRPr="007C0B39">
        <w:rPr>
          <w:rStyle w:val="ParanumChar"/>
          <w:szCs w:val="22"/>
        </w:rPr>
        <w:t xml:space="preserve"> </w:t>
      </w:r>
      <w:r w:rsidRPr="007C0B39">
        <w:t>means</w:t>
      </w:r>
      <w:r w:rsidRPr="007C0B39">
        <w:rPr>
          <w:szCs w:val="22"/>
        </w:rPr>
        <w:t xml:space="preserve"> the Communications Act of 1934, as amended</w:t>
      </w:r>
      <w:r w:rsidR="00610208">
        <w:rPr>
          <w:szCs w:val="22"/>
        </w:rPr>
        <w:t>.</w:t>
      </w:r>
      <w:r>
        <w:rPr>
          <w:rStyle w:val="FootnoteReference"/>
          <w:szCs w:val="22"/>
        </w:rPr>
        <w:footnoteReference w:id="10"/>
      </w:r>
    </w:p>
    <w:p w:rsidR="00BD08D2" w:rsidP="00EF1B1B">
      <w:pPr>
        <w:numPr>
          <w:ilvl w:val="0"/>
          <w:numId w:val="5"/>
        </w:numPr>
        <w:tabs>
          <w:tab w:val="clear" w:pos="1224"/>
        </w:tabs>
        <w:spacing w:after="120"/>
        <w:ind w:left="1890"/>
        <w:rPr>
          <w:szCs w:val="22"/>
        </w:rPr>
      </w:pPr>
      <w:r w:rsidRPr="007C0B39">
        <w:rPr>
          <w:szCs w:val="22"/>
        </w:rPr>
        <w:t>“</w:t>
      </w:r>
      <w:r w:rsidRPr="007C0B39">
        <w:t>Adopting</w:t>
      </w:r>
      <w:r w:rsidRPr="007C0B39" w:rsidR="00246786">
        <w:rPr>
          <w:szCs w:val="22"/>
        </w:rPr>
        <w:t xml:space="preserve"> Order” means an o</w:t>
      </w:r>
      <w:r w:rsidRPr="007C0B39">
        <w:rPr>
          <w:szCs w:val="22"/>
        </w:rPr>
        <w:t>rder of the Bureau adopting the terms of this Consent Decree without change, addition, deletion, or modification.</w:t>
      </w:r>
    </w:p>
    <w:p w:rsidR="00685018" w:rsidRPr="007C0B39" w:rsidP="00EF1B1B">
      <w:pPr>
        <w:numPr>
          <w:ilvl w:val="0"/>
          <w:numId w:val="5"/>
        </w:numPr>
        <w:tabs>
          <w:tab w:val="clear" w:pos="1224"/>
        </w:tabs>
        <w:spacing w:after="120"/>
        <w:ind w:left="1890"/>
        <w:rPr>
          <w:szCs w:val="22"/>
        </w:rPr>
      </w:pPr>
      <w:r>
        <w:rPr>
          <w:szCs w:val="22"/>
        </w:rPr>
        <w:t>“BLU Products” or “Company” means BLU Products, Inc. and its affiliat</w:t>
      </w:r>
      <w:r>
        <w:rPr>
          <w:szCs w:val="22"/>
        </w:rPr>
        <w:t>es, subsidiaries, predecessors-in-interest, and successors-in-interest.</w:t>
      </w:r>
    </w:p>
    <w:p w:rsidR="00BD08D2" w:rsidP="00EF1B1B">
      <w:pPr>
        <w:numPr>
          <w:ilvl w:val="0"/>
          <w:numId w:val="5"/>
        </w:numPr>
        <w:tabs>
          <w:tab w:val="clear" w:pos="1224"/>
        </w:tabs>
        <w:spacing w:after="120"/>
        <w:ind w:left="1890"/>
        <w:rPr>
          <w:szCs w:val="22"/>
        </w:rPr>
      </w:pPr>
      <w:r w:rsidRPr="007C0B39">
        <w:rPr>
          <w:szCs w:val="22"/>
        </w:rPr>
        <w:t>“</w:t>
      </w:r>
      <w:r w:rsidRPr="007C0B39">
        <w:t>Bureau</w:t>
      </w:r>
      <w:r w:rsidRPr="007C0B39">
        <w:rPr>
          <w:szCs w:val="22"/>
        </w:rPr>
        <w:t>” means the Enforcement Bureau of the Federal Communications Commission.</w:t>
      </w:r>
    </w:p>
    <w:p w:rsidR="00162D87" w:rsidRPr="007C0B39" w:rsidP="00EF1B1B">
      <w:pPr>
        <w:numPr>
          <w:ilvl w:val="0"/>
          <w:numId w:val="5"/>
        </w:numPr>
        <w:tabs>
          <w:tab w:val="clear" w:pos="1224"/>
        </w:tabs>
        <w:spacing w:after="120"/>
        <w:ind w:left="1890"/>
        <w:rPr>
          <w:szCs w:val="22"/>
        </w:rPr>
      </w:pPr>
      <w:r w:rsidRPr="00887F97">
        <w:rPr>
          <w:szCs w:val="22"/>
        </w:rPr>
        <w:t>“</w:t>
      </w:r>
      <w:r>
        <w:rPr>
          <w:szCs w:val="22"/>
        </w:rPr>
        <w:t xml:space="preserve">CD </w:t>
      </w:r>
      <w:r w:rsidRPr="00887F97">
        <w:rPr>
          <w:szCs w:val="22"/>
        </w:rPr>
        <w:t>Acct No.” means account number</w:t>
      </w:r>
      <w:r w:rsidR="00EA3606">
        <w:rPr>
          <w:szCs w:val="22"/>
        </w:rPr>
        <w:t xml:space="preserve"> </w:t>
      </w:r>
      <w:r w:rsidR="00D057E8">
        <w:rPr>
          <w:szCs w:val="22"/>
        </w:rPr>
        <w:t>202032100005</w:t>
      </w:r>
      <w:r w:rsidRPr="00887F97">
        <w:rPr>
          <w:szCs w:val="22"/>
        </w:rPr>
        <w:t>, associated with payment obligations described in paragr</w:t>
      </w:r>
      <w:r w:rsidRPr="00887F97">
        <w:rPr>
          <w:szCs w:val="22"/>
        </w:rPr>
        <w:t xml:space="preserve">aph </w:t>
      </w:r>
      <w:r w:rsidR="00E37E48">
        <w:rPr>
          <w:szCs w:val="22"/>
        </w:rPr>
        <w:t xml:space="preserve">20 </w:t>
      </w:r>
      <w:r>
        <w:rPr>
          <w:szCs w:val="22"/>
        </w:rPr>
        <w:t>of th</w:t>
      </w:r>
      <w:r w:rsidRPr="00887F97">
        <w:rPr>
          <w:szCs w:val="22"/>
        </w:rPr>
        <w:t>is Consent Decree.</w:t>
      </w:r>
    </w:p>
    <w:p w:rsidR="00BD08D2" w:rsidRPr="007C0B39" w:rsidP="00EF1B1B">
      <w:pPr>
        <w:numPr>
          <w:ilvl w:val="0"/>
          <w:numId w:val="5"/>
        </w:numPr>
        <w:tabs>
          <w:tab w:val="clear" w:pos="1224"/>
        </w:tabs>
        <w:spacing w:after="120"/>
        <w:ind w:left="1890"/>
        <w:rPr>
          <w:szCs w:val="22"/>
        </w:rPr>
      </w:pPr>
      <w:r w:rsidRPr="007C0B39">
        <w:rPr>
          <w:szCs w:val="22"/>
        </w:rPr>
        <w:t>“</w:t>
      </w:r>
      <w:r w:rsidRPr="007C0B39">
        <w:t>Commission</w:t>
      </w:r>
      <w:r w:rsidRPr="007C0B39">
        <w:rPr>
          <w:szCs w:val="22"/>
        </w:rPr>
        <w:t>” and “FCC” mean the Federal Communications Commission and all of its bureaus and offices.</w:t>
      </w:r>
    </w:p>
    <w:p w:rsidR="00BD08D2" w:rsidRPr="007C0B39" w:rsidP="00123870">
      <w:pPr>
        <w:widowControl/>
        <w:numPr>
          <w:ilvl w:val="0"/>
          <w:numId w:val="5"/>
        </w:numPr>
        <w:tabs>
          <w:tab w:val="clear" w:pos="1224"/>
        </w:tabs>
        <w:spacing w:after="120"/>
        <w:ind w:left="1886"/>
        <w:rPr>
          <w:szCs w:val="22"/>
        </w:rPr>
      </w:pPr>
      <w:r w:rsidRPr="007C0B39">
        <w:rPr>
          <w:szCs w:val="22"/>
        </w:rPr>
        <w:t>“</w:t>
      </w:r>
      <w:r w:rsidRPr="007C0B39">
        <w:t>Communications</w:t>
      </w:r>
      <w:r w:rsidRPr="007C0B39">
        <w:rPr>
          <w:szCs w:val="22"/>
        </w:rPr>
        <w:t xml:space="preserve"> Laws” means collectively, the Act, the Rules, and the published and promulgated orders and decision</w:t>
      </w:r>
      <w:r w:rsidRPr="007C0B39" w:rsidR="00302835">
        <w:rPr>
          <w:szCs w:val="22"/>
        </w:rPr>
        <w:t xml:space="preserve">s of the Commission to which </w:t>
      </w:r>
      <w:r w:rsidR="00B06209">
        <w:rPr>
          <w:szCs w:val="22"/>
        </w:rPr>
        <w:t>BLU Products</w:t>
      </w:r>
      <w:r w:rsidR="00844FC3">
        <w:rPr>
          <w:szCs w:val="22"/>
        </w:rPr>
        <w:t xml:space="preserve"> </w:t>
      </w:r>
      <w:r w:rsidRPr="007C0B39">
        <w:rPr>
          <w:szCs w:val="22"/>
        </w:rPr>
        <w:t xml:space="preserve">is </w:t>
      </w:r>
      <w:r w:rsidRPr="007C0B39">
        <w:rPr>
          <w:szCs w:val="22"/>
        </w:rPr>
        <w:t>subject by vi</w:t>
      </w:r>
      <w:r w:rsidRPr="007C0B39" w:rsidR="00246786">
        <w:rPr>
          <w:szCs w:val="22"/>
        </w:rPr>
        <w:t>rtue of its business activities</w:t>
      </w:r>
      <w:r w:rsidRPr="007C0B39" w:rsidR="008155A1">
        <w:rPr>
          <w:szCs w:val="22"/>
        </w:rPr>
        <w:t xml:space="preserve">, including but not limited to </w:t>
      </w:r>
      <w:r w:rsidR="000209CE">
        <w:rPr>
          <w:szCs w:val="22"/>
        </w:rPr>
        <w:t>the Specific Absorption Rate</w:t>
      </w:r>
      <w:r w:rsidR="00104337">
        <w:rPr>
          <w:szCs w:val="22"/>
        </w:rPr>
        <w:t xml:space="preserve"> (SAR)</w:t>
      </w:r>
      <w:r w:rsidR="000209CE">
        <w:rPr>
          <w:szCs w:val="22"/>
        </w:rPr>
        <w:t xml:space="preserve"> </w:t>
      </w:r>
      <w:r w:rsidR="00B279F2">
        <w:rPr>
          <w:szCs w:val="22"/>
        </w:rPr>
        <w:t>L</w:t>
      </w:r>
      <w:r w:rsidR="000209CE">
        <w:rPr>
          <w:szCs w:val="22"/>
        </w:rPr>
        <w:t>imit</w:t>
      </w:r>
      <w:r w:rsidR="00524A90">
        <w:rPr>
          <w:szCs w:val="22"/>
        </w:rPr>
        <w:t xml:space="preserve"> and </w:t>
      </w:r>
      <w:r w:rsidR="00685018">
        <w:rPr>
          <w:szCs w:val="22"/>
        </w:rPr>
        <w:t>Equipment Marketing Rules.</w:t>
      </w:r>
    </w:p>
    <w:p w:rsidR="00BD08D2" w:rsidRPr="007C0B39" w:rsidP="00EF1B1B">
      <w:pPr>
        <w:numPr>
          <w:ilvl w:val="0"/>
          <w:numId w:val="5"/>
        </w:numPr>
        <w:tabs>
          <w:tab w:val="clear" w:pos="1224"/>
        </w:tabs>
        <w:spacing w:after="120"/>
        <w:ind w:left="1890"/>
        <w:rPr>
          <w:szCs w:val="22"/>
        </w:rPr>
      </w:pPr>
      <w:r w:rsidRPr="007C0B39">
        <w:rPr>
          <w:szCs w:val="22"/>
        </w:rPr>
        <w:t>“</w:t>
      </w:r>
      <w:r w:rsidRPr="007C0B39">
        <w:t>Compliance</w:t>
      </w:r>
      <w:r w:rsidRPr="007C0B39">
        <w:rPr>
          <w:szCs w:val="22"/>
        </w:rPr>
        <w:t xml:space="preserve"> Plan” means the compliance obligations</w:t>
      </w:r>
      <w:r w:rsidRPr="007C0B39" w:rsidR="008155A1">
        <w:rPr>
          <w:szCs w:val="22"/>
        </w:rPr>
        <w:t xml:space="preserve">, </w:t>
      </w:r>
      <w:r w:rsidRPr="007C0B39">
        <w:rPr>
          <w:szCs w:val="22"/>
        </w:rPr>
        <w:t>program</w:t>
      </w:r>
      <w:r w:rsidRPr="007C0B39" w:rsidR="008155A1">
        <w:rPr>
          <w:szCs w:val="22"/>
        </w:rPr>
        <w:t>, and procedures</w:t>
      </w:r>
      <w:r w:rsidRPr="007C0B39" w:rsidR="00BC7821">
        <w:rPr>
          <w:szCs w:val="22"/>
        </w:rPr>
        <w:t xml:space="preserve"> d</w:t>
      </w:r>
      <w:r w:rsidRPr="007C0B39">
        <w:rPr>
          <w:szCs w:val="22"/>
        </w:rPr>
        <w:t>escribed in this Consent Decree at paragraph</w:t>
      </w:r>
      <w:r w:rsidR="00E46123">
        <w:rPr>
          <w:szCs w:val="22"/>
        </w:rPr>
        <w:t xml:space="preserve"> </w:t>
      </w:r>
      <w:r w:rsidR="00690E60">
        <w:rPr>
          <w:szCs w:val="22"/>
        </w:rPr>
        <w:fldChar w:fldCharType="begin"/>
      </w:r>
      <w:r w:rsidR="00690E60">
        <w:rPr>
          <w:szCs w:val="22"/>
        </w:rPr>
        <w:instrText xml:space="preserve"> REF _Ref357521857 \r \h </w:instrText>
      </w:r>
      <w:r w:rsidR="00690E60">
        <w:rPr>
          <w:szCs w:val="22"/>
        </w:rPr>
        <w:fldChar w:fldCharType="separate"/>
      </w:r>
      <w:r w:rsidR="00252059">
        <w:rPr>
          <w:szCs w:val="22"/>
        </w:rPr>
        <w:t>16</w:t>
      </w:r>
      <w:r w:rsidR="00690E60">
        <w:rPr>
          <w:szCs w:val="22"/>
        </w:rPr>
        <w:fldChar w:fldCharType="end"/>
      </w:r>
      <w:r w:rsidR="00F53694">
        <w:rPr>
          <w:szCs w:val="22"/>
        </w:rPr>
        <w:t>.</w:t>
      </w:r>
    </w:p>
    <w:p w:rsidR="00BD08D2" w:rsidRPr="007C0B39" w:rsidP="00EF1B1B">
      <w:pPr>
        <w:numPr>
          <w:ilvl w:val="0"/>
          <w:numId w:val="5"/>
        </w:numPr>
        <w:tabs>
          <w:tab w:val="clear" w:pos="1224"/>
        </w:tabs>
        <w:spacing w:after="120"/>
        <w:ind w:left="1890"/>
        <w:rPr>
          <w:szCs w:val="22"/>
        </w:rPr>
      </w:pPr>
      <w:r w:rsidRPr="007C0B39">
        <w:rPr>
          <w:szCs w:val="22"/>
        </w:rPr>
        <w:t>“</w:t>
      </w:r>
      <w:r w:rsidRPr="007C0B39">
        <w:t>Covered</w:t>
      </w:r>
      <w:r w:rsidRPr="007C0B39">
        <w:rPr>
          <w:szCs w:val="22"/>
        </w:rPr>
        <w:t xml:space="preserve"> </w:t>
      </w:r>
      <w:r w:rsidRPr="007C0B39">
        <w:t>Employees</w:t>
      </w:r>
      <w:r w:rsidRPr="007C0B39">
        <w:rPr>
          <w:szCs w:val="22"/>
        </w:rPr>
        <w:t>” me</w:t>
      </w:r>
      <w:r w:rsidRPr="007C0B39" w:rsidR="00FB39CB">
        <w:rPr>
          <w:szCs w:val="22"/>
        </w:rPr>
        <w:t xml:space="preserve">ans all employees and agents of </w:t>
      </w:r>
      <w:r w:rsidR="00685018">
        <w:rPr>
          <w:szCs w:val="22"/>
        </w:rPr>
        <w:t>BLU Products</w:t>
      </w:r>
      <w:r w:rsidR="00200645">
        <w:rPr>
          <w:szCs w:val="22"/>
        </w:rPr>
        <w:t xml:space="preserve"> </w:t>
      </w:r>
      <w:r w:rsidRPr="007C0B39">
        <w:rPr>
          <w:szCs w:val="22"/>
        </w:rPr>
        <w:t xml:space="preserve">who perform, or supervise, oversee, or manage the performance of, duties that relate to </w:t>
      </w:r>
      <w:r w:rsidR="00200645">
        <w:rPr>
          <w:szCs w:val="22"/>
        </w:rPr>
        <w:t>BLU Products</w:t>
      </w:r>
      <w:r w:rsidRPr="007C0B39">
        <w:rPr>
          <w:szCs w:val="22"/>
        </w:rPr>
        <w:t xml:space="preserve">’ responsibilities under the Communications Laws, including the </w:t>
      </w:r>
      <w:r w:rsidR="00104337">
        <w:rPr>
          <w:szCs w:val="22"/>
        </w:rPr>
        <w:t xml:space="preserve">SAR </w:t>
      </w:r>
      <w:r w:rsidR="00E965CF">
        <w:rPr>
          <w:szCs w:val="22"/>
        </w:rPr>
        <w:t>L</w:t>
      </w:r>
      <w:r w:rsidR="00104337">
        <w:rPr>
          <w:szCs w:val="22"/>
        </w:rPr>
        <w:t>imit</w:t>
      </w:r>
      <w:r w:rsidR="00524A90">
        <w:rPr>
          <w:szCs w:val="22"/>
        </w:rPr>
        <w:t xml:space="preserve"> and </w:t>
      </w:r>
      <w:r w:rsidR="00200645">
        <w:rPr>
          <w:szCs w:val="22"/>
        </w:rPr>
        <w:t>Equipment Marketing Rules.</w:t>
      </w:r>
    </w:p>
    <w:p w:rsidR="00BD08D2" w:rsidRPr="007C0B39" w:rsidP="00EF1B1B">
      <w:pPr>
        <w:numPr>
          <w:ilvl w:val="0"/>
          <w:numId w:val="5"/>
        </w:numPr>
        <w:tabs>
          <w:tab w:val="clear" w:pos="1224"/>
        </w:tabs>
        <w:spacing w:after="120"/>
        <w:ind w:left="1890"/>
        <w:rPr>
          <w:szCs w:val="22"/>
        </w:rPr>
      </w:pPr>
      <w:r w:rsidRPr="007C0B39">
        <w:rPr>
          <w:szCs w:val="22"/>
        </w:rPr>
        <w:t>“</w:t>
      </w:r>
      <w:r w:rsidRPr="007C0B39">
        <w:t>Effective</w:t>
      </w:r>
      <w:r w:rsidRPr="007C0B39" w:rsidR="00CE68FE">
        <w:rPr>
          <w:szCs w:val="22"/>
        </w:rPr>
        <w:t xml:space="preserve"> Date” means the date by</w:t>
      </w:r>
      <w:r w:rsidRPr="007C0B39" w:rsidR="00C04651">
        <w:rPr>
          <w:szCs w:val="22"/>
        </w:rPr>
        <w:t xml:space="preserve"> which </w:t>
      </w:r>
      <w:r w:rsidRPr="007C0B39" w:rsidR="00CE68FE">
        <w:rPr>
          <w:szCs w:val="22"/>
        </w:rPr>
        <w:t xml:space="preserve">both </w:t>
      </w:r>
      <w:r w:rsidRPr="007C0B39" w:rsidR="00C04651">
        <w:rPr>
          <w:szCs w:val="22"/>
        </w:rPr>
        <w:t xml:space="preserve">the Bureau </w:t>
      </w:r>
      <w:r w:rsidRPr="007C0B39" w:rsidR="00CE68FE">
        <w:rPr>
          <w:szCs w:val="22"/>
        </w:rPr>
        <w:t xml:space="preserve">and </w:t>
      </w:r>
      <w:r w:rsidR="00B27002">
        <w:rPr>
          <w:szCs w:val="22"/>
        </w:rPr>
        <w:t xml:space="preserve">BLU Products </w:t>
      </w:r>
      <w:r w:rsidRPr="007C0B39" w:rsidR="00CE68FE">
        <w:rPr>
          <w:szCs w:val="22"/>
        </w:rPr>
        <w:t>have signed the Consent Decree</w:t>
      </w:r>
      <w:r w:rsidR="007D1F71">
        <w:rPr>
          <w:szCs w:val="22"/>
        </w:rPr>
        <w:t xml:space="preserve"> and the Bureau has released an Adopting Order</w:t>
      </w:r>
      <w:r w:rsidRPr="007C0B39" w:rsidR="00C04651">
        <w:rPr>
          <w:szCs w:val="22"/>
        </w:rPr>
        <w:t>.</w:t>
      </w:r>
    </w:p>
    <w:p w:rsidR="00BD08D2" w:rsidP="00EF1B1B">
      <w:pPr>
        <w:numPr>
          <w:ilvl w:val="0"/>
          <w:numId w:val="5"/>
        </w:numPr>
        <w:tabs>
          <w:tab w:val="clear" w:pos="1224"/>
        </w:tabs>
        <w:spacing w:after="120"/>
        <w:ind w:left="1890"/>
        <w:rPr>
          <w:szCs w:val="22"/>
        </w:rPr>
      </w:pPr>
      <w:r w:rsidRPr="007C0B39">
        <w:rPr>
          <w:szCs w:val="22"/>
        </w:rPr>
        <w:t>“</w:t>
      </w:r>
      <w:r w:rsidR="00B27002">
        <w:rPr>
          <w:szCs w:val="22"/>
        </w:rPr>
        <w:t xml:space="preserve">Equipment Marketing </w:t>
      </w:r>
      <w:r w:rsidRPr="007C0B39" w:rsidR="00FB39CB">
        <w:rPr>
          <w:szCs w:val="22"/>
        </w:rPr>
        <w:t>Rules</w:t>
      </w:r>
      <w:r w:rsidRPr="007C0B39">
        <w:rPr>
          <w:szCs w:val="22"/>
        </w:rPr>
        <w:t>” mean</w:t>
      </w:r>
      <w:r w:rsidRPr="007C0B39" w:rsidR="00CF1B2D">
        <w:rPr>
          <w:szCs w:val="22"/>
        </w:rPr>
        <w:t>s</w:t>
      </w:r>
      <w:r w:rsidRPr="007C0B39">
        <w:rPr>
          <w:szCs w:val="22"/>
        </w:rPr>
        <w:t xml:space="preserve"> </w:t>
      </w:r>
      <w:r w:rsidR="00B32C6E">
        <w:rPr>
          <w:szCs w:val="22"/>
        </w:rPr>
        <w:t>section 302(b) of the Act;</w:t>
      </w:r>
      <w:r>
        <w:rPr>
          <w:rStyle w:val="FootnoteReference"/>
          <w:szCs w:val="22"/>
        </w:rPr>
        <w:footnoteReference w:id="11"/>
      </w:r>
      <w:r w:rsidR="00B32C6E">
        <w:rPr>
          <w:szCs w:val="22"/>
        </w:rPr>
        <w:t xml:space="preserve"> sections 2.803, </w:t>
      </w:r>
      <w:r w:rsidR="00513E08">
        <w:rPr>
          <w:szCs w:val="22"/>
        </w:rPr>
        <w:t>2.1043, 15.19, and 15.21 of the Rules;</w:t>
      </w:r>
      <w:r>
        <w:rPr>
          <w:rStyle w:val="FootnoteReference"/>
          <w:szCs w:val="22"/>
        </w:rPr>
        <w:footnoteReference w:id="12"/>
      </w:r>
      <w:r w:rsidR="00513E08">
        <w:rPr>
          <w:szCs w:val="22"/>
        </w:rPr>
        <w:t xml:space="preserve"> and other provisions of the Act, the Rules and Commission orders related to the authorization of radio frequency devices and the marketing of such devices.</w:t>
      </w:r>
    </w:p>
    <w:p w:rsidR="00BD08D2" w:rsidRPr="00A962DC" w:rsidP="00A962DC">
      <w:pPr>
        <w:numPr>
          <w:ilvl w:val="0"/>
          <w:numId w:val="5"/>
        </w:numPr>
        <w:tabs>
          <w:tab w:val="clear" w:pos="1224"/>
        </w:tabs>
        <w:spacing w:after="120"/>
        <w:ind w:left="1890"/>
        <w:rPr>
          <w:szCs w:val="22"/>
        </w:rPr>
      </w:pPr>
      <w:r w:rsidRPr="00A962DC">
        <w:rPr>
          <w:szCs w:val="22"/>
        </w:rPr>
        <w:t>“</w:t>
      </w:r>
      <w:r w:rsidRPr="007C0B39">
        <w:t>Investigation</w:t>
      </w:r>
      <w:r w:rsidRPr="00A962DC">
        <w:rPr>
          <w:szCs w:val="22"/>
        </w:rPr>
        <w:t>” m</w:t>
      </w:r>
      <w:r w:rsidRPr="00A962DC" w:rsidR="00073450">
        <w:rPr>
          <w:szCs w:val="22"/>
        </w:rPr>
        <w:t>eans the investigation commenced</w:t>
      </w:r>
      <w:r w:rsidRPr="00A962DC">
        <w:rPr>
          <w:szCs w:val="22"/>
        </w:rPr>
        <w:t xml:space="preserve"> by the Bureau in </w:t>
      </w:r>
      <w:r w:rsidRPr="00A962DC" w:rsidR="005518AA">
        <w:rPr>
          <w:szCs w:val="22"/>
        </w:rPr>
        <w:t>File No. EB</w:t>
      </w:r>
      <w:r w:rsidR="00311860">
        <w:rPr>
          <w:szCs w:val="22"/>
        </w:rPr>
        <w:noBreakHyphen/>
      </w:r>
      <w:r w:rsidRPr="00A962DC" w:rsidR="005518AA">
        <w:rPr>
          <w:szCs w:val="22"/>
        </w:rPr>
        <w:t xml:space="preserve">SED-18-00027959 regarding whether BLU Products </w:t>
      </w:r>
      <w:r w:rsidRPr="00A962DC" w:rsidR="00073450">
        <w:rPr>
          <w:szCs w:val="22"/>
        </w:rPr>
        <w:t xml:space="preserve">violated </w:t>
      </w:r>
      <w:r w:rsidRPr="00A962DC">
        <w:rPr>
          <w:szCs w:val="22"/>
        </w:rPr>
        <w:t xml:space="preserve">the </w:t>
      </w:r>
      <w:r w:rsidR="00104337">
        <w:rPr>
          <w:szCs w:val="22"/>
        </w:rPr>
        <w:t xml:space="preserve">SAR </w:t>
      </w:r>
      <w:r w:rsidR="0001711A">
        <w:rPr>
          <w:szCs w:val="22"/>
        </w:rPr>
        <w:t xml:space="preserve">Limit </w:t>
      </w:r>
      <w:r w:rsidR="00104337">
        <w:rPr>
          <w:szCs w:val="22"/>
        </w:rPr>
        <w:t xml:space="preserve">and </w:t>
      </w:r>
      <w:r w:rsidRPr="00A962DC" w:rsidR="005518AA">
        <w:rPr>
          <w:szCs w:val="22"/>
        </w:rPr>
        <w:t xml:space="preserve">Equipment Marketing </w:t>
      </w:r>
      <w:r w:rsidRPr="00A962DC" w:rsidR="00AD6D76">
        <w:rPr>
          <w:szCs w:val="22"/>
        </w:rPr>
        <w:t>Rules</w:t>
      </w:r>
      <w:r w:rsidRPr="00A962DC">
        <w:rPr>
          <w:szCs w:val="22"/>
        </w:rPr>
        <w:t>.</w:t>
      </w:r>
      <w:r>
        <w:rPr>
          <w:rStyle w:val="FootnoteReference"/>
          <w:szCs w:val="22"/>
        </w:rPr>
        <w:footnoteReference w:id="13"/>
      </w:r>
    </w:p>
    <w:p w:rsidR="00BD08D2" w:rsidRPr="007C0B39" w:rsidP="00EF1B1B">
      <w:pPr>
        <w:numPr>
          <w:ilvl w:val="0"/>
          <w:numId w:val="5"/>
        </w:numPr>
        <w:tabs>
          <w:tab w:val="clear" w:pos="1224"/>
        </w:tabs>
        <w:spacing w:after="120"/>
        <w:ind w:left="1890"/>
        <w:rPr>
          <w:szCs w:val="22"/>
        </w:rPr>
      </w:pPr>
      <w:r w:rsidRPr="007C0B39">
        <w:rPr>
          <w:szCs w:val="22"/>
        </w:rPr>
        <w:t>“</w:t>
      </w:r>
      <w:r w:rsidRPr="007C0B39">
        <w:t>Operating</w:t>
      </w:r>
      <w:r w:rsidRPr="007C0B39">
        <w:rPr>
          <w:szCs w:val="22"/>
        </w:rPr>
        <w:t xml:space="preserve"> Procedures” mean</w:t>
      </w:r>
      <w:r w:rsidRPr="007C0B39" w:rsidR="003010FA">
        <w:rPr>
          <w:szCs w:val="22"/>
        </w:rPr>
        <w:t>s</w:t>
      </w:r>
      <w:r w:rsidRPr="007C0B39" w:rsidR="00683B2D">
        <w:rPr>
          <w:szCs w:val="22"/>
        </w:rPr>
        <w:t xml:space="preserve"> the standard</w:t>
      </w:r>
      <w:r w:rsidRPr="007C0B39">
        <w:rPr>
          <w:szCs w:val="22"/>
        </w:rPr>
        <w:t xml:space="preserve"> internal operating procedures and compliance pol</w:t>
      </w:r>
      <w:r w:rsidRPr="007C0B39" w:rsidR="00AD6D76">
        <w:rPr>
          <w:szCs w:val="22"/>
        </w:rPr>
        <w:t xml:space="preserve">icies established by </w:t>
      </w:r>
      <w:r w:rsidR="007009FC">
        <w:rPr>
          <w:szCs w:val="22"/>
        </w:rPr>
        <w:t xml:space="preserve">BLU Products </w:t>
      </w:r>
      <w:r w:rsidRPr="007C0B39">
        <w:rPr>
          <w:szCs w:val="22"/>
        </w:rPr>
        <w:t>to implement the Compliance Plan.</w:t>
      </w:r>
    </w:p>
    <w:p w:rsidR="00BD08D2" w:rsidRPr="007C0B39" w:rsidP="00EF1B1B">
      <w:pPr>
        <w:numPr>
          <w:ilvl w:val="0"/>
          <w:numId w:val="5"/>
        </w:numPr>
        <w:tabs>
          <w:tab w:val="clear" w:pos="1224"/>
        </w:tabs>
        <w:spacing w:after="120"/>
        <w:ind w:left="1890"/>
        <w:rPr>
          <w:szCs w:val="22"/>
        </w:rPr>
      </w:pPr>
      <w:r w:rsidRPr="007C0B39">
        <w:rPr>
          <w:szCs w:val="22"/>
        </w:rPr>
        <w:t>“</w:t>
      </w:r>
      <w:r w:rsidRPr="007C0B39">
        <w:t>Parties</w:t>
      </w:r>
      <w:r w:rsidRPr="007C0B39">
        <w:rPr>
          <w:szCs w:val="22"/>
        </w:rPr>
        <w:t xml:space="preserve">” </w:t>
      </w:r>
      <w:r w:rsidRPr="007C0B39">
        <w:rPr>
          <w:szCs w:val="22"/>
        </w:rPr>
        <w:t>mean</w:t>
      </w:r>
      <w:r w:rsidRPr="007C0B39" w:rsidR="003010FA">
        <w:rPr>
          <w:szCs w:val="22"/>
        </w:rPr>
        <w:t>s</w:t>
      </w:r>
      <w:r w:rsidRPr="007C0B39">
        <w:rPr>
          <w:szCs w:val="22"/>
        </w:rPr>
        <w:t xml:space="preserve"> </w:t>
      </w:r>
      <w:r w:rsidR="007009FC">
        <w:rPr>
          <w:szCs w:val="22"/>
        </w:rPr>
        <w:t xml:space="preserve">BLU Products </w:t>
      </w:r>
      <w:r w:rsidRPr="007C0B39">
        <w:rPr>
          <w:szCs w:val="22"/>
        </w:rPr>
        <w:t>and the Bureau, each of which is a “Party.”</w:t>
      </w:r>
    </w:p>
    <w:p w:rsidR="00BD08D2" w:rsidP="00EF1B1B">
      <w:pPr>
        <w:numPr>
          <w:ilvl w:val="0"/>
          <w:numId w:val="5"/>
        </w:numPr>
        <w:tabs>
          <w:tab w:val="clear" w:pos="1224"/>
        </w:tabs>
        <w:spacing w:after="120"/>
        <w:ind w:left="1890"/>
        <w:rPr>
          <w:szCs w:val="22"/>
        </w:rPr>
      </w:pPr>
      <w:r w:rsidRPr="007C0B39">
        <w:rPr>
          <w:szCs w:val="22"/>
        </w:rPr>
        <w:t>“</w:t>
      </w:r>
      <w:r w:rsidRPr="007C0B39">
        <w:t>Rules</w:t>
      </w:r>
      <w:r w:rsidRPr="007C0B39">
        <w:rPr>
          <w:szCs w:val="22"/>
        </w:rPr>
        <w:t xml:space="preserve">” </w:t>
      </w:r>
      <w:r w:rsidRPr="007C0B39">
        <w:t>mean</w:t>
      </w:r>
      <w:r w:rsidRPr="007C0B39" w:rsidR="003010FA">
        <w:t>s</w:t>
      </w:r>
      <w:r w:rsidRPr="007C0B39">
        <w:rPr>
          <w:szCs w:val="22"/>
        </w:rPr>
        <w:t xml:space="preserve"> the Commission’s regulations found in Title 47 of the Code of Federal Regulations.</w:t>
      </w:r>
    </w:p>
    <w:p w:rsidR="00C07868" w:rsidRPr="007C0B39" w:rsidP="00EF1B1B">
      <w:pPr>
        <w:numPr>
          <w:ilvl w:val="0"/>
          <w:numId w:val="5"/>
        </w:numPr>
        <w:tabs>
          <w:tab w:val="clear" w:pos="1224"/>
        </w:tabs>
        <w:spacing w:after="120"/>
        <w:ind w:left="1890"/>
        <w:rPr>
          <w:szCs w:val="22"/>
        </w:rPr>
      </w:pPr>
      <w:r>
        <w:rPr>
          <w:szCs w:val="22"/>
        </w:rPr>
        <w:t xml:space="preserve">“Specific Absorption Rate Limit” or “SAR Limit” means </w:t>
      </w:r>
      <w:r w:rsidR="009D1914">
        <w:rPr>
          <w:szCs w:val="22"/>
        </w:rPr>
        <w:t>section 2.1093 of the Rules</w:t>
      </w:r>
      <w:r w:rsidR="007A50E4">
        <w:rPr>
          <w:szCs w:val="22"/>
        </w:rPr>
        <w:t>, and other provisions of the Rules and Commission orders</w:t>
      </w:r>
      <w:r w:rsidR="009D1914">
        <w:rPr>
          <w:szCs w:val="22"/>
        </w:rPr>
        <w:t xml:space="preserve"> related to the Commission’s specific absorption rate limit for certain portable devices.</w:t>
      </w:r>
      <w:r>
        <w:rPr>
          <w:rStyle w:val="FootnoteReference"/>
          <w:szCs w:val="22"/>
        </w:rPr>
        <w:footnoteReference w:id="14"/>
      </w:r>
    </w:p>
    <w:p w:rsidR="00E02214" w:rsidRPr="007C0B39" w:rsidP="00E24E9F">
      <w:pPr>
        <w:pStyle w:val="Heading1"/>
        <w:rPr>
          <w:szCs w:val="22"/>
        </w:rPr>
      </w:pPr>
      <w:r w:rsidRPr="007C0B39">
        <w:t>BACKGROUND</w:t>
      </w:r>
    </w:p>
    <w:p w:rsidR="00615B4F" w:rsidP="00ED419F">
      <w:pPr>
        <w:pStyle w:val="ParaNum"/>
      </w:pPr>
      <w:r>
        <w:t>Specific absorption rate limits are in place to ensure that the public is appropriately protected from the poten</w:t>
      </w:r>
      <w:r>
        <w:t xml:space="preserve">tial adverse effects from radio frequency exposure.  Under section 2.1093(d)(2) </w:t>
      </w:r>
      <w:r w:rsidR="00BB2F16">
        <w:t xml:space="preserve">of the </w:t>
      </w:r>
      <w:r>
        <w:t xml:space="preserve">Rules, the Commission set a specific absorption rate limit of 1.6 W/kg, averaged over any 1 gram </w:t>
      </w:r>
      <w:r>
        <w:t>of tissue, for certain portable devices.</w:t>
      </w:r>
      <w:r>
        <w:rPr>
          <w:rStyle w:val="FootnoteReference"/>
        </w:rPr>
        <w:footnoteReference w:id="15"/>
      </w:r>
      <w:r>
        <w:t xml:space="preserve">  </w:t>
      </w:r>
      <w:r w:rsidR="00A962DC">
        <w:t>Before being marketed</w:t>
      </w:r>
      <w:r>
        <w:rPr>
          <w:rStyle w:val="FootnoteReference"/>
        </w:rPr>
        <w:footnoteReference w:id="16"/>
      </w:r>
      <w:r w:rsidR="00A962DC">
        <w:t xml:space="preserve"> or used, such</w:t>
      </w:r>
      <w:r>
        <w:t xml:space="preserve"> devices</w:t>
      </w:r>
      <w:r w:rsidR="00F92C87">
        <w:t>,</w:t>
      </w:r>
      <w:r>
        <w:t xml:space="preserve"> </w:t>
      </w:r>
      <w:r w:rsidR="00A962DC">
        <w:t>like the</w:t>
      </w:r>
      <w:r>
        <w:t xml:space="preserve"> GRAND MAX mobile phone</w:t>
      </w:r>
      <w:r w:rsidR="00F92C87">
        <w:t xml:space="preserve">, </w:t>
      </w:r>
      <w:r>
        <w:t xml:space="preserve">must be tested for compliance with the localized </w:t>
      </w:r>
      <w:r w:rsidR="00F95723">
        <w:t>S</w:t>
      </w:r>
      <w:r>
        <w:t xml:space="preserve">pecific </w:t>
      </w:r>
      <w:r w:rsidR="00F95723">
        <w:t>A</w:t>
      </w:r>
      <w:r>
        <w:t xml:space="preserve">bsorption </w:t>
      </w:r>
      <w:r w:rsidR="00F95723">
        <w:t>R</w:t>
      </w:r>
      <w:r>
        <w:t xml:space="preserve">ate </w:t>
      </w:r>
      <w:r w:rsidR="00F95723">
        <w:t>L</w:t>
      </w:r>
      <w:r>
        <w:t>imit.</w:t>
      </w:r>
      <w:r>
        <w:rPr>
          <w:rStyle w:val="FootnoteReference"/>
        </w:rPr>
        <w:footnoteReference w:id="17"/>
      </w:r>
    </w:p>
    <w:p w:rsidR="00AB355A" w:rsidP="00ED419F">
      <w:pPr>
        <w:pStyle w:val="ParaNum"/>
      </w:pPr>
      <w:r>
        <w:t>Pursuant to section 302(b) of the Act</w:t>
      </w:r>
      <w:r>
        <w:rPr>
          <w:rStyle w:val="FootnoteReference"/>
        </w:rPr>
        <w:footnoteReference w:id="18"/>
      </w:r>
      <w:r>
        <w:t xml:space="preserve"> and section 2.803 of the Rules,</w:t>
      </w:r>
      <w:r>
        <w:rPr>
          <w:rStyle w:val="FootnoteReference"/>
        </w:rPr>
        <w:footnoteReference w:id="19"/>
      </w:r>
      <w:r>
        <w:t xml:space="preserve"> radio frequency devices must be properly authorized, identified, labeled and comply with the applicable technical standards prior to marketing in the United States.  Intentional radiators,</w:t>
      </w:r>
      <w:r>
        <w:rPr>
          <w:rStyle w:val="FootnoteReference"/>
        </w:rPr>
        <w:footnoteReference w:id="20"/>
      </w:r>
      <w:r>
        <w:t xml:space="preserve"> such as the device at issue here, must be authorized pursuant to </w:t>
      </w:r>
      <w:r>
        <w:t>the Commission’s certification procedures,</w:t>
      </w:r>
      <w:r>
        <w:rPr>
          <w:rStyle w:val="FootnoteReference"/>
        </w:rPr>
        <w:footnoteReference w:id="21"/>
      </w:r>
      <w:r>
        <w:t xml:space="preserve"> and comply with the user manual disclosure and labeling requirements set forth in sections 15.21 and 15.19(a)(3) of the Rules, respectively.</w:t>
      </w:r>
      <w:r>
        <w:rPr>
          <w:rStyle w:val="FootnoteReference"/>
        </w:rPr>
        <w:footnoteReference w:id="22"/>
      </w:r>
      <w:r>
        <w:t xml:space="preserve">  Additionally, section 2.1043 of the Rules defines three classes of pe</w:t>
      </w:r>
      <w:r>
        <w:t>rmissive changes that may be made to certified equipment without requiring a new application for and grant of certification.</w:t>
      </w:r>
      <w:r>
        <w:rPr>
          <w:rStyle w:val="FootnoteReference"/>
        </w:rPr>
        <w:footnoteReference w:id="23"/>
      </w:r>
      <w:r>
        <w:t xml:space="preserve">  Pursuant to section 2.1043(b)(2) of the Rules, a device that has undergone a Class II permissive change may not be marketed prior</w:t>
      </w:r>
      <w:r>
        <w:t xml:space="preserve"> to acknowledgement by the Commission that the change is acceptable.</w:t>
      </w:r>
      <w:r>
        <w:rPr>
          <w:rStyle w:val="FootnoteReference"/>
        </w:rPr>
        <w:footnoteReference w:id="24"/>
      </w:r>
    </w:p>
    <w:p w:rsidR="00A2234E" w:rsidRPr="00077385" w:rsidP="00766BD9">
      <w:pPr>
        <w:pStyle w:val="ParaNum"/>
        <w:widowControl/>
        <w:rPr>
          <w:spacing w:val="-2"/>
        </w:rPr>
      </w:pPr>
      <w:r>
        <w:t xml:space="preserve">BLU Products is a Florida-based corporation that designs and </w:t>
      </w:r>
      <w:r w:rsidR="00865380">
        <w:t xml:space="preserve">sells </w:t>
      </w:r>
      <w:r>
        <w:t>mobile devices</w:t>
      </w:r>
      <w:r w:rsidR="00F95723">
        <w:t>, including the GRAND MAX phone model</w:t>
      </w:r>
      <w:r>
        <w:t>.</w:t>
      </w:r>
      <w:r>
        <w:rPr>
          <w:rStyle w:val="FootnoteReference"/>
        </w:rPr>
        <w:footnoteReference w:id="25"/>
      </w:r>
      <w:r>
        <w:t xml:space="preserve">  Testing performed by the Office of Engineering and Technology (O</w:t>
      </w:r>
      <w:r>
        <w:t xml:space="preserve">ET) Laboratory on two samples of the GRAND MAX mobile phone purchased through an online retailer found that both phones were noncompliant with the Commission’s </w:t>
      </w:r>
      <w:r w:rsidR="009D1914">
        <w:t>SAR Limit</w:t>
      </w:r>
      <w:r>
        <w:t>.  Specifically, the OET Laboratory found peak-spatial average specific absorption rate</w:t>
      </w:r>
      <w:r>
        <w:t xml:space="preserve"> values of 1.73</w:t>
      </w:r>
      <w:r w:rsidR="00316223">
        <w:t xml:space="preserve"> </w:t>
      </w:r>
      <w:r>
        <w:t>W/kg and 2.02 W/kg for both phones</w:t>
      </w:r>
      <w:r w:rsidR="00E204B8">
        <w:t>,</w:t>
      </w:r>
      <w:r>
        <w:t xml:space="preserve"> which exceed the 1.6 W/kg </w:t>
      </w:r>
      <w:r w:rsidR="00F95723">
        <w:t>SAR Limit</w:t>
      </w:r>
      <w:r>
        <w:t>.</w:t>
      </w:r>
      <w:r>
        <w:rPr>
          <w:rStyle w:val="FootnoteReference"/>
        </w:rPr>
        <w:footnoteReference w:id="26"/>
      </w:r>
      <w:r>
        <w:t xml:space="preserve">  </w:t>
      </w:r>
    </w:p>
    <w:p w:rsidR="00A2234E" w:rsidP="00766BD9">
      <w:pPr>
        <w:pStyle w:val="ParaNum"/>
        <w:widowControl/>
      </w:pPr>
      <w:r>
        <w:t>OET subsequently referred this matter to the Bureau for enforcement action.  On November 7, 2018, the Bureau’s Spectrum Enforcement Division (SED) issued a Letter o</w:t>
      </w:r>
      <w:r>
        <w:t>f Inquiry to BLU Products, which directed the Company to submit a sworn written response to questions about its marketing of the GRAND MAX mobile phone.</w:t>
      </w:r>
      <w:r>
        <w:rPr>
          <w:rStyle w:val="FootnoteReference"/>
        </w:rPr>
        <w:footnoteReference w:id="27"/>
      </w:r>
      <w:r>
        <w:t xml:space="preserve">  BLU Products responded</w:t>
      </w:r>
      <w:r w:rsidR="00F95723">
        <w:t>,</w:t>
      </w:r>
      <w:r>
        <w:t xml:space="preserve"> </w:t>
      </w:r>
      <w:r w:rsidR="00E2200A">
        <w:t>in part</w:t>
      </w:r>
      <w:r w:rsidR="00F95723">
        <w:t>,</w:t>
      </w:r>
      <w:r w:rsidR="00E2200A">
        <w:t xml:space="preserve"> </w:t>
      </w:r>
      <w:r>
        <w:t xml:space="preserve">on December 28, </w:t>
      </w:r>
      <w:r>
        <w:t>2018.</w:t>
      </w:r>
      <w:r>
        <w:rPr>
          <w:rStyle w:val="FootnoteReference"/>
        </w:rPr>
        <w:footnoteReference w:id="28"/>
      </w:r>
      <w:r w:rsidR="00342BA3">
        <w:rPr>
          <w:rStyle w:val="CommentReference"/>
        </w:rPr>
        <w:t xml:space="preserve"> </w:t>
      </w:r>
      <w:r>
        <w:t xml:space="preserve"> SED issued a Supplemental Letter of Inquiry </w:t>
      </w:r>
      <w:r>
        <w:t>on March 12, 2019,</w:t>
      </w:r>
      <w:r>
        <w:rPr>
          <w:rStyle w:val="FootnoteReference"/>
        </w:rPr>
        <w:footnoteReference w:id="29"/>
      </w:r>
      <w:r>
        <w:t xml:space="preserve"> to which BLU Products responded on March 27, 2019, with subsequent responses on May 28, 2019, May 29, 2019, and June 11, 2019.</w:t>
      </w:r>
      <w:r>
        <w:rPr>
          <w:rStyle w:val="FootnoteReference"/>
        </w:rPr>
        <w:footnoteReference w:id="30"/>
      </w:r>
      <w:r>
        <w:t xml:space="preserve">  The Bureau and BLU Products entered into Tolling Agreements to toll the statute of limitations.</w:t>
      </w:r>
      <w:r>
        <w:rPr>
          <w:rStyle w:val="FootnoteReference"/>
        </w:rPr>
        <w:footnoteReference w:id="31"/>
      </w:r>
    </w:p>
    <w:p w:rsidR="0047360F" w:rsidP="00965222">
      <w:pPr>
        <w:pStyle w:val="ParaNum"/>
      </w:pPr>
      <w:r w:rsidRPr="007C0B39">
        <w:t xml:space="preserve"> </w:t>
      </w:r>
      <w:bookmarkStart w:id="5" w:name="_Ref29890932"/>
      <w:bookmarkStart w:id="6" w:name="_Ref23771576"/>
      <w:r w:rsidR="00253D73">
        <w:t xml:space="preserve">The Investigation revealed that BLU Products violated the </w:t>
      </w:r>
      <w:r w:rsidR="00104337">
        <w:t xml:space="preserve">SAR </w:t>
      </w:r>
      <w:r w:rsidR="00B279F2">
        <w:t>L</w:t>
      </w:r>
      <w:r w:rsidR="00104337">
        <w:t>imit</w:t>
      </w:r>
      <w:r w:rsidR="00DC32CA">
        <w:t xml:space="preserve"> and </w:t>
      </w:r>
      <w:r w:rsidR="00253D73">
        <w:t xml:space="preserve">Equipment Marketing Rules by marketing </w:t>
      </w:r>
      <w:r w:rsidR="00DC32CA">
        <w:t xml:space="preserve">the </w:t>
      </w:r>
      <w:r w:rsidR="00253D73">
        <w:t xml:space="preserve">GRAND MAX </w:t>
      </w:r>
      <w:r w:rsidR="00967E47">
        <w:t xml:space="preserve">mobile </w:t>
      </w:r>
      <w:r w:rsidR="00253D73">
        <w:t>phone</w:t>
      </w:r>
      <w:r w:rsidR="00DC32CA">
        <w:t>, which failed</w:t>
      </w:r>
      <w:r w:rsidR="00253D73">
        <w:t xml:space="preserve"> </w:t>
      </w:r>
      <w:r w:rsidR="00DC32CA">
        <w:t xml:space="preserve">to </w:t>
      </w:r>
      <w:r w:rsidR="00253D73">
        <w:t xml:space="preserve">comply with the </w:t>
      </w:r>
      <w:r w:rsidR="004868AC">
        <w:t xml:space="preserve">Commission’s specific absorption rate </w:t>
      </w:r>
      <w:r w:rsidR="00253D73">
        <w:t xml:space="preserve">limit, and </w:t>
      </w:r>
      <w:r w:rsidR="004868AC">
        <w:t xml:space="preserve">failed to comply with </w:t>
      </w:r>
      <w:r w:rsidR="00DC32CA">
        <w:t xml:space="preserve">labeling and </w:t>
      </w:r>
      <w:r w:rsidR="004868AC">
        <w:t>user manual disclosure requirements.</w:t>
      </w:r>
      <w:r>
        <w:rPr>
          <w:rStyle w:val="FootnoteReference"/>
        </w:rPr>
        <w:footnoteReference w:id="32"/>
      </w:r>
      <w:r w:rsidR="004868AC">
        <w:t xml:space="preserve">  BLU Products also failed to obtain the requisite Commission approval for Class II permissive changes it made to the device</w:t>
      </w:r>
      <w:r w:rsidR="00DC32CA">
        <w:t>, when it made software changes to the GRAND MAX phone between May 4</w:t>
      </w:r>
      <w:r w:rsidR="00E2200A">
        <w:t xml:space="preserve"> and May</w:t>
      </w:r>
      <w:r w:rsidR="00316223">
        <w:t xml:space="preserve"> </w:t>
      </w:r>
      <w:r w:rsidR="00DC32CA">
        <w:t>12, 2018.</w:t>
      </w:r>
      <w:bookmarkEnd w:id="5"/>
      <w:r w:rsidR="00DC32CA">
        <w:t xml:space="preserve">  </w:t>
      </w:r>
      <w:bookmarkEnd w:id="6"/>
    </w:p>
    <w:p w:rsidR="003E46FE" w:rsidP="00965222">
      <w:pPr>
        <w:pStyle w:val="ParaNum"/>
      </w:pPr>
      <w:r>
        <w:t>After BLU Products became aware that the GRAND MAX mobile phone exceeded the specific absorption rate limit, the Company began taking measures to implement a solution.</w:t>
      </w:r>
      <w:r>
        <w:rPr>
          <w:rStyle w:val="FootnoteReference"/>
        </w:rPr>
        <w:footnoteReference w:id="33"/>
      </w:r>
      <w:r>
        <w:t xml:space="preserve">  BLU Products indicated that between May 4</w:t>
      </w:r>
      <w:r w:rsidR="00E2200A">
        <w:t xml:space="preserve"> and May</w:t>
      </w:r>
      <w:r w:rsidR="00316223">
        <w:t xml:space="preserve"> </w:t>
      </w:r>
      <w:r>
        <w:t>12, 201</w:t>
      </w:r>
      <w:r>
        <w:t>8, the Company implemented an “over-the-air update that was programmed to correct the issue to 100% of the devices.”</w:t>
      </w:r>
      <w:r>
        <w:rPr>
          <w:rStyle w:val="FootnoteReference"/>
        </w:rPr>
        <w:footnoteReference w:id="34"/>
      </w:r>
      <w:r>
        <w:t xml:space="preserve">  BLU Products also stated that it </w:t>
      </w:r>
      <w:r w:rsidR="00867BC3">
        <w:t>“</w:t>
      </w:r>
      <w:r>
        <w:t>confirmed, through the Google OTA portal, that 98% of all devices sold were updated to the corrected ve</w:t>
      </w:r>
      <w:r>
        <w:t>rsion.”</w:t>
      </w:r>
      <w:r>
        <w:rPr>
          <w:rStyle w:val="FootnoteReference"/>
        </w:rPr>
        <w:footnoteReference w:id="35"/>
      </w:r>
      <w:r>
        <w:t xml:space="preserve">  BLU Products reported that the remaining 2% of devices sold did not receive the update because the devices were not connected to the Internet, are no longer operational, or had undergone software modifications rendering it unable to download the </w:t>
      </w:r>
      <w:r>
        <w:t>update.</w:t>
      </w:r>
      <w:r>
        <w:rPr>
          <w:rStyle w:val="FootnoteReference"/>
        </w:rPr>
        <w:footnoteReference w:id="36"/>
      </w:r>
      <w:r w:rsidR="00796239">
        <w:t xml:space="preserve">  BLU Products discontinued marketing the </w:t>
      </w:r>
      <w:r w:rsidR="001920EA">
        <w:t>GRAND MAX</w:t>
      </w:r>
      <w:r w:rsidR="00796239">
        <w:t xml:space="preserve"> on August 13, 2018.</w:t>
      </w:r>
      <w:r>
        <w:rPr>
          <w:rStyle w:val="FootnoteReference"/>
        </w:rPr>
        <w:footnoteReference w:id="37"/>
      </w:r>
    </w:p>
    <w:p w:rsidR="007B0D37" w:rsidRPr="007C0B39" w:rsidP="00ED419F">
      <w:pPr>
        <w:pStyle w:val="ParaNum"/>
      </w:pPr>
      <w:r>
        <w:t>After settlement discussions, the Bureau and BLU Products agree to the following terms and conditions of settlement and hereby enter into this Consent Decree as provided herei</w:t>
      </w:r>
      <w:r>
        <w:t xml:space="preserve">n.  </w:t>
      </w:r>
    </w:p>
    <w:p w:rsidR="00E02214" w:rsidRPr="007C0B39" w:rsidP="001B74D4">
      <w:pPr>
        <w:pStyle w:val="Heading1"/>
      </w:pPr>
      <w:bookmarkStart w:id="7" w:name="FN[FN18]"/>
      <w:bookmarkEnd w:id="7"/>
      <w:r w:rsidRPr="007C0B39">
        <w:t>TERMS OF AGREEMENT</w:t>
      </w:r>
    </w:p>
    <w:p w:rsidR="00E02214" w:rsidRPr="007C0B39" w:rsidP="00ED419F">
      <w:pPr>
        <w:pStyle w:val="ParaNum"/>
        <w:rPr>
          <w:szCs w:val="22"/>
        </w:rPr>
      </w:pPr>
      <w:r w:rsidRPr="007C0B39">
        <w:rPr>
          <w:b/>
          <w:szCs w:val="22"/>
          <w:u w:val="single"/>
        </w:rPr>
        <w:t>Adopting Order</w:t>
      </w:r>
      <w:r w:rsidRPr="007C0B39" w:rsidR="00CE68FE">
        <w:rPr>
          <w:szCs w:val="22"/>
        </w:rPr>
        <w:t>.  The provisions of this Consent Decree shall be incorporated by the Bureau in an Adopting Order</w:t>
      </w:r>
      <w:r w:rsidRPr="007C0B39">
        <w:rPr>
          <w:szCs w:val="22"/>
        </w:rPr>
        <w:t>.</w:t>
      </w:r>
    </w:p>
    <w:p w:rsidR="00E02214" w:rsidRPr="007C0B39" w:rsidP="00ED419F">
      <w:pPr>
        <w:pStyle w:val="ParaNum"/>
        <w:rPr>
          <w:szCs w:val="22"/>
        </w:rPr>
      </w:pPr>
      <w:r w:rsidRPr="007C0B39">
        <w:rPr>
          <w:b/>
          <w:szCs w:val="22"/>
          <w:u w:val="single"/>
        </w:rPr>
        <w:t>Jurisdiction</w:t>
      </w:r>
      <w:r w:rsidRPr="007C0B39">
        <w:rPr>
          <w:szCs w:val="22"/>
        </w:rPr>
        <w:t xml:space="preserve">.  </w:t>
      </w:r>
      <w:r w:rsidR="00255E47">
        <w:rPr>
          <w:szCs w:val="22"/>
        </w:rPr>
        <w:t xml:space="preserve">BLU Products </w:t>
      </w:r>
      <w:r w:rsidRPr="007C0B39">
        <w:rPr>
          <w:szCs w:val="22"/>
        </w:rPr>
        <w:t>agrees that the Bureau has jurisdiction over it and the matters contained in this Con</w:t>
      </w:r>
      <w:r w:rsidRPr="007C0B39" w:rsidR="00073450">
        <w:rPr>
          <w:szCs w:val="22"/>
        </w:rPr>
        <w:t xml:space="preserve">sent Decree and </w:t>
      </w:r>
      <w:r w:rsidRPr="007C0B39">
        <w:rPr>
          <w:szCs w:val="22"/>
        </w:rPr>
        <w:t xml:space="preserve">has the </w:t>
      </w:r>
      <w:r w:rsidRPr="00ED419F">
        <w:t>authority</w:t>
      </w:r>
      <w:r w:rsidRPr="007C0B39">
        <w:rPr>
          <w:szCs w:val="22"/>
        </w:rPr>
        <w:t xml:space="preserve"> to enter into and adopt this Consent Decree.</w:t>
      </w:r>
    </w:p>
    <w:p w:rsidR="0013249B" w:rsidRPr="007C0B39" w:rsidP="00ED419F">
      <w:pPr>
        <w:pStyle w:val="ParaNum"/>
        <w:rPr>
          <w:szCs w:val="22"/>
        </w:rPr>
      </w:pPr>
      <w:r w:rsidRPr="007C0B39">
        <w:rPr>
          <w:b/>
          <w:szCs w:val="22"/>
          <w:u w:val="single"/>
        </w:rPr>
        <w:t>Effective Date; Violations</w:t>
      </w:r>
      <w:r w:rsidRPr="007C0B39">
        <w:rPr>
          <w:szCs w:val="22"/>
        </w:rPr>
        <w:t xml:space="preserve">.  The </w:t>
      </w:r>
      <w:r w:rsidRPr="00ED419F">
        <w:t>Parties</w:t>
      </w:r>
      <w:r w:rsidRPr="007C0B39">
        <w:rPr>
          <w:szCs w:val="22"/>
        </w:rPr>
        <w:t xml:space="preserve"> agree that this Consent Decree shall become effective on the Effective Date as defined herein.  As of the Effective Date, the </w:t>
      </w:r>
      <w:r w:rsidRPr="007C0B39" w:rsidR="00CE68FE">
        <w:rPr>
          <w:szCs w:val="22"/>
        </w:rPr>
        <w:t xml:space="preserve">Parties agree that </w:t>
      </w:r>
      <w:r w:rsidRPr="007C0B39">
        <w:rPr>
          <w:szCs w:val="22"/>
        </w:rPr>
        <w:t xml:space="preserve">this Consent Decree shall have the same force and effect as any other order of the Commission.  </w:t>
      </w:r>
    </w:p>
    <w:p w:rsidR="006B3C40" w:rsidRPr="00C566EC" w:rsidP="006B3C40">
      <w:pPr>
        <w:pStyle w:val="ParaNum"/>
        <w:rPr>
          <w:szCs w:val="22"/>
        </w:rPr>
      </w:pPr>
      <w:bookmarkStart w:id="8" w:name="_Ref23771410"/>
      <w:r w:rsidRPr="007C0B39">
        <w:rPr>
          <w:b/>
          <w:szCs w:val="22"/>
          <w:u w:val="single"/>
        </w:rPr>
        <w:t>Termination of Investigation</w:t>
      </w:r>
      <w:r w:rsidRPr="007C0B39">
        <w:rPr>
          <w:szCs w:val="22"/>
        </w:rPr>
        <w:t xml:space="preserve">.  In express reliance </w:t>
      </w:r>
      <w:r w:rsidRPr="007C0B39">
        <w:t>on</w:t>
      </w:r>
      <w:r w:rsidRPr="007C0B39">
        <w:rPr>
          <w:szCs w:val="22"/>
        </w:rPr>
        <w:t xml:space="preserve"> the covenants and representations in this Consent Decree and to avoid further expendit</w:t>
      </w:r>
      <w:r w:rsidRPr="007C0B39">
        <w:rPr>
          <w:szCs w:val="22"/>
        </w:rPr>
        <w:t xml:space="preserve">ure of public resources, the Bureau agrees to terminate the Investigation.  In consideration for </w:t>
      </w:r>
      <w:r w:rsidRPr="007C0B39" w:rsidR="007A541A">
        <w:rPr>
          <w:szCs w:val="22"/>
        </w:rPr>
        <w:t xml:space="preserve">the </w:t>
      </w:r>
      <w:r w:rsidRPr="007C0B39">
        <w:rPr>
          <w:szCs w:val="22"/>
        </w:rPr>
        <w:t xml:space="preserve">termination of the Investigation, </w:t>
      </w:r>
      <w:r w:rsidR="00255E47">
        <w:rPr>
          <w:szCs w:val="22"/>
        </w:rPr>
        <w:t xml:space="preserve">BLU Products </w:t>
      </w:r>
      <w:r w:rsidRPr="007C0B39" w:rsidR="006A0CCD">
        <w:rPr>
          <w:szCs w:val="22"/>
        </w:rPr>
        <w:t>a</w:t>
      </w:r>
      <w:r w:rsidRPr="007C0B39">
        <w:rPr>
          <w:szCs w:val="22"/>
        </w:rPr>
        <w:t xml:space="preserve">grees to the terms, conditions, and procedures contained herein. </w:t>
      </w:r>
      <w:r w:rsidRPr="007C0B39" w:rsidR="00073450">
        <w:rPr>
          <w:szCs w:val="22"/>
        </w:rPr>
        <w:t xml:space="preserve"> The Bureau further agrees that,</w:t>
      </w:r>
      <w:r w:rsidRPr="007C0B39">
        <w:rPr>
          <w:szCs w:val="22"/>
        </w:rPr>
        <w:t xml:space="preserve"> in the ab</w:t>
      </w:r>
      <w:r w:rsidRPr="007C0B39">
        <w:rPr>
          <w:szCs w:val="22"/>
        </w:rPr>
        <w:t>sence of n</w:t>
      </w:r>
      <w:r w:rsidRPr="007C0B39" w:rsidR="00076C13">
        <w:rPr>
          <w:szCs w:val="22"/>
        </w:rPr>
        <w:t>ew material evidence, it</w:t>
      </w:r>
      <w:r w:rsidRPr="007C0B39">
        <w:rPr>
          <w:szCs w:val="22"/>
        </w:rPr>
        <w:t xml:space="preserve"> will not</w:t>
      </w:r>
      <w:r w:rsidRPr="007C0B39" w:rsidR="00683B2D">
        <w:rPr>
          <w:szCs w:val="22"/>
        </w:rPr>
        <w:t xml:space="preserve"> use the facts developed in the</w:t>
      </w:r>
      <w:r w:rsidRPr="007C0B39">
        <w:rPr>
          <w:szCs w:val="22"/>
        </w:rPr>
        <w:t xml:space="preserve"> Investigation through the Effective Date, or the existence of this Consent Decree, to institute any new proceeding</w:t>
      </w:r>
      <w:r w:rsidR="00A90A66">
        <w:rPr>
          <w:szCs w:val="22"/>
        </w:rPr>
        <w:t xml:space="preserve"> on its own motion</w:t>
      </w:r>
      <w:r w:rsidRPr="007C0B39">
        <w:rPr>
          <w:szCs w:val="22"/>
        </w:rPr>
        <w:t xml:space="preserve"> against </w:t>
      </w:r>
      <w:r w:rsidR="00255E47">
        <w:rPr>
          <w:szCs w:val="22"/>
        </w:rPr>
        <w:t xml:space="preserve">BLU Products </w:t>
      </w:r>
      <w:r w:rsidRPr="007C0B39">
        <w:rPr>
          <w:szCs w:val="22"/>
        </w:rPr>
        <w:t>concerning the matters that</w:t>
      </w:r>
      <w:r w:rsidRPr="007C0B39">
        <w:rPr>
          <w:szCs w:val="22"/>
        </w:rPr>
        <w:t xml:space="preserve"> were the subject of the Investigation</w:t>
      </w:r>
      <w:r w:rsidR="00A90A66">
        <w:rPr>
          <w:szCs w:val="22"/>
        </w:rPr>
        <w:t>,</w:t>
      </w:r>
      <w:r>
        <w:t xml:space="preserve"> or to set for hearing the question of </w:t>
      </w:r>
      <w:r w:rsidR="00255E47">
        <w:t>BLU Products</w:t>
      </w:r>
      <w:r>
        <w:t>’ basic qualifications to be a Commission licensee or hold Commission licenses or authorizations.</w:t>
      </w:r>
      <w:r>
        <w:rPr>
          <w:rStyle w:val="FootnoteReference"/>
        </w:rPr>
        <w:footnoteReference w:id="38"/>
      </w:r>
      <w:bookmarkEnd w:id="8"/>
    </w:p>
    <w:p w:rsidR="00F16CFE" w:rsidRPr="007C0B39" w:rsidP="00ED419F">
      <w:pPr>
        <w:pStyle w:val="ParaNum"/>
        <w:rPr>
          <w:szCs w:val="22"/>
        </w:rPr>
      </w:pPr>
      <w:r w:rsidRPr="007C0B39">
        <w:rPr>
          <w:b/>
          <w:u w:val="single"/>
        </w:rPr>
        <w:t>Admission of Liability</w:t>
      </w:r>
      <w:r w:rsidRPr="007C0B39">
        <w:t xml:space="preserve">.  </w:t>
      </w:r>
      <w:r w:rsidR="007E4832">
        <w:t xml:space="preserve">BLU Products </w:t>
      </w:r>
      <w:r w:rsidRPr="007C0B39">
        <w:t xml:space="preserve">admits </w:t>
      </w:r>
      <w:r w:rsidR="00865380">
        <w:t xml:space="preserve">solely </w:t>
      </w:r>
      <w:r w:rsidRPr="007C0B39">
        <w:t>for the purpose</w:t>
      </w:r>
      <w:r w:rsidRPr="007C0B39">
        <w:t xml:space="preserve"> of this Consent Decree and for Commission civil enforcement purposes, and in express reliance on the provisions of paragraph </w:t>
      </w:r>
      <w:r w:rsidR="0080116A">
        <w:fldChar w:fldCharType="begin"/>
      </w:r>
      <w:r w:rsidR="0080116A">
        <w:instrText xml:space="preserve"> REF _Ref23771410 \r \h </w:instrText>
      </w:r>
      <w:r w:rsidR="0080116A">
        <w:fldChar w:fldCharType="separate"/>
      </w:r>
      <w:r w:rsidR="00252059">
        <w:t>13</w:t>
      </w:r>
      <w:r w:rsidR="0080116A">
        <w:fldChar w:fldCharType="end"/>
      </w:r>
      <w:r w:rsidRPr="007C0B39" w:rsidR="0080116A">
        <w:t xml:space="preserve"> </w:t>
      </w:r>
      <w:r w:rsidRPr="007C0B39">
        <w:t>herein,</w:t>
      </w:r>
      <w:r w:rsidR="007E4832">
        <w:t xml:space="preserve"> that its actions described in paragraph</w:t>
      </w:r>
      <w:r w:rsidR="002C1CAD">
        <w:t xml:space="preserve"> </w:t>
      </w:r>
      <w:r w:rsidR="00E37E48">
        <w:t>7</w:t>
      </w:r>
      <w:r w:rsidR="007E4832">
        <w:t xml:space="preserve">, herein, violated the </w:t>
      </w:r>
      <w:r w:rsidR="00104337">
        <w:t xml:space="preserve">SAR </w:t>
      </w:r>
      <w:r w:rsidR="00B279F2">
        <w:t>L</w:t>
      </w:r>
      <w:r w:rsidR="00104337">
        <w:t>imit</w:t>
      </w:r>
      <w:r w:rsidR="00E46123">
        <w:t xml:space="preserve"> and </w:t>
      </w:r>
      <w:r w:rsidR="007E4832">
        <w:t>Equipment Marketing Rules</w:t>
      </w:r>
      <w:r w:rsidR="00C61FB2">
        <w:t xml:space="preserve">. </w:t>
      </w:r>
    </w:p>
    <w:p w:rsidR="00E02214" w:rsidRPr="007C0B39" w:rsidP="00ED419F">
      <w:pPr>
        <w:pStyle w:val="ParaNum"/>
        <w:rPr>
          <w:szCs w:val="22"/>
        </w:rPr>
      </w:pPr>
      <w:bookmarkStart w:id="9" w:name="_Ref379202869"/>
      <w:r w:rsidRPr="007C0B39">
        <w:rPr>
          <w:b/>
          <w:szCs w:val="22"/>
          <w:u w:val="single"/>
        </w:rPr>
        <w:t>Compliance Officer</w:t>
      </w:r>
      <w:r w:rsidRPr="007C0B39">
        <w:rPr>
          <w:szCs w:val="22"/>
        </w:rPr>
        <w:t xml:space="preserve">.  Within thirty (30) </w:t>
      </w:r>
      <w:r w:rsidRPr="007C0B39">
        <w:t>calendar</w:t>
      </w:r>
      <w:r w:rsidRPr="007C0B39">
        <w:rPr>
          <w:szCs w:val="22"/>
        </w:rPr>
        <w:t xml:space="preserve"> days after the Effective Date, </w:t>
      </w:r>
      <w:r w:rsidR="003847B9">
        <w:rPr>
          <w:szCs w:val="22"/>
        </w:rPr>
        <w:t xml:space="preserve">BLU Products </w:t>
      </w:r>
      <w:r w:rsidRPr="007C0B39">
        <w:rPr>
          <w:szCs w:val="22"/>
        </w:rPr>
        <w:t>shall designate a senior corporate manager with the requ</w:t>
      </w:r>
      <w:r w:rsidRPr="007C0B39">
        <w:rPr>
          <w:szCs w:val="22"/>
        </w:rPr>
        <w:t xml:space="preserve">isite corporate and organizational authority to serve as a Compliance Officer and to discharge the duties set forth below.  The person designated as the Compliance Officer shall be responsible for developing, implementing, and administering the Compliance </w:t>
      </w:r>
      <w:r w:rsidRPr="007C0B39">
        <w:rPr>
          <w:szCs w:val="22"/>
        </w:rPr>
        <w:t xml:space="preserve">Plan and ensuring that </w:t>
      </w:r>
      <w:r w:rsidR="003847B9">
        <w:rPr>
          <w:szCs w:val="22"/>
        </w:rPr>
        <w:t xml:space="preserve">BLU Products </w:t>
      </w:r>
      <w:r w:rsidRPr="007C0B39">
        <w:rPr>
          <w:szCs w:val="22"/>
        </w:rPr>
        <w:t>complies with the terms and conditions of the Compliance Plan and this Consent Decree.</w:t>
      </w:r>
      <w:r w:rsidRPr="007C0B39" w:rsidR="00B0044E">
        <w:rPr>
          <w:szCs w:val="22"/>
        </w:rPr>
        <w:t xml:space="preserve"> </w:t>
      </w:r>
      <w:r w:rsidRPr="007C0B39">
        <w:rPr>
          <w:szCs w:val="22"/>
        </w:rPr>
        <w:t xml:space="preserve">  In </w:t>
      </w:r>
      <w:r w:rsidRPr="00ED419F">
        <w:t>addition</w:t>
      </w:r>
      <w:r w:rsidRPr="007C0B39">
        <w:rPr>
          <w:szCs w:val="22"/>
        </w:rPr>
        <w:t xml:space="preserve"> to the general knowledge of the Communications Laws necessary to discharge his</w:t>
      </w:r>
      <w:r w:rsidRPr="007C0B39" w:rsidR="00B0044E">
        <w:rPr>
          <w:szCs w:val="22"/>
        </w:rPr>
        <w:t xml:space="preserve"> or </w:t>
      </w:r>
      <w:r w:rsidRPr="007C0B39">
        <w:rPr>
          <w:szCs w:val="22"/>
        </w:rPr>
        <w:t>her duties under this Consent Decree,</w:t>
      </w:r>
      <w:r w:rsidRPr="007C0B39">
        <w:rPr>
          <w:szCs w:val="22"/>
        </w:rPr>
        <w:t xml:space="preserve"> the Compliance Officer shall have specifi</w:t>
      </w:r>
      <w:r w:rsidRPr="007C0B39" w:rsidR="00302C38">
        <w:rPr>
          <w:szCs w:val="22"/>
        </w:rPr>
        <w:t xml:space="preserve">c knowledge of the </w:t>
      </w:r>
      <w:r w:rsidR="00104337">
        <w:rPr>
          <w:szCs w:val="22"/>
        </w:rPr>
        <w:t xml:space="preserve">SAR </w:t>
      </w:r>
      <w:r w:rsidR="006004AD">
        <w:rPr>
          <w:szCs w:val="22"/>
        </w:rPr>
        <w:t>L</w:t>
      </w:r>
      <w:r w:rsidR="00104337">
        <w:rPr>
          <w:szCs w:val="22"/>
        </w:rPr>
        <w:t>imit</w:t>
      </w:r>
      <w:r w:rsidR="00E46123">
        <w:rPr>
          <w:szCs w:val="22"/>
        </w:rPr>
        <w:t xml:space="preserve"> and </w:t>
      </w:r>
      <w:r w:rsidR="003847B9">
        <w:rPr>
          <w:szCs w:val="22"/>
        </w:rPr>
        <w:t>Equipment Marketing Rules</w:t>
      </w:r>
      <w:r w:rsidR="000209CE">
        <w:rPr>
          <w:szCs w:val="22"/>
        </w:rPr>
        <w:t xml:space="preserve"> </w:t>
      </w:r>
      <w:r w:rsidRPr="007C0B39">
        <w:rPr>
          <w:szCs w:val="22"/>
        </w:rPr>
        <w:t>prior to assuming his/her duties.</w:t>
      </w:r>
      <w:bookmarkEnd w:id="9"/>
      <w:r w:rsidR="0007180B">
        <w:rPr>
          <w:szCs w:val="22"/>
        </w:rPr>
        <w:t xml:space="preserve">  </w:t>
      </w:r>
    </w:p>
    <w:p w:rsidR="00E02214" w:rsidRPr="007C0B39" w:rsidP="001B74D4">
      <w:pPr>
        <w:pStyle w:val="ParaNum"/>
        <w:rPr>
          <w:szCs w:val="22"/>
        </w:rPr>
      </w:pPr>
      <w:bookmarkStart w:id="10" w:name="_Ref357521857"/>
      <w:r w:rsidRPr="007C0B39">
        <w:rPr>
          <w:b/>
          <w:szCs w:val="22"/>
          <w:u w:val="single"/>
        </w:rPr>
        <w:t>Compliance Plan</w:t>
      </w:r>
      <w:r w:rsidRPr="007C0B39">
        <w:rPr>
          <w:szCs w:val="22"/>
        </w:rPr>
        <w:t xml:space="preserve">.  For purposes of settling the matters set forth herein, </w:t>
      </w:r>
      <w:r w:rsidR="00E85955">
        <w:rPr>
          <w:szCs w:val="22"/>
        </w:rPr>
        <w:t>BLU Products</w:t>
      </w:r>
      <w:r w:rsidRPr="007C0B39" w:rsidR="00EA12C6">
        <w:rPr>
          <w:szCs w:val="22"/>
        </w:rPr>
        <w:t xml:space="preserve"> </w:t>
      </w:r>
      <w:r w:rsidRPr="007C0B39">
        <w:rPr>
          <w:szCs w:val="22"/>
        </w:rPr>
        <w:t>agrees that it shall, within sixt</w:t>
      </w:r>
      <w:r w:rsidRPr="007C0B39">
        <w:rPr>
          <w:szCs w:val="22"/>
        </w:rPr>
        <w:t>y (60) calendar days after the Effective Date, develop and implement a Compliance Plan designed to ensure future compliance with the Communications Laws and with the terms and conditions of this Consent Decree.  W</w:t>
      </w:r>
      <w:r w:rsidRPr="007C0B39" w:rsidR="00302C38">
        <w:rPr>
          <w:szCs w:val="22"/>
        </w:rPr>
        <w:t xml:space="preserve">ith respect to the </w:t>
      </w:r>
      <w:r w:rsidR="00104337">
        <w:rPr>
          <w:szCs w:val="22"/>
        </w:rPr>
        <w:t xml:space="preserve">SAR </w:t>
      </w:r>
      <w:r w:rsidR="00C61FB2">
        <w:rPr>
          <w:szCs w:val="22"/>
        </w:rPr>
        <w:t>L</w:t>
      </w:r>
      <w:r w:rsidR="00104337">
        <w:rPr>
          <w:szCs w:val="22"/>
        </w:rPr>
        <w:t>imit</w:t>
      </w:r>
      <w:r w:rsidR="00E46123">
        <w:rPr>
          <w:szCs w:val="22"/>
        </w:rPr>
        <w:t xml:space="preserve"> and </w:t>
      </w:r>
      <w:r w:rsidR="00E85955">
        <w:rPr>
          <w:szCs w:val="22"/>
        </w:rPr>
        <w:t xml:space="preserve">Equipment Marketing </w:t>
      </w:r>
      <w:r w:rsidRPr="007C0B39">
        <w:rPr>
          <w:szCs w:val="22"/>
        </w:rPr>
        <w:t>Rules</w:t>
      </w:r>
      <w:r w:rsidR="005B5A26">
        <w:rPr>
          <w:szCs w:val="22"/>
        </w:rPr>
        <w:t xml:space="preserve">, </w:t>
      </w:r>
      <w:r w:rsidR="00E85955">
        <w:rPr>
          <w:szCs w:val="22"/>
        </w:rPr>
        <w:t xml:space="preserve">BLU Products </w:t>
      </w:r>
      <w:r w:rsidRPr="007C0B39" w:rsidR="00302C38">
        <w:rPr>
          <w:szCs w:val="22"/>
        </w:rPr>
        <w:t>will</w:t>
      </w:r>
      <w:r w:rsidRPr="007C0B39">
        <w:rPr>
          <w:szCs w:val="22"/>
        </w:rPr>
        <w:t xml:space="preserve"> implement</w:t>
      </w:r>
      <w:r w:rsidRPr="007C0B39" w:rsidR="00073450">
        <w:rPr>
          <w:szCs w:val="22"/>
        </w:rPr>
        <w:t>, at a minimum,</w:t>
      </w:r>
      <w:r w:rsidRPr="007C0B39">
        <w:rPr>
          <w:szCs w:val="22"/>
        </w:rPr>
        <w:t xml:space="preserve"> the following procedures:</w:t>
      </w:r>
      <w:bookmarkEnd w:id="10"/>
    </w:p>
    <w:p w:rsidR="0055035F" w:rsidRPr="007C0B39" w:rsidP="00F60217">
      <w:pPr>
        <w:widowControl/>
        <w:numPr>
          <w:ilvl w:val="0"/>
          <w:numId w:val="6"/>
        </w:numPr>
        <w:tabs>
          <w:tab w:val="clear" w:pos="1656"/>
        </w:tabs>
        <w:spacing w:after="120"/>
        <w:ind w:left="1886"/>
        <w:rPr>
          <w:szCs w:val="22"/>
        </w:rPr>
      </w:pPr>
      <w:r w:rsidRPr="007C0B39">
        <w:rPr>
          <w:b/>
          <w:szCs w:val="22"/>
          <w:u w:val="single"/>
        </w:rPr>
        <w:t>Operating Procedures</w:t>
      </w:r>
      <w:r w:rsidR="00BD779B">
        <w:rPr>
          <w:szCs w:val="22"/>
        </w:rPr>
        <w:t xml:space="preserve">.  Within </w:t>
      </w:r>
      <w:r w:rsidR="00AE0B6F">
        <w:rPr>
          <w:szCs w:val="22"/>
        </w:rPr>
        <w:t xml:space="preserve">sixty </w:t>
      </w:r>
      <w:r w:rsidR="00BD779B">
        <w:rPr>
          <w:szCs w:val="22"/>
        </w:rPr>
        <w:t>(</w:t>
      </w:r>
      <w:r w:rsidR="00AE0B6F">
        <w:rPr>
          <w:szCs w:val="22"/>
        </w:rPr>
        <w:t>6</w:t>
      </w:r>
      <w:r w:rsidRPr="007C0B39">
        <w:rPr>
          <w:szCs w:val="22"/>
        </w:rPr>
        <w:t xml:space="preserve">0) calendar days after the Effective Date, </w:t>
      </w:r>
      <w:r w:rsidR="00BF4D2A">
        <w:rPr>
          <w:szCs w:val="22"/>
        </w:rPr>
        <w:t xml:space="preserve">BLU Products </w:t>
      </w:r>
      <w:r w:rsidRPr="007C0B39">
        <w:rPr>
          <w:szCs w:val="22"/>
        </w:rPr>
        <w:t>shall establish Operating Procedures that all Covered Employees mu</w:t>
      </w:r>
      <w:r w:rsidRPr="007C0B39">
        <w:rPr>
          <w:szCs w:val="22"/>
        </w:rPr>
        <w:t xml:space="preserve">st follow to help ensure </w:t>
      </w:r>
      <w:r w:rsidR="00BF4D2A">
        <w:rPr>
          <w:szCs w:val="22"/>
        </w:rPr>
        <w:t>BLU Products</w:t>
      </w:r>
      <w:r w:rsidRPr="007C0B39" w:rsidR="00EA12C6">
        <w:rPr>
          <w:szCs w:val="22"/>
        </w:rPr>
        <w:t>’</w:t>
      </w:r>
      <w:r w:rsidRPr="007C0B39">
        <w:rPr>
          <w:szCs w:val="22"/>
        </w:rPr>
        <w:t xml:space="preserve"> c</w:t>
      </w:r>
      <w:r w:rsidRPr="007C0B39" w:rsidR="00302C38">
        <w:rPr>
          <w:szCs w:val="22"/>
        </w:rPr>
        <w:t xml:space="preserve">ompliance with the </w:t>
      </w:r>
      <w:r w:rsidR="00B279F2">
        <w:rPr>
          <w:szCs w:val="22"/>
        </w:rPr>
        <w:t>SAR Limit</w:t>
      </w:r>
      <w:r w:rsidR="00E46123">
        <w:rPr>
          <w:szCs w:val="22"/>
        </w:rPr>
        <w:t xml:space="preserve"> and E</w:t>
      </w:r>
      <w:r w:rsidR="00BF4D2A">
        <w:rPr>
          <w:szCs w:val="22"/>
        </w:rPr>
        <w:t xml:space="preserve">quipment Marketing </w:t>
      </w:r>
      <w:r w:rsidRPr="007C0B39">
        <w:rPr>
          <w:szCs w:val="22"/>
        </w:rPr>
        <w:t xml:space="preserve">Rules.  </w:t>
      </w:r>
      <w:r w:rsidR="00BF4D2A">
        <w:rPr>
          <w:szCs w:val="22"/>
        </w:rPr>
        <w:t>BLU Products</w:t>
      </w:r>
      <w:r w:rsidRPr="007C0B39">
        <w:rPr>
          <w:szCs w:val="22"/>
        </w:rPr>
        <w:t>’ Operating Procedures shall include internal procedures and policies specifically designed to ensure that</w:t>
      </w:r>
      <w:r w:rsidRPr="007C0B39" w:rsidR="00BE103C">
        <w:rPr>
          <w:szCs w:val="22"/>
        </w:rPr>
        <w:t xml:space="preserve"> </w:t>
      </w:r>
      <w:r w:rsidRPr="0028527E" w:rsidR="0037433E">
        <w:rPr>
          <w:szCs w:val="22"/>
        </w:rPr>
        <w:t xml:space="preserve">all radio frequency devices to be </w:t>
      </w:r>
      <w:r w:rsidR="005B5A26">
        <w:rPr>
          <w:szCs w:val="22"/>
        </w:rPr>
        <w:t xml:space="preserve">used and </w:t>
      </w:r>
      <w:r w:rsidRPr="0028527E" w:rsidR="0037433E">
        <w:rPr>
          <w:szCs w:val="22"/>
        </w:rPr>
        <w:t xml:space="preserve">marketed by </w:t>
      </w:r>
      <w:r w:rsidR="0037433E">
        <w:rPr>
          <w:szCs w:val="22"/>
        </w:rPr>
        <w:t xml:space="preserve">BLU Products </w:t>
      </w:r>
      <w:r w:rsidRPr="0028527E" w:rsidR="0037433E">
        <w:rPr>
          <w:szCs w:val="22"/>
        </w:rPr>
        <w:t xml:space="preserve">are properly </w:t>
      </w:r>
      <w:r w:rsidRPr="00FB6077" w:rsidR="0037433E">
        <w:rPr>
          <w:szCs w:val="22"/>
        </w:rPr>
        <w:t>authorized</w:t>
      </w:r>
      <w:r w:rsidRPr="0028527E" w:rsidR="0037433E">
        <w:rPr>
          <w:szCs w:val="22"/>
        </w:rPr>
        <w:t xml:space="preserve"> and compliant with the applicable technical and administrative standards and requirements</w:t>
      </w:r>
      <w:r w:rsidR="0037433E">
        <w:rPr>
          <w:szCs w:val="22"/>
        </w:rPr>
        <w:t xml:space="preserve"> </w:t>
      </w:r>
      <w:r w:rsidRPr="0028527E" w:rsidR="0037433E">
        <w:rPr>
          <w:szCs w:val="22"/>
        </w:rPr>
        <w:t xml:space="preserve">prior to </w:t>
      </w:r>
      <w:r w:rsidR="005B5A26">
        <w:rPr>
          <w:szCs w:val="22"/>
        </w:rPr>
        <w:t>use or</w:t>
      </w:r>
      <w:r w:rsidR="0037433E">
        <w:rPr>
          <w:szCs w:val="22"/>
        </w:rPr>
        <w:t xml:space="preserve"> initiation of marketing.</w:t>
      </w:r>
      <w:r>
        <w:rPr>
          <w:rStyle w:val="FootnoteReference"/>
        </w:rPr>
        <w:footnoteReference w:id="39"/>
      </w:r>
      <w:r w:rsidR="0037433E">
        <w:rPr>
          <w:szCs w:val="22"/>
        </w:rPr>
        <w:t xml:space="preserve">  </w:t>
      </w:r>
      <w:r w:rsidR="0037433E">
        <w:t xml:space="preserve">BLU Products </w:t>
      </w:r>
      <w:r w:rsidRPr="007C0B39">
        <w:rPr>
          <w:szCs w:val="22"/>
        </w:rPr>
        <w:t xml:space="preserve">shall also develop a Compliance Checklist that describes the steps </w:t>
      </w:r>
      <w:r w:rsidRPr="007C0B39" w:rsidR="006E4E12">
        <w:rPr>
          <w:szCs w:val="22"/>
        </w:rPr>
        <w:t xml:space="preserve">that </w:t>
      </w:r>
      <w:r w:rsidRPr="007C0B39">
        <w:rPr>
          <w:szCs w:val="22"/>
        </w:rPr>
        <w:t xml:space="preserve">a Covered Employee </w:t>
      </w:r>
      <w:r w:rsidRPr="007C0B39">
        <w:rPr>
          <w:szCs w:val="22"/>
        </w:rPr>
        <w:t xml:space="preserve">must follow to ensure compliance </w:t>
      </w:r>
      <w:r w:rsidRPr="007C0B39" w:rsidR="00302C38">
        <w:rPr>
          <w:szCs w:val="22"/>
        </w:rPr>
        <w:t xml:space="preserve">with the </w:t>
      </w:r>
      <w:r w:rsidR="005B5A26">
        <w:rPr>
          <w:szCs w:val="22"/>
        </w:rPr>
        <w:t>SAR Limit</w:t>
      </w:r>
      <w:r w:rsidR="00E46123">
        <w:rPr>
          <w:szCs w:val="22"/>
        </w:rPr>
        <w:t xml:space="preserve"> and </w:t>
      </w:r>
      <w:r w:rsidR="0037433E">
        <w:rPr>
          <w:szCs w:val="22"/>
        </w:rPr>
        <w:t>Equipment Marketing Rules.</w:t>
      </w:r>
    </w:p>
    <w:p w:rsidR="0055035F" w:rsidRPr="007C0B39" w:rsidP="00F60217">
      <w:pPr>
        <w:widowControl/>
        <w:numPr>
          <w:ilvl w:val="0"/>
          <w:numId w:val="6"/>
        </w:numPr>
        <w:tabs>
          <w:tab w:val="clear" w:pos="1656"/>
        </w:tabs>
        <w:spacing w:after="120"/>
        <w:ind w:left="1886"/>
        <w:rPr>
          <w:szCs w:val="22"/>
        </w:rPr>
      </w:pPr>
      <w:r w:rsidRPr="007C0B39">
        <w:rPr>
          <w:b/>
          <w:szCs w:val="22"/>
          <w:u w:val="single"/>
        </w:rPr>
        <w:t>Compliance Manual</w:t>
      </w:r>
      <w:r w:rsidRPr="007C0B39">
        <w:rPr>
          <w:szCs w:val="22"/>
        </w:rPr>
        <w:t xml:space="preserve">.  Within sixty (60) calendar days after the Effective Date, the </w:t>
      </w:r>
      <w:r w:rsidRPr="007C0B39">
        <w:rPr>
          <w:szCs w:val="22"/>
        </w:rPr>
        <w:t>Compliance Officer shall develop and distribute a Compliance Manual to all Covered Employees.  The Compliance Manual</w:t>
      </w:r>
      <w:r w:rsidRPr="007C0B39" w:rsidR="00302C38">
        <w:rPr>
          <w:szCs w:val="22"/>
        </w:rPr>
        <w:t xml:space="preserve"> shall explain the </w:t>
      </w:r>
      <w:r w:rsidR="00580369">
        <w:rPr>
          <w:szCs w:val="22"/>
        </w:rPr>
        <w:t>SAR Limit</w:t>
      </w:r>
      <w:r w:rsidR="00E46123">
        <w:rPr>
          <w:szCs w:val="22"/>
        </w:rPr>
        <w:t xml:space="preserve"> and </w:t>
      </w:r>
      <w:r w:rsidR="00E906DA">
        <w:rPr>
          <w:szCs w:val="22"/>
        </w:rPr>
        <w:t xml:space="preserve">Equipment Marketing </w:t>
      </w:r>
      <w:r w:rsidRPr="007C0B39">
        <w:rPr>
          <w:szCs w:val="22"/>
        </w:rPr>
        <w:t>Rules</w:t>
      </w:r>
      <w:r w:rsidR="00E906DA">
        <w:rPr>
          <w:szCs w:val="22"/>
        </w:rPr>
        <w:t xml:space="preserve"> </w:t>
      </w:r>
      <w:r w:rsidRPr="007C0B39">
        <w:rPr>
          <w:szCs w:val="22"/>
        </w:rPr>
        <w:t>and set forth the Operating Procedures that Covered Employees shall follow to hel</w:t>
      </w:r>
      <w:r w:rsidRPr="007C0B39">
        <w:rPr>
          <w:szCs w:val="22"/>
        </w:rPr>
        <w:t xml:space="preserve">p ensure </w:t>
      </w:r>
      <w:r w:rsidR="00E906DA">
        <w:rPr>
          <w:szCs w:val="22"/>
        </w:rPr>
        <w:t>BLU Products</w:t>
      </w:r>
      <w:r w:rsidRPr="007C0B39" w:rsidR="00EA12C6">
        <w:rPr>
          <w:szCs w:val="22"/>
        </w:rPr>
        <w:t>’</w:t>
      </w:r>
      <w:r w:rsidRPr="007C0B39">
        <w:rPr>
          <w:szCs w:val="22"/>
        </w:rPr>
        <w:t xml:space="preserve"> co</w:t>
      </w:r>
      <w:r w:rsidRPr="007C0B39" w:rsidR="00302C38">
        <w:rPr>
          <w:szCs w:val="22"/>
        </w:rPr>
        <w:t xml:space="preserve">mpliance with the </w:t>
      </w:r>
      <w:r w:rsidR="00636720">
        <w:rPr>
          <w:szCs w:val="22"/>
        </w:rPr>
        <w:t>SAR Limit</w:t>
      </w:r>
      <w:r w:rsidR="00E46123">
        <w:rPr>
          <w:szCs w:val="22"/>
        </w:rPr>
        <w:t xml:space="preserve"> and </w:t>
      </w:r>
      <w:r w:rsidR="00A17CD3">
        <w:rPr>
          <w:szCs w:val="22"/>
        </w:rPr>
        <w:t>Equipment Marketing Rules.</w:t>
      </w:r>
      <w:r w:rsidRPr="007C0B39">
        <w:rPr>
          <w:szCs w:val="22"/>
        </w:rPr>
        <w:t xml:space="preserve">  </w:t>
      </w:r>
      <w:r w:rsidR="00A17CD3">
        <w:rPr>
          <w:szCs w:val="22"/>
        </w:rPr>
        <w:t xml:space="preserve">BLU Products </w:t>
      </w:r>
      <w:r w:rsidRPr="007C0B39">
        <w:rPr>
          <w:szCs w:val="22"/>
        </w:rPr>
        <w:t xml:space="preserve">shall periodically review and revise the Compliance Manual as necessary to ensure that the information set forth therein remains current and accurate.  </w:t>
      </w:r>
      <w:r w:rsidR="00A17CD3">
        <w:rPr>
          <w:szCs w:val="22"/>
        </w:rPr>
        <w:t xml:space="preserve">BLU Products </w:t>
      </w:r>
      <w:r w:rsidRPr="007C0B39">
        <w:rPr>
          <w:szCs w:val="22"/>
        </w:rPr>
        <w:t xml:space="preserve">shall distribute any revisions to the Compliance Manual promptly to </w:t>
      </w:r>
      <w:r w:rsidRPr="007C0B39" w:rsidR="006E4E12">
        <w:rPr>
          <w:szCs w:val="22"/>
        </w:rPr>
        <w:t xml:space="preserve">all </w:t>
      </w:r>
      <w:r w:rsidRPr="007C0B39">
        <w:rPr>
          <w:szCs w:val="22"/>
        </w:rPr>
        <w:t>Covered Employees.</w:t>
      </w:r>
    </w:p>
    <w:p w:rsidR="0055035F" w:rsidRPr="004E5243" w:rsidP="00F60217">
      <w:pPr>
        <w:widowControl/>
        <w:numPr>
          <w:ilvl w:val="0"/>
          <w:numId w:val="6"/>
        </w:numPr>
        <w:tabs>
          <w:tab w:val="clear" w:pos="1656"/>
        </w:tabs>
        <w:spacing w:after="120"/>
        <w:ind w:left="1886"/>
      </w:pPr>
      <w:r w:rsidRPr="007C0B39">
        <w:rPr>
          <w:b/>
          <w:szCs w:val="22"/>
          <w:u w:val="single"/>
        </w:rPr>
        <w:t>Compliance Training Program</w:t>
      </w:r>
      <w:r w:rsidRPr="007C0B39">
        <w:rPr>
          <w:szCs w:val="22"/>
        </w:rPr>
        <w:t xml:space="preserve">.  </w:t>
      </w:r>
      <w:r w:rsidR="003B524D">
        <w:rPr>
          <w:szCs w:val="22"/>
        </w:rPr>
        <w:t>BLU Products</w:t>
      </w:r>
      <w:r w:rsidRPr="007C0B39" w:rsidR="00EA12C6">
        <w:rPr>
          <w:szCs w:val="22"/>
        </w:rPr>
        <w:t xml:space="preserve"> </w:t>
      </w:r>
      <w:r w:rsidRPr="007C0B39">
        <w:rPr>
          <w:szCs w:val="22"/>
        </w:rPr>
        <w:t xml:space="preserve">shall establish and implement a Compliance Training Program </w:t>
      </w:r>
      <w:r w:rsidR="005D5ABC">
        <w:rPr>
          <w:szCs w:val="22"/>
        </w:rPr>
        <w:t>i</w:t>
      </w:r>
      <w:r w:rsidRPr="007C0B39">
        <w:rPr>
          <w:szCs w:val="22"/>
        </w:rPr>
        <w:t>n c</w:t>
      </w:r>
      <w:r w:rsidRPr="007C0B39" w:rsidR="00302C38">
        <w:rPr>
          <w:szCs w:val="22"/>
        </w:rPr>
        <w:t>ompliance with the</w:t>
      </w:r>
      <w:r w:rsidR="00580369">
        <w:rPr>
          <w:szCs w:val="22"/>
        </w:rPr>
        <w:t xml:space="preserve"> SAR Limit</w:t>
      </w:r>
      <w:r w:rsidR="00E46123">
        <w:rPr>
          <w:szCs w:val="22"/>
        </w:rPr>
        <w:t xml:space="preserve"> and </w:t>
      </w:r>
      <w:r w:rsidR="003B524D">
        <w:rPr>
          <w:szCs w:val="22"/>
        </w:rPr>
        <w:t>Equipment Market Rules</w:t>
      </w:r>
      <w:r w:rsidR="0079134D">
        <w:rPr>
          <w:szCs w:val="22"/>
        </w:rPr>
        <w:t>,</w:t>
      </w:r>
      <w:r w:rsidR="003B524D">
        <w:rPr>
          <w:szCs w:val="22"/>
        </w:rPr>
        <w:t xml:space="preserve"> </w:t>
      </w:r>
      <w:r w:rsidRPr="007C0B39">
        <w:rPr>
          <w:szCs w:val="22"/>
        </w:rPr>
        <w:t xml:space="preserve">and Operating Procedures.  As part of the Compliance Training Program, Covered Employees shall be advised of </w:t>
      </w:r>
      <w:r w:rsidR="003B524D">
        <w:rPr>
          <w:szCs w:val="22"/>
        </w:rPr>
        <w:t>BLU Products</w:t>
      </w:r>
      <w:r w:rsidRPr="007C0B39" w:rsidR="00EA12C6">
        <w:rPr>
          <w:szCs w:val="22"/>
        </w:rPr>
        <w:t>’</w:t>
      </w:r>
      <w:r w:rsidRPr="007C0B39">
        <w:rPr>
          <w:szCs w:val="22"/>
        </w:rPr>
        <w:t xml:space="preserve"> obligation to report any noncomplia</w:t>
      </w:r>
      <w:r w:rsidRPr="007C0B39" w:rsidR="00302C38">
        <w:rPr>
          <w:szCs w:val="22"/>
        </w:rPr>
        <w:t xml:space="preserve">nce with the </w:t>
      </w:r>
      <w:r w:rsidR="00636720">
        <w:rPr>
          <w:szCs w:val="22"/>
        </w:rPr>
        <w:t>SAR Limit</w:t>
      </w:r>
      <w:r w:rsidR="00E46123">
        <w:rPr>
          <w:szCs w:val="22"/>
        </w:rPr>
        <w:t xml:space="preserve"> and </w:t>
      </w:r>
      <w:r w:rsidR="003B524D">
        <w:rPr>
          <w:szCs w:val="22"/>
        </w:rPr>
        <w:t>Equipment Marketing Rules</w:t>
      </w:r>
      <w:r w:rsidR="00E46123">
        <w:rPr>
          <w:szCs w:val="22"/>
        </w:rPr>
        <w:t xml:space="preserve"> </w:t>
      </w:r>
      <w:r w:rsidRPr="007C0B39">
        <w:rPr>
          <w:szCs w:val="22"/>
        </w:rPr>
        <w:t xml:space="preserve">under paragraph </w:t>
      </w:r>
      <w:r w:rsidR="0080116A">
        <w:rPr>
          <w:szCs w:val="22"/>
        </w:rPr>
        <w:fldChar w:fldCharType="begin"/>
      </w:r>
      <w:r w:rsidR="0080116A">
        <w:rPr>
          <w:szCs w:val="22"/>
        </w:rPr>
        <w:instrText xml:space="preserve"> REF _Ref321323028 \r \h </w:instrText>
      </w:r>
      <w:r w:rsidR="0080116A">
        <w:rPr>
          <w:szCs w:val="22"/>
        </w:rPr>
        <w:fldChar w:fldCharType="separate"/>
      </w:r>
      <w:r w:rsidR="00252059">
        <w:rPr>
          <w:szCs w:val="22"/>
        </w:rPr>
        <w:t>17</w:t>
      </w:r>
      <w:r w:rsidR="0080116A">
        <w:rPr>
          <w:szCs w:val="22"/>
        </w:rPr>
        <w:fldChar w:fldCharType="end"/>
      </w:r>
      <w:r w:rsidRPr="007C0B39" w:rsidR="0080116A">
        <w:rPr>
          <w:szCs w:val="22"/>
        </w:rPr>
        <w:t xml:space="preserve"> </w:t>
      </w:r>
      <w:r w:rsidRPr="007C0B39">
        <w:rPr>
          <w:szCs w:val="22"/>
        </w:rPr>
        <w:t>of this Consent Decree and shall be instructed on how to disclose noncompliance to the Compliance Officer.  All Covered Employees shall be trained pursuant to th</w:t>
      </w:r>
      <w:r w:rsidRPr="007C0B39">
        <w:rPr>
          <w:szCs w:val="22"/>
        </w:rPr>
        <w:t>e Compliance Training Program within sixty (60) calendar days after the Effe</w:t>
      </w:r>
      <w:r w:rsidRPr="007C0B39" w:rsidR="00302C38">
        <w:rPr>
          <w:szCs w:val="22"/>
        </w:rPr>
        <w:t>ctive Date, except</w:t>
      </w:r>
      <w:r w:rsidRPr="007C0B39" w:rsidR="00BD5BEC">
        <w:rPr>
          <w:szCs w:val="22"/>
        </w:rPr>
        <w:t xml:space="preserve"> that a</w:t>
      </w:r>
      <w:r w:rsidRPr="007C0B39">
        <w:rPr>
          <w:szCs w:val="22"/>
        </w:rPr>
        <w:t xml:space="preserve">ny person who becomes a Covered </w:t>
      </w:r>
      <w:r w:rsidRPr="007C0B39" w:rsidR="00036B37">
        <w:rPr>
          <w:szCs w:val="22"/>
        </w:rPr>
        <w:t>Employee at any time after the i</w:t>
      </w:r>
      <w:r w:rsidRPr="007C0B39">
        <w:rPr>
          <w:szCs w:val="22"/>
        </w:rPr>
        <w:t xml:space="preserve">nitial </w:t>
      </w:r>
      <w:r w:rsidRPr="007C0B39" w:rsidR="006F7147">
        <w:rPr>
          <w:szCs w:val="22"/>
        </w:rPr>
        <w:t xml:space="preserve">Compliance </w:t>
      </w:r>
      <w:r w:rsidRPr="007C0B39">
        <w:rPr>
          <w:szCs w:val="22"/>
        </w:rPr>
        <w:t xml:space="preserve">Training Program shall be trained within thirty (30) calendar days after </w:t>
      </w:r>
      <w:r w:rsidRPr="007C0B39">
        <w:rPr>
          <w:szCs w:val="22"/>
        </w:rPr>
        <w:t xml:space="preserve">the date such person becomes a Covered Employee.  </w:t>
      </w:r>
      <w:r w:rsidR="00E63439">
        <w:rPr>
          <w:szCs w:val="22"/>
        </w:rPr>
        <w:t>BLU Products</w:t>
      </w:r>
      <w:r w:rsidRPr="007C0B39" w:rsidR="00EA12C6">
        <w:rPr>
          <w:szCs w:val="22"/>
        </w:rPr>
        <w:t xml:space="preserve"> </w:t>
      </w:r>
      <w:r w:rsidRPr="007C0B39" w:rsidR="00036B37">
        <w:rPr>
          <w:szCs w:val="22"/>
        </w:rPr>
        <w:t>shall repeat</w:t>
      </w:r>
      <w:r w:rsidRPr="007C0B39">
        <w:rPr>
          <w:szCs w:val="22"/>
        </w:rPr>
        <w:t xml:space="preserve"> compliance training on an annual basis</w:t>
      </w:r>
      <w:r w:rsidR="0036270B">
        <w:rPr>
          <w:szCs w:val="22"/>
        </w:rPr>
        <w:t xml:space="preserve"> and as reasonably required</w:t>
      </w:r>
      <w:r w:rsidRPr="007C0B39">
        <w:rPr>
          <w:szCs w:val="22"/>
        </w:rPr>
        <w:t>, and shall periodically review and revise the Compliance Training Program as necessary to ensure that it remains c</w:t>
      </w:r>
      <w:r w:rsidRPr="007C0B39">
        <w:rPr>
          <w:szCs w:val="22"/>
        </w:rPr>
        <w:t>urrent and complete and to enhance its effectiveness.</w:t>
      </w:r>
    </w:p>
    <w:p w:rsidR="004E5243" w:rsidRPr="007C0B39" w:rsidP="00F60217">
      <w:pPr>
        <w:widowControl/>
        <w:numPr>
          <w:ilvl w:val="0"/>
          <w:numId w:val="6"/>
        </w:numPr>
        <w:tabs>
          <w:tab w:val="clear" w:pos="1656"/>
        </w:tabs>
        <w:spacing w:after="120"/>
        <w:ind w:left="1886"/>
      </w:pPr>
      <w:r>
        <w:rPr>
          <w:b/>
          <w:szCs w:val="22"/>
          <w:u w:val="single"/>
        </w:rPr>
        <w:t xml:space="preserve">Contact consumers who purchased </w:t>
      </w:r>
      <w:r w:rsidRPr="00B86A21">
        <w:rPr>
          <w:b/>
          <w:szCs w:val="22"/>
          <w:u w:val="single"/>
        </w:rPr>
        <w:t>non</w:t>
      </w:r>
      <w:r w:rsidRPr="00EA35FE">
        <w:rPr>
          <w:b/>
          <w:u w:val="single"/>
        </w:rPr>
        <w:t>compliant devices</w:t>
      </w:r>
      <w:r>
        <w:t xml:space="preserve">.  BLU Products shall </w:t>
      </w:r>
      <w:r w:rsidR="0092624F">
        <w:t xml:space="preserve">attempt to </w:t>
      </w:r>
      <w:r>
        <w:t xml:space="preserve">contact </w:t>
      </w:r>
      <w:r w:rsidR="00DB6E60">
        <w:t>consumers</w:t>
      </w:r>
      <w:r w:rsidR="0092624F">
        <w:t xml:space="preserve"> </w:t>
      </w:r>
      <w:r>
        <w:t xml:space="preserve">of GRAND MAX </w:t>
      </w:r>
      <w:r w:rsidR="008C1C7C">
        <w:t>mobile phone</w:t>
      </w:r>
      <w:r w:rsidR="0092624F">
        <w:t>s</w:t>
      </w:r>
      <w:r w:rsidR="008C1C7C">
        <w:t xml:space="preserve"> </w:t>
      </w:r>
      <w:r>
        <w:t xml:space="preserve">that have not received the update to remedy the SAR Limit violations.  </w:t>
      </w:r>
      <w:r w:rsidR="00154DBF">
        <w:t xml:space="preserve">Specifically, the Company </w:t>
      </w:r>
      <w:r w:rsidR="00DB6E60">
        <w:t>shall</w:t>
      </w:r>
      <w:r w:rsidR="008C1C7C">
        <w:t xml:space="preserve"> contact retailers of the GRAND MAX mobile phone to</w:t>
      </w:r>
      <w:r w:rsidR="00213569">
        <w:t xml:space="preserve"> </w:t>
      </w:r>
      <w:r w:rsidR="00AE0B6F">
        <w:t xml:space="preserve">request </w:t>
      </w:r>
      <w:r w:rsidR="00213569">
        <w:t xml:space="preserve">the </w:t>
      </w:r>
      <w:r w:rsidR="008C1C7C">
        <w:t xml:space="preserve">contact information for </w:t>
      </w:r>
      <w:r w:rsidR="00DB6E60">
        <w:t>consumers</w:t>
      </w:r>
      <w:r w:rsidR="008C1C7C">
        <w:t xml:space="preserve"> whose </w:t>
      </w:r>
      <w:r w:rsidR="0092624F">
        <w:t xml:space="preserve">GRAND MAX mobile </w:t>
      </w:r>
      <w:r w:rsidR="008C1C7C">
        <w:t xml:space="preserve">phones did not receive the update to remedy the SAR Limit violations.  </w:t>
      </w:r>
      <w:r w:rsidR="00DB6E60">
        <w:t xml:space="preserve">If contact information is available for those consumers, the </w:t>
      </w:r>
      <w:r w:rsidR="0092624F">
        <w:t xml:space="preserve">Company </w:t>
      </w:r>
      <w:r w:rsidR="00DB6E60">
        <w:t>shall</w:t>
      </w:r>
      <w:r w:rsidR="0092624F">
        <w:t xml:space="preserve"> </w:t>
      </w:r>
      <w:r w:rsidR="00DB6E60">
        <w:t xml:space="preserve">then </w:t>
      </w:r>
      <w:r w:rsidR="0092624F">
        <w:t xml:space="preserve">contact each </w:t>
      </w:r>
      <w:r w:rsidR="00DB6E60">
        <w:t xml:space="preserve">consumer about the SAR issue concerning the GRAND MAX mobile phone.  </w:t>
      </w:r>
      <w:r>
        <w:t>The Company shall provi</w:t>
      </w:r>
      <w:r>
        <w:t>de those</w:t>
      </w:r>
      <w:r w:rsidR="00DB6E60">
        <w:t xml:space="preserve"> consumers</w:t>
      </w:r>
      <w:r>
        <w:t xml:space="preserve"> with the opportunity to return the defective phones for a full refund of the original purchase price or provide a remedy to bring the defective phones into compliance with the SAR Limit.  </w:t>
      </w:r>
    </w:p>
    <w:p w:rsidR="00E02214" w:rsidRPr="007C0B39" w:rsidP="001B74D4">
      <w:pPr>
        <w:pStyle w:val="ParaNum"/>
      </w:pPr>
      <w:bookmarkStart w:id="11" w:name="_Ref321323028"/>
      <w:r w:rsidRPr="007C0B39">
        <w:rPr>
          <w:b/>
          <w:u w:val="single"/>
        </w:rPr>
        <w:t>Reporting Noncompliance</w:t>
      </w:r>
      <w:r w:rsidRPr="007C0B39">
        <w:t xml:space="preserve">.  </w:t>
      </w:r>
      <w:r w:rsidR="00E63439">
        <w:t xml:space="preserve">BLU Products </w:t>
      </w:r>
      <w:r w:rsidRPr="007C0B39">
        <w:t>shall rep</w:t>
      </w:r>
      <w:r w:rsidRPr="007C0B39">
        <w:t xml:space="preserve">ort any noncompliance with the </w:t>
      </w:r>
      <w:r w:rsidR="003E0E95">
        <w:t>SAR Limit</w:t>
      </w:r>
      <w:r w:rsidR="00E46123">
        <w:t xml:space="preserve"> and </w:t>
      </w:r>
      <w:r w:rsidR="00E63439">
        <w:t>Equipment Marketing Rules</w:t>
      </w:r>
      <w:r w:rsidR="003E0E95">
        <w:t>,</w:t>
      </w:r>
      <w:r w:rsidR="00E63439">
        <w:t xml:space="preserve"> </w:t>
      </w:r>
      <w:r w:rsidRPr="007C0B39">
        <w:t>and with the terms and conditions of this Consent Decree within fifteen (15) calendar days after discovery of such noncompliance.  Such reports shall include a detailed explanation of</w:t>
      </w:r>
      <w:r w:rsidRPr="007C0B39" w:rsidR="008A7975">
        <w:t>:</w:t>
      </w:r>
      <w:r w:rsidRPr="007C0B39">
        <w:t xml:space="preserve"> </w:t>
      </w:r>
      <w:r w:rsidRPr="007C0B39" w:rsidR="008A7975">
        <w:t xml:space="preserve"> </w:t>
      </w:r>
      <w:r w:rsidRPr="007C0B39">
        <w:t xml:space="preserve">(i) each instance of noncompliance; (ii) the steps that </w:t>
      </w:r>
      <w:r w:rsidR="009F1C3F">
        <w:t xml:space="preserve">BLU Products </w:t>
      </w:r>
      <w:r w:rsidRPr="007C0B39">
        <w:t>has taken or will take to remedy such noncompliance; (iii) the schedule on which such remedial actions will be taken; and (iv) the steps that</w:t>
      </w:r>
      <w:r w:rsidR="009C4501">
        <w:t xml:space="preserve"> </w:t>
      </w:r>
      <w:r w:rsidR="009F1C3F">
        <w:t xml:space="preserve">BLU Products </w:t>
      </w:r>
      <w:r w:rsidRPr="007C0B39">
        <w:t>has taken or will take to prev</w:t>
      </w:r>
      <w:r w:rsidRPr="007C0B39">
        <w:t xml:space="preserve">ent the recurrence of any such noncompliance.  All reports of noncompliance shall be submitted </w:t>
      </w:r>
      <w:r w:rsidR="000D23EE">
        <w:t xml:space="preserve">electronically </w:t>
      </w:r>
      <w:r w:rsidRPr="007C0B39">
        <w:t>to</w:t>
      </w:r>
      <w:r w:rsidRPr="007C0B39" w:rsidR="00BE103C">
        <w:t xml:space="preserve"> </w:t>
      </w:r>
      <w:r w:rsidR="009F1C3F">
        <w:t xml:space="preserve">Chief, Spectrum Enforcement Division, Enforcement Bureau, Federal Communications Commission, </w:t>
      </w:r>
      <w:r w:rsidR="000D23EE">
        <w:t xml:space="preserve">at </w:t>
      </w:r>
      <w:r w:rsidRPr="000D23EE" w:rsidR="000D23EE">
        <w:t>EB-SED-Response@fcc.gov</w:t>
      </w:r>
      <w:r w:rsidR="000D23EE">
        <w:t xml:space="preserve">, </w:t>
      </w:r>
      <w:r w:rsidRPr="007C0B39">
        <w:t xml:space="preserve">with a copy submitted </w:t>
      </w:r>
      <w:r w:rsidRPr="007C0B39">
        <w:t xml:space="preserve">electronically to </w:t>
      </w:r>
      <w:r w:rsidR="000D23EE">
        <w:t xml:space="preserve">Kathy Harvey at </w:t>
      </w:r>
      <w:r w:rsidRPr="009F1C3F" w:rsidR="009F1C3F">
        <w:t>Kathy.Harvey@fcc.gov</w:t>
      </w:r>
      <w:r w:rsidR="009F1C3F">
        <w:t>.</w:t>
      </w:r>
      <w:bookmarkEnd w:id="11"/>
    </w:p>
    <w:p w:rsidR="00E02214" w:rsidRPr="007C0B39" w:rsidP="001B74D4">
      <w:pPr>
        <w:pStyle w:val="ParaNum"/>
        <w:rPr>
          <w:caps/>
        </w:rPr>
      </w:pPr>
      <w:bookmarkStart w:id="12" w:name="_Ref379202892"/>
      <w:r w:rsidRPr="007C0B39">
        <w:rPr>
          <w:b/>
          <w:u w:val="single"/>
        </w:rPr>
        <w:t>Compliance Reports</w:t>
      </w:r>
      <w:r w:rsidRPr="007C0B39">
        <w:t xml:space="preserve">.  </w:t>
      </w:r>
      <w:r w:rsidR="00160E75">
        <w:t xml:space="preserve">BLU Products </w:t>
      </w:r>
      <w:r w:rsidRPr="007C0B39">
        <w:t xml:space="preserve">shall file </w:t>
      </w:r>
      <w:r w:rsidRPr="007C0B39" w:rsidR="00014484">
        <w:t>c</w:t>
      </w:r>
      <w:r w:rsidRPr="007C0B39">
        <w:t xml:space="preserve">ompliance </w:t>
      </w:r>
      <w:r w:rsidRPr="007C0B39" w:rsidR="00014484">
        <w:t>r</w:t>
      </w:r>
      <w:r w:rsidRPr="007C0B39">
        <w:t xml:space="preserve">eports with the Commission ninety (90) calendar days after the Effective Date, twelve (12) months after the Effective Date, </w:t>
      </w:r>
      <w:r w:rsidRPr="007C0B39">
        <w:t>twenty-four (24) months after the Effective Date, and thirty-six (36) months after the Effective Date.</w:t>
      </w:r>
      <w:bookmarkEnd w:id="12"/>
      <w:r w:rsidRPr="007C0B39" w:rsidR="003533DC">
        <w:t xml:space="preserve">  </w:t>
      </w:r>
    </w:p>
    <w:p w:rsidR="00E02214" w:rsidRPr="007C0B39" w:rsidP="00F60217">
      <w:pPr>
        <w:widowControl/>
        <w:numPr>
          <w:ilvl w:val="0"/>
          <w:numId w:val="7"/>
        </w:numPr>
        <w:tabs>
          <w:tab w:val="clear" w:pos="1782"/>
        </w:tabs>
        <w:spacing w:after="120"/>
        <w:ind w:left="1886"/>
        <w:rPr>
          <w:szCs w:val="22"/>
        </w:rPr>
      </w:pPr>
      <w:r w:rsidRPr="007C0B39">
        <w:rPr>
          <w:szCs w:val="22"/>
        </w:rPr>
        <w:t xml:space="preserve">Each Compliance Report shall include a detailed description of </w:t>
      </w:r>
      <w:r w:rsidR="00160E75">
        <w:rPr>
          <w:szCs w:val="22"/>
        </w:rPr>
        <w:t>BLU Products</w:t>
      </w:r>
      <w:r w:rsidRPr="007C0B39" w:rsidR="00EA12C6">
        <w:rPr>
          <w:szCs w:val="22"/>
        </w:rPr>
        <w:t>’</w:t>
      </w:r>
      <w:r w:rsidRPr="007C0B39">
        <w:rPr>
          <w:szCs w:val="22"/>
        </w:rPr>
        <w:t xml:space="preserve"> efforts during the relevant period to comply with the terms and conditions</w:t>
      </w:r>
      <w:r w:rsidRPr="007C0B39">
        <w:rPr>
          <w:szCs w:val="22"/>
        </w:rPr>
        <w:t xml:space="preserve"> of this Consent Decree</w:t>
      </w:r>
      <w:r w:rsidR="002F329F">
        <w:rPr>
          <w:szCs w:val="22"/>
        </w:rPr>
        <w:t>, including the Company’s obligation to contact consumers who purchased noncompliant devices, as well as t</w:t>
      </w:r>
      <w:r w:rsidRPr="007C0B39">
        <w:rPr>
          <w:szCs w:val="22"/>
        </w:rPr>
        <w:t xml:space="preserve">he </w:t>
      </w:r>
      <w:r w:rsidR="00580369">
        <w:rPr>
          <w:szCs w:val="22"/>
        </w:rPr>
        <w:t>SAR Limit</w:t>
      </w:r>
      <w:r w:rsidR="00E46123">
        <w:rPr>
          <w:szCs w:val="22"/>
        </w:rPr>
        <w:t xml:space="preserve"> and </w:t>
      </w:r>
      <w:r w:rsidR="00160E75">
        <w:rPr>
          <w:szCs w:val="22"/>
        </w:rPr>
        <w:t xml:space="preserve">Equipment Marketing </w:t>
      </w:r>
      <w:r w:rsidRPr="007C0B39">
        <w:rPr>
          <w:szCs w:val="22"/>
        </w:rPr>
        <w:t>Rules.  In addition, each Compliance Report shall include a certification by the Complianc</w:t>
      </w:r>
      <w:r w:rsidRPr="007C0B39">
        <w:rPr>
          <w:szCs w:val="22"/>
        </w:rPr>
        <w:t xml:space="preserve">e Officer, as an agent of and on behalf of </w:t>
      </w:r>
      <w:r w:rsidR="00160E75">
        <w:rPr>
          <w:szCs w:val="22"/>
        </w:rPr>
        <w:t>BLU Products</w:t>
      </w:r>
      <w:r w:rsidRPr="007C0B39">
        <w:rPr>
          <w:szCs w:val="22"/>
        </w:rPr>
        <w:t xml:space="preserve">, stating that the Compliance Officer has personal knowledge that </w:t>
      </w:r>
      <w:r w:rsidR="00160E75">
        <w:rPr>
          <w:szCs w:val="22"/>
        </w:rPr>
        <w:t>BLU Products</w:t>
      </w:r>
      <w:r w:rsidRPr="007C0B39" w:rsidR="003533DC">
        <w:t>:</w:t>
      </w:r>
      <w:r w:rsidRPr="007C0B39" w:rsidR="00EA12C6">
        <w:rPr>
          <w:szCs w:val="22"/>
        </w:rPr>
        <w:t xml:space="preserve"> </w:t>
      </w:r>
      <w:r w:rsidRPr="007C0B39" w:rsidR="003533DC">
        <w:rPr>
          <w:szCs w:val="22"/>
        </w:rPr>
        <w:t xml:space="preserve"> </w:t>
      </w:r>
      <w:r w:rsidRPr="007C0B39">
        <w:rPr>
          <w:szCs w:val="22"/>
        </w:rPr>
        <w:t>(i) has established and implemented the Compliance Plan; (ii) has utilized the Operating Procedures since the implementa</w:t>
      </w:r>
      <w:r w:rsidRPr="007C0B39">
        <w:rPr>
          <w:szCs w:val="22"/>
        </w:rPr>
        <w:t xml:space="preserve">tion of the Compliance Plan; and (iii) is not aware of any instances of noncompliance with the terms and conditions of this Consent Decree, including the reporting obligations set forth in paragraph </w:t>
      </w:r>
      <w:r w:rsidR="0080116A">
        <w:rPr>
          <w:szCs w:val="22"/>
        </w:rPr>
        <w:fldChar w:fldCharType="begin"/>
      </w:r>
      <w:r w:rsidR="0080116A">
        <w:rPr>
          <w:szCs w:val="22"/>
        </w:rPr>
        <w:instrText xml:space="preserve"> REF _Ref321323028 \r \h </w:instrText>
      </w:r>
      <w:r w:rsidR="0080116A">
        <w:rPr>
          <w:szCs w:val="22"/>
        </w:rPr>
        <w:fldChar w:fldCharType="separate"/>
      </w:r>
      <w:r w:rsidR="00252059">
        <w:rPr>
          <w:szCs w:val="22"/>
        </w:rPr>
        <w:t>17</w:t>
      </w:r>
      <w:r w:rsidR="0080116A">
        <w:rPr>
          <w:szCs w:val="22"/>
        </w:rPr>
        <w:fldChar w:fldCharType="end"/>
      </w:r>
      <w:r w:rsidRPr="007C0B39" w:rsidR="0080116A">
        <w:rPr>
          <w:b/>
          <w:szCs w:val="22"/>
        </w:rPr>
        <w:t xml:space="preserve"> </w:t>
      </w:r>
      <w:r w:rsidRPr="007C0B39">
        <w:rPr>
          <w:szCs w:val="22"/>
        </w:rPr>
        <w:t>of this Consent Decree.</w:t>
      </w:r>
    </w:p>
    <w:p w:rsidR="00E02214" w:rsidRPr="007C0B39" w:rsidP="00F60217">
      <w:pPr>
        <w:widowControl/>
        <w:numPr>
          <w:ilvl w:val="0"/>
          <w:numId w:val="7"/>
        </w:numPr>
        <w:tabs>
          <w:tab w:val="clear" w:pos="1782"/>
        </w:tabs>
        <w:spacing w:after="120"/>
        <w:ind w:left="1886"/>
        <w:rPr>
          <w:szCs w:val="22"/>
        </w:rPr>
      </w:pPr>
      <w:r w:rsidRPr="007C0B39">
        <w:rPr>
          <w:szCs w:val="22"/>
        </w:rPr>
        <w:t xml:space="preserve">The Compliance Officer’s certification shall be accompanied by a statement explaining the basis for such certification and shall comply with </w:t>
      </w:r>
      <w:r w:rsidR="00674C91">
        <w:rPr>
          <w:szCs w:val="22"/>
        </w:rPr>
        <w:t>s</w:t>
      </w:r>
      <w:r w:rsidRPr="007C0B39">
        <w:rPr>
          <w:szCs w:val="22"/>
        </w:rPr>
        <w:t>ection 1.16 of the Rules and be subscribed to as tr</w:t>
      </w:r>
      <w:r w:rsidRPr="007C0B39">
        <w:rPr>
          <w:szCs w:val="22"/>
        </w:rPr>
        <w:t>ue under penalty of perjury in substantially the form set forth therein.</w:t>
      </w:r>
      <w:r>
        <w:rPr>
          <w:rStyle w:val="FootnoteReference"/>
          <w:szCs w:val="22"/>
        </w:rPr>
        <w:footnoteReference w:id="40"/>
      </w:r>
    </w:p>
    <w:p w:rsidR="00E02214" w:rsidRPr="007C0B39" w:rsidP="00F60217">
      <w:pPr>
        <w:widowControl/>
        <w:numPr>
          <w:ilvl w:val="0"/>
          <w:numId w:val="7"/>
        </w:numPr>
        <w:tabs>
          <w:tab w:val="clear" w:pos="1782"/>
        </w:tabs>
        <w:spacing w:after="120"/>
        <w:ind w:left="1886"/>
        <w:rPr>
          <w:szCs w:val="22"/>
        </w:rPr>
      </w:pPr>
      <w:r w:rsidRPr="007C0B39">
        <w:rPr>
          <w:szCs w:val="22"/>
        </w:rPr>
        <w:t xml:space="preserve">If the Compliance Officer cannot provide the requisite certification, the Compliance Officer, as an agent of and on behalf of </w:t>
      </w:r>
      <w:r w:rsidR="00FD04D9">
        <w:rPr>
          <w:szCs w:val="22"/>
        </w:rPr>
        <w:t>BLU Products</w:t>
      </w:r>
      <w:r w:rsidRPr="007C0B39">
        <w:rPr>
          <w:szCs w:val="22"/>
        </w:rPr>
        <w:t>, shall provide the Commission with a detail</w:t>
      </w:r>
      <w:r w:rsidRPr="007C0B39">
        <w:rPr>
          <w:szCs w:val="22"/>
        </w:rPr>
        <w:t>ed explanation of the reason(s) why and describe fully</w:t>
      </w:r>
      <w:r w:rsidRPr="007C0B39" w:rsidR="003533DC">
        <w:rPr>
          <w:szCs w:val="22"/>
        </w:rPr>
        <w:t>:</w:t>
      </w:r>
      <w:r w:rsidRPr="007C0B39">
        <w:rPr>
          <w:szCs w:val="22"/>
        </w:rPr>
        <w:t xml:space="preserve"> </w:t>
      </w:r>
      <w:r w:rsidRPr="007C0B39" w:rsidR="003533DC">
        <w:rPr>
          <w:szCs w:val="22"/>
        </w:rPr>
        <w:t xml:space="preserve"> </w:t>
      </w:r>
      <w:r w:rsidRPr="007C0B39">
        <w:rPr>
          <w:szCs w:val="22"/>
        </w:rPr>
        <w:t xml:space="preserve">(i) each instance of noncompliance; (ii) the steps that </w:t>
      </w:r>
      <w:r w:rsidR="00FD04D9">
        <w:rPr>
          <w:szCs w:val="22"/>
        </w:rPr>
        <w:t xml:space="preserve">BLU Products </w:t>
      </w:r>
      <w:r w:rsidRPr="007C0B39">
        <w:rPr>
          <w:szCs w:val="22"/>
        </w:rPr>
        <w:t xml:space="preserve">has taken or will take to remedy such noncompliance, including the schedule on which proposed remedial actions will be taken; and </w:t>
      </w:r>
      <w:r w:rsidRPr="007C0B39">
        <w:rPr>
          <w:szCs w:val="22"/>
        </w:rPr>
        <w:t xml:space="preserve">(iii) the steps that </w:t>
      </w:r>
      <w:r w:rsidR="00FD04D9">
        <w:rPr>
          <w:szCs w:val="22"/>
        </w:rPr>
        <w:t xml:space="preserve">BLU Products </w:t>
      </w:r>
      <w:r w:rsidRPr="007C0B39">
        <w:rPr>
          <w:szCs w:val="22"/>
        </w:rPr>
        <w:t>has taken or will take to prevent the recurrence of any such noncompliance, including the schedule on which such preventive action will be taken.</w:t>
      </w:r>
    </w:p>
    <w:p w:rsidR="003533DC" w:rsidRPr="007C0B39" w:rsidP="003533DC">
      <w:pPr>
        <w:widowControl/>
        <w:numPr>
          <w:ilvl w:val="0"/>
          <w:numId w:val="7"/>
        </w:numPr>
        <w:tabs>
          <w:tab w:val="clear" w:pos="1782"/>
        </w:tabs>
        <w:spacing w:after="120"/>
        <w:ind w:left="1886" w:hanging="450"/>
        <w:rPr>
          <w:szCs w:val="22"/>
        </w:rPr>
      </w:pPr>
      <w:r w:rsidRPr="007C0B39">
        <w:rPr>
          <w:szCs w:val="22"/>
        </w:rPr>
        <w:t xml:space="preserve">All Compliance Reports shall be submitted </w:t>
      </w:r>
      <w:r w:rsidR="000D23EE">
        <w:rPr>
          <w:szCs w:val="22"/>
        </w:rPr>
        <w:t xml:space="preserve">electronically </w:t>
      </w:r>
      <w:r w:rsidR="00FD04D9">
        <w:rPr>
          <w:szCs w:val="22"/>
        </w:rPr>
        <w:t xml:space="preserve">to Chief, Spectrum Enforcement Division, Enforcement Bureau, Federal Communications Commission, </w:t>
      </w:r>
      <w:r w:rsidR="000D23EE">
        <w:rPr>
          <w:szCs w:val="22"/>
        </w:rPr>
        <w:t xml:space="preserve">at </w:t>
      </w:r>
      <w:r w:rsidRPr="000D23EE" w:rsidR="000D23EE">
        <w:rPr>
          <w:szCs w:val="22"/>
        </w:rPr>
        <w:t>EB-SED-Response@fcc.gov</w:t>
      </w:r>
      <w:r w:rsidR="000D23EE">
        <w:rPr>
          <w:szCs w:val="22"/>
        </w:rPr>
        <w:t xml:space="preserve">, </w:t>
      </w:r>
      <w:r w:rsidR="00FD04D9">
        <w:rPr>
          <w:szCs w:val="22"/>
        </w:rPr>
        <w:t xml:space="preserve">with a copy submitted electronically to </w:t>
      </w:r>
      <w:r w:rsidRPr="000D23EE" w:rsidR="000D23EE">
        <w:rPr>
          <w:szCs w:val="22"/>
        </w:rPr>
        <w:t>Kathy Harvey</w:t>
      </w:r>
      <w:r w:rsidR="000D23EE">
        <w:rPr>
          <w:szCs w:val="22"/>
        </w:rPr>
        <w:t xml:space="preserve"> at </w:t>
      </w:r>
      <w:r w:rsidRPr="00FD04D9" w:rsidR="00FD04D9">
        <w:rPr>
          <w:szCs w:val="22"/>
        </w:rPr>
        <w:t>Kathy.Harvey@fcc.gov</w:t>
      </w:r>
      <w:r w:rsidR="00FD04D9">
        <w:rPr>
          <w:szCs w:val="22"/>
        </w:rPr>
        <w:t>.</w:t>
      </w:r>
    </w:p>
    <w:p w:rsidR="00E02214" w:rsidRPr="007C0B39" w:rsidP="002260E5">
      <w:pPr>
        <w:pStyle w:val="ParaNum"/>
      </w:pPr>
      <w:r w:rsidRPr="007C0B39">
        <w:rPr>
          <w:b/>
          <w:szCs w:val="22"/>
          <w:u w:val="single"/>
        </w:rPr>
        <w:t>Termination Date</w:t>
      </w:r>
      <w:r w:rsidRPr="007C0B39">
        <w:rPr>
          <w:szCs w:val="22"/>
        </w:rPr>
        <w:t xml:space="preserve">. </w:t>
      </w:r>
      <w:r w:rsidRPr="007C0B39">
        <w:rPr>
          <w:b/>
          <w:szCs w:val="22"/>
        </w:rPr>
        <w:t xml:space="preserve"> </w:t>
      </w:r>
      <w:r w:rsidRPr="007C0B39">
        <w:rPr>
          <w:szCs w:val="22"/>
        </w:rPr>
        <w:t xml:space="preserve">Unless stated otherwise, the </w:t>
      </w:r>
      <w:r w:rsidRPr="007C0B39" w:rsidR="00C3652C">
        <w:t>requirement</w:t>
      </w:r>
      <w:r w:rsidRPr="007C0B39">
        <w:t>s</w:t>
      </w:r>
      <w:r w:rsidRPr="007C0B39">
        <w:rPr>
          <w:szCs w:val="22"/>
        </w:rPr>
        <w:t xml:space="preserve"> set forth in paragraphs </w:t>
      </w:r>
      <w:r w:rsidR="0080116A">
        <w:rPr>
          <w:szCs w:val="22"/>
        </w:rPr>
        <w:fldChar w:fldCharType="begin"/>
      </w:r>
      <w:r w:rsidR="0080116A">
        <w:rPr>
          <w:szCs w:val="22"/>
        </w:rPr>
        <w:instrText xml:space="preserve"> REF _Ref379202869 \r \h </w:instrText>
      </w:r>
      <w:r w:rsidR="0080116A">
        <w:rPr>
          <w:szCs w:val="22"/>
        </w:rPr>
        <w:fldChar w:fldCharType="separate"/>
      </w:r>
      <w:r w:rsidR="00252059">
        <w:rPr>
          <w:szCs w:val="22"/>
        </w:rPr>
        <w:t>15</w:t>
      </w:r>
      <w:r w:rsidR="0080116A">
        <w:rPr>
          <w:szCs w:val="22"/>
        </w:rPr>
        <w:fldChar w:fldCharType="end"/>
      </w:r>
      <w:r w:rsidRPr="007C0B39" w:rsidR="0080116A">
        <w:rPr>
          <w:szCs w:val="22"/>
        </w:rPr>
        <w:t xml:space="preserve"> </w:t>
      </w:r>
      <w:r w:rsidRPr="007C0B39">
        <w:rPr>
          <w:szCs w:val="22"/>
        </w:rPr>
        <w:t xml:space="preserve">through </w:t>
      </w:r>
      <w:r w:rsidR="0080116A">
        <w:rPr>
          <w:szCs w:val="22"/>
        </w:rPr>
        <w:fldChar w:fldCharType="begin"/>
      </w:r>
      <w:r w:rsidR="0080116A">
        <w:rPr>
          <w:szCs w:val="22"/>
        </w:rPr>
        <w:instrText xml:space="preserve"> REF _Ref379202892 \r \h </w:instrText>
      </w:r>
      <w:r w:rsidR="0080116A">
        <w:rPr>
          <w:szCs w:val="22"/>
        </w:rPr>
        <w:fldChar w:fldCharType="separate"/>
      </w:r>
      <w:r w:rsidR="00252059">
        <w:rPr>
          <w:szCs w:val="22"/>
        </w:rPr>
        <w:t>18</w:t>
      </w:r>
      <w:r w:rsidR="0080116A">
        <w:rPr>
          <w:szCs w:val="22"/>
        </w:rPr>
        <w:fldChar w:fldCharType="end"/>
      </w:r>
      <w:r w:rsidR="0080116A">
        <w:rPr>
          <w:szCs w:val="22"/>
        </w:rPr>
        <w:t xml:space="preserve"> </w:t>
      </w:r>
      <w:r w:rsidRPr="007C0B39">
        <w:rPr>
          <w:szCs w:val="22"/>
        </w:rPr>
        <w:t>of this Consent Decree shall expire thirty-six (36) months after the Effective Date.</w:t>
      </w:r>
      <w:r w:rsidRPr="007C0B39" w:rsidR="0070112A">
        <w:rPr>
          <w:szCs w:val="22"/>
        </w:rPr>
        <w:t xml:space="preserve">  </w:t>
      </w:r>
    </w:p>
    <w:p w:rsidR="00F8748A" w:rsidRPr="00C620CA" w:rsidP="001B74D4">
      <w:pPr>
        <w:pStyle w:val="ParaNum"/>
      </w:pPr>
      <w:bookmarkStart w:id="13" w:name="_Ref357521957"/>
      <w:r>
        <w:rPr>
          <w:b/>
          <w:u w:val="single"/>
        </w:rPr>
        <w:t>Civil Penalty</w:t>
      </w:r>
      <w:r>
        <w:t xml:space="preserve">.  BLU Products </w:t>
      </w:r>
      <w:r w:rsidRPr="007C0B39" w:rsidR="003533DC">
        <w:t xml:space="preserve">will </w:t>
      </w:r>
      <w:r w:rsidRPr="007C0B39" w:rsidR="00276A71">
        <w:t>pay a civil penalty</w:t>
      </w:r>
      <w:r w:rsidRPr="007C0B39" w:rsidR="00220A10">
        <w:t xml:space="preserve"> </w:t>
      </w:r>
      <w:r w:rsidRPr="007C0B39" w:rsidR="00E02214">
        <w:t xml:space="preserve">to the United States Treasury in the amount of </w:t>
      </w:r>
      <w:r w:rsidR="00674C91">
        <w:t>one hundred thirty thousand dollars ($130,000</w:t>
      </w:r>
      <w:r w:rsidRPr="002755D1" w:rsidR="00E02214">
        <w:rPr>
          <w:szCs w:val="22"/>
        </w:rPr>
        <w:t>)</w:t>
      </w:r>
      <w:r w:rsidR="00674C91">
        <w:rPr>
          <w:szCs w:val="22"/>
        </w:rPr>
        <w:t>.  Such payment shall be made in four (4) installments (each, an Installment Payment).</w:t>
      </w:r>
    </w:p>
    <w:p w:rsidR="00C620CA" w:rsidP="00B52F19">
      <w:pPr>
        <w:numPr>
          <w:ilvl w:val="0"/>
          <w:numId w:val="31"/>
        </w:numPr>
        <w:spacing w:after="120"/>
      </w:pPr>
      <w:r>
        <w:t>The first Installment Payment in the amount of thirty</w:t>
      </w:r>
      <w:r w:rsidR="00DE3C2C">
        <w:t>-</w:t>
      </w:r>
      <w:r>
        <w:t>two thousand five hund</w:t>
      </w:r>
      <w:r>
        <w:t>red dollars ($32,500) is due within thirty (30) calendar days of the Effective Date.</w:t>
      </w:r>
    </w:p>
    <w:p w:rsidR="00B52F19" w:rsidP="00B52F19">
      <w:pPr>
        <w:numPr>
          <w:ilvl w:val="0"/>
          <w:numId w:val="31"/>
        </w:numPr>
        <w:spacing w:after="120"/>
      </w:pPr>
      <w:r>
        <w:t>The second Installment Payment in the amount of thirty</w:t>
      </w:r>
      <w:r w:rsidR="00DE3C2C">
        <w:t>-</w:t>
      </w:r>
      <w:r>
        <w:t xml:space="preserve">two thousand five hundred dollars ($32,500) is due within </w:t>
      </w:r>
      <w:r w:rsidR="002F329F">
        <w:t xml:space="preserve">twelve (12) months </w:t>
      </w:r>
      <w:r>
        <w:t>of the Effective Date.</w:t>
      </w:r>
    </w:p>
    <w:p w:rsidR="00B52F19" w:rsidP="00B52F19">
      <w:pPr>
        <w:numPr>
          <w:ilvl w:val="0"/>
          <w:numId w:val="31"/>
        </w:numPr>
        <w:spacing w:after="120"/>
      </w:pPr>
      <w:r>
        <w:t>The third Instal</w:t>
      </w:r>
      <w:r>
        <w:t>lment Payment in the amount of thirty</w:t>
      </w:r>
      <w:r w:rsidR="00DE3C2C">
        <w:t>-</w:t>
      </w:r>
      <w:r>
        <w:t>two thousand five hundred dollars ($32,500) is due withi</w:t>
      </w:r>
      <w:r w:rsidR="00E421C3">
        <w:t xml:space="preserve">n </w:t>
      </w:r>
      <w:r w:rsidR="002F329F">
        <w:t xml:space="preserve">twenty-four (24) months </w:t>
      </w:r>
      <w:r w:rsidR="00E421C3">
        <w:t>of the Effective Date.</w:t>
      </w:r>
    </w:p>
    <w:p w:rsidR="00E421C3" w:rsidP="00B52F19">
      <w:pPr>
        <w:numPr>
          <w:ilvl w:val="0"/>
          <w:numId w:val="31"/>
        </w:numPr>
        <w:spacing w:after="120"/>
      </w:pPr>
      <w:r>
        <w:t>The fo</w:t>
      </w:r>
      <w:r w:rsidR="00CA7D73">
        <w:t>u</w:t>
      </w:r>
      <w:r>
        <w:t>rth Installment Payment in the amount of thirty</w:t>
      </w:r>
      <w:r w:rsidR="00DE3C2C">
        <w:t>-</w:t>
      </w:r>
      <w:r>
        <w:t xml:space="preserve">two thousand five hundred dollars ($32,500) is due within </w:t>
      </w:r>
      <w:r w:rsidR="002F329F">
        <w:t xml:space="preserve">thirty-six (36) months </w:t>
      </w:r>
      <w:r>
        <w:t>of the Effective Date.</w:t>
      </w:r>
    </w:p>
    <w:p w:rsidR="0038671C" w:rsidP="00123870">
      <w:pPr>
        <w:widowControl/>
        <w:spacing w:after="120"/>
        <w:ind w:firstLine="720"/>
      </w:pPr>
      <w:r>
        <w:t xml:space="preserve">BLU Products acknowledges and agrees that upon execution of this Consent Decree, the Civil Penalty and each Installment Payment shall become a “Claim” or “Debt” as defined in  31 U.S.C. § </w:t>
      </w:r>
      <w:r>
        <w:t>3701(b)(1).</w:t>
      </w:r>
      <w:r>
        <w:rPr>
          <w:rStyle w:val="FootnoteReference"/>
        </w:rPr>
        <w:footnoteReference w:id="41"/>
      </w:r>
      <w:r>
        <w:t xml:space="preserve">  Upon an </w:t>
      </w:r>
      <w:r>
        <w:t>Event of Default (as defined below), all procedures for collection as permitted by law may, at the Commission’s discretion, be initiated.</w:t>
      </w:r>
    </w:p>
    <w:p w:rsidR="0088350A" w:rsidRPr="00AD0726" w:rsidP="0088350A">
      <w:pPr>
        <w:spacing w:after="120"/>
        <w:ind w:firstLine="720"/>
      </w:pPr>
      <w:r>
        <w:t xml:space="preserve">BLU Products </w:t>
      </w:r>
      <w:r w:rsidRPr="007C0B39" w:rsidR="00F82AC0">
        <w:t xml:space="preserve">shall send electronic notification of payment to </w:t>
      </w:r>
      <w:r>
        <w:t xml:space="preserve">Kathy Harvey at </w:t>
      </w:r>
      <w:r w:rsidRPr="006A04FF">
        <w:t>Kathy.Harvey@fcc.gov</w:t>
      </w:r>
      <w:r>
        <w:t xml:space="preserve"> and to </w:t>
      </w:r>
      <w:r w:rsidR="000D23EE">
        <w:t xml:space="preserve">the Spectrum Enforcement Division </w:t>
      </w:r>
      <w:r>
        <w:t xml:space="preserve">at </w:t>
      </w:r>
      <w:r w:rsidRPr="006A04FF">
        <w:t>EB-SED-Response@fcc.gov</w:t>
      </w:r>
      <w:r>
        <w:t xml:space="preserve"> </w:t>
      </w:r>
      <w:r w:rsidRPr="007C0B39" w:rsidR="00F82AC0">
        <w:t xml:space="preserve">on the date said payment is made.  </w:t>
      </w:r>
      <w:r w:rsidRPr="00AD0726">
        <w:t xml:space="preserve">Payment of the Civil Penalty must be made by credit card, ACH (Automated Clearing House) debit from a bank account using </w:t>
      </w:r>
      <w:r>
        <w:t xml:space="preserve">the Commission’s </w:t>
      </w:r>
      <w:r w:rsidRPr="00AD0726">
        <w:t>Fee Filer (</w:t>
      </w:r>
      <w:r>
        <w:t>the Commission’s</w:t>
      </w:r>
      <w:r w:rsidRPr="00AD0726">
        <w:t xml:space="preserve"> online</w:t>
      </w:r>
      <w:r w:rsidRPr="00AD0726">
        <w:t xml:space="preserve"> payment system),</w:t>
      </w:r>
      <w:r>
        <w:rPr>
          <w:rStyle w:val="FootnoteReference"/>
        </w:rPr>
        <w:footnoteReference w:id="42"/>
      </w:r>
      <w:r w:rsidRPr="00AD0726">
        <w:t xml:space="preserve"> or by wire transfer.  </w:t>
      </w:r>
      <w:r>
        <w:t xml:space="preserve">The Commission no longer accepts Civil Penalty payments by check or money order.  </w:t>
      </w:r>
      <w:r w:rsidRPr="00AD0726">
        <w:t xml:space="preserve">Below are instructions that </w:t>
      </w:r>
      <w:r>
        <w:t>p</w:t>
      </w:r>
      <w:r w:rsidRPr="00AD0726">
        <w:t>ayor</w:t>
      </w:r>
      <w:r>
        <w:t>s</w:t>
      </w:r>
      <w:r w:rsidRPr="00AD0726">
        <w:t xml:space="preserve"> should follow based on the form of payment select</w:t>
      </w:r>
      <w:r>
        <w:t>ed</w:t>
      </w:r>
      <w:r w:rsidRPr="00AD0726">
        <w:t>:</w:t>
      </w:r>
      <w:r>
        <w:rPr>
          <w:vertAlign w:val="superscript"/>
        </w:rPr>
        <w:footnoteReference w:id="43"/>
      </w:r>
      <w:r w:rsidRPr="00AD0726">
        <w:t xml:space="preserve"> </w:t>
      </w:r>
    </w:p>
    <w:p w:rsidR="0088350A" w:rsidRPr="00AD0726" w:rsidP="0088350A">
      <w:pPr>
        <w:numPr>
          <w:ilvl w:val="0"/>
          <w:numId w:val="31"/>
        </w:numPr>
        <w:spacing w:after="120"/>
      </w:pPr>
      <w:r w:rsidRPr="00AD0726">
        <w:t xml:space="preserve">Payment by wire transfer must be made to </w:t>
      </w:r>
      <w:r w:rsidRPr="00AD0726">
        <w:t>ABA Number 021030004, receiving bank TREAS/NYC, and Account Number 27000001.  A completed Form 159 must be faxed to the Federal Communications Commission at 202-418-2843 or e-mailed to RROGWireFaxes@fcc.gov on the same business day the wire transfer is ini</w:t>
      </w:r>
      <w:r w:rsidRPr="00AD0726">
        <w:t>tiated.  Failure to provide all required information</w:t>
      </w:r>
      <w:r>
        <w:t xml:space="preserve"> in Form 159</w:t>
      </w:r>
      <w:r w:rsidRPr="00AD0726">
        <w:t xml:space="preserve"> may result in payment not being recognized as having been received. </w:t>
      </w:r>
      <w:r>
        <w:t xml:space="preserve"> When</w:t>
      </w:r>
      <w:r w:rsidRPr="00AD0726">
        <w:t xml:space="preserve"> completing FCC Form 159, enter the Account Number in block number 23A (call sign/other ID), enter the letters “FORF” </w:t>
      </w:r>
      <w:r w:rsidRPr="00AD0726">
        <w:t xml:space="preserve">in block number 24A (payment type code), and </w:t>
      </w:r>
      <w:r>
        <w:t>enter</w:t>
      </w:r>
      <w:r w:rsidRPr="00AD0726">
        <w:t xml:space="preserve"> </w:t>
      </w:r>
      <w:r>
        <w:t xml:space="preserve">in block number 11 </w:t>
      </w:r>
      <w:r w:rsidRPr="00AD0726">
        <w:t>the FRN(s) captioned abov</w:t>
      </w:r>
      <w:r>
        <w:t>e (Payor FRN)</w:t>
      </w:r>
      <w:r w:rsidRPr="00AD0726">
        <w:t>.</w:t>
      </w:r>
      <w:r>
        <w:rPr>
          <w:rStyle w:val="FootnoteReference"/>
        </w:rPr>
        <w:footnoteReference w:id="44"/>
      </w:r>
      <w:r w:rsidRPr="00AD0726">
        <w:t xml:space="preserve">  For additional detail and wire transfer instructions</w:t>
      </w:r>
      <w:r>
        <w:t>,</w:t>
      </w:r>
      <w:r w:rsidRPr="00AD0726">
        <w:t xml:space="preserve"> go to </w:t>
      </w:r>
      <w:r w:rsidRPr="00352538">
        <w:rPr>
          <w:rFonts w:eastAsia="Calibri"/>
          <w:kern w:val="0"/>
        </w:rPr>
        <w:t>https://www.fcc.gov/licensing-databases/fees/wire-transfer</w:t>
      </w:r>
      <w:r w:rsidRPr="00AD0726">
        <w:t xml:space="preserve">.  </w:t>
      </w:r>
    </w:p>
    <w:p w:rsidR="0088350A" w:rsidRPr="00AD0726" w:rsidP="0088350A">
      <w:pPr>
        <w:numPr>
          <w:ilvl w:val="0"/>
          <w:numId w:val="31"/>
        </w:numPr>
        <w:spacing w:after="120"/>
      </w:pPr>
      <w:r w:rsidRPr="00AD0726">
        <w:t>Payment by credit card</w:t>
      </w:r>
      <w:r w:rsidRPr="00AD0726">
        <w:t xml:space="preserve"> must be made by using the </w:t>
      </w:r>
      <w:r>
        <w:t xml:space="preserve">Commission’s </w:t>
      </w:r>
      <w:r w:rsidRPr="00AD0726">
        <w:t xml:space="preserve">Fee Filer website at </w:t>
      </w:r>
      <w:r w:rsidRPr="006A04FF">
        <w:t>https://apps.fcc.gov/FeeFiler/login.cfm</w:t>
      </w:r>
      <w:r w:rsidRPr="00AD0726">
        <w:t xml:space="preserve">.  </w:t>
      </w:r>
      <w:r>
        <w:t xml:space="preserve">To pay by credit card, </w:t>
      </w:r>
      <w:r w:rsidRPr="00AD0726">
        <w:t>log-in using the FRN captioned above.  If payment must be split across FRNs</w:t>
      </w:r>
      <w:r>
        <w:t>,</w:t>
      </w:r>
      <w:r w:rsidRPr="00AD0726">
        <w:t xml:space="preserve"> complete this process for each FRN. </w:t>
      </w:r>
      <w:r>
        <w:t xml:space="preserve"> Next, </w:t>
      </w:r>
      <w:r w:rsidRPr="00AD0726">
        <w:t>select “Pa</w:t>
      </w:r>
      <w:r w:rsidRPr="00AD0726">
        <w:t>y bills” on the Fee Filer Menu</w:t>
      </w:r>
      <w:r>
        <w:t xml:space="preserve">, </w:t>
      </w:r>
      <w:r w:rsidRPr="00AD0726">
        <w:t xml:space="preserve">and select the bill number associated </w:t>
      </w:r>
      <w:r>
        <w:t>with</w:t>
      </w:r>
      <w:r w:rsidRPr="00AD0726">
        <w:t xml:space="preserve"> the </w:t>
      </w:r>
      <w:r w:rsidR="00162D87">
        <w:t xml:space="preserve">CD Acct. No. </w:t>
      </w:r>
      <w:r w:rsidRPr="00AD0726">
        <w:t xml:space="preserve">– the bill number is the </w:t>
      </w:r>
      <w:r w:rsidR="00162D87">
        <w:t>CD Acct. No. with</w:t>
      </w:r>
      <w:r w:rsidRPr="00AD0726">
        <w:t xml:space="preserve"> the first two digits excluded</w:t>
      </w:r>
      <w:r>
        <w:t xml:space="preserve"> – and then choose </w:t>
      </w:r>
      <w:r w:rsidRPr="00AD0726">
        <w:t>the “Pay by Credit Card” option.  Please note</w:t>
      </w:r>
      <w:r>
        <w:t xml:space="preserve"> that</w:t>
      </w:r>
      <w:r w:rsidRPr="00AD0726">
        <w:t xml:space="preserve"> there is a $24,999.99</w:t>
      </w:r>
      <w:r>
        <w:t xml:space="preserve"> </w:t>
      </w:r>
      <w:r w:rsidRPr="00AD0726">
        <w:t>limit on credit card transactions.</w:t>
      </w:r>
    </w:p>
    <w:p w:rsidR="008D216B" w:rsidP="0088350A">
      <w:pPr>
        <w:numPr>
          <w:ilvl w:val="0"/>
          <w:numId w:val="31"/>
        </w:numPr>
        <w:spacing w:after="120"/>
      </w:pPr>
      <w:r w:rsidRPr="00AD0726">
        <w:t>Payment by ACH</w:t>
      </w:r>
      <w:r>
        <w:t xml:space="preserve"> </w:t>
      </w:r>
      <w:r w:rsidRPr="00AD0726">
        <w:t xml:space="preserve">must be made by using the Commission’s Fee Filer website at </w:t>
      </w:r>
      <w:r w:rsidRPr="00352538">
        <w:rPr>
          <w:rFonts w:eastAsia="Calibri"/>
          <w:kern w:val="0"/>
        </w:rPr>
        <w:t>https://apps.fcc.gov/FeeFiler/login.cfm</w:t>
      </w:r>
      <w:r w:rsidRPr="00AD0726">
        <w:t xml:space="preserve">.  </w:t>
      </w:r>
      <w:r>
        <w:t>To pay by ACH,</w:t>
      </w:r>
      <w:r w:rsidRPr="00AD0726">
        <w:t xml:space="preserve"> log</w:t>
      </w:r>
      <w:r>
        <w:t xml:space="preserve"> </w:t>
      </w:r>
      <w:r w:rsidRPr="00AD0726">
        <w:t>in using the FRN captioned above.   If payment must be split across FRNs</w:t>
      </w:r>
      <w:r>
        <w:t>,</w:t>
      </w:r>
      <w:r w:rsidRPr="00AD0726">
        <w:t xml:space="preserve"> complete th</w:t>
      </w:r>
      <w:r w:rsidRPr="00AD0726">
        <w:t xml:space="preserve">is process for each FRN. </w:t>
      </w:r>
      <w:r>
        <w:t xml:space="preserve"> Next, </w:t>
      </w:r>
      <w:r w:rsidRPr="00AD0726">
        <w:t xml:space="preserve">select “Pay bills” on the Fee Filer Menu and then select the bill number associated to the </w:t>
      </w:r>
      <w:r w:rsidR="00162D87">
        <w:t xml:space="preserve">CD Acct. No. </w:t>
      </w:r>
      <w:r w:rsidRPr="00AD0726">
        <w:t xml:space="preserve">– the bill number is the </w:t>
      </w:r>
      <w:r w:rsidR="00162D87">
        <w:t xml:space="preserve">Acct. No. </w:t>
      </w:r>
      <w:r w:rsidRPr="00AD0726">
        <w:t>with the first two digits excluded</w:t>
      </w:r>
      <w:r>
        <w:t xml:space="preserve"> </w:t>
      </w:r>
      <w:r w:rsidRPr="00AD0726">
        <w:t xml:space="preserve">– </w:t>
      </w:r>
      <w:r>
        <w:t xml:space="preserve">and choose </w:t>
      </w:r>
      <w:r w:rsidRPr="00AD0726">
        <w:t xml:space="preserve">the “Pay from Bank Account” option.  </w:t>
      </w:r>
      <w:r>
        <w:t>Please</w:t>
      </w:r>
      <w:r w:rsidRPr="00AD0726">
        <w:t xml:space="preserve"> contact the</w:t>
      </w:r>
      <w:r>
        <w:t xml:space="preserve"> appropriate</w:t>
      </w:r>
      <w:r w:rsidRPr="00AD0726">
        <w:t xml:space="preserve"> financial institution to confirm the correct Routing Number </w:t>
      </w:r>
      <w:r>
        <w:t xml:space="preserve">and the correct account number from which payment will be made and </w:t>
      </w:r>
      <w:r w:rsidRPr="00AD0726">
        <w:t xml:space="preserve">verify with </w:t>
      </w:r>
      <w:r>
        <w:t>that financial institution</w:t>
      </w:r>
      <w:r w:rsidRPr="00AD0726">
        <w:t xml:space="preserve"> that the</w:t>
      </w:r>
      <w:r>
        <w:t xml:space="preserve"> designated</w:t>
      </w:r>
      <w:r w:rsidRPr="00AD0726">
        <w:t xml:space="preserve"> account has authorization to accept </w:t>
      </w:r>
      <w:r>
        <w:t>ACH</w:t>
      </w:r>
      <w:r>
        <w:t xml:space="preserve"> </w:t>
      </w:r>
      <w:r w:rsidRPr="00AD0726">
        <w:t>transactions.</w:t>
      </w:r>
    </w:p>
    <w:p w:rsidR="00F82AC0" w:rsidRPr="00F82AC0" w:rsidP="001B74D4">
      <w:pPr>
        <w:pStyle w:val="ParaNum"/>
      </w:pPr>
      <w:r>
        <w:rPr>
          <w:b/>
          <w:u w:val="single"/>
        </w:rPr>
        <w:t>Event of Default</w:t>
      </w:r>
      <w:r>
        <w:t>.  BLU Products agrees that an Event of Default shall occur upon the failure by BLU Products to pay the full amount of any Installment Payment on or before the due date specified in this Consent Decree.</w:t>
      </w:r>
    </w:p>
    <w:p w:rsidR="00F82AC0" w:rsidRPr="007C0B39" w:rsidP="001B74D4">
      <w:pPr>
        <w:pStyle w:val="ParaNum"/>
      </w:pPr>
      <w:r>
        <w:rPr>
          <w:b/>
          <w:szCs w:val="22"/>
          <w:u w:val="single"/>
        </w:rPr>
        <w:t xml:space="preserve">Interest, </w:t>
      </w:r>
      <w:r>
        <w:rPr>
          <w:b/>
          <w:szCs w:val="22"/>
          <w:u w:val="single"/>
        </w:rPr>
        <w:t>Charges for Collection, and Acceleration of Maturity Date</w:t>
      </w:r>
      <w:r>
        <w:rPr>
          <w:szCs w:val="22"/>
        </w:rPr>
        <w:t>.  After an Event of Default has occurred under this Consent Decree, the then unpaid amount of the Civil Penalty shall accrue interest, computed using the U.S. Prime Rate in effect on the date of the</w:t>
      </w:r>
      <w:r>
        <w:rPr>
          <w:szCs w:val="22"/>
        </w:rPr>
        <w:t xml:space="preserve"> Event of Default plus 4.75%, from the date of the Event of Default until payment in full.  </w:t>
      </w:r>
      <w:r w:rsidR="004659C6">
        <w:rPr>
          <w:szCs w:val="22"/>
        </w:rPr>
        <w:t xml:space="preserve">Upon an Event of Default, the then unpaid amount of the Civil Penalty, together with interest, any penalties permitted and/or required by the </w:t>
      </w:r>
      <w:r w:rsidR="004659C6">
        <w:rPr>
          <w:szCs w:val="22"/>
        </w:rPr>
        <w:t xml:space="preserve">law, including but not limited to 31 U.S.C. § 3717 and administrative charges, plus the costs of collection, litigation, and attorneys’ fees, shall become immediately due and payable, without notice, presentment, demand, protest, or notice of protest of any kind, all of which are waived </w:t>
      </w:r>
      <w:r w:rsidR="009D1914">
        <w:rPr>
          <w:szCs w:val="22"/>
        </w:rPr>
        <w:t xml:space="preserve">by </w:t>
      </w:r>
      <w:r w:rsidR="004659C6">
        <w:rPr>
          <w:szCs w:val="22"/>
        </w:rPr>
        <w:t>BLU Products.</w:t>
      </w:r>
    </w:p>
    <w:bookmarkEnd w:id="13"/>
    <w:p w:rsidR="00E02214" w:rsidRPr="007C0B39" w:rsidP="001B74D4">
      <w:pPr>
        <w:pStyle w:val="ParaNum"/>
      </w:pPr>
      <w:r w:rsidRPr="007C0B39">
        <w:rPr>
          <w:b/>
          <w:u w:val="single"/>
        </w:rPr>
        <w:t>Waivers</w:t>
      </w:r>
      <w:r w:rsidRPr="007C0B39">
        <w:t xml:space="preserve">.  </w:t>
      </w:r>
      <w:r w:rsidRPr="007C0B39" w:rsidR="00CE68FE">
        <w:t xml:space="preserve">As of the Effective Date, </w:t>
      </w:r>
      <w:r w:rsidR="00512DF8">
        <w:t xml:space="preserve">BLU Products </w:t>
      </w:r>
      <w:r w:rsidRPr="007C0B39">
        <w:t xml:space="preserve">waives any and all rights it may have to seek administrative or judicial reconsideration, review, appeal or stay, or to otherwise challenge or contest the validity of this Consent </w:t>
      </w:r>
      <w:r w:rsidRPr="007C0B39">
        <w:t>Decree and the Adoptin</w:t>
      </w:r>
      <w:r w:rsidRPr="007C0B39" w:rsidR="00CE68FE">
        <w:t>g Order</w:t>
      </w:r>
      <w:r w:rsidRPr="007C0B39">
        <w:t xml:space="preserve">.  </w:t>
      </w:r>
      <w:r w:rsidR="00512DF8">
        <w:t xml:space="preserve">BLU Products </w:t>
      </w:r>
      <w:r w:rsidRPr="007C0B39">
        <w:t xml:space="preserve">shall retain the right to challenge Commission interpretation of the Consent Decree or any terms contained herein.  If either Party (or the United States on behalf of the Commission) brings a judicial action to </w:t>
      </w:r>
      <w:r w:rsidRPr="007C0B39">
        <w:t xml:space="preserve">enforce the terms of the </w:t>
      </w:r>
      <w:r w:rsidRPr="007C0B39" w:rsidR="00CE68FE">
        <w:t xml:space="preserve">Consent Decree or </w:t>
      </w:r>
      <w:r w:rsidRPr="007C0B39" w:rsidR="00582BA0">
        <w:t xml:space="preserve">the </w:t>
      </w:r>
      <w:r w:rsidRPr="007C0B39">
        <w:t xml:space="preserve">Adopting Order, neither </w:t>
      </w:r>
      <w:r w:rsidR="00512DF8">
        <w:t xml:space="preserve">BLU Products </w:t>
      </w:r>
      <w:r w:rsidRPr="007C0B39">
        <w:t xml:space="preserve">nor the Commission shall contest the validity of the Consent Decree or the Adopting Order, and </w:t>
      </w:r>
      <w:r w:rsidR="00EA248B">
        <w:t xml:space="preserve">BLU Products </w:t>
      </w:r>
      <w:r w:rsidRPr="007C0B39">
        <w:t xml:space="preserve">shall waive any statutory right to a trial </w:t>
      </w:r>
      <w:r w:rsidRPr="007C0B39">
        <w:rPr>
          <w:i/>
        </w:rPr>
        <w:t>de novo</w:t>
      </w:r>
      <w:r w:rsidRPr="007C0B39">
        <w:t xml:space="preserve">.  </w:t>
      </w:r>
      <w:r w:rsidR="00EA248B">
        <w:t xml:space="preserve">BLU Products </w:t>
      </w:r>
      <w:r w:rsidRPr="007C0B39">
        <w:t>hereby agrees to waive any claims it may otherwise have under the Equal Access to Justice Act</w:t>
      </w:r>
      <w:r>
        <w:rPr>
          <w:rStyle w:val="FootnoteReference"/>
          <w:szCs w:val="22"/>
        </w:rPr>
        <w:footnoteReference w:id="45"/>
      </w:r>
      <w:r w:rsidRPr="007C0B39">
        <w:t xml:space="preserve"> relating to the matters addressed in this Consent Decree.</w:t>
      </w:r>
    </w:p>
    <w:p w:rsidR="003F5CF7" w:rsidRPr="007C0B39" w:rsidP="001B74D4">
      <w:pPr>
        <w:pStyle w:val="ParaNum"/>
        <w:rPr>
          <w:szCs w:val="22"/>
        </w:rPr>
      </w:pPr>
      <w:r w:rsidRPr="007C0B39">
        <w:rPr>
          <w:b/>
          <w:szCs w:val="22"/>
          <w:u w:val="single"/>
        </w:rPr>
        <w:t>Severability</w:t>
      </w:r>
      <w:r w:rsidRPr="007C0B39">
        <w:rPr>
          <w:szCs w:val="22"/>
        </w:rPr>
        <w:t>.  The Parties agree that if any of the provisio</w:t>
      </w:r>
      <w:r w:rsidRPr="007C0B39" w:rsidR="00E3009C">
        <w:rPr>
          <w:szCs w:val="22"/>
        </w:rPr>
        <w:t xml:space="preserve">ns of the </w:t>
      </w:r>
      <w:r w:rsidRPr="007C0B39">
        <w:rPr>
          <w:szCs w:val="22"/>
        </w:rPr>
        <w:t xml:space="preserve">Consent Decree shall be </w:t>
      </w:r>
      <w:r w:rsidRPr="007C0B39" w:rsidR="00926FC4">
        <w:rPr>
          <w:szCs w:val="22"/>
        </w:rPr>
        <w:t xml:space="preserve">held </w:t>
      </w:r>
      <w:r w:rsidRPr="007C0B39">
        <w:rPr>
          <w:szCs w:val="22"/>
        </w:rPr>
        <w:t>un</w:t>
      </w:r>
      <w:r w:rsidRPr="007C0B39">
        <w:rPr>
          <w:szCs w:val="22"/>
        </w:rPr>
        <w:t>enforceable</w:t>
      </w:r>
      <w:r w:rsidRPr="007C0B39" w:rsidR="00926FC4">
        <w:rPr>
          <w:szCs w:val="22"/>
        </w:rPr>
        <w:t xml:space="preserve"> by any court of competent jurisdiction</w:t>
      </w:r>
      <w:r w:rsidRPr="007C0B39">
        <w:rPr>
          <w:szCs w:val="22"/>
        </w:rPr>
        <w:t>, such unenforceability shall not render unenforceab</w:t>
      </w:r>
      <w:r w:rsidRPr="007C0B39" w:rsidR="00E3009C">
        <w:rPr>
          <w:szCs w:val="22"/>
        </w:rPr>
        <w:t xml:space="preserve">le the entire </w:t>
      </w:r>
      <w:r w:rsidRPr="007C0B39">
        <w:rPr>
          <w:szCs w:val="22"/>
        </w:rPr>
        <w:t>Consent Decree, but rath</w:t>
      </w:r>
      <w:r w:rsidRPr="007C0B39" w:rsidR="00E3009C">
        <w:rPr>
          <w:szCs w:val="22"/>
        </w:rPr>
        <w:t xml:space="preserve">er the entire </w:t>
      </w:r>
      <w:r w:rsidRPr="007C0B39">
        <w:rPr>
          <w:szCs w:val="22"/>
        </w:rPr>
        <w:t>Consent Decree shall be construed as if not containing the particular unenforceable provision or provi</w:t>
      </w:r>
      <w:r w:rsidRPr="007C0B39">
        <w:rPr>
          <w:szCs w:val="22"/>
        </w:rPr>
        <w:t>sions, and the rights and obligations of the Parties shall be construed and enforced accordingly.</w:t>
      </w:r>
    </w:p>
    <w:p w:rsidR="00E02214" w:rsidRPr="007C0B39" w:rsidP="001B74D4">
      <w:pPr>
        <w:pStyle w:val="ParaNum"/>
        <w:rPr>
          <w:szCs w:val="22"/>
        </w:rPr>
      </w:pPr>
      <w:r w:rsidRPr="007C0B39">
        <w:rPr>
          <w:b/>
          <w:szCs w:val="22"/>
          <w:u w:val="single"/>
        </w:rPr>
        <w:t>Invalidity</w:t>
      </w:r>
      <w:r w:rsidRPr="007C0B39">
        <w:rPr>
          <w:szCs w:val="22"/>
        </w:rPr>
        <w:t>.  In the event that this Consent Decree in its entirety is rendered invalid by any court of competent jurisdiction, it shall become null and void a</w:t>
      </w:r>
      <w:r w:rsidRPr="007C0B39">
        <w:rPr>
          <w:szCs w:val="22"/>
        </w:rPr>
        <w:t>nd may not be used in any manner in any legal proceeding.</w:t>
      </w:r>
    </w:p>
    <w:p w:rsidR="00E02214" w:rsidRPr="007C0B39" w:rsidP="001B74D4">
      <w:pPr>
        <w:pStyle w:val="ParaNum"/>
      </w:pPr>
      <w:r w:rsidRPr="007C0B39">
        <w:rPr>
          <w:b/>
          <w:u w:val="single"/>
        </w:rPr>
        <w:t>Subsequent Rule or Order</w:t>
      </w:r>
      <w:r w:rsidRPr="007C0B39">
        <w:t>.  The Parties agree that if any provision of the Consent Decree</w:t>
      </w:r>
      <w:r w:rsidRPr="007C0B39" w:rsidR="00F26C20">
        <w:t xml:space="preserve"> conflicts with any subsequent Rule or </w:t>
      </w:r>
      <w:r w:rsidR="008D216B">
        <w:t>o</w:t>
      </w:r>
      <w:r w:rsidRPr="007C0B39">
        <w:t>rder adopted by the Commission (e</w:t>
      </w:r>
      <w:r w:rsidRPr="007C0B39" w:rsidR="00F26C20">
        <w:t xml:space="preserve">xcept an </w:t>
      </w:r>
      <w:r w:rsidR="008D216B">
        <w:t>o</w:t>
      </w:r>
      <w:r w:rsidRPr="007C0B39">
        <w:t xml:space="preserve">rder specifically intended to revise the terms of this Consent Decree to which </w:t>
      </w:r>
      <w:r w:rsidR="00EA248B">
        <w:t xml:space="preserve">BLU Products </w:t>
      </w:r>
      <w:r w:rsidRPr="007C0B39">
        <w:t xml:space="preserve">does not expressly consent) that provision will be superseded by such </w:t>
      </w:r>
      <w:r w:rsidRPr="007C0B39" w:rsidR="00F26C20">
        <w:t>R</w:t>
      </w:r>
      <w:r w:rsidRPr="007C0B39" w:rsidR="0096758E">
        <w:t xml:space="preserve">ule or </w:t>
      </w:r>
      <w:r w:rsidR="008D216B">
        <w:t>o</w:t>
      </w:r>
      <w:r w:rsidRPr="007C0B39">
        <w:t>rder.</w:t>
      </w:r>
    </w:p>
    <w:p w:rsidR="00E02214" w:rsidRPr="007C0B39" w:rsidP="001B74D4">
      <w:pPr>
        <w:pStyle w:val="ParaNum"/>
      </w:pPr>
      <w:r w:rsidRPr="007C0B39">
        <w:rPr>
          <w:b/>
          <w:u w:val="single"/>
        </w:rPr>
        <w:t>Successors and Assigns</w:t>
      </w:r>
      <w:r w:rsidRPr="007C0B39">
        <w:t xml:space="preserve">.  </w:t>
      </w:r>
      <w:r w:rsidR="00EA248B">
        <w:t xml:space="preserve">BLU Products </w:t>
      </w:r>
      <w:r w:rsidRPr="007C0B39">
        <w:t>agrees that the provisions of this Consen</w:t>
      </w:r>
      <w:r w:rsidRPr="007C0B39">
        <w:t>t Decree shall be binding on its successors, assigns, and transferees.</w:t>
      </w:r>
    </w:p>
    <w:p w:rsidR="00E02214" w:rsidRPr="007C0B39" w:rsidP="001B74D4">
      <w:pPr>
        <w:pStyle w:val="ParaNum"/>
        <w:rPr>
          <w:szCs w:val="22"/>
        </w:rPr>
      </w:pPr>
      <w:r w:rsidRPr="007C0B39">
        <w:rPr>
          <w:b/>
          <w:szCs w:val="22"/>
          <w:u w:val="single"/>
        </w:rPr>
        <w:t>Final Settlement</w:t>
      </w:r>
      <w:r w:rsidRPr="007C0B39">
        <w:rPr>
          <w:szCs w:val="22"/>
        </w:rPr>
        <w:t>.  The Parties agree and acknowledge that this Consent Decree shall constitute a final settlement between the Parties with respect to the Investigation.</w:t>
      </w:r>
      <w:r w:rsidRPr="0004267E" w:rsidR="004620CB">
        <w:rPr>
          <w:szCs w:val="22"/>
        </w:rPr>
        <w:t xml:space="preserve">  </w:t>
      </w:r>
    </w:p>
    <w:p w:rsidR="00E02214" w:rsidRPr="007C0B39" w:rsidP="002755D1">
      <w:pPr>
        <w:pStyle w:val="ParaNum"/>
        <w:widowControl/>
        <w:rPr>
          <w:szCs w:val="22"/>
        </w:rPr>
      </w:pPr>
      <w:r w:rsidRPr="007C0B39">
        <w:rPr>
          <w:b/>
          <w:szCs w:val="22"/>
          <w:u w:val="single"/>
        </w:rPr>
        <w:t>Modifications</w:t>
      </w:r>
      <w:r w:rsidRPr="007C0B39">
        <w:rPr>
          <w:szCs w:val="22"/>
        </w:rPr>
        <w:t xml:space="preserve">.  This Consent Decree cannot </w:t>
      </w:r>
      <w:r w:rsidRPr="007C0B39">
        <w:t>be</w:t>
      </w:r>
      <w:r w:rsidRPr="007C0B39">
        <w:rPr>
          <w:szCs w:val="22"/>
        </w:rPr>
        <w:t xml:space="preserve"> modified without the advance written consent of both Parties.</w:t>
      </w:r>
    </w:p>
    <w:p w:rsidR="00E02214" w:rsidRPr="007C0B39" w:rsidP="008A2AD9">
      <w:pPr>
        <w:pStyle w:val="ParaNum"/>
        <w:widowControl/>
        <w:rPr>
          <w:szCs w:val="22"/>
        </w:rPr>
      </w:pPr>
      <w:r w:rsidRPr="007C0B39">
        <w:rPr>
          <w:b/>
          <w:szCs w:val="22"/>
          <w:u w:val="single"/>
        </w:rPr>
        <w:t>Paragraph Headings</w:t>
      </w:r>
      <w:r w:rsidRPr="007C0B39">
        <w:rPr>
          <w:szCs w:val="22"/>
        </w:rPr>
        <w:t xml:space="preserve">.  The headings of the </w:t>
      </w:r>
      <w:r w:rsidRPr="007C0B39">
        <w:t>paragraphs</w:t>
      </w:r>
      <w:r w:rsidRPr="007C0B39">
        <w:rPr>
          <w:szCs w:val="22"/>
        </w:rPr>
        <w:t xml:space="preserve"> in this Consent Decree are inserted for convenience only and are not intended to affect the mean</w:t>
      </w:r>
      <w:r w:rsidRPr="007C0B39">
        <w:rPr>
          <w:szCs w:val="22"/>
        </w:rPr>
        <w:t>ing or interpretation of this Consent Decree.</w:t>
      </w:r>
    </w:p>
    <w:p w:rsidR="003329C5" w:rsidRPr="007C0B39" w:rsidP="00E43C74">
      <w:pPr>
        <w:pStyle w:val="ParaNum"/>
        <w:widowControl/>
        <w:rPr>
          <w:szCs w:val="22"/>
        </w:rPr>
      </w:pPr>
      <w:r w:rsidRPr="007C0B39">
        <w:rPr>
          <w:b/>
          <w:szCs w:val="22"/>
          <w:u w:val="single"/>
        </w:rPr>
        <w:t>Authorized Representative</w:t>
      </w:r>
      <w:r w:rsidRPr="007C0B39">
        <w:rPr>
          <w:szCs w:val="22"/>
        </w:rPr>
        <w:t xml:space="preserve">. </w:t>
      </w:r>
      <w:r w:rsidRPr="007C0B39" w:rsidR="00B73A30">
        <w:rPr>
          <w:szCs w:val="22"/>
        </w:rPr>
        <w:t xml:space="preserve"> </w:t>
      </w:r>
      <w:r w:rsidRPr="007C0B39" w:rsidR="005D5341">
        <w:rPr>
          <w:szCs w:val="22"/>
        </w:rPr>
        <w:t xml:space="preserve">Each Party </w:t>
      </w:r>
      <w:r w:rsidRPr="007C0B39" w:rsidR="005D5341">
        <w:t>represents</w:t>
      </w:r>
      <w:r w:rsidRPr="007C0B39" w:rsidR="005D5341">
        <w:rPr>
          <w:szCs w:val="22"/>
        </w:rPr>
        <w:t xml:space="preserve">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E02214" w:rsidRPr="007C0B39" w:rsidP="0032500F">
      <w:pPr>
        <w:pStyle w:val="ParaNum"/>
        <w:keepNext/>
        <w:keepLines/>
        <w:rPr>
          <w:szCs w:val="22"/>
        </w:rPr>
      </w:pPr>
      <w:r w:rsidRPr="007C0B39">
        <w:rPr>
          <w:b/>
          <w:u w:val="single"/>
        </w:rPr>
        <w:t>Counterparts</w:t>
      </w:r>
      <w:r w:rsidRPr="007C0B39">
        <w:rPr>
          <w:szCs w:val="22"/>
        </w:rPr>
        <w:t xml:space="preserve">.  </w:t>
      </w:r>
      <w:r w:rsidRPr="007C0B39" w:rsidR="00BB440F">
        <w:rPr>
          <w:szCs w:val="22"/>
        </w:rPr>
        <w:t xml:space="preserve">This Consent Decree may be </w:t>
      </w:r>
      <w:r w:rsidRPr="007C0B39" w:rsidR="00BB440F">
        <w:t>signed</w:t>
      </w:r>
      <w:r w:rsidRPr="007C0B39" w:rsidR="00BB440F">
        <w:rPr>
          <w:szCs w:val="22"/>
        </w:rPr>
        <w:t xml:space="preserve"> in counterpart (including </w:t>
      </w:r>
      <w:r w:rsidRPr="007C0B39" w:rsidR="008A2AD9">
        <w:rPr>
          <w:szCs w:val="22"/>
        </w:rPr>
        <w:t xml:space="preserve">electronically or </w:t>
      </w:r>
      <w:r w:rsidRPr="007C0B39" w:rsidR="00BB440F">
        <w:rPr>
          <w:szCs w:val="22"/>
        </w:rPr>
        <w:t>by facsimile).  Each counterpart, when executed and delivered, shall be an original, and all of the counterparts together shall constitute one and the same fully executed instrument.</w:t>
      </w:r>
    </w:p>
    <w:p w:rsidR="00E24E9F" w:rsidRPr="007C0B39" w:rsidP="00DE3C2C">
      <w:pPr>
        <w:keepNext/>
        <w:keepLines/>
      </w:pPr>
    </w:p>
    <w:p w:rsidR="00E24E9F" w:rsidP="00DE3C2C">
      <w:pPr>
        <w:keepNext/>
        <w:keepLines/>
      </w:pPr>
    </w:p>
    <w:p w:rsidR="00DE3C2C" w:rsidRPr="007C0B39" w:rsidP="00DE3C2C">
      <w:pPr>
        <w:keepNext/>
        <w:keepLines/>
      </w:pPr>
    </w:p>
    <w:p w:rsidR="00E24E9F" w:rsidRPr="007C0B39" w:rsidP="00DE3C2C">
      <w:pPr>
        <w:keepNext/>
        <w:keepLines/>
      </w:pPr>
      <w:r w:rsidRPr="007C0B39">
        <w:t>________________________________</w:t>
      </w:r>
    </w:p>
    <w:p w:rsidR="00E24E9F" w:rsidP="00DE3C2C">
      <w:pPr>
        <w:keepNext/>
        <w:keepLines/>
      </w:pPr>
      <w:r>
        <w:t>Rosemary C. Harold</w:t>
      </w:r>
    </w:p>
    <w:p w:rsidR="00374B8D" w:rsidRPr="007C0B39" w:rsidP="00DE3C2C">
      <w:pPr>
        <w:keepNext/>
        <w:keepLines/>
      </w:pPr>
      <w:r>
        <w:t>Chief</w:t>
      </w:r>
    </w:p>
    <w:p w:rsidR="00E24E9F" w:rsidRPr="007C0B39" w:rsidP="00DE3C2C">
      <w:pPr>
        <w:keepNext/>
        <w:keepLines/>
      </w:pPr>
      <w:r w:rsidRPr="007C0B39">
        <w:t>Enforcement Bureau</w:t>
      </w:r>
    </w:p>
    <w:p w:rsidR="00E24E9F" w:rsidRPr="007C0B39" w:rsidP="009A17A5">
      <w:pPr>
        <w:keepNext/>
        <w:keepLines/>
      </w:pPr>
    </w:p>
    <w:p w:rsidR="00E24E9F" w:rsidRPr="007C0B39" w:rsidP="009A17A5">
      <w:pPr>
        <w:keepNext/>
        <w:keepLines/>
      </w:pPr>
    </w:p>
    <w:p w:rsidR="00E24E9F" w:rsidRPr="007C0B39" w:rsidP="009A17A5">
      <w:pPr>
        <w:keepNext/>
        <w:keepLines/>
      </w:pPr>
      <w:r w:rsidRPr="007C0B39">
        <w:t>________________________________</w:t>
      </w:r>
    </w:p>
    <w:p w:rsidR="00E24E9F" w:rsidRPr="007C0B39" w:rsidP="009A17A5">
      <w:pPr>
        <w:keepNext/>
        <w:keepLines/>
      </w:pPr>
      <w:r w:rsidRPr="007C0B39">
        <w:t>Date</w:t>
      </w:r>
    </w:p>
    <w:p w:rsidR="00E24E9F" w:rsidRPr="007C0B39" w:rsidP="009A17A5">
      <w:pPr>
        <w:keepNext/>
        <w:keepLines/>
      </w:pPr>
    </w:p>
    <w:p w:rsidR="00E24E9F" w:rsidRPr="007C0B39" w:rsidP="00710CC1">
      <w:pPr>
        <w:keepLines/>
      </w:pPr>
    </w:p>
    <w:p w:rsidR="00E24E9F" w:rsidRPr="007C0B39" w:rsidP="00710CC1">
      <w:pPr>
        <w:keepLines/>
      </w:pPr>
    </w:p>
    <w:p w:rsidR="00E24E9F" w:rsidRPr="007C0B39" w:rsidP="00710CC1">
      <w:pPr>
        <w:keepLines/>
      </w:pPr>
      <w:r w:rsidRPr="007C0B39">
        <w:t>________________________________</w:t>
      </w:r>
    </w:p>
    <w:p w:rsidR="00EE1291" w:rsidRPr="007C0B39" w:rsidP="00710CC1">
      <w:pPr>
        <w:keepLines/>
      </w:pPr>
      <w:r>
        <w:t>Michael Ohevzion</w:t>
      </w:r>
    </w:p>
    <w:p w:rsidR="00EE1291" w:rsidRPr="007C0B39" w:rsidP="00710CC1">
      <w:pPr>
        <w:keepLines/>
      </w:pPr>
      <w:r>
        <w:t>Chief Operating Officer</w:t>
      </w:r>
    </w:p>
    <w:p w:rsidR="00E24E9F" w:rsidRPr="007C0B39" w:rsidP="00710CC1">
      <w:pPr>
        <w:keepLines/>
      </w:pPr>
      <w:r>
        <w:t>BLU Products, Inc.</w:t>
      </w:r>
    </w:p>
    <w:p w:rsidR="00E24E9F" w:rsidRPr="007C0B39" w:rsidP="00710CC1">
      <w:pPr>
        <w:keepLines/>
      </w:pPr>
    </w:p>
    <w:p w:rsidR="00E24E9F" w:rsidRPr="007C0B39" w:rsidP="00710CC1">
      <w:pPr>
        <w:keepLines/>
      </w:pPr>
      <w:r w:rsidRPr="007C0B39">
        <w:t>________________________________</w:t>
      </w:r>
    </w:p>
    <w:p w:rsidR="00E24E9F" w:rsidRPr="002C00E8" w:rsidP="002755D1">
      <w:pPr>
        <w:keepLines/>
      </w:pPr>
      <w:r w:rsidRPr="007C0B39">
        <w:t>Date</w:t>
      </w:r>
    </w:p>
    <w:sectPr w:rsidSect="00302835">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AAA" w:rsidP="00453A9E">
    <w:pPr>
      <w:pStyle w:val="Footer"/>
      <w:jc w:val="center"/>
    </w:pPr>
    <w:r>
      <w:fldChar w:fldCharType="begin"/>
    </w:r>
    <w:r>
      <w:instrText xml:space="preserve"> PAGE   \* MERGEFORMAT </w:instrText>
    </w:r>
    <w:r>
      <w:fldChar w:fldCharType="separate"/>
    </w:r>
    <w:r w:rsidR="00F82AC0">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51C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5148B">
      <w:r>
        <w:separator/>
      </w:r>
    </w:p>
  </w:footnote>
  <w:footnote w:type="continuationSeparator" w:id="1">
    <w:p w:rsidR="00A5148B" w:rsidP="00C721AC">
      <w:pPr>
        <w:spacing w:before="120"/>
        <w:rPr>
          <w:sz w:val="20"/>
        </w:rPr>
      </w:pPr>
      <w:r>
        <w:rPr>
          <w:sz w:val="20"/>
        </w:rPr>
        <w:t xml:space="preserve">(Continued from previous page)  </w:t>
      </w:r>
      <w:r>
        <w:rPr>
          <w:sz w:val="20"/>
        </w:rPr>
        <w:separator/>
      </w:r>
    </w:p>
  </w:footnote>
  <w:footnote w:type="continuationNotice" w:id="2">
    <w:p w:rsidR="00A5148B" w:rsidP="00C721AC">
      <w:pPr>
        <w:jc w:val="right"/>
        <w:rPr>
          <w:sz w:val="20"/>
        </w:rPr>
      </w:pPr>
    </w:p>
  </w:footnote>
  <w:footnote w:id="3">
    <w:p w:rsidR="00094EEE" w:rsidP="00094EEE">
      <w:pPr>
        <w:pStyle w:val="FootnoteText"/>
      </w:pPr>
      <w:r>
        <w:rPr>
          <w:rStyle w:val="FootnoteReference"/>
        </w:rPr>
        <w:footnoteRef/>
      </w:r>
      <w:r>
        <w:t xml:space="preserve"> 47 U.S.C. § 302a(b).</w:t>
      </w:r>
    </w:p>
  </w:footnote>
  <w:footnote w:id="4">
    <w:p w:rsidR="00094EEE" w:rsidP="00094EEE">
      <w:pPr>
        <w:pStyle w:val="FootnoteText"/>
      </w:pPr>
      <w:r>
        <w:rPr>
          <w:rStyle w:val="FootnoteReference"/>
        </w:rPr>
        <w:footnoteRef/>
      </w:r>
      <w:r>
        <w:t xml:space="preserve"> 47 CFR § 2.803, 2.1043, 2.1093, 15.19, 15.21.  </w:t>
      </w:r>
    </w:p>
  </w:footnote>
  <w:footnote w:id="5">
    <w:p w:rsidR="00094EEE" w:rsidRPr="00F74D07" w:rsidP="00094EEE">
      <w:pPr>
        <w:pStyle w:val="FootnoteText"/>
      </w:pPr>
      <w:r>
        <w:rPr>
          <w:rStyle w:val="FootnoteReference"/>
        </w:rPr>
        <w:footnoteRef/>
      </w:r>
      <w:r>
        <w:t xml:space="preserve"> </w:t>
      </w:r>
      <w:r>
        <w:rPr>
          <w:i/>
        </w:rPr>
        <w:t xml:space="preserve">See </w:t>
      </w:r>
      <w:r w:rsidRPr="00C02BC8">
        <w:rPr>
          <w:i/>
        </w:rPr>
        <w:t>id</w:t>
      </w:r>
      <w:r>
        <w:t>.  § 1.93(b).</w:t>
      </w:r>
    </w:p>
  </w:footnote>
  <w:footnote w:id="6">
    <w:p w:rsidR="00094EEE" w:rsidRPr="00D84548" w:rsidP="00094EEE">
      <w:pPr>
        <w:pStyle w:val="FootnoteText"/>
      </w:pPr>
      <w:r w:rsidRPr="00D84548">
        <w:rPr>
          <w:rStyle w:val="FootnoteReference"/>
        </w:rPr>
        <w:footnoteRef/>
      </w:r>
      <w:r w:rsidRPr="00D84548">
        <w:t xml:space="preserve"> </w:t>
      </w:r>
      <w:r w:rsidRPr="00D84548">
        <w:rPr>
          <w:szCs w:val="22"/>
        </w:rPr>
        <w:t>47 U.S.C. § 154(i).</w:t>
      </w:r>
    </w:p>
  </w:footnote>
  <w:footnote w:id="7">
    <w:p w:rsidR="00094EEE" w:rsidP="00094EEE">
      <w:pPr>
        <w:pStyle w:val="FootnoteText"/>
      </w:pPr>
      <w:r w:rsidRPr="00D84548">
        <w:rPr>
          <w:rStyle w:val="FootnoteReference"/>
        </w:rPr>
        <w:footnoteRef/>
      </w:r>
      <w:r w:rsidRPr="00D84548">
        <w:t xml:space="preserve"> </w:t>
      </w:r>
      <w:r>
        <w:rPr>
          <w:szCs w:val="22"/>
        </w:rPr>
        <w:t>47 CFR</w:t>
      </w:r>
      <w:r w:rsidRPr="00D84548">
        <w:rPr>
          <w:szCs w:val="22"/>
        </w:rPr>
        <w:t xml:space="preserve"> §§ 0.111, 0.311.</w:t>
      </w:r>
    </w:p>
  </w:footnote>
  <w:footnote w:id="8">
    <w:p w:rsidR="00317554" w:rsidP="00317554">
      <w:pPr>
        <w:pStyle w:val="FootnoteText"/>
      </w:pPr>
      <w:r>
        <w:rPr>
          <w:rStyle w:val="FootnoteReference"/>
        </w:rPr>
        <w:footnoteRef/>
      </w:r>
      <w:r>
        <w:t xml:space="preserve"> 47 U.S.C. §</w:t>
      </w:r>
      <w:r w:rsidR="00D93A87">
        <w:t xml:space="preserve"> </w:t>
      </w:r>
      <w:r>
        <w:t>302a(b).</w:t>
      </w:r>
    </w:p>
  </w:footnote>
  <w:footnote w:id="9">
    <w:p w:rsidR="00317554" w:rsidP="00317554">
      <w:pPr>
        <w:pStyle w:val="FootnoteText"/>
      </w:pPr>
      <w:r>
        <w:rPr>
          <w:rStyle w:val="FootnoteReference"/>
        </w:rPr>
        <w:footnoteRef/>
      </w:r>
      <w:r>
        <w:t xml:space="preserve"> 47 CFR §§ 2.803(b)(1), 2.1043(b)(2), 2.1093(d)(2), 15.19(a)(3), 15.21.</w:t>
      </w:r>
      <w:r w:rsidR="00513E08">
        <w:t xml:space="preserve">  </w:t>
      </w:r>
    </w:p>
  </w:footnote>
  <w:footnote w:id="10">
    <w:p w:rsidR="00843A5F">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11">
    <w:p w:rsidR="00B32C6E">
      <w:pPr>
        <w:pStyle w:val="FootnoteText"/>
      </w:pPr>
      <w:r>
        <w:rPr>
          <w:rStyle w:val="FootnoteReference"/>
        </w:rPr>
        <w:footnoteRef/>
      </w:r>
      <w:r>
        <w:t xml:space="preserve"> </w:t>
      </w:r>
      <w:r w:rsidRPr="00B32C6E">
        <w:rPr>
          <w:i/>
        </w:rPr>
        <w:t>Id</w:t>
      </w:r>
      <w:r>
        <w:t>. § 302a(b).</w:t>
      </w:r>
    </w:p>
  </w:footnote>
  <w:footnote w:id="12">
    <w:p w:rsidR="00513E08">
      <w:pPr>
        <w:pStyle w:val="FootnoteText"/>
      </w:pPr>
      <w:r>
        <w:rPr>
          <w:rStyle w:val="FootnoteReference"/>
        </w:rPr>
        <w:footnoteRef/>
      </w:r>
      <w:r>
        <w:t xml:space="preserve"> 47 CFR §§ 2.803, 2.1043, 15.19, 15.21.</w:t>
      </w:r>
    </w:p>
  </w:footnote>
  <w:footnote w:id="13">
    <w:p w:rsidR="000A1EC3">
      <w:pPr>
        <w:pStyle w:val="FootnoteText"/>
      </w:pPr>
      <w:r>
        <w:rPr>
          <w:rStyle w:val="FootnoteReference"/>
        </w:rPr>
        <w:footnoteRef/>
      </w:r>
      <w:r>
        <w:t xml:space="preserve"> </w:t>
      </w:r>
      <w:r w:rsidRPr="00F902D0">
        <w:rPr>
          <w:i/>
        </w:rPr>
        <w:t>See</w:t>
      </w:r>
      <w:r>
        <w:rPr>
          <w:i/>
        </w:rPr>
        <w:t>, e.g.,</w:t>
      </w:r>
      <w:r>
        <w:t xml:space="preserve"> Letter of Inquiry from Elizabeth Y. Mumaw, Chief, Spectrum Enforcement Division, FCC </w:t>
      </w:r>
      <w:r>
        <w:t>Enforcement Bureau, to Samuel Ohev-Zion, President, BLU Products, Inc. (Nov. 7, 2018)</w:t>
      </w:r>
      <w:r w:rsidR="005C62E7">
        <w:t xml:space="preserve"> (L</w:t>
      </w:r>
      <w:r w:rsidR="00F92C87">
        <w:t>etter of Inquiry</w:t>
      </w:r>
      <w:r w:rsidR="005C62E7">
        <w:t>)</w:t>
      </w:r>
      <w:r>
        <w:t>; Supplemental Letter of Inquiry from Elizabeth Y. Mumaw, Chief, Spectrum Enforcement Division, FCC Enforcement Bureau, to Samuel Ohev-Zion, President,</w:t>
      </w:r>
      <w:r>
        <w:t xml:space="preserve"> BLU Products, Inc. and Roy E. Nelson, Esq., Egozi &amp; Bennet, P.A. (Mar. 12, 2019) (both on file in EB-SED-18-00027959).</w:t>
      </w:r>
    </w:p>
  </w:footnote>
  <w:footnote w:id="14">
    <w:p w:rsidR="00987C46" w:rsidRPr="00C60235" w:rsidP="00987C46">
      <w:pPr>
        <w:widowControl/>
        <w:autoSpaceDE w:val="0"/>
        <w:autoSpaceDN w:val="0"/>
        <w:adjustRightInd w:val="0"/>
        <w:rPr>
          <w:snapToGrid/>
          <w:kern w:val="0"/>
          <w:sz w:val="20"/>
          <w:highlight w:val="yellow"/>
        </w:rPr>
      </w:pPr>
      <w:r>
        <w:rPr>
          <w:rStyle w:val="FootnoteReference"/>
        </w:rPr>
        <w:footnoteRef/>
      </w:r>
      <w:r>
        <w:t xml:space="preserve"> </w:t>
      </w:r>
      <w:r w:rsidRPr="00766BD9">
        <w:rPr>
          <w:sz w:val="20"/>
        </w:rPr>
        <w:t>47 CFR §§</w:t>
      </w:r>
      <w:r w:rsidRPr="00766BD9" w:rsidR="003432AA">
        <w:rPr>
          <w:sz w:val="20"/>
        </w:rPr>
        <w:t xml:space="preserve"> </w:t>
      </w:r>
      <w:r w:rsidRPr="00766BD9" w:rsidR="00406E5F">
        <w:rPr>
          <w:sz w:val="20"/>
        </w:rPr>
        <w:t xml:space="preserve">1.1310(c); </w:t>
      </w:r>
      <w:r w:rsidRPr="00766BD9">
        <w:rPr>
          <w:sz w:val="20"/>
        </w:rPr>
        <w:t>2.1093</w:t>
      </w:r>
      <w:r w:rsidRPr="00766BD9" w:rsidR="00406E5F">
        <w:rPr>
          <w:sz w:val="20"/>
        </w:rPr>
        <w:t>(d)(2)</w:t>
      </w:r>
      <w:r w:rsidRPr="00766BD9">
        <w:rPr>
          <w:sz w:val="20"/>
        </w:rPr>
        <w:t xml:space="preserve"> (2019); </w:t>
      </w:r>
      <w:r w:rsidRPr="00766BD9">
        <w:rPr>
          <w:i/>
          <w:sz w:val="20"/>
        </w:rPr>
        <w:t>see id.</w:t>
      </w:r>
      <w:r w:rsidRPr="00766BD9">
        <w:rPr>
          <w:sz w:val="20"/>
        </w:rPr>
        <w:t xml:space="preserve"> 47 CFR §§ 1.1310(c); 2.1093(d)(1); </w:t>
      </w:r>
      <w:r w:rsidRPr="00766BD9">
        <w:rPr>
          <w:i/>
          <w:sz w:val="20"/>
        </w:rPr>
        <w:t>see also</w:t>
      </w:r>
      <w:r>
        <w:t xml:space="preserve"> </w:t>
      </w:r>
      <w:r w:rsidRPr="00C249D7">
        <w:rPr>
          <w:i/>
          <w:snapToGrid/>
          <w:kern w:val="0"/>
          <w:sz w:val="20"/>
        </w:rPr>
        <w:t>Proposed Changes in the Commission’s Rul</w:t>
      </w:r>
      <w:r w:rsidRPr="00C249D7">
        <w:rPr>
          <w:i/>
          <w:snapToGrid/>
          <w:kern w:val="0"/>
          <w:sz w:val="20"/>
        </w:rPr>
        <w:t>es Regarding Human Exposure to Radiofrequency Electromagnetic Fields; Reassessment of Federal Communications Commission Radiofrequency Exposure Limits and Policies; Targeted Changes to the Commission’s Rules Regarding Human Exposure to Radiofrequency Elect</w:t>
      </w:r>
      <w:r w:rsidRPr="00C249D7">
        <w:rPr>
          <w:i/>
          <w:snapToGrid/>
          <w:kern w:val="0"/>
          <w:sz w:val="20"/>
        </w:rPr>
        <w:t>romagnetic Fields</w:t>
      </w:r>
      <w:r w:rsidRPr="00C249D7">
        <w:rPr>
          <w:snapToGrid/>
          <w:kern w:val="0"/>
          <w:sz w:val="20"/>
        </w:rPr>
        <w:t xml:space="preserve">, ET Docket Nos. 03-137, 13-84, 19-226, Resolution of Notice of Inquiry, Second Report and Order, Notice of Proposed Rulemaking, and Memorandum Opinion and Order, FCC 19-126 (Dec. 4, 2019) </w:t>
      </w:r>
      <w:r w:rsidR="007A50E4">
        <w:rPr>
          <w:snapToGrid/>
          <w:kern w:val="0"/>
          <w:sz w:val="20"/>
        </w:rPr>
        <w:t>(</w:t>
      </w:r>
      <w:r w:rsidRPr="00C249D7" w:rsidR="007A50E4">
        <w:rPr>
          <w:i/>
          <w:snapToGrid/>
          <w:kern w:val="0"/>
          <w:sz w:val="20"/>
        </w:rPr>
        <w:t>RF Exposure Order</w:t>
      </w:r>
      <w:r w:rsidR="007A50E4">
        <w:rPr>
          <w:snapToGrid/>
          <w:kern w:val="0"/>
          <w:sz w:val="20"/>
        </w:rPr>
        <w:t xml:space="preserve">) </w:t>
      </w:r>
      <w:r w:rsidRPr="00C249D7">
        <w:rPr>
          <w:snapToGrid/>
          <w:kern w:val="0"/>
          <w:sz w:val="20"/>
        </w:rPr>
        <w:t xml:space="preserve">(amending some of the radiofrequency exposure rules but maintaining the same </w:t>
      </w:r>
      <w:r w:rsidRPr="00C249D7" w:rsidR="007A50E4">
        <w:rPr>
          <w:snapToGrid/>
          <w:kern w:val="0"/>
          <w:sz w:val="20"/>
        </w:rPr>
        <w:t xml:space="preserve">SAR limit for </w:t>
      </w:r>
      <w:r w:rsidR="007A50E4">
        <w:rPr>
          <w:snapToGrid/>
          <w:kern w:val="0"/>
          <w:sz w:val="20"/>
        </w:rPr>
        <w:t xml:space="preserve">certain </w:t>
      </w:r>
      <w:r w:rsidRPr="00C249D7" w:rsidR="007A50E4">
        <w:rPr>
          <w:snapToGrid/>
          <w:kern w:val="0"/>
          <w:sz w:val="20"/>
        </w:rPr>
        <w:t>portable devices).</w:t>
      </w:r>
    </w:p>
    <w:p w:rsidR="00C07868">
      <w:pPr>
        <w:pStyle w:val="FootnoteText"/>
      </w:pPr>
    </w:p>
  </w:footnote>
  <w:footnote w:id="15">
    <w:p w:rsidR="00AB355A" w:rsidP="00AB355A">
      <w:pPr>
        <w:pStyle w:val="FootnoteText"/>
      </w:pPr>
      <w:r>
        <w:rPr>
          <w:rStyle w:val="FootnoteReference"/>
        </w:rPr>
        <w:footnoteRef/>
      </w:r>
      <w:r>
        <w:t xml:space="preserve"> </w:t>
      </w:r>
      <w:r w:rsidRPr="00AB355A">
        <w:rPr>
          <w:i/>
        </w:rPr>
        <w:t>See</w:t>
      </w:r>
      <w:r>
        <w:t xml:space="preserve"> </w:t>
      </w:r>
      <w:r w:rsidR="00702DCF">
        <w:rPr>
          <w:i/>
        </w:rPr>
        <w:t>id</w:t>
      </w:r>
      <w:r w:rsidR="00702DCF">
        <w:t>.</w:t>
      </w:r>
      <w:r>
        <w:t xml:space="preserve">  §2.1093(b)-(d)(2) (“[A] portable device is defined as a transmitting device designed to be used so that the radiating structur</w:t>
      </w:r>
      <w:r>
        <w:t>e(s) of the device is/are within 20 centimeters of the body of the user.).</w:t>
      </w:r>
      <w:r w:rsidR="00315468">
        <w:t xml:space="preserve">  </w:t>
      </w:r>
    </w:p>
  </w:footnote>
  <w:footnote w:id="16">
    <w:p w:rsidR="00A962DC">
      <w:pPr>
        <w:pStyle w:val="FootnoteText"/>
      </w:pPr>
      <w:r>
        <w:rPr>
          <w:rStyle w:val="FootnoteReference"/>
        </w:rPr>
        <w:footnoteRef/>
      </w:r>
      <w:r>
        <w:t xml:space="preserve"> </w:t>
      </w:r>
      <w:r w:rsidRPr="00327E5D" w:rsidR="00327E5D">
        <w:t xml:space="preserve"> </w:t>
      </w:r>
      <w:r w:rsidRPr="00EC40F9" w:rsidR="00327E5D">
        <w:t xml:space="preserve">“Market,” “Marketed” or “Marketing” </w:t>
      </w:r>
      <w:r w:rsidR="00327E5D">
        <w:t>includes the “</w:t>
      </w:r>
      <w:r w:rsidRPr="00EC40F9" w:rsidR="00327E5D">
        <w:t xml:space="preserve">sale or lease, or offering for sale or lease, including advertising for sale or lease, or importation, shipment, or distribution for the purpose of selling </w:t>
      </w:r>
      <w:r w:rsidR="006B2AA3">
        <w:t xml:space="preserve">or leasing </w:t>
      </w:r>
      <w:r w:rsidRPr="00EC40F9" w:rsidR="00327E5D">
        <w:t>or offering for sale or lease.</w:t>
      </w:r>
      <w:r w:rsidR="004D2138">
        <w:t>”</w:t>
      </w:r>
      <w:r w:rsidRPr="00EC40F9" w:rsidR="00327E5D">
        <w:t xml:space="preserve">  </w:t>
      </w:r>
      <w:r w:rsidRPr="00352538" w:rsidR="009D1914">
        <w:rPr>
          <w:i/>
        </w:rPr>
        <w:t>See id</w:t>
      </w:r>
      <w:r w:rsidR="009D1914">
        <w:t xml:space="preserve">. </w:t>
      </w:r>
      <w:r w:rsidRPr="00EC40F9" w:rsidR="00327E5D">
        <w:t>§ 2.803(a).</w:t>
      </w:r>
    </w:p>
  </w:footnote>
  <w:footnote w:id="17">
    <w:p w:rsidR="00AB355A" w:rsidP="00AB355A">
      <w:pPr>
        <w:pStyle w:val="FootnoteText"/>
      </w:pPr>
      <w:r>
        <w:rPr>
          <w:rStyle w:val="FootnoteReference"/>
        </w:rPr>
        <w:footnoteRef/>
      </w:r>
      <w:r>
        <w:t xml:space="preserve"> </w:t>
      </w:r>
      <w:r w:rsidRPr="007E52D9">
        <w:rPr>
          <w:i/>
        </w:rPr>
        <w:t>See id</w:t>
      </w:r>
      <w:r>
        <w:t>. §</w:t>
      </w:r>
      <w:r w:rsidR="00D93A87">
        <w:t xml:space="preserve"> </w:t>
      </w:r>
      <w:r>
        <w:t>2.1093</w:t>
      </w:r>
      <w:r w:rsidR="00D93A87">
        <w:t>(d)(2)</w:t>
      </w:r>
      <w:r>
        <w:t xml:space="preserve">.  Specific absorption rate is a measure of the rate of energy absorption due to exposure to a radio frequency transmitting source.  </w:t>
      </w:r>
      <w:r w:rsidRPr="00671D77">
        <w:rPr>
          <w:i/>
        </w:rPr>
        <w:t>See i</w:t>
      </w:r>
      <w:r w:rsidRPr="00671D77">
        <w:rPr>
          <w:i/>
        </w:rPr>
        <w:t>d</w:t>
      </w:r>
      <w:r>
        <w:t>. § 2.1093(d).</w:t>
      </w:r>
    </w:p>
  </w:footnote>
  <w:footnote w:id="18">
    <w:p w:rsidR="00AB355A" w:rsidP="00AB355A">
      <w:pPr>
        <w:pStyle w:val="FootnoteText"/>
      </w:pPr>
      <w:r>
        <w:rPr>
          <w:rStyle w:val="FootnoteReference"/>
        </w:rPr>
        <w:footnoteRef/>
      </w:r>
      <w:r w:rsidR="00D93A87">
        <w:t xml:space="preserve"> 47 U.S.C. § </w:t>
      </w:r>
      <w:r>
        <w:t>302a(b).</w:t>
      </w:r>
    </w:p>
  </w:footnote>
  <w:footnote w:id="19">
    <w:p w:rsidR="00AB355A" w:rsidP="00AB355A">
      <w:pPr>
        <w:pStyle w:val="FootnoteText"/>
      </w:pPr>
      <w:r>
        <w:rPr>
          <w:rStyle w:val="FootnoteReference"/>
        </w:rPr>
        <w:footnoteRef/>
      </w:r>
      <w:r>
        <w:t xml:space="preserve"> 47 CFR § 2.803.</w:t>
      </w:r>
    </w:p>
  </w:footnote>
  <w:footnote w:id="20">
    <w:p w:rsidR="00AB355A" w:rsidP="00AB355A">
      <w:pPr>
        <w:pStyle w:val="FootnoteText"/>
      </w:pPr>
      <w:r>
        <w:rPr>
          <w:rStyle w:val="FootnoteReference"/>
        </w:rPr>
        <w:footnoteRef/>
      </w:r>
      <w:r>
        <w:t xml:space="preserve"> An intentional radiator is a “device that intentionally generates </w:t>
      </w:r>
      <w:r w:rsidR="001443A3">
        <w:t xml:space="preserve">and emits </w:t>
      </w:r>
      <w:r>
        <w:t xml:space="preserve">radio frequency energy by radiation or induction.”  </w:t>
      </w:r>
      <w:r w:rsidRPr="001527E4">
        <w:rPr>
          <w:i/>
        </w:rPr>
        <w:t>Id</w:t>
      </w:r>
      <w:r>
        <w:t>. § 15.3(o).</w:t>
      </w:r>
    </w:p>
  </w:footnote>
  <w:footnote w:id="21">
    <w:p w:rsidR="00AB355A" w:rsidP="00AB355A">
      <w:pPr>
        <w:pStyle w:val="FootnoteText"/>
      </w:pPr>
      <w:r>
        <w:rPr>
          <w:rStyle w:val="FootnoteReference"/>
        </w:rPr>
        <w:footnoteRef/>
      </w:r>
      <w:r>
        <w:t xml:space="preserve"> </w:t>
      </w:r>
      <w:r w:rsidRPr="00813B6A">
        <w:rPr>
          <w:i/>
        </w:rPr>
        <w:t>See id</w:t>
      </w:r>
      <w:r>
        <w:t xml:space="preserve">. §§ 2.803(b)(1), 15.201(b); </w:t>
      </w:r>
      <w:r w:rsidRPr="00813B6A">
        <w:rPr>
          <w:i/>
        </w:rPr>
        <w:t>see also id</w:t>
      </w:r>
      <w:r>
        <w:t>. §§ 2.1031-1060.</w:t>
      </w:r>
    </w:p>
  </w:footnote>
  <w:footnote w:id="22">
    <w:p w:rsidR="00AB355A" w:rsidP="00AB355A">
      <w:pPr>
        <w:pStyle w:val="FootnoteText"/>
      </w:pPr>
      <w:r>
        <w:rPr>
          <w:rStyle w:val="FootnoteReference"/>
        </w:rPr>
        <w:footnoteRef/>
      </w:r>
      <w:r>
        <w:t xml:space="preserve"> 47 CFR §§ 15.</w:t>
      </w:r>
      <w:r w:rsidR="00136B55">
        <w:t>2</w:t>
      </w:r>
      <w:r>
        <w:t>1, 15.1</w:t>
      </w:r>
      <w:r w:rsidR="00136B55">
        <w:t>9(a)(3)</w:t>
      </w:r>
      <w:r>
        <w:t>.</w:t>
      </w:r>
    </w:p>
  </w:footnote>
  <w:footnote w:id="23">
    <w:p w:rsidR="00AB355A" w:rsidP="00AB355A">
      <w:pPr>
        <w:pStyle w:val="FootnoteText"/>
      </w:pPr>
      <w:r>
        <w:rPr>
          <w:rStyle w:val="FootnoteReference"/>
        </w:rPr>
        <w:footnoteRef/>
      </w:r>
      <w:r>
        <w:t xml:space="preserve"> </w:t>
      </w:r>
      <w:r w:rsidRPr="00813B6A">
        <w:rPr>
          <w:i/>
        </w:rPr>
        <w:t>Id</w:t>
      </w:r>
      <w:r>
        <w:t>. § 2.1043.</w:t>
      </w:r>
    </w:p>
  </w:footnote>
  <w:footnote w:id="24">
    <w:p w:rsidR="00AB355A" w:rsidP="00AB355A">
      <w:pPr>
        <w:pStyle w:val="FootnoteText"/>
      </w:pPr>
      <w:r>
        <w:rPr>
          <w:rStyle w:val="FootnoteReference"/>
        </w:rPr>
        <w:footnoteRef/>
      </w:r>
      <w:r>
        <w:t xml:space="preserve"> </w:t>
      </w:r>
      <w:r w:rsidRPr="00A33B93">
        <w:rPr>
          <w:i/>
        </w:rPr>
        <w:t>Id</w:t>
      </w:r>
      <w:r>
        <w:t>. § 2.1043(b)(2).  A Class II permissive change “includes those modifications which degrade the performance characteristics as reported to the Com</w:t>
      </w:r>
      <w:r>
        <w:t xml:space="preserve">mission at the time of initial certification.”  </w:t>
      </w:r>
      <w:r w:rsidRPr="00A33B93">
        <w:rPr>
          <w:i/>
        </w:rPr>
        <w:t>Id</w:t>
      </w:r>
      <w:r>
        <w:t>.</w:t>
      </w:r>
    </w:p>
  </w:footnote>
  <w:footnote w:id="25">
    <w:p w:rsidR="00A2234E" w:rsidP="00A2234E">
      <w:pPr>
        <w:pStyle w:val="FootnoteText"/>
      </w:pPr>
      <w:r>
        <w:rPr>
          <w:rStyle w:val="FootnoteReference"/>
        </w:rPr>
        <w:footnoteRef/>
      </w:r>
      <w:r>
        <w:t xml:space="preserve"> </w:t>
      </w:r>
      <w:r w:rsidRPr="0088064A">
        <w:rPr>
          <w:i/>
        </w:rPr>
        <w:t>See</w:t>
      </w:r>
      <w:r>
        <w:t xml:space="preserve"> </w:t>
      </w:r>
      <w:hyperlink r:id="rId1" w:history="1">
        <w:r>
          <w:rPr>
            <w:rStyle w:val="Hyperlink"/>
          </w:rPr>
          <w:t>https://bluproducts.com/about</w:t>
        </w:r>
        <w:bookmarkStart w:id="3" w:name="_Hlt26965619"/>
        <w:bookmarkStart w:id="4" w:name="_Hlt26965620"/>
        <w:r>
          <w:rPr>
            <w:rStyle w:val="Hyperlink"/>
          </w:rPr>
          <w:t>-</w:t>
        </w:r>
        <w:bookmarkEnd w:id="3"/>
        <w:bookmarkEnd w:id="4"/>
        <w:r>
          <w:rPr>
            <w:rStyle w:val="Hyperlink"/>
          </w:rPr>
          <w:t>us/</w:t>
        </w:r>
      </w:hyperlink>
      <w:r>
        <w:t xml:space="preserve"> (last visited on </w:t>
      </w:r>
      <w:r w:rsidR="00B41EE3">
        <w:t xml:space="preserve">Nov. </w:t>
      </w:r>
      <w:r w:rsidR="0059675B">
        <w:t>13</w:t>
      </w:r>
      <w:r w:rsidR="00B41EE3">
        <w:t xml:space="preserve">, </w:t>
      </w:r>
      <w:r>
        <w:t xml:space="preserve">2019); </w:t>
      </w:r>
      <w:r w:rsidRPr="0088064A">
        <w:rPr>
          <w:i/>
        </w:rPr>
        <w:t>see also</w:t>
      </w:r>
      <w:r>
        <w:t xml:space="preserve"> </w:t>
      </w:r>
      <w:r w:rsidR="00342BA3">
        <w:t>Response to Letter of Inquiry</w:t>
      </w:r>
      <w:r w:rsidR="002E4957">
        <w:t xml:space="preserve">, </w:t>
      </w:r>
      <w:r w:rsidR="00342BA3">
        <w:t>from Roy E. Nelson, Esq., Counsel to BLU Products, Inc., to Kathy Harvey, Spectrum Enforcement Division, FCC Enforcement Bureau</w:t>
      </w:r>
      <w:r w:rsidR="002E4957">
        <w:t xml:space="preserve">, at 1, Response to Question 1 </w:t>
      </w:r>
      <w:r w:rsidR="00342BA3">
        <w:t xml:space="preserve">(Dec. 28, 2018) </w:t>
      </w:r>
      <w:r w:rsidR="002E4957">
        <w:t xml:space="preserve">(on file in EB-SED-18-00027959) </w:t>
      </w:r>
      <w:r w:rsidR="00342BA3">
        <w:t>(Letter of Inquiry Response).</w:t>
      </w:r>
      <w:r w:rsidRPr="00F95723" w:rsidR="00F95723">
        <w:t xml:space="preserve"> </w:t>
      </w:r>
      <w:r w:rsidR="00F95723">
        <w:t xml:space="preserve"> BLU Products is the grantee of the certification for the GRAND MAX mobile phone.  </w:t>
      </w:r>
      <w:r w:rsidRPr="009A36EE" w:rsidR="00F95723">
        <w:rPr>
          <w:i/>
        </w:rPr>
        <w:t>See</w:t>
      </w:r>
      <w:r w:rsidR="00F95723">
        <w:t xml:space="preserve"> Office of Engineering &amp; Technology’s Laboratory Division Equipment Authorization System, FCC Identifier:  YHLBLUGRANDMAX, </w:t>
      </w:r>
      <w:hyperlink r:id="rId2" w:history="1">
        <w:r w:rsidRPr="007A5AD6" w:rsidR="00F95723">
          <w:rPr>
            <w:rStyle w:val="Hyperlink"/>
          </w:rPr>
          <w:t>https://www.fcc.gov/oet/ea/fccid</w:t>
        </w:r>
      </w:hyperlink>
      <w:r w:rsidR="00F95723">
        <w:rPr>
          <w:rStyle w:val="Hyperlink"/>
        </w:rPr>
        <w:t>.</w:t>
      </w:r>
    </w:p>
  </w:footnote>
  <w:footnote w:id="26">
    <w:p w:rsidR="00035F18" w:rsidRPr="00B76C77" w:rsidP="00F54AA1">
      <w:pPr>
        <w:widowControl/>
        <w:autoSpaceDE w:val="0"/>
        <w:autoSpaceDN w:val="0"/>
        <w:adjustRightInd w:val="0"/>
        <w:spacing w:after="120"/>
        <w:rPr>
          <w:snapToGrid/>
          <w:kern w:val="0"/>
          <w:sz w:val="20"/>
          <w:highlight w:val="yellow"/>
        </w:rPr>
      </w:pPr>
      <w:r>
        <w:rPr>
          <w:rStyle w:val="FootnoteReference"/>
        </w:rPr>
        <w:footnoteRef/>
      </w:r>
      <w:r>
        <w:t xml:space="preserve"> </w:t>
      </w:r>
      <w:r w:rsidRPr="00B76C77">
        <w:rPr>
          <w:i/>
          <w:sz w:val="20"/>
        </w:rPr>
        <w:t>See</w:t>
      </w:r>
      <w:r w:rsidRPr="00B76C77">
        <w:rPr>
          <w:sz w:val="20"/>
        </w:rPr>
        <w:t xml:space="preserve"> 47 CFR §</w:t>
      </w:r>
      <w:r w:rsidRPr="00B76C77" w:rsidR="00F14CAD">
        <w:rPr>
          <w:sz w:val="20"/>
        </w:rPr>
        <w:t xml:space="preserve"> </w:t>
      </w:r>
      <w:r w:rsidRPr="00B76C77">
        <w:rPr>
          <w:sz w:val="20"/>
        </w:rPr>
        <w:t xml:space="preserve">2.1093(d)(2); </w:t>
      </w:r>
      <w:r w:rsidRPr="00B76C77" w:rsidR="007A50E4">
        <w:rPr>
          <w:i/>
          <w:snapToGrid/>
          <w:kern w:val="0"/>
          <w:sz w:val="20"/>
        </w:rPr>
        <w:t>RF Exposure Order</w:t>
      </w:r>
      <w:r w:rsidRPr="00B76C77" w:rsidR="007A50E4">
        <w:rPr>
          <w:snapToGrid/>
          <w:kern w:val="0"/>
          <w:sz w:val="20"/>
        </w:rPr>
        <w:t xml:space="preserve"> </w:t>
      </w:r>
      <w:r w:rsidRPr="00B76C77" w:rsidR="001A055E">
        <w:rPr>
          <w:snapToGrid/>
          <w:kern w:val="0"/>
          <w:sz w:val="20"/>
        </w:rPr>
        <w:t>at 8</w:t>
      </w:r>
      <w:r w:rsidRPr="00B76C77" w:rsidR="00F444D0">
        <w:rPr>
          <w:snapToGrid/>
          <w:kern w:val="0"/>
          <w:sz w:val="20"/>
        </w:rPr>
        <w:t>, para. 14</w:t>
      </w:r>
      <w:r w:rsidRPr="00B76C77" w:rsidR="00E204B8">
        <w:rPr>
          <w:snapToGrid/>
          <w:kern w:val="0"/>
          <w:sz w:val="20"/>
        </w:rPr>
        <w:t xml:space="preserve"> (</w:t>
      </w:r>
      <w:r w:rsidRPr="00B76C77" w:rsidR="00B76C77">
        <w:rPr>
          <w:snapToGrid/>
          <w:kern w:val="0"/>
          <w:sz w:val="20"/>
        </w:rPr>
        <w:t>“</w:t>
      </w:r>
      <w:r w:rsidRPr="00B76C77" w:rsidR="001A055E">
        <w:rPr>
          <w:snapToGrid/>
          <w:kern w:val="0"/>
          <w:sz w:val="20"/>
        </w:rPr>
        <w:t>[The Commission’s] existing exposure limits are set with a large safety margin, well below the threshold for unacceptable rises in human tissue temperature</w:t>
      </w:r>
      <w:r w:rsidRPr="00B76C77" w:rsidR="0033133E">
        <w:rPr>
          <w:snapToGrid/>
          <w:kern w:val="0"/>
          <w:sz w:val="20"/>
        </w:rPr>
        <w:t>.</w:t>
      </w:r>
      <w:r w:rsidRPr="00B76C77" w:rsidR="00B76C77">
        <w:rPr>
          <w:snapToGrid/>
          <w:kern w:val="0"/>
          <w:sz w:val="20"/>
        </w:rPr>
        <w:t>”).</w:t>
      </w:r>
      <w:r w:rsidRPr="00B76C77" w:rsidR="0033133E">
        <w:rPr>
          <w:snapToGrid/>
          <w:kern w:val="0"/>
          <w:sz w:val="20"/>
        </w:rPr>
        <w:t xml:space="preserve"> </w:t>
      </w:r>
      <w:r w:rsidRPr="00B76C77" w:rsidR="00E204B8">
        <w:rPr>
          <w:snapToGrid/>
          <w:kern w:val="0"/>
          <w:sz w:val="20"/>
        </w:rPr>
        <w:t xml:space="preserve"> </w:t>
      </w:r>
    </w:p>
  </w:footnote>
  <w:footnote w:id="27">
    <w:p w:rsidR="00A2234E" w:rsidP="004C51B4">
      <w:pPr>
        <w:pStyle w:val="FootnoteText"/>
      </w:pPr>
      <w:r>
        <w:rPr>
          <w:rStyle w:val="FootnoteReference"/>
        </w:rPr>
        <w:footnoteRef/>
      </w:r>
      <w:r>
        <w:t xml:space="preserve"> </w:t>
      </w:r>
      <w:r w:rsidRPr="00567A45">
        <w:rPr>
          <w:i/>
        </w:rPr>
        <w:t>See</w:t>
      </w:r>
      <w:r w:rsidR="003841C7">
        <w:t xml:space="preserve"> </w:t>
      </w:r>
      <w:r w:rsidRPr="007E4832" w:rsidR="003841C7">
        <w:rPr>
          <w:i/>
        </w:rPr>
        <w:t>supra</w:t>
      </w:r>
      <w:r w:rsidR="003841C7">
        <w:t xml:space="preserve"> note </w:t>
      </w:r>
      <w:r w:rsidR="00FA3A1D">
        <w:t>6</w:t>
      </w:r>
      <w:r w:rsidR="003841C7">
        <w:t>.</w:t>
      </w:r>
      <w:r>
        <w:t xml:space="preserve">  </w:t>
      </w:r>
    </w:p>
  </w:footnote>
  <w:footnote w:id="28">
    <w:p w:rsidR="00FC284B">
      <w:pPr>
        <w:pStyle w:val="FootnoteText"/>
      </w:pPr>
      <w:r>
        <w:rPr>
          <w:rStyle w:val="FootnoteReference"/>
        </w:rPr>
        <w:footnoteRef/>
      </w:r>
      <w:r>
        <w:t xml:space="preserve"> </w:t>
      </w:r>
      <w:r w:rsidRPr="00FC284B">
        <w:rPr>
          <w:i/>
        </w:rPr>
        <w:t>See supra</w:t>
      </w:r>
      <w:r>
        <w:t xml:space="preserve"> note </w:t>
      </w:r>
      <w:r w:rsidR="00FA3A1D">
        <w:t>18</w:t>
      </w:r>
      <w:r>
        <w:t>.</w:t>
      </w:r>
    </w:p>
  </w:footnote>
  <w:footnote w:id="29">
    <w:p w:rsidR="00A2234E" w:rsidP="00A2234E">
      <w:pPr>
        <w:pStyle w:val="FootnoteText"/>
      </w:pPr>
      <w:r>
        <w:rPr>
          <w:rStyle w:val="FootnoteReference"/>
        </w:rPr>
        <w:footnoteRef/>
      </w:r>
      <w:r>
        <w:t xml:space="preserve">  </w:t>
      </w:r>
      <w:r w:rsidR="00FC284B">
        <w:rPr>
          <w:i/>
        </w:rPr>
        <w:t>See supra</w:t>
      </w:r>
      <w:r w:rsidR="00FC284B">
        <w:t xml:space="preserve"> note </w:t>
      </w:r>
      <w:r w:rsidR="00FA3A1D">
        <w:t>6</w:t>
      </w:r>
      <w:r w:rsidR="001D5DB1">
        <w:t xml:space="preserve">.  </w:t>
      </w:r>
      <w:r>
        <w:t xml:space="preserve">The Bureau also sent supplemental inquiries.  E-mail from Kathy Harvey, Spectrum Enforcement Division, </w:t>
      </w:r>
      <w:r w:rsidR="0094395F">
        <w:t xml:space="preserve">FCC </w:t>
      </w:r>
      <w:r>
        <w:t>Enforcement Bureau, to Bernard L. Egozi, Esq., Counsel to BLU Products, Inc. (May 13, 2019, 11:16 EDT); E</w:t>
      </w:r>
      <w:r w:rsidR="0094395F">
        <w:t>-</w:t>
      </w:r>
      <w:r>
        <w:t>mail from Kathy Harvey</w:t>
      </w:r>
      <w:r>
        <w:t xml:space="preserve">, Spectrum Enforcement Division, </w:t>
      </w:r>
      <w:r w:rsidR="0094395F">
        <w:t xml:space="preserve">FCC </w:t>
      </w:r>
      <w:r>
        <w:t>Enforcement Bureau, to Bernard L. Egozi, Esq., Counsel to BLU Products, Inc. (May 30, 2019, 11:56 EDT)</w:t>
      </w:r>
      <w:r w:rsidR="00867BC3">
        <w:t xml:space="preserve"> (all on file in EB-SED-18-00027959)</w:t>
      </w:r>
      <w:r>
        <w:t>.</w:t>
      </w:r>
    </w:p>
  </w:footnote>
  <w:footnote w:id="30">
    <w:p w:rsidR="00A2234E" w:rsidP="00A2234E">
      <w:pPr>
        <w:pStyle w:val="FootnoteText"/>
      </w:pPr>
      <w:r>
        <w:rPr>
          <w:rStyle w:val="FootnoteReference"/>
        </w:rPr>
        <w:footnoteRef/>
      </w:r>
      <w:r>
        <w:t xml:space="preserve"> </w:t>
      </w:r>
      <w:r w:rsidRPr="00756B3F">
        <w:rPr>
          <w:i/>
        </w:rPr>
        <w:t>See</w:t>
      </w:r>
      <w:r>
        <w:t xml:space="preserve"> </w:t>
      </w:r>
      <w:r w:rsidR="0094395F">
        <w:t xml:space="preserve">Response to Supplemental </w:t>
      </w:r>
      <w:r>
        <w:t>Letter of Inquiry</w:t>
      </w:r>
      <w:r w:rsidR="0094395F">
        <w:t>,</w:t>
      </w:r>
      <w:r>
        <w:t xml:space="preserve"> from Bernard L. Egozi, Esq., </w:t>
      </w:r>
      <w:r>
        <w:t xml:space="preserve">Counsel to BLU Products, Inc., to Kathy Harvey, Spectrum Enforcement Division, FCC Enforcement Bureau (Mar. 27, 2019) (Supplemental Letter of Inquiry Response); </w:t>
      </w:r>
      <w:r w:rsidR="00F92C87">
        <w:t xml:space="preserve">E-mail from Bernard L. Egozi, Counsel to BLU Products, Inc., to Kathy Harvey, Spectrum Enforcement Division, FCC Enforcement Bureau (May 28, 2019, 18:11 EDT); </w:t>
      </w:r>
      <w:r>
        <w:t>E-mail from Bernard L. Egozi, Counsel to BLU Products, Inc., to Kathy Harvey, Spectrum Enforcement Division, FCC Enforcement Bureau (May 29, 2019, 13:50 EDT) (May 29 Supplemental Response); E-</w:t>
      </w:r>
      <w:r>
        <w:t>mail from Bernard L. Egozi, Counsel to BLU Products, Inc., to Kathy Harvey, Spectrum Enforcement Division, FCC Enforcement Bureau (June 11, 2019, 15:39 EDT) (June 11 Supplemental Response) (all on file in EB-SED-18-00027959).</w:t>
      </w:r>
    </w:p>
  </w:footnote>
  <w:footnote w:id="31">
    <w:p w:rsidR="00A2234E" w:rsidP="00A2234E">
      <w:pPr>
        <w:pStyle w:val="FootnoteText"/>
      </w:pPr>
      <w:r>
        <w:rPr>
          <w:rStyle w:val="FootnoteReference"/>
        </w:rPr>
        <w:footnoteRef/>
      </w:r>
      <w:r>
        <w:t xml:space="preserve"> </w:t>
      </w:r>
      <w:r w:rsidRPr="00E41178">
        <w:rPr>
          <w:i/>
        </w:rPr>
        <w:t>See e.g.</w:t>
      </w:r>
      <w:r>
        <w:t xml:space="preserve">, Tolling Agreement </w:t>
      </w:r>
      <w:r>
        <w:t>Extension, File No. EB-SED-18-00027959, executed by and between Elizabeth Y. Mumaw, Chief, Spectrum Enforcement Division, FCC Enforcement Bureau, and Michael Ohev-Zion, Chief Operating Officer, BLU Products, Inc. (Aug. 1</w:t>
      </w:r>
      <w:r w:rsidR="00867BC3">
        <w:t>5</w:t>
      </w:r>
      <w:r>
        <w:t>, 2019) (on file in EB-SED-18-00027</w:t>
      </w:r>
      <w:r>
        <w:t>959).</w:t>
      </w:r>
    </w:p>
  </w:footnote>
  <w:footnote w:id="32">
    <w:p w:rsidR="00253D73" w:rsidP="00253D73">
      <w:pPr>
        <w:pStyle w:val="FootnoteText"/>
      </w:pPr>
      <w:r>
        <w:rPr>
          <w:rStyle w:val="FootnoteReference"/>
        </w:rPr>
        <w:footnoteRef/>
      </w:r>
      <w:r>
        <w:t xml:space="preserve"> </w:t>
      </w:r>
      <w:r w:rsidRPr="003904BB">
        <w:rPr>
          <w:i/>
        </w:rPr>
        <w:t>See</w:t>
      </w:r>
      <w:r>
        <w:t xml:space="preserve"> </w:t>
      </w:r>
      <w:r w:rsidR="009E27BB">
        <w:t xml:space="preserve">Letter of Inquiry </w:t>
      </w:r>
      <w:r>
        <w:t>Response at 3</w:t>
      </w:r>
      <w:r w:rsidR="001D5DB1">
        <w:t>-4</w:t>
      </w:r>
      <w:r w:rsidR="009B0B95">
        <w:t>, Response</w:t>
      </w:r>
      <w:r w:rsidR="002E4957">
        <w:t>s</w:t>
      </w:r>
      <w:r w:rsidR="009B0B95">
        <w:t xml:space="preserve"> to Question</w:t>
      </w:r>
      <w:r w:rsidR="001D5DB1">
        <w:t>s 11 and 12</w:t>
      </w:r>
      <w:r>
        <w:t>; Supplemental L</w:t>
      </w:r>
      <w:r w:rsidR="000C5E3C">
        <w:t xml:space="preserve">etter of Inquiry </w:t>
      </w:r>
      <w:r>
        <w:t>Response at 2</w:t>
      </w:r>
      <w:r w:rsidR="009B0B95">
        <w:t xml:space="preserve">, Response to Question </w:t>
      </w:r>
      <w:r w:rsidR="00B72F24">
        <w:t>12a, Exhibit Label GRAND MAX, Response to Question 14.</w:t>
      </w:r>
      <w:r>
        <w:t xml:space="preserve"> </w:t>
      </w:r>
    </w:p>
  </w:footnote>
  <w:footnote w:id="33">
    <w:p w:rsidR="00967E47" w:rsidP="00967E47">
      <w:pPr>
        <w:pStyle w:val="FootnoteText"/>
      </w:pPr>
      <w:r>
        <w:rPr>
          <w:rStyle w:val="FootnoteReference"/>
        </w:rPr>
        <w:footnoteRef/>
      </w:r>
      <w:r>
        <w:t xml:space="preserve"> </w:t>
      </w:r>
      <w:r w:rsidRPr="003749B0">
        <w:rPr>
          <w:i/>
        </w:rPr>
        <w:t>See</w:t>
      </w:r>
      <w:r>
        <w:t xml:space="preserve"> Supplemental Letter of Inquiry Response at 3</w:t>
      </w:r>
      <w:r w:rsidR="009B0B95">
        <w:t xml:space="preserve">, Response to Question </w:t>
      </w:r>
      <w:r w:rsidR="00B72F24">
        <w:t>18.</w:t>
      </w:r>
    </w:p>
  </w:footnote>
  <w:footnote w:id="34">
    <w:p w:rsidR="00967E47" w:rsidP="00967E47">
      <w:pPr>
        <w:pStyle w:val="FootnoteText"/>
      </w:pPr>
      <w:r>
        <w:rPr>
          <w:rStyle w:val="FootnoteReference"/>
        </w:rPr>
        <w:footnoteRef/>
      </w:r>
      <w:r>
        <w:t xml:space="preserve"> </w:t>
      </w:r>
      <w:r w:rsidRPr="00850F24">
        <w:rPr>
          <w:i/>
        </w:rPr>
        <w:t>See id</w:t>
      </w:r>
      <w:r>
        <w:t>.</w:t>
      </w:r>
      <w:r w:rsidR="00B159EB">
        <w:t xml:space="preserve"> at 3, Response to Question 16.</w:t>
      </w:r>
    </w:p>
  </w:footnote>
  <w:footnote w:id="35">
    <w:p w:rsidR="00967E47" w:rsidP="00967E47">
      <w:pPr>
        <w:pStyle w:val="FootnoteText"/>
      </w:pPr>
      <w:r>
        <w:rPr>
          <w:rStyle w:val="FootnoteReference"/>
        </w:rPr>
        <w:footnoteRef/>
      </w:r>
      <w:r>
        <w:t xml:space="preserve"> </w:t>
      </w:r>
      <w:r w:rsidRPr="00DF5BAD">
        <w:rPr>
          <w:i/>
        </w:rPr>
        <w:t>Id</w:t>
      </w:r>
      <w:r>
        <w:t xml:space="preserve">.    </w:t>
      </w:r>
    </w:p>
  </w:footnote>
  <w:footnote w:id="36">
    <w:p w:rsidR="00967E47" w:rsidP="00967E47">
      <w:pPr>
        <w:pStyle w:val="FootnoteText"/>
      </w:pPr>
      <w:r>
        <w:rPr>
          <w:rStyle w:val="FootnoteReference"/>
        </w:rPr>
        <w:footnoteRef/>
      </w:r>
      <w:r>
        <w:t xml:space="preserve"> </w:t>
      </w:r>
      <w:r w:rsidRPr="00457E4D">
        <w:rPr>
          <w:i/>
        </w:rPr>
        <w:t>See</w:t>
      </w:r>
      <w:r>
        <w:t xml:space="preserve"> June 11 Supplemental Response.</w:t>
      </w:r>
      <w:r w:rsidR="00F0090E">
        <w:t xml:space="preserve">  BLU Products also indicated that any phone that was not previously connected to the Internet will receive the update once the phone has been connected to the Internet.</w:t>
      </w:r>
      <w:r w:rsidR="00316CFB">
        <w:t xml:space="preserve">  </w:t>
      </w:r>
      <w:r w:rsidRPr="00316CFB" w:rsidR="00316CFB">
        <w:rPr>
          <w:i/>
          <w:iCs/>
        </w:rPr>
        <w:t>See</w:t>
      </w:r>
      <w:r w:rsidR="00316CFB">
        <w:t xml:space="preserve"> E-mail from Bernard L. Egozi, Counsel to BLU Products, Inc., to Kathy Harvey, Spectrum Enforcement Division, FCC Enforcement Bureau (Feb. 26, 2020, 11:36 EST)</w:t>
      </w:r>
      <w:r w:rsidR="00BA6D48">
        <w:t xml:space="preserve"> (on file in EB-SED-18-00027959)</w:t>
      </w:r>
      <w:r w:rsidRPr="00E204B8" w:rsidR="00F0090E">
        <w:t>.</w:t>
      </w:r>
    </w:p>
  </w:footnote>
  <w:footnote w:id="37">
    <w:p w:rsidR="00796239">
      <w:pPr>
        <w:pStyle w:val="FootnoteText"/>
      </w:pPr>
      <w:r>
        <w:rPr>
          <w:rStyle w:val="FootnoteReference"/>
        </w:rPr>
        <w:footnoteRef/>
      </w:r>
      <w:r>
        <w:t xml:space="preserve"> </w:t>
      </w:r>
      <w:r w:rsidRPr="0065235D" w:rsidR="00B026E7">
        <w:rPr>
          <w:i/>
        </w:rPr>
        <w:t>See</w:t>
      </w:r>
      <w:r w:rsidR="00B026E7">
        <w:t xml:space="preserve"> Letter of Inquiry Response, Exhibit GRAND MAX Summary</w:t>
      </w:r>
      <w:r w:rsidR="009B0B95">
        <w:t>,</w:t>
      </w:r>
      <w:r w:rsidR="002E4957">
        <w:t xml:space="preserve"> </w:t>
      </w:r>
      <w:r w:rsidR="00B026E7">
        <w:t>Response to Request Number 7.</w:t>
      </w:r>
    </w:p>
  </w:footnote>
  <w:footnote w:id="38">
    <w:p w:rsidR="006B3C40">
      <w:pPr>
        <w:pStyle w:val="FootnoteText"/>
      </w:pPr>
      <w:r>
        <w:rPr>
          <w:rStyle w:val="FootnoteReference"/>
        </w:rPr>
        <w:footnoteRef/>
      </w:r>
      <w:r>
        <w:t xml:space="preserve"> </w:t>
      </w:r>
      <w:r w:rsidRPr="00C566EC">
        <w:rPr>
          <w:i/>
        </w:rPr>
        <w:t>See</w:t>
      </w:r>
      <w:r>
        <w:t xml:space="preserve"> 47 CFR </w:t>
      </w:r>
      <w:r w:rsidRPr="001B63BB" w:rsidR="006A1D7C">
        <w:rPr>
          <w:szCs w:val="22"/>
        </w:rPr>
        <w:t>§</w:t>
      </w:r>
      <w:r w:rsidR="006A1D7C">
        <w:rPr>
          <w:szCs w:val="22"/>
        </w:rPr>
        <w:t xml:space="preserve"> </w:t>
      </w:r>
      <w:r>
        <w:t>1.93(b).</w:t>
      </w:r>
    </w:p>
  </w:footnote>
  <w:footnote w:id="39">
    <w:p w:rsidR="0037433E" w:rsidP="0037433E">
      <w:pPr>
        <w:pStyle w:val="FootnoteText"/>
      </w:pPr>
      <w:r>
        <w:rPr>
          <w:rStyle w:val="FootnoteReference"/>
        </w:rPr>
        <w:footnoteRef/>
      </w:r>
      <w:r>
        <w:t xml:space="preserve"> </w:t>
      </w:r>
      <w:r>
        <w:rPr>
          <w:i/>
        </w:rPr>
        <w:t>See supra</w:t>
      </w:r>
      <w:r>
        <w:t xml:space="preserve"> note </w:t>
      </w:r>
      <w:r w:rsidR="00464C20">
        <w:t>9</w:t>
      </w:r>
      <w:r>
        <w:t>.</w:t>
      </w:r>
    </w:p>
  </w:footnote>
  <w:footnote w:id="40">
    <w:p w:rsidR="00E02214" w:rsidP="00E02214">
      <w:pPr>
        <w:pStyle w:val="FootnoteText"/>
      </w:pPr>
      <w:r w:rsidRPr="00A07FCB">
        <w:rPr>
          <w:rStyle w:val="FootnoteReference"/>
        </w:rPr>
        <w:footnoteRef/>
      </w:r>
      <w:r w:rsidRPr="00A07FCB">
        <w:t xml:space="preserve"> 47 CFR §</w:t>
      </w:r>
      <w:r w:rsidRPr="00A07FCB">
        <w:t xml:space="preserve"> 1.16.</w:t>
      </w:r>
    </w:p>
  </w:footnote>
  <w:footnote w:id="41">
    <w:p w:rsidR="0038671C">
      <w:pPr>
        <w:pStyle w:val="FootnoteText"/>
      </w:pPr>
      <w:r>
        <w:rPr>
          <w:rStyle w:val="FootnoteReference"/>
        </w:rPr>
        <w:footnoteRef/>
      </w:r>
      <w:r>
        <w:t xml:space="preserve"> Debt Collection Improvement Act of 1996, Pub. L. No. 104-134, 110 Stat. 1321, 1358 (Apr. 26, 1996).</w:t>
      </w:r>
    </w:p>
  </w:footnote>
  <w:footnote w:id="42">
    <w:p w:rsidR="0088350A" w:rsidRPr="005476AB" w:rsidP="0088350A">
      <w:pPr>
        <w:pStyle w:val="FootnoteText"/>
      </w:pPr>
      <w:r w:rsidRPr="005476AB">
        <w:rPr>
          <w:rStyle w:val="FootnoteReference"/>
        </w:rPr>
        <w:footnoteRef/>
      </w:r>
      <w:r w:rsidRPr="005476AB">
        <w:t xml:space="preserve"> Payments made using the Commission’s Fee Filer system do not require the submission of an FCC Form 159.</w:t>
      </w:r>
    </w:p>
  </w:footnote>
  <w:footnote w:id="43">
    <w:p w:rsidR="0088350A" w:rsidRPr="005476AB" w:rsidP="0088350A">
      <w:pPr>
        <w:pStyle w:val="FootnoteText"/>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or by e</w:t>
      </w:r>
      <w:r>
        <w:t>-</w:t>
      </w:r>
      <w:r w:rsidRPr="005476AB">
        <w:t xml:space="preserve">mail at </w:t>
      </w:r>
      <w:r w:rsidRPr="006A04FF">
        <w:t>ARINQUIRIES@fcc.gov</w:t>
      </w:r>
      <w:r w:rsidRPr="005476AB">
        <w:t>.</w:t>
      </w:r>
    </w:p>
  </w:footnote>
  <w:footnote w:id="44">
    <w:p w:rsidR="0088350A" w:rsidP="0088350A">
      <w:pPr>
        <w:pStyle w:val="FootnoteText"/>
      </w:pPr>
      <w:r w:rsidRPr="005476AB">
        <w:rPr>
          <w:rStyle w:val="FootnoteReference"/>
        </w:rPr>
        <w:footnoteRef/>
      </w:r>
      <w:r w:rsidRPr="005476AB">
        <w:t xml:space="preserve"> Instructions for completing the form may be obtained at </w:t>
      </w:r>
      <w:r w:rsidRPr="00512DF8">
        <w:t>http://www.fcc.gov/F</w:t>
      </w:r>
      <w:r w:rsidRPr="00512DF8">
        <w:t>orms/Form159/159.pdf</w:t>
      </w:r>
      <w:r w:rsidRPr="005476AB">
        <w:t>.</w:t>
      </w:r>
      <w:r>
        <w:t xml:space="preserve"> </w:t>
      </w:r>
    </w:p>
  </w:footnote>
  <w:footnote w:id="45">
    <w:p w:rsidR="00E02214" w:rsidP="00E02214">
      <w:pPr>
        <w:pStyle w:val="FootnoteText"/>
        <w:tabs>
          <w:tab w:val="left" w:pos="810"/>
        </w:tabs>
      </w:pPr>
      <w:r w:rsidRPr="003F6349">
        <w:rPr>
          <w:rStyle w:val="FootnoteReference"/>
        </w:rPr>
        <w:footnoteRef/>
      </w:r>
      <w:r w:rsidRPr="003F6349">
        <w:t xml:space="preserve"> </w:t>
      </w:r>
      <w:r w:rsidR="00936B23">
        <w:rPr>
          <w:i/>
        </w:rPr>
        <w:t xml:space="preserve">See </w:t>
      </w:r>
      <w:r w:rsidRPr="003F6349">
        <w:t>5 U.S.C. § 504; 47 CFR</w:t>
      </w:r>
      <w:r w:rsidR="003F5CF7">
        <w:t xml:space="preserve"> </w:t>
      </w:r>
      <w:r w:rsidR="008B628C">
        <w:t>§</w:t>
      </w:r>
      <w:r w:rsidR="00E43C74">
        <w:t>§</w:t>
      </w:r>
      <w:r w:rsidR="008B628C">
        <w:t xml:space="preserve"> </w:t>
      </w:r>
      <w:r w:rsidR="00E43C74">
        <w:t>1.1501–1.1530</w:t>
      </w:r>
      <w:r w:rsidRPr="003F634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AAA" w:rsidP="00153AA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843A5F">
      <w:tab/>
      <w:t>Federal Communications Commission</w:t>
    </w:r>
    <w:r w:rsidRPr="00843A5F">
      <w:tab/>
    </w:r>
    <w:r w:rsidRPr="002755D1">
      <w:rPr>
        <w:spacing w:val="-2"/>
      </w:rPr>
      <w:t xml:space="preserve">DA </w:t>
    </w:r>
    <w:r w:rsidR="0064729F">
      <w:rPr>
        <w:spacing w:val="-2"/>
      </w:rPr>
      <w:t>20</w:t>
    </w:r>
    <w:r w:rsidRPr="002755D1" w:rsidR="00D66953">
      <w:rPr>
        <w:spacing w:val="-2"/>
      </w:rPr>
      <w:t>-</w:t>
    </w:r>
    <w:r w:rsidR="0064729F">
      <w:rPr>
        <w:spacing w:val="-2"/>
      </w:rPr>
      <w:t>305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AAA" w:rsidP="00153AAA">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843A5F">
      <w:tab/>
      <w:t>Federal Communications Commission</w:t>
    </w:r>
    <w:r w:rsidRPr="00843A5F">
      <w:tab/>
    </w:r>
    <w:r w:rsidRPr="002755D1" w:rsidR="00D66953">
      <w:rPr>
        <w:spacing w:val="-2"/>
      </w:rPr>
      <w:t xml:space="preserve">DA </w:t>
    </w:r>
    <w:r w:rsidR="0064729F">
      <w:rPr>
        <w:spacing w:val="-2"/>
      </w:rPr>
      <w:t>20</w:t>
    </w:r>
    <w:r w:rsidRPr="002755D1" w:rsidR="00D66953">
      <w:rPr>
        <w:spacing w:val="-2"/>
      </w:rPr>
      <w:t>-</w:t>
    </w:r>
    <w:r w:rsidR="0064729F">
      <w:rPr>
        <w:spacing w:val="-2"/>
      </w:rPr>
      <w:t>305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A6C3D"/>
    <w:multiLevelType w:val="hybridMultilevel"/>
    <w:tmpl w:val="621C522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3">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14907F2C"/>
    <w:multiLevelType w:val="hybridMultilevel"/>
    <w:tmpl w:val="6C7E850A"/>
    <w:lvl w:ilvl="0">
      <w:start w:val="1"/>
      <w:numFmt w:val="lowerLetter"/>
      <w:lvlText w:val="(%1)"/>
      <w:lvlJc w:val="left"/>
      <w:pPr>
        <w:tabs>
          <w:tab w:val="num" w:pos="1224"/>
        </w:tabs>
        <w:ind w:left="1224" w:hanging="432"/>
      </w:pPr>
      <w:rPr>
        <w:rFonts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17876BA"/>
    <w:multiLevelType w:val="hybridMultilevel"/>
    <w:tmpl w:val="40100EC4"/>
    <w:lvl w:ilvl="0">
      <w:start w:val="1"/>
      <w:numFmt w:val="bullet"/>
      <w:lvlText w:val=""/>
      <w:lvlJc w:val="left"/>
      <w:pPr>
        <w:ind w:left="1080" w:hanging="360"/>
      </w:pPr>
      <w:rPr>
        <w:rFonts w:ascii="Symbol" w:hAnsi="Symbol" w:hint="default"/>
        <w:b w:val="0"/>
        <w:i w:val="0"/>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14">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5">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12"/>
  </w:num>
  <w:num w:numId="2">
    <w:abstractNumId w:val="8"/>
  </w:num>
  <w:num w:numId="3">
    <w:abstractNumId w:val="14"/>
  </w:num>
  <w:num w:numId="4">
    <w:abstractNumId w:val="13"/>
  </w:num>
  <w:num w:numId="5">
    <w:abstractNumId w:val="3"/>
  </w:num>
  <w:num w:numId="6">
    <w:abstractNumId w:val="15"/>
  </w:num>
  <w:num w:numId="7">
    <w:abstractNumId w:val="2"/>
  </w:num>
  <w:num w:numId="8">
    <w:abstractNumId w:val="12"/>
    <w:lvlOverride w:ilvl="0">
      <w:startOverride w:val="1"/>
    </w:lvlOverride>
  </w:num>
  <w:num w:numId="9">
    <w:abstractNumId w:val="9"/>
  </w:num>
  <w:num w:numId="10">
    <w:abstractNumId w:val="6"/>
  </w:num>
  <w:num w:numId="11">
    <w:abstractNumId w:val="11"/>
  </w:num>
  <w:num w:numId="12">
    <w:abstractNumId w:val="7"/>
  </w:num>
  <w:num w:numId="13">
    <w:abstractNumId w:val="1"/>
  </w:num>
  <w:num w:numId="14">
    <w:abstractNumId w:val="4"/>
  </w:num>
  <w:num w:numId="15">
    <w:abstractNumId w:val="12"/>
    <w:lvlOverride w:ilvl="0">
      <w:startOverride w:val="4"/>
    </w:lvlOverride>
  </w:num>
  <w:num w:numId="16">
    <w:abstractNumId w:val="12"/>
    <w:lvlOverride w:ilvl="0">
      <w:startOverride w:val="22"/>
    </w:lvlOverride>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5"/>
  </w:num>
  <w:num w:numId="32">
    <w:abstractNumId w:val="0"/>
  </w:num>
  <w:num w:numId="3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F40"/>
    <w:rsid w:val="0000193D"/>
    <w:rsid w:val="00001CB4"/>
    <w:rsid w:val="00014484"/>
    <w:rsid w:val="00015909"/>
    <w:rsid w:val="00016C3C"/>
    <w:rsid w:val="0001711A"/>
    <w:rsid w:val="000209CE"/>
    <w:rsid w:val="000216AD"/>
    <w:rsid w:val="00024902"/>
    <w:rsid w:val="000251D3"/>
    <w:rsid w:val="000262C0"/>
    <w:rsid w:val="00026D97"/>
    <w:rsid w:val="00035F18"/>
    <w:rsid w:val="00036039"/>
    <w:rsid w:val="00036ADD"/>
    <w:rsid w:val="00036B37"/>
    <w:rsid w:val="00037F90"/>
    <w:rsid w:val="00040BB5"/>
    <w:rsid w:val="0004154A"/>
    <w:rsid w:val="0004267E"/>
    <w:rsid w:val="000475EF"/>
    <w:rsid w:val="000506D3"/>
    <w:rsid w:val="000514F1"/>
    <w:rsid w:val="00051558"/>
    <w:rsid w:val="00052651"/>
    <w:rsid w:val="00053D1C"/>
    <w:rsid w:val="00060963"/>
    <w:rsid w:val="00061A57"/>
    <w:rsid w:val="00064ADC"/>
    <w:rsid w:val="000668DA"/>
    <w:rsid w:val="0007059D"/>
    <w:rsid w:val="0007131B"/>
    <w:rsid w:val="0007180B"/>
    <w:rsid w:val="000728FF"/>
    <w:rsid w:val="00073450"/>
    <w:rsid w:val="00073561"/>
    <w:rsid w:val="00075906"/>
    <w:rsid w:val="00076C13"/>
    <w:rsid w:val="00077385"/>
    <w:rsid w:val="00084120"/>
    <w:rsid w:val="0008718F"/>
    <w:rsid w:val="000875BF"/>
    <w:rsid w:val="00090E63"/>
    <w:rsid w:val="00093B7D"/>
    <w:rsid w:val="00094EEE"/>
    <w:rsid w:val="00095014"/>
    <w:rsid w:val="00096D8C"/>
    <w:rsid w:val="000971AC"/>
    <w:rsid w:val="000A03F2"/>
    <w:rsid w:val="000A053B"/>
    <w:rsid w:val="000A1EC3"/>
    <w:rsid w:val="000A5F07"/>
    <w:rsid w:val="000B00E8"/>
    <w:rsid w:val="000B17A6"/>
    <w:rsid w:val="000B5374"/>
    <w:rsid w:val="000B622D"/>
    <w:rsid w:val="000C0B65"/>
    <w:rsid w:val="000C5E3C"/>
    <w:rsid w:val="000D23EE"/>
    <w:rsid w:val="000D5798"/>
    <w:rsid w:val="000E05FE"/>
    <w:rsid w:val="000E3D42"/>
    <w:rsid w:val="000E655A"/>
    <w:rsid w:val="000E6874"/>
    <w:rsid w:val="0010417F"/>
    <w:rsid w:val="00104337"/>
    <w:rsid w:val="00104FB2"/>
    <w:rsid w:val="0011427B"/>
    <w:rsid w:val="00120A53"/>
    <w:rsid w:val="00122296"/>
    <w:rsid w:val="0012234C"/>
    <w:rsid w:val="00122BD5"/>
    <w:rsid w:val="00123870"/>
    <w:rsid w:val="00125806"/>
    <w:rsid w:val="00126474"/>
    <w:rsid w:val="00126CA2"/>
    <w:rsid w:val="001278CC"/>
    <w:rsid w:val="00127DA0"/>
    <w:rsid w:val="00127F8E"/>
    <w:rsid w:val="001314FC"/>
    <w:rsid w:val="0013249B"/>
    <w:rsid w:val="00133F79"/>
    <w:rsid w:val="00136B55"/>
    <w:rsid w:val="001438DA"/>
    <w:rsid w:val="001443A3"/>
    <w:rsid w:val="00146D2C"/>
    <w:rsid w:val="0015122B"/>
    <w:rsid w:val="0015224A"/>
    <w:rsid w:val="001527E4"/>
    <w:rsid w:val="00153AAA"/>
    <w:rsid w:val="00154477"/>
    <w:rsid w:val="00154DBF"/>
    <w:rsid w:val="00155C0B"/>
    <w:rsid w:val="00160E75"/>
    <w:rsid w:val="00161D89"/>
    <w:rsid w:val="00162D87"/>
    <w:rsid w:val="00176594"/>
    <w:rsid w:val="00182304"/>
    <w:rsid w:val="00186182"/>
    <w:rsid w:val="00190C82"/>
    <w:rsid w:val="001920EA"/>
    <w:rsid w:val="0019214A"/>
    <w:rsid w:val="001933D7"/>
    <w:rsid w:val="00194A66"/>
    <w:rsid w:val="001A055E"/>
    <w:rsid w:val="001A5288"/>
    <w:rsid w:val="001B05F3"/>
    <w:rsid w:val="001B2424"/>
    <w:rsid w:val="001B4879"/>
    <w:rsid w:val="001B63BB"/>
    <w:rsid w:val="001B74D4"/>
    <w:rsid w:val="001C1346"/>
    <w:rsid w:val="001C4926"/>
    <w:rsid w:val="001C6B55"/>
    <w:rsid w:val="001C71E0"/>
    <w:rsid w:val="001D37A4"/>
    <w:rsid w:val="001D41E6"/>
    <w:rsid w:val="001D4CD4"/>
    <w:rsid w:val="001D5DB1"/>
    <w:rsid w:val="001D6BCF"/>
    <w:rsid w:val="001E01CA"/>
    <w:rsid w:val="001F3521"/>
    <w:rsid w:val="00200645"/>
    <w:rsid w:val="002022A0"/>
    <w:rsid w:val="002037F6"/>
    <w:rsid w:val="00207E47"/>
    <w:rsid w:val="00213569"/>
    <w:rsid w:val="00220A10"/>
    <w:rsid w:val="00224471"/>
    <w:rsid w:val="002260E5"/>
    <w:rsid w:val="002264A3"/>
    <w:rsid w:val="002274AE"/>
    <w:rsid w:val="00241DA8"/>
    <w:rsid w:val="002436B5"/>
    <w:rsid w:val="00246786"/>
    <w:rsid w:val="00252059"/>
    <w:rsid w:val="00252B7A"/>
    <w:rsid w:val="00253D73"/>
    <w:rsid w:val="00255E47"/>
    <w:rsid w:val="00261564"/>
    <w:rsid w:val="00262C95"/>
    <w:rsid w:val="00263706"/>
    <w:rsid w:val="00267BA9"/>
    <w:rsid w:val="002755D1"/>
    <w:rsid w:val="00275CF5"/>
    <w:rsid w:val="00276774"/>
    <w:rsid w:val="00276A71"/>
    <w:rsid w:val="0028301F"/>
    <w:rsid w:val="00285017"/>
    <w:rsid w:val="0028527E"/>
    <w:rsid w:val="00286347"/>
    <w:rsid w:val="00290BBC"/>
    <w:rsid w:val="00291D68"/>
    <w:rsid w:val="00294502"/>
    <w:rsid w:val="002A20D1"/>
    <w:rsid w:val="002A2D2E"/>
    <w:rsid w:val="002B1765"/>
    <w:rsid w:val="002B5AA5"/>
    <w:rsid w:val="002C00E8"/>
    <w:rsid w:val="002C14B4"/>
    <w:rsid w:val="002C1AC5"/>
    <w:rsid w:val="002C1CAD"/>
    <w:rsid w:val="002C1DDB"/>
    <w:rsid w:val="002D15F2"/>
    <w:rsid w:val="002D1D3E"/>
    <w:rsid w:val="002E46B8"/>
    <w:rsid w:val="002E4957"/>
    <w:rsid w:val="002E4E09"/>
    <w:rsid w:val="002F0A22"/>
    <w:rsid w:val="002F329F"/>
    <w:rsid w:val="002F7012"/>
    <w:rsid w:val="002F7938"/>
    <w:rsid w:val="003010FA"/>
    <w:rsid w:val="003027C5"/>
    <w:rsid w:val="00302835"/>
    <w:rsid w:val="00302AC4"/>
    <w:rsid w:val="00302C38"/>
    <w:rsid w:val="00311860"/>
    <w:rsid w:val="00315468"/>
    <w:rsid w:val="00316223"/>
    <w:rsid w:val="00316CFB"/>
    <w:rsid w:val="00317554"/>
    <w:rsid w:val="003206B1"/>
    <w:rsid w:val="0032308D"/>
    <w:rsid w:val="0032500F"/>
    <w:rsid w:val="00327E5D"/>
    <w:rsid w:val="00327FAD"/>
    <w:rsid w:val="0033133E"/>
    <w:rsid w:val="00331C80"/>
    <w:rsid w:val="003325F8"/>
    <w:rsid w:val="003329C5"/>
    <w:rsid w:val="00332B32"/>
    <w:rsid w:val="00340066"/>
    <w:rsid w:val="00342BA3"/>
    <w:rsid w:val="003432AA"/>
    <w:rsid w:val="00343749"/>
    <w:rsid w:val="00344151"/>
    <w:rsid w:val="00344C16"/>
    <w:rsid w:val="003459A8"/>
    <w:rsid w:val="00346064"/>
    <w:rsid w:val="00352538"/>
    <w:rsid w:val="003533DC"/>
    <w:rsid w:val="00354EA4"/>
    <w:rsid w:val="00356A32"/>
    <w:rsid w:val="0036270B"/>
    <w:rsid w:val="00364AD4"/>
    <w:rsid w:val="003660ED"/>
    <w:rsid w:val="0037433E"/>
    <w:rsid w:val="003749B0"/>
    <w:rsid w:val="00374B8D"/>
    <w:rsid w:val="0037589D"/>
    <w:rsid w:val="00375E8E"/>
    <w:rsid w:val="00377734"/>
    <w:rsid w:val="003841C7"/>
    <w:rsid w:val="003847B9"/>
    <w:rsid w:val="003857D9"/>
    <w:rsid w:val="0038671C"/>
    <w:rsid w:val="003904BB"/>
    <w:rsid w:val="003909A2"/>
    <w:rsid w:val="00394828"/>
    <w:rsid w:val="003B0550"/>
    <w:rsid w:val="003B4047"/>
    <w:rsid w:val="003B524D"/>
    <w:rsid w:val="003B59AC"/>
    <w:rsid w:val="003B694F"/>
    <w:rsid w:val="003C4A20"/>
    <w:rsid w:val="003C4BCC"/>
    <w:rsid w:val="003D7A7D"/>
    <w:rsid w:val="003E0E95"/>
    <w:rsid w:val="003E46FE"/>
    <w:rsid w:val="003F171C"/>
    <w:rsid w:val="003F5CF7"/>
    <w:rsid w:val="003F6349"/>
    <w:rsid w:val="003F66F9"/>
    <w:rsid w:val="00406E5F"/>
    <w:rsid w:val="00412FC5"/>
    <w:rsid w:val="00421ED1"/>
    <w:rsid w:val="00422276"/>
    <w:rsid w:val="00422EE1"/>
    <w:rsid w:val="004242F1"/>
    <w:rsid w:val="00426D94"/>
    <w:rsid w:val="004305E9"/>
    <w:rsid w:val="00440A39"/>
    <w:rsid w:val="0044203A"/>
    <w:rsid w:val="004429F1"/>
    <w:rsid w:val="00445A00"/>
    <w:rsid w:val="00446B3F"/>
    <w:rsid w:val="00451B0F"/>
    <w:rsid w:val="00452DB6"/>
    <w:rsid w:val="00453A9E"/>
    <w:rsid w:val="00456F41"/>
    <w:rsid w:val="004578CE"/>
    <w:rsid w:val="00457E4D"/>
    <w:rsid w:val="004620CB"/>
    <w:rsid w:val="00464C20"/>
    <w:rsid w:val="004659C6"/>
    <w:rsid w:val="00466EB8"/>
    <w:rsid w:val="004676BE"/>
    <w:rsid w:val="0047360F"/>
    <w:rsid w:val="00474905"/>
    <w:rsid w:val="0047501B"/>
    <w:rsid w:val="00485C9F"/>
    <w:rsid w:val="004868AC"/>
    <w:rsid w:val="00486AAF"/>
    <w:rsid w:val="00487816"/>
    <w:rsid w:val="00487DA4"/>
    <w:rsid w:val="004A0808"/>
    <w:rsid w:val="004A5FBA"/>
    <w:rsid w:val="004A7F18"/>
    <w:rsid w:val="004C10C0"/>
    <w:rsid w:val="004C1508"/>
    <w:rsid w:val="004C2EE3"/>
    <w:rsid w:val="004C303F"/>
    <w:rsid w:val="004C4711"/>
    <w:rsid w:val="004C51B4"/>
    <w:rsid w:val="004C65A4"/>
    <w:rsid w:val="004D1BC8"/>
    <w:rsid w:val="004D2138"/>
    <w:rsid w:val="004D522A"/>
    <w:rsid w:val="004E4A22"/>
    <w:rsid w:val="004E4F32"/>
    <w:rsid w:val="004E5243"/>
    <w:rsid w:val="004E5ED4"/>
    <w:rsid w:val="00511968"/>
    <w:rsid w:val="00511F8D"/>
    <w:rsid w:val="00512DF8"/>
    <w:rsid w:val="00513E08"/>
    <w:rsid w:val="0051761D"/>
    <w:rsid w:val="0052112B"/>
    <w:rsid w:val="005219BC"/>
    <w:rsid w:val="00524A90"/>
    <w:rsid w:val="005264D8"/>
    <w:rsid w:val="005369B6"/>
    <w:rsid w:val="005451A2"/>
    <w:rsid w:val="005476AB"/>
    <w:rsid w:val="0055035F"/>
    <w:rsid w:val="005518AA"/>
    <w:rsid w:val="00552E46"/>
    <w:rsid w:val="00554498"/>
    <w:rsid w:val="00555C8A"/>
    <w:rsid w:val="0055614C"/>
    <w:rsid w:val="00560DA5"/>
    <w:rsid w:val="00561772"/>
    <w:rsid w:val="00562DFF"/>
    <w:rsid w:val="00565042"/>
    <w:rsid w:val="00566E9B"/>
    <w:rsid w:val="005675C2"/>
    <w:rsid w:val="00567A45"/>
    <w:rsid w:val="00572F28"/>
    <w:rsid w:val="00580369"/>
    <w:rsid w:val="00581851"/>
    <w:rsid w:val="00582BA0"/>
    <w:rsid w:val="00585038"/>
    <w:rsid w:val="005902EF"/>
    <w:rsid w:val="00593EAD"/>
    <w:rsid w:val="0059675B"/>
    <w:rsid w:val="005A45B2"/>
    <w:rsid w:val="005A5B25"/>
    <w:rsid w:val="005A5FC7"/>
    <w:rsid w:val="005B4F0E"/>
    <w:rsid w:val="005B5A26"/>
    <w:rsid w:val="005C62E7"/>
    <w:rsid w:val="005D2C62"/>
    <w:rsid w:val="005D5341"/>
    <w:rsid w:val="005D5ABC"/>
    <w:rsid w:val="005E10F1"/>
    <w:rsid w:val="005E14C2"/>
    <w:rsid w:val="005E6193"/>
    <w:rsid w:val="005F74D1"/>
    <w:rsid w:val="006004AD"/>
    <w:rsid w:val="00602DED"/>
    <w:rsid w:val="00605A7A"/>
    <w:rsid w:val="00605F22"/>
    <w:rsid w:val="0060622A"/>
    <w:rsid w:val="00607BA5"/>
    <w:rsid w:val="00610208"/>
    <w:rsid w:val="0061180A"/>
    <w:rsid w:val="00615B4F"/>
    <w:rsid w:val="00623967"/>
    <w:rsid w:val="00626EB6"/>
    <w:rsid w:val="00632E3D"/>
    <w:rsid w:val="00636720"/>
    <w:rsid w:val="0064306F"/>
    <w:rsid w:val="006459B1"/>
    <w:rsid w:val="00646C36"/>
    <w:rsid w:val="0064729F"/>
    <w:rsid w:val="0065235D"/>
    <w:rsid w:val="00652649"/>
    <w:rsid w:val="0065270B"/>
    <w:rsid w:val="006534CA"/>
    <w:rsid w:val="00655D03"/>
    <w:rsid w:val="006620F7"/>
    <w:rsid w:val="00665547"/>
    <w:rsid w:val="006670E8"/>
    <w:rsid w:val="00667354"/>
    <w:rsid w:val="00671D77"/>
    <w:rsid w:val="00674C91"/>
    <w:rsid w:val="00683388"/>
    <w:rsid w:val="00683B2D"/>
    <w:rsid w:val="00683F1F"/>
    <w:rsid w:val="00683F84"/>
    <w:rsid w:val="00685018"/>
    <w:rsid w:val="00686F3E"/>
    <w:rsid w:val="00690E60"/>
    <w:rsid w:val="006918C5"/>
    <w:rsid w:val="0069341E"/>
    <w:rsid w:val="006A04CF"/>
    <w:rsid w:val="006A04FF"/>
    <w:rsid w:val="006A0CCD"/>
    <w:rsid w:val="006A16B3"/>
    <w:rsid w:val="006A1D7C"/>
    <w:rsid w:val="006A551D"/>
    <w:rsid w:val="006A5BB3"/>
    <w:rsid w:val="006A6A1C"/>
    <w:rsid w:val="006A6A81"/>
    <w:rsid w:val="006B0A6F"/>
    <w:rsid w:val="006B2AA3"/>
    <w:rsid w:val="006B3C40"/>
    <w:rsid w:val="006B4875"/>
    <w:rsid w:val="006C3459"/>
    <w:rsid w:val="006C37F5"/>
    <w:rsid w:val="006C5C0B"/>
    <w:rsid w:val="006D133D"/>
    <w:rsid w:val="006D6CBD"/>
    <w:rsid w:val="006E207C"/>
    <w:rsid w:val="006E4E12"/>
    <w:rsid w:val="006F4635"/>
    <w:rsid w:val="006F7147"/>
    <w:rsid w:val="006F7393"/>
    <w:rsid w:val="007009FC"/>
    <w:rsid w:val="0070112A"/>
    <w:rsid w:val="0070224F"/>
    <w:rsid w:val="00702DCF"/>
    <w:rsid w:val="00703BD1"/>
    <w:rsid w:val="0070633B"/>
    <w:rsid w:val="00710CC1"/>
    <w:rsid w:val="007115F7"/>
    <w:rsid w:val="007123A3"/>
    <w:rsid w:val="00712B39"/>
    <w:rsid w:val="00712FE9"/>
    <w:rsid w:val="00715CA9"/>
    <w:rsid w:val="0071611F"/>
    <w:rsid w:val="00750C1C"/>
    <w:rsid w:val="007563C6"/>
    <w:rsid w:val="00756B3F"/>
    <w:rsid w:val="00760248"/>
    <w:rsid w:val="00761A48"/>
    <w:rsid w:val="00766BD9"/>
    <w:rsid w:val="00770B53"/>
    <w:rsid w:val="007743DF"/>
    <w:rsid w:val="00774789"/>
    <w:rsid w:val="0077779F"/>
    <w:rsid w:val="0078084A"/>
    <w:rsid w:val="007820DC"/>
    <w:rsid w:val="00782F47"/>
    <w:rsid w:val="00785689"/>
    <w:rsid w:val="0078789C"/>
    <w:rsid w:val="00787CB1"/>
    <w:rsid w:val="0079134D"/>
    <w:rsid w:val="00796239"/>
    <w:rsid w:val="007970B9"/>
    <w:rsid w:val="0079754B"/>
    <w:rsid w:val="007A1E6D"/>
    <w:rsid w:val="007A204B"/>
    <w:rsid w:val="007A50E4"/>
    <w:rsid w:val="007A541A"/>
    <w:rsid w:val="007A5AD6"/>
    <w:rsid w:val="007A698C"/>
    <w:rsid w:val="007B020C"/>
    <w:rsid w:val="007B0D37"/>
    <w:rsid w:val="007B0E95"/>
    <w:rsid w:val="007B0EB2"/>
    <w:rsid w:val="007B5620"/>
    <w:rsid w:val="007C0B2B"/>
    <w:rsid w:val="007C0B39"/>
    <w:rsid w:val="007C3FBF"/>
    <w:rsid w:val="007C4242"/>
    <w:rsid w:val="007C473D"/>
    <w:rsid w:val="007D19A5"/>
    <w:rsid w:val="007D1F71"/>
    <w:rsid w:val="007D2562"/>
    <w:rsid w:val="007D2615"/>
    <w:rsid w:val="007D489D"/>
    <w:rsid w:val="007D7BED"/>
    <w:rsid w:val="007E2EBD"/>
    <w:rsid w:val="007E4400"/>
    <w:rsid w:val="007E4832"/>
    <w:rsid w:val="007E52D9"/>
    <w:rsid w:val="007E6B99"/>
    <w:rsid w:val="007F2132"/>
    <w:rsid w:val="007F766D"/>
    <w:rsid w:val="0080116A"/>
    <w:rsid w:val="00805BF5"/>
    <w:rsid w:val="00806024"/>
    <w:rsid w:val="008062B4"/>
    <w:rsid w:val="0080718C"/>
    <w:rsid w:val="00810B6F"/>
    <w:rsid w:val="00813B6A"/>
    <w:rsid w:val="008155A1"/>
    <w:rsid w:val="00821059"/>
    <w:rsid w:val="00822CE0"/>
    <w:rsid w:val="008257A7"/>
    <w:rsid w:val="00830A41"/>
    <w:rsid w:val="00832DE8"/>
    <w:rsid w:val="008335CC"/>
    <w:rsid w:val="0083587E"/>
    <w:rsid w:val="00835893"/>
    <w:rsid w:val="00841AB1"/>
    <w:rsid w:val="00842EF2"/>
    <w:rsid w:val="00843A5F"/>
    <w:rsid w:val="00844FC3"/>
    <w:rsid w:val="00850F24"/>
    <w:rsid w:val="00852593"/>
    <w:rsid w:val="00865380"/>
    <w:rsid w:val="00867BC3"/>
    <w:rsid w:val="0088064A"/>
    <w:rsid w:val="0088350A"/>
    <w:rsid w:val="00883524"/>
    <w:rsid w:val="00887F97"/>
    <w:rsid w:val="00894D59"/>
    <w:rsid w:val="008A0052"/>
    <w:rsid w:val="008A1C76"/>
    <w:rsid w:val="008A2AD9"/>
    <w:rsid w:val="008A3BFE"/>
    <w:rsid w:val="008A7975"/>
    <w:rsid w:val="008A7AD7"/>
    <w:rsid w:val="008B2C52"/>
    <w:rsid w:val="008B628C"/>
    <w:rsid w:val="008C1C7C"/>
    <w:rsid w:val="008C38F0"/>
    <w:rsid w:val="008C4282"/>
    <w:rsid w:val="008C68F1"/>
    <w:rsid w:val="008D1E57"/>
    <w:rsid w:val="008D216B"/>
    <w:rsid w:val="008D3C3F"/>
    <w:rsid w:val="008D5085"/>
    <w:rsid w:val="008D6611"/>
    <w:rsid w:val="008D79FA"/>
    <w:rsid w:val="008E3790"/>
    <w:rsid w:val="008E5A04"/>
    <w:rsid w:val="008F2DBF"/>
    <w:rsid w:val="00901E3F"/>
    <w:rsid w:val="00904888"/>
    <w:rsid w:val="009068C2"/>
    <w:rsid w:val="00913231"/>
    <w:rsid w:val="009135C6"/>
    <w:rsid w:val="009150AB"/>
    <w:rsid w:val="00921803"/>
    <w:rsid w:val="0092624F"/>
    <w:rsid w:val="00926503"/>
    <w:rsid w:val="00926FC4"/>
    <w:rsid w:val="009279FD"/>
    <w:rsid w:val="00927B1B"/>
    <w:rsid w:val="0093006C"/>
    <w:rsid w:val="009341CC"/>
    <w:rsid w:val="00936B23"/>
    <w:rsid w:val="00940867"/>
    <w:rsid w:val="00941506"/>
    <w:rsid w:val="0094395F"/>
    <w:rsid w:val="009476B1"/>
    <w:rsid w:val="0095329C"/>
    <w:rsid w:val="00955C46"/>
    <w:rsid w:val="009563C6"/>
    <w:rsid w:val="00961C39"/>
    <w:rsid w:val="00965222"/>
    <w:rsid w:val="0096758E"/>
    <w:rsid w:val="00967E47"/>
    <w:rsid w:val="00971733"/>
    <w:rsid w:val="009726D8"/>
    <w:rsid w:val="0097690F"/>
    <w:rsid w:val="00980648"/>
    <w:rsid w:val="00982541"/>
    <w:rsid w:val="00982669"/>
    <w:rsid w:val="009850EA"/>
    <w:rsid w:val="009859CD"/>
    <w:rsid w:val="00987C46"/>
    <w:rsid w:val="009902B1"/>
    <w:rsid w:val="00990921"/>
    <w:rsid w:val="00993743"/>
    <w:rsid w:val="009A17A5"/>
    <w:rsid w:val="009A2110"/>
    <w:rsid w:val="009A36EE"/>
    <w:rsid w:val="009A55BC"/>
    <w:rsid w:val="009B0B95"/>
    <w:rsid w:val="009B31C8"/>
    <w:rsid w:val="009B63F7"/>
    <w:rsid w:val="009C4501"/>
    <w:rsid w:val="009C46DE"/>
    <w:rsid w:val="009C6343"/>
    <w:rsid w:val="009D1914"/>
    <w:rsid w:val="009D7FB5"/>
    <w:rsid w:val="009E1DE8"/>
    <w:rsid w:val="009E2673"/>
    <w:rsid w:val="009E27A1"/>
    <w:rsid w:val="009E27BB"/>
    <w:rsid w:val="009E51C5"/>
    <w:rsid w:val="009F1C3F"/>
    <w:rsid w:val="009F76DB"/>
    <w:rsid w:val="00A07FCB"/>
    <w:rsid w:val="00A13790"/>
    <w:rsid w:val="00A13EEC"/>
    <w:rsid w:val="00A153F1"/>
    <w:rsid w:val="00A17CD3"/>
    <w:rsid w:val="00A17DF1"/>
    <w:rsid w:val="00A2234E"/>
    <w:rsid w:val="00A32C3B"/>
    <w:rsid w:val="00A33B93"/>
    <w:rsid w:val="00A34BAD"/>
    <w:rsid w:val="00A45B71"/>
    <w:rsid w:val="00A45F4F"/>
    <w:rsid w:val="00A475EF"/>
    <w:rsid w:val="00A508BE"/>
    <w:rsid w:val="00A5148B"/>
    <w:rsid w:val="00A51F7B"/>
    <w:rsid w:val="00A547F8"/>
    <w:rsid w:val="00A5613E"/>
    <w:rsid w:val="00A600A9"/>
    <w:rsid w:val="00A619C9"/>
    <w:rsid w:val="00A65485"/>
    <w:rsid w:val="00A65E83"/>
    <w:rsid w:val="00A66B78"/>
    <w:rsid w:val="00A6728B"/>
    <w:rsid w:val="00A728FA"/>
    <w:rsid w:val="00A74589"/>
    <w:rsid w:val="00A8149F"/>
    <w:rsid w:val="00A8246B"/>
    <w:rsid w:val="00A90A66"/>
    <w:rsid w:val="00A962DC"/>
    <w:rsid w:val="00AA1A67"/>
    <w:rsid w:val="00AA55B7"/>
    <w:rsid w:val="00AA5B9E"/>
    <w:rsid w:val="00AB2407"/>
    <w:rsid w:val="00AB2A36"/>
    <w:rsid w:val="00AB355A"/>
    <w:rsid w:val="00AB43B3"/>
    <w:rsid w:val="00AB53DF"/>
    <w:rsid w:val="00AB6ADC"/>
    <w:rsid w:val="00AC67DE"/>
    <w:rsid w:val="00AC7DEE"/>
    <w:rsid w:val="00AD0401"/>
    <w:rsid w:val="00AD0726"/>
    <w:rsid w:val="00AD552D"/>
    <w:rsid w:val="00AD6D76"/>
    <w:rsid w:val="00AE01C2"/>
    <w:rsid w:val="00AE0B6F"/>
    <w:rsid w:val="00AE2185"/>
    <w:rsid w:val="00AE24D5"/>
    <w:rsid w:val="00AE2B6E"/>
    <w:rsid w:val="00AF3897"/>
    <w:rsid w:val="00B0044E"/>
    <w:rsid w:val="00B023FF"/>
    <w:rsid w:val="00B026E7"/>
    <w:rsid w:val="00B06209"/>
    <w:rsid w:val="00B065BB"/>
    <w:rsid w:val="00B067FE"/>
    <w:rsid w:val="00B07974"/>
    <w:rsid w:val="00B07E5C"/>
    <w:rsid w:val="00B13677"/>
    <w:rsid w:val="00B1444F"/>
    <w:rsid w:val="00B159EB"/>
    <w:rsid w:val="00B213CA"/>
    <w:rsid w:val="00B2646D"/>
    <w:rsid w:val="00B26748"/>
    <w:rsid w:val="00B27002"/>
    <w:rsid w:val="00B279F2"/>
    <w:rsid w:val="00B32C6E"/>
    <w:rsid w:val="00B41EE3"/>
    <w:rsid w:val="00B43FC1"/>
    <w:rsid w:val="00B4634E"/>
    <w:rsid w:val="00B4704B"/>
    <w:rsid w:val="00B47E4E"/>
    <w:rsid w:val="00B51B28"/>
    <w:rsid w:val="00B52F19"/>
    <w:rsid w:val="00B64219"/>
    <w:rsid w:val="00B642BB"/>
    <w:rsid w:val="00B66D48"/>
    <w:rsid w:val="00B709FD"/>
    <w:rsid w:val="00B7146B"/>
    <w:rsid w:val="00B72F24"/>
    <w:rsid w:val="00B73A30"/>
    <w:rsid w:val="00B76C77"/>
    <w:rsid w:val="00B76F47"/>
    <w:rsid w:val="00B810D1"/>
    <w:rsid w:val="00B811F7"/>
    <w:rsid w:val="00B8387C"/>
    <w:rsid w:val="00B86A21"/>
    <w:rsid w:val="00B905A7"/>
    <w:rsid w:val="00B94251"/>
    <w:rsid w:val="00B9507F"/>
    <w:rsid w:val="00B96945"/>
    <w:rsid w:val="00BA260F"/>
    <w:rsid w:val="00BA5DC6"/>
    <w:rsid w:val="00BA6196"/>
    <w:rsid w:val="00BA6D48"/>
    <w:rsid w:val="00BB19FE"/>
    <w:rsid w:val="00BB2F16"/>
    <w:rsid w:val="00BB440F"/>
    <w:rsid w:val="00BB4579"/>
    <w:rsid w:val="00BB4A43"/>
    <w:rsid w:val="00BB5AAD"/>
    <w:rsid w:val="00BB7380"/>
    <w:rsid w:val="00BC67CB"/>
    <w:rsid w:val="00BC6D8C"/>
    <w:rsid w:val="00BC7821"/>
    <w:rsid w:val="00BD08D2"/>
    <w:rsid w:val="00BD4EBC"/>
    <w:rsid w:val="00BD5BEC"/>
    <w:rsid w:val="00BD5C41"/>
    <w:rsid w:val="00BD779B"/>
    <w:rsid w:val="00BE103C"/>
    <w:rsid w:val="00BE7E75"/>
    <w:rsid w:val="00BF23FA"/>
    <w:rsid w:val="00BF4D2A"/>
    <w:rsid w:val="00BF5002"/>
    <w:rsid w:val="00BF678D"/>
    <w:rsid w:val="00BF684A"/>
    <w:rsid w:val="00C014DA"/>
    <w:rsid w:val="00C01E1F"/>
    <w:rsid w:val="00C02BC8"/>
    <w:rsid w:val="00C04651"/>
    <w:rsid w:val="00C07868"/>
    <w:rsid w:val="00C15E0C"/>
    <w:rsid w:val="00C219C3"/>
    <w:rsid w:val="00C236AC"/>
    <w:rsid w:val="00C249D7"/>
    <w:rsid w:val="00C277CC"/>
    <w:rsid w:val="00C27BF9"/>
    <w:rsid w:val="00C34006"/>
    <w:rsid w:val="00C353B8"/>
    <w:rsid w:val="00C3652C"/>
    <w:rsid w:val="00C4032A"/>
    <w:rsid w:val="00C426B1"/>
    <w:rsid w:val="00C43E4A"/>
    <w:rsid w:val="00C44B88"/>
    <w:rsid w:val="00C5040D"/>
    <w:rsid w:val="00C51324"/>
    <w:rsid w:val="00C566EC"/>
    <w:rsid w:val="00C575BD"/>
    <w:rsid w:val="00C60235"/>
    <w:rsid w:val="00C61FB2"/>
    <w:rsid w:val="00C620CA"/>
    <w:rsid w:val="00C62918"/>
    <w:rsid w:val="00C6383F"/>
    <w:rsid w:val="00C66160"/>
    <w:rsid w:val="00C668ED"/>
    <w:rsid w:val="00C675DB"/>
    <w:rsid w:val="00C7140C"/>
    <w:rsid w:val="00C721AC"/>
    <w:rsid w:val="00C841D5"/>
    <w:rsid w:val="00C907ED"/>
    <w:rsid w:val="00C90D6A"/>
    <w:rsid w:val="00CA07C4"/>
    <w:rsid w:val="00CA247E"/>
    <w:rsid w:val="00CA58A9"/>
    <w:rsid w:val="00CA7D73"/>
    <w:rsid w:val="00CB6510"/>
    <w:rsid w:val="00CC72B6"/>
    <w:rsid w:val="00CD3870"/>
    <w:rsid w:val="00CE152C"/>
    <w:rsid w:val="00CE68FE"/>
    <w:rsid w:val="00CE79A0"/>
    <w:rsid w:val="00CE7D37"/>
    <w:rsid w:val="00CF1B2D"/>
    <w:rsid w:val="00CF4E8B"/>
    <w:rsid w:val="00CF6AED"/>
    <w:rsid w:val="00D0107E"/>
    <w:rsid w:val="00D0218D"/>
    <w:rsid w:val="00D02970"/>
    <w:rsid w:val="00D057E8"/>
    <w:rsid w:val="00D15031"/>
    <w:rsid w:val="00D23E19"/>
    <w:rsid w:val="00D24CB0"/>
    <w:rsid w:val="00D25FB5"/>
    <w:rsid w:val="00D31434"/>
    <w:rsid w:val="00D31C40"/>
    <w:rsid w:val="00D33BC0"/>
    <w:rsid w:val="00D3409B"/>
    <w:rsid w:val="00D341FE"/>
    <w:rsid w:val="00D433C4"/>
    <w:rsid w:val="00D44223"/>
    <w:rsid w:val="00D4452F"/>
    <w:rsid w:val="00D45A54"/>
    <w:rsid w:val="00D503BA"/>
    <w:rsid w:val="00D52C8E"/>
    <w:rsid w:val="00D560CD"/>
    <w:rsid w:val="00D56A4B"/>
    <w:rsid w:val="00D602E2"/>
    <w:rsid w:val="00D612FE"/>
    <w:rsid w:val="00D627A6"/>
    <w:rsid w:val="00D65117"/>
    <w:rsid w:val="00D65983"/>
    <w:rsid w:val="00D66953"/>
    <w:rsid w:val="00D80103"/>
    <w:rsid w:val="00D80E45"/>
    <w:rsid w:val="00D83696"/>
    <w:rsid w:val="00D84548"/>
    <w:rsid w:val="00D84F78"/>
    <w:rsid w:val="00D9021A"/>
    <w:rsid w:val="00D90C0E"/>
    <w:rsid w:val="00D93A87"/>
    <w:rsid w:val="00DA0ED7"/>
    <w:rsid w:val="00DA1426"/>
    <w:rsid w:val="00DA176A"/>
    <w:rsid w:val="00DA2529"/>
    <w:rsid w:val="00DA3180"/>
    <w:rsid w:val="00DB0955"/>
    <w:rsid w:val="00DB0C03"/>
    <w:rsid w:val="00DB130A"/>
    <w:rsid w:val="00DB178E"/>
    <w:rsid w:val="00DB2D51"/>
    <w:rsid w:val="00DB2EBB"/>
    <w:rsid w:val="00DB6E60"/>
    <w:rsid w:val="00DC10A1"/>
    <w:rsid w:val="00DC2111"/>
    <w:rsid w:val="00DC32CA"/>
    <w:rsid w:val="00DC655F"/>
    <w:rsid w:val="00DC66B6"/>
    <w:rsid w:val="00DC7572"/>
    <w:rsid w:val="00DD0B59"/>
    <w:rsid w:val="00DD1F61"/>
    <w:rsid w:val="00DD4456"/>
    <w:rsid w:val="00DD7EBD"/>
    <w:rsid w:val="00DE3C2C"/>
    <w:rsid w:val="00DF0EE2"/>
    <w:rsid w:val="00DF2595"/>
    <w:rsid w:val="00DF5BAD"/>
    <w:rsid w:val="00DF62B6"/>
    <w:rsid w:val="00DF747E"/>
    <w:rsid w:val="00E0195B"/>
    <w:rsid w:val="00E01E06"/>
    <w:rsid w:val="00E02214"/>
    <w:rsid w:val="00E02D1D"/>
    <w:rsid w:val="00E033FA"/>
    <w:rsid w:val="00E03587"/>
    <w:rsid w:val="00E067E9"/>
    <w:rsid w:val="00E06D3A"/>
    <w:rsid w:val="00E07225"/>
    <w:rsid w:val="00E1090A"/>
    <w:rsid w:val="00E11C19"/>
    <w:rsid w:val="00E1401A"/>
    <w:rsid w:val="00E204B8"/>
    <w:rsid w:val="00E2200A"/>
    <w:rsid w:val="00E22653"/>
    <w:rsid w:val="00E24E9F"/>
    <w:rsid w:val="00E3009C"/>
    <w:rsid w:val="00E32B72"/>
    <w:rsid w:val="00E37E48"/>
    <w:rsid w:val="00E40202"/>
    <w:rsid w:val="00E40F40"/>
    <w:rsid w:val="00E41178"/>
    <w:rsid w:val="00E420CE"/>
    <w:rsid w:val="00E421C3"/>
    <w:rsid w:val="00E43C74"/>
    <w:rsid w:val="00E4501C"/>
    <w:rsid w:val="00E46123"/>
    <w:rsid w:val="00E506CF"/>
    <w:rsid w:val="00E5409F"/>
    <w:rsid w:val="00E55D00"/>
    <w:rsid w:val="00E5745E"/>
    <w:rsid w:val="00E63439"/>
    <w:rsid w:val="00E66F37"/>
    <w:rsid w:val="00E738A4"/>
    <w:rsid w:val="00E8027E"/>
    <w:rsid w:val="00E8360C"/>
    <w:rsid w:val="00E83BF8"/>
    <w:rsid w:val="00E84EE0"/>
    <w:rsid w:val="00E85955"/>
    <w:rsid w:val="00E861B3"/>
    <w:rsid w:val="00E8630A"/>
    <w:rsid w:val="00E906DA"/>
    <w:rsid w:val="00E965CF"/>
    <w:rsid w:val="00EA000B"/>
    <w:rsid w:val="00EA12C6"/>
    <w:rsid w:val="00EA248B"/>
    <w:rsid w:val="00EA35FE"/>
    <w:rsid w:val="00EA3606"/>
    <w:rsid w:val="00EB20A8"/>
    <w:rsid w:val="00EC3ED8"/>
    <w:rsid w:val="00EC40F9"/>
    <w:rsid w:val="00ED3C07"/>
    <w:rsid w:val="00ED419F"/>
    <w:rsid w:val="00ED5746"/>
    <w:rsid w:val="00EE117C"/>
    <w:rsid w:val="00EE1291"/>
    <w:rsid w:val="00EE2423"/>
    <w:rsid w:val="00EE3A84"/>
    <w:rsid w:val="00EE4F35"/>
    <w:rsid w:val="00EE5621"/>
    <w:rsid w:val="00EE6488"/>
    <w:rsid w:val="00EE757A"/>
    <w:rsid w:val="00EF0938"/>
    <w:rsid w:val="00EF1B1B"/>
    <w:rsid w:val="00EF30D3"/>
    <w:rsid w:val="00EF505E"/>
    <w:rsid w:val="00EF5FE2"/>
    <w:rsid w:val="00F0090E"/>
    <w:rsid w:val="00F021FA"/>
    <w:rsid w:val="00F02B8E"/>
    <w:rsid w:val="00F071DB"/>
    <w:rsid w:val="00F14CA6"/>
    <w:rsid w:val="00F14CAD"/>
    <w:rsid w:val="00F15584"/>
    <w:rsid w:val="00F16CFE"/>
    <w:rsid w:val="00F21F87"/>
    <w:rsid w:val="00F22FBF"/>
    <w:rsid w:val="00F23B6A"/>
    <w:rsid w:val="00F26C20"/>
    <w:rsid w:val="00F32845"/>
    <w:rsid w:val="00F343B0"/>
    <w:rsid w:val="00F4066F"/>
    <w:rsid w:val="00F444D0"/>
    <w:rsid w:val="00F47685"/>
    <w:rsid w:val="00F53694"/>
    <w:rsid w:val="00F54AA1"/>
    <w:rsid w:val="00F56A65"/>
    <w:rsid w:val="00F60217"/>
    <w:rsid w:val="00F629DB"/>
    <w:rsid w:val="00F62E97"/>
    <w:rsid w:val="00F64209"/>
    <w:rsid w:val="00F660CB"/>
    <w:rsid w:val="00F7063C"/>
    <w:rsid w:val="00F74D07"/>
    <w:rsid w:val="00F764C3"/>
    <w:rsid w:val="00F8143D"/>
    <w:rsid w:val="00F82AC0"/>
    <w:rsid w:val="00F83EAB"/>
    <w:rsid w:val="00F8503B"/>
    <w:rsid w:val="00F851E4"/>
    <w:rsid w:val="00F8748A"/>
    <w:rsid w:val="00F902D0"/>
    <w:rsid w:val="00F9278A"/>
    <w:rsid w:val="00F92C87"/>
    <w:rsid w:val="00F9394D"/>
    <w:rsid w:val="00F93BF5"/>
    <w:rsid w:val="00F95723"/>
    <w:rsid w:val="00F96A9D"/>
    <w:rsid w:val="00FA3749"/>
    <w:rsid w:val="00FA3A1D"/>
    <w:rsid w:val="00FA4EBC"/>
    <w:rsid w:val="00FA5B59"/>
    <w:rsid w:val="00FA64A5"/>
    <w:rsid w:val="00FB06E0"/>
    <w:rsid w:val="00FB2525"/>
    <w:rsid w:val="00FB3458"/>
    <w:rsid w:val="00FB39CB"/>
    <w:rsid w:val="00FB4615"/>
    <w:rsid w:val="00FB6077"/>
    <w:rsid w:val="00FC284B"/>
    <w:rsid w:val="00FD04D9"/>
    <w:rsid w:val="00FD0E89"/>
    <w:rsid w:val="00FD0F9C"/>
    <w:rsid w:val="00FD5155"/>
    <w:rsid w:val="00FE482A"/>
    <w:rsid w:val="00FE5B2B"/>
    <w:rsid w:val="00FF1E1E"/>
    <w:rsid w:val="00FF3C37"/>
    <w:rsid w:val="00FF4063"/>
    <w:rsid w:val="00FF51DA"/>
    <w:rsid w:val="00FF5A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75EF09F8-0F85-4361-A6E4-37C74016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734"/>
    <w:pPr>
      <w:widowControl w:val="0"/>
    </w:pPr>
    <w:rPr>
      <w:snapToGrid w:val="0"/>
      <w:kern w:val="28"/>
      <w:sz w:val="22"/>
    </w:rPr>
  </w:style>
  <w:style w:type="paragraph" w:styleId="Heading1">
    <w:name w:val="heading 1"/>
    <w:basedOn w:val="Normal"/>
    <w:next w:val="ParaNum"/>
    <w:link w:val="Heading1Char"/>
    <w:qFormat/>
    <w:rsid w:val="0037773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77734"/>
    <w:pPr>
      <w:keepNext/>
      <w:numPr>
        <w:ilvl w:val="1"/>
        <w:numId w:val="2"/>
      </w:numPr>
      <w:spacing w:after="120"/>
      <w:outlineLvl w:val="1"/>
    </w:pPr>
    <w:rPr>
      <w:b/>
    </w:rPr>
  </w:style>
  <w:style w:type="paragraph" w:styleId="Heading3">
    <w:name w:val="heading 3"/>
    <w:basedOn w:val="Normal"/>
    <w:next w:val="ParaNum"/>
    <w:qFormat/>
    <w:rsid w:val="00377734"/>
    <w:pPr>
      <w:keepNext/>
      <w:numPr>
        <w:ilvl w:val="2"/>
        <w:numId w:val="2"/>
      </w:numPr>
      <w:tabs>
        <w:tab w:val="left" w:pos="2160"/>
      </w:tabs>
      <w:spacing w:after="120"/>
      <w:outlineLvl w:val="2"/>
    </w:pPr>
    <w:rPr>
      <w:b/>
    </w:rPr>
  </w:style>
  <w:style w:type="paragraph" w:styleId="Heading4">
    <w:name w:val="heading 4"/>
    <w:basedOn w:val="Normal"/>
    <w:next w:val="ParaNum"/>
    <w:qFormat/>
    <w:rsid w:val="00377734"/>
    <w:pPr>
      <w:keepNext/>
      <w:numPr>
        <w:ilvl w:val="3"/>
        <w:numId w:val="2"/>
      </w:numPr>
      <w:tabs>
        <w:tab w:val="left" w:pos="2880"/>
      </w:tabs>
      <w:spacing w:after="120"/>
      <w:outlineLvl w:val="3"/>
    </w:pPr>
    <w:rPr>
      <w:b/>
    </w:rPr>
  </w:style>
  <w:style w:type="paragraph" w:styleId="Heading5">
    <w:name w:val="heading 5"/>
    <w:basedOn w:val="Normal"/>
    <w:next w:val="ParaNum"/>
    <w:qFormat/>
    <w:rsid w:val="00377734"/>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377734"/>
    <w:pPr>
      <w:numPr>
        <w:ilvl w:val="5"/>
        <w:numId w:val="2"/>
      </w:numPr>
      <w:tabs>
        <w:tab w:val="left" w:pos="4320"/>
      </w:tabs>
      <w:spacing w:after="120"/>
      <w:outlineLvl w:val="5"/>
    </w:pPr>
    <w:rPr>
      <w:b/>
    </w:rPr>
  </w:style>
  <w:style w:type="paragraph" w:styleId="Heading7">
    <w:name w:val="heading 7"/>
    <w:basedOn w:val="Normal"/>
    <w:next w:val="ParaNum"/>
    <w:qFormat/>
    <w:rsid w:val="00377734"/>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37773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37773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777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7734"/>
  </w:style>
  <w:style w:type="paragraph" w:customStyle="1" w:styleId="ParaNum">
    <w:name w:val="ParaNum"/>
    <w:basedOn w:val="Normal"/>
    <w:link w:val="ParaNumChar0"/>
    <w:rsid w:val="00377734"/>
    <w:pPr>
      <w:numPr>
        <w:numId w:val="1"/>
      </w:numPr>
      <w:tabs>
        <w:tab w:val="clear" w:pos="1080"/>
        <w:tab w:val="num" w:pos="1440"/>
      </w:tabs>
      <w:spacing w:after="120"/>
    </w:pPr>
  </w:style>
  <w:style w:type="paragraph" w:styleId="EndnoteText">
    <w:name w:val="endnote text"/>
    <w:basedOn w:val="Normal"/>
    <w:semiHidden/>
    <w:rsid w:val="00377734"/>
    <w:rPr>
      <w:sz w:val="20"/>
    </w:rPr>
  </w:style>
  <w:style w:type="character" w:styleId="EndnoteReference">
    <w:name w:val="endnote reference"/>
    <w:semiHidden/>
    <w:rsid w:val="00377734"/>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1"/>
    <w:rsid w:val="00377734"/>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377734"/>
    <w:rPr>
      <w:rFonts w:ascii="Times New Roman" w:hAnsi="Times New Roman"/>
      <w:dstrike w:val="0"/>
      <w:color w:val="auto"/>
      <w:sz w:val="20"/>
      <w:vertAlign w:val="superscript"/>
    </w:rPr>
  </w:style>
  <w:style w:type="paragraph" w:styleId="TOC1">
    <w:name w:val="toc 1"/>
    <w:basedOn w:val="Normal"/>
    <w:next w:val="Normal"/>
    <w:semiHidden/>
    <w:rsid w:val="0037773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77734"/>
    <w:pPr>
      <w:tabs>
        <w:tab w:val="left" w:pos="720"/>
        <w:tab w:val="right" w:leader="dot" w:pos="9360"/>
      </w:tabs>
      <w:suppressAutoHyphens/>
      <w:ind w:left="720" w:right="720" w:hanging="360"/>
    </w:pPr>
    <w:rPr>
      <w:noProof/>
    </w:rPr>
  </w:style>
  <w:style w:type="paragraph" w:styleId="TOC3">
    <w:name w:val="toc 3"/>
    <w:basedOn w:val="Normal"/>
    <w:next w:val="Normal"/>
    <w:semiHidden/>
    <w:rsid w:val="0037773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7773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7773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7773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7773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7773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7773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77734"/>
    <w:pPr>
      <w:tabs>
        <w:tab w:val="right" w:pos="9360"/>
      </w:tabs>
      <w:suppressAutoHyphens/>
    </w:pPr>
  </w:style>
  <w:style w:type="character" w:customStyle="1" w:styleId="EquationCaption">
    <w:name w:val="_Equation Caption"/>
    <w:rsid w:val="00377734"/>
  </w:style>
  <w:style w:type="paragraph" w:styleId="Header">
    <w:name w:val="header"/>
    <w:basedOn w:val="Normal"/>
    <w:link w:val="HeaderChar"/>
    <w:autoRedefine/>
    <w:rsid w:val="00377734"/>
    <w:pPr>
      <w:tabs>
        <w:tab w:val="center" w:pos="4680"/>
        <w:tab w:val="right" w:pos="9360"/>
      </w:tabs>
    </w:pPr>
    <w:rPr>
      <w:b/>
    </w:rPr>
  </w:style>
  <w:style w:type="paragraph" w:styleId="Footer">
    <w:name w:val="footer"/>
    <w:basedOn w:val="Normal"/>
    <w:link w:val="FooterChar"/>
    <w:uiPriority w:val="99"/>
    <w:rsid w:val="00377734"/>
    <w:pPr>
      <w:tabs>
        <w:tab w:val="center" w:pos="4320"/>
        <w:tab w:val="right" w:pos="8640"/>
      </w:tabs>
    </w:pPr>
  </w:style>
  <w:style w:type="character" w:styleId="PageNumber">
    <w:name w:val="page number"/>
    <w:basedOn w:val="DefaultParagraphFont"/>
    <w:rsid w:val="00377734"/>
  </w:style>
  <w:style w:type="paragraph" w:styleId="BlockText">
    <w:name w:val="Block Text"/>
    <w:basedOn w:val="Normal"/>
    <w:rsid w:val="00377734"/>
    <w:pPr>
      <w:spacing w:after="240"/>
      <w:ind w:left="1440" w:right="1440"/>
    </w:pPr>
  </w:style>
  <w:style w:type="paragraph" w:customStyle="1" w:styleId="Paratitle">
    <w:name w:val="Para title"/>
    <w:basedOn w:val="Normal"/>
    <w:rsid w:val="00377734"/>
    <w:pPr>
      <w:tabs>
        <w:tab w:val="center" w:pos="9270"/>
      </w:tabs>
      <w:spacing w:after="240"/>
    </w:pPr>
    <w:rPr>
      <w:spacing w:val="-2"/>
    </w:rPr>
  </w:style>
  <w:style w:type="paragraph" w:customStyle="1" w:styleId="Bullet">
    <w:name w:val="Bullet"/>
    <w:basedOn w:val="Normal"/>
    <w:rsid w:val="00377734"/>
    <w:pPr>
      <w:tabs>
        <w:tab w:val="left" w:pos="2160"/>
      </w:tabs>
      <w:spacing w:after="220"/>
      <w:ind w:left="2160" w:hanging="720"/>
    </w:pPr>
  </w:style>
  <w:style w:type="paragraph" w:customStyle="1" w:styleId="TableFormat">
    <w:name w:val="TableFormat"/>
    <w:basedOn w:val="Bullet"/>
    <w:rsid w:val="00377734"/>
    <w:pPr>
      <w:tabs>
        <w:tab w:val="clear" w:pos="2160"/>
        <w:tab w:val="left" w:pos="5040"/>
      </w:tabs>
      <w:ind w:left="5040" w:hanging="3600"/>
    </w:pPr>
  </w:style>
  <w:style w:type="paragraph" w:customStyle="1" w:styleId="TOCTitle">
    <w:name w:val="TOC Title"/>
    <w:basedOn w:val="Normal"/>
    <w:rsid w:val="0037773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77734"/>
    <w:pPr>
      <w:jc w:val="center"/>
    </w:pPr>
    <w:rPr>
      <w:rFonts w:ascii="Times New Roman Bold" w:hAnsi="Times New Roman Bold"/>
      <w:b/>
      <w:bCs/>
      <w:caps/>
      <w:szCs w:val="22"/>
    </w:rPr>
  </w:style>
  <w:style w:type="character" w:styleId="Hyperlink">
    <w:name w:val="Hyperlink"/>
    <w:rsid w:val="00377734"/>
    <w:rPr>
      <w:color w:val="0000FF"/>
      <w:u w:val="single"/>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 Char"/>
    <w:link w:val="FootnoteText"/>
    <w:locked/>
    <w:rsid w:val="007F2132"/>
  </w:style>
  <w:style w:type="paragraph" w:customStyle="1" w:styleId="Paranum0">
    <w:name w:val="Paranum"/>
    <w:uiPriority w:val="99"/>
    <w:rsid w:val="004D522A"/>
    <w:pPr>
      <w:numPr>
        <w:numId w:val="3"/>
      </w:numPr>
      <w:tabs>
        <w:tab w:val="left" w:pos="1440"/>
      </w:tabs>
      <w:spacing w:after="240"/>
      <w:jc w:val="both"/>
    </w:pPr>
    <w:rPr>
      <w:sz w:val="22"/>
    </w:rPr>
  </w:style>
  <w:style w:type="paragraph" w:customStyle="1" w:styleId="par1">
    <w:name w:val="par1"/>
    <w:basedOn w:val="Normal"/>
    <w:link w:val="par1Char"/>
    <w:rsid w:val="00BD08D2"/>
    <w:pPr>
      <w:widowControl/>
      <w:numPr>
        <w:numId w:val="4"/>
      </w:numPr>
    </w:pPr>
    <w:rPr>
      <w:snapToGrid/>
      <w:kern w:val="0"/>
    </w:rPr>
  </w:style>
  <w:style w:type="character" w:customStyle="1" w:styleId="ParanumChar">
    <w:name w:val="Paranum Char"/>
    <w:uiPriority w:val="99"/>
    <w:rsid w:val="00BD08D2"/>
    <w:rPr>
      <w:sz w:val="22"/>
      <w:lang w:val="en-US" w:eastAsia="en-US"/>
    </w:rPr>
  </w:style>
  <w:style w:type="paragraph" w:styleId="ListParagraph">
    <w:name w:val="List Paragraph"/>
    <w:basedOn w:val="Normal"/>
    <w:uiPriority w:val="34"/>
    <w:qFormat/>
    <w:rsid w:val="00BD08D2"/>
    <w:pPr>
      <w:widowControl/>
      <w:ind w:left="720"/>
    </w:pPr>
    <w:rPr>
      <w:snapToGrid/>
      <w:kern w:val="0"/>
      <w:sz w:val="24"/>
      <w:szCs w:val="24"/>
    </w:rPr>
  </w:style>
  <w:style w:type="character" w:customStyle="1" w:styleId="par1Char">
    <w:name w:val="par1 Char"/>
    <w:link w:val="par1"/>
    <w:locked/>
    <w:rsid w:val="00BD08D2"/>
    <w:rPr>
      <w:sz w:val="22"/>
    </w:rPr>
  </w:style>
  <w:style w:type="paragraph" w:styleId="BodyText">
    <w:name w:val="Body Text"/>
    <w:basedOn w:val="Normal"/>
    <w:link w:val="BodyTextChar"/>
    <w:uiPriority w:val="99"/>
    <w:rsid w:val="00E02214"/>
    <w:pPr>
      <w:widowControl/>
    </w:pPr>
    <w:rPr>
      <w:b/>
      <w:snapToGrid/>
      <w:kern w:val="0"/>
      <w:sz w:val="24"/>
      <w:u w:val="single"/>
    </w:rPr>
  </w:style>
  <w:style w:type="character" w:customStyle="1" w:styleId="BodyTextChar">
    <w:name w:val="Body Text Char"/>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0">
    <w:name w:val="ParaNum Char"/>
    <w:link w:val="ParaNum"/>
    <w:locked/>
    <w:rsid w:val="00E02214"/>
    <w:rPr>
      <w:snapToGrid w:val="0"/>
      <w:kern w:val="28"/>
      <w:sz w:val="22"/>
    </w:rPr>
  </w:style>
  <w:style w:type="character" w:customStyle="1" w:styleId="Heading1Char">
    <w:name w:val="Heading 1 Char"/>
    <w:link w:val="Heading1"/>
    <w:locked/>
    <w:rsid w:val="009068C2"/>
    <w:rPr>
      <w:rFonts w:ascii="Times New Roman Bold" w:hAnsi="Times New Roman Bold"/>
      <w:b/>
      <w:caps/>
      <w:snapToGrid w:val="0"/>
      <w:kern w:val="28"/>
      <w:sz w:val="22"/>
    </w:rPr>
  </w:style>
  <w:style w:type="character" w:styleId="CommentReference">
    <w:name w:val="annotation reference"/>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link w:val="BalloonText"/>
    <w:rsid w:val="007D2615"/>
    <w:rPr>
      <w:rFonts w:ascii="Tahoma" w:hAnsi="Tahoma" w:cs="Tahoma"/>
      <w:snapToGrid w:val="0"/>
      <w:kern w:val="28"/>
      <w:sz w:val="16"/>
      <w:szCs w:val="16"/>
    </w:rPr>
  </w:style>
  <w:style w:type="character" w:customStyle="1" w:styleId="FooterChar">
    <w:name w:val="Footer Char"/>
    <w:link w:val="Footer"/>
    <w:uiPriority w:val="99"/>
    <w:rsid w:val="00377734"/>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 Char Char Char Char Char2,Footnote Text Char1 Char Char Char Char Char Char1,Footnote Text Char1 Char2 Char Char Char"/>
    <w:rsid w:val="00B8387C"/>
    <w:rPr>
      <w:noProof w:val="0"/>
      <w:lang w:val="en-US" w:eastAsia="en-US" w:bidi="ar-SA"/>
    </w:rPr>
  </w:style>
  <w:style w:type="character" w:customStyle="1" w:styleId="HeaderChar">
    <w:name w:val="Header Char"/>
    <w:link w:val="Header"/>
    <w:rsid w:val="00153AAA"/>
    <w:rPr>
      <w:b/>
      <w:snapToGrid w:val="0"/>
      <w:kern w:val="28"/>
      <w:sz w:val="22"/>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ocked/>
    <w:rsid w:val="00F8748A"/>
    <w:rPr>
      <w:sz w:val="24"/>
      <w:lang w:val="en-US" w:eastAsia="en-US"/>
    </w:rPr>
  </w:style>
  <w:style w:type="character" w:customStyle="1" w:styleId="UnresolvedMention1">
    <w:name w:val="Unresolved Mention1"/>
    <w:uiPriority w:val="99"/>
    <w:semiHidden/>
    <w:unhideWhenUsed/>
    <w:rsid w:val="008D216B"/>
    <w:rPr>
      <w:color w:val="605E5C"/>
      <w:shd w:val="clear" w:color="auto" w:fill="E1DFDD"/>
    </w:rPr>
  </w:style>
  <w:style w:type="character" w:customStyle="1" w:styleId="cosearchterm">
    <w:name w:val="co_searchterm"/>
    <w:rsid w:val="007820DC"/>
  </w:style>
  <w:style w:type="character" w:styleId="FollowedHyperlink">
    <w:name w:val="FollowedHyperlink"/>
    <w:semiHidden/>
    <w:unhideWhenUsed/>
    <w:rsid w:val="00B41EE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bluproducts.com/about-us/" TargetMode="External" /><Relationship Id="rId2" Type="http://schemas.openxmlformats.org/officeDocument/2006/relationships/hyperlink" Target="https://www.fcc.gov/oet/ea/fccid"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