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11490" w:rsidRPr="00204AA1" w:rsidP="00F11490" w14:paraId="078AD57B" w14:textId="77777777">
      <w:pPr>
        <w:jc w:val="center"/>
        <w:rPr>
          <w:b/>
          <w:szCs w:val="22"/>
        </w:rPr>
      </w:pPr>
      <w:r w:rsidRPr="00204AA1">
        <w:rPr>
          <w:b/>
          <w:szCs w:val="22"/>
        </w:rPr>
        <w:t>Before the</w:t>
      </w:r>
    </w:p>
    <w:p w:rsidR="00F11490" w:rsidRPr="00204AA1" w:rsidP="00F11490" w14:paraId="742C754B" w14:textId="77777777">
      <w:pPr>
        <w:jc w:val="center"/>
        <w:rPr>
          <w:b/>
          <w:szCs w:val="22"/>
        </w:rPr>
      </w:pPr>
      <w:r w:rsidRPr="00204AA1">
        <w:rPr>
          <w:b/>
          <w:szCs w:val="22"/>
        </w:rPr>
        <w:t>Federal Communications Commission</w:t>
      </w:r>
    </w:p>
    <w:p w:rsidR="00F11490" w:rsidRPr="00204AA1" w:rsidP="00F11490" w14:paraId="689CC57D" w14:textId="77777777">
      <w:pPr>
        <w:jc w:val="center"/>
        <w:rPr>
          <w:b/>
          <w:szCs w:val="22"/>
        </w:rPr>
      </w:pPr>
      <w:r w:rsidRPr="00204AA1">
        <w:rPr>
          <w:b/>
          <w:szCs w:val="22"/>
        </w:rPr>
        <w:t>Washington, D.C. 20554</w:t>
      </w:r>
    </w:p>
    <w:p w:rsidR="00F11490" w:rsidRPr="00204AA1" w:rsidP="00F11490" w14:paraId="6151475E" w14:textId="77777777">
      <w:pPr>
        <w:rPr>
          <w:szCs w:val="22"/>
        </w:rPr>
      </w:pPr>
    </w:p>
    <w:p w:rsidR="00F11490" w:rsidRPr="00204AA1" w:rsidP="009F4FF1" w14:paraId="062BBDC3" w14:textId="77777777">
      <w:pPr>
        <w:jc w:val="center"/>
        <w:rPr>
          <w:szCs w:val="22"/>
        </w:rPr>
      </w:pPr>
    </w:p>
    <w:tbl>
      <w:tblPr>
        <w:tblW w:w="0" w:type="auto"/>
        <w:tblLayout w:type="fixed"/>
        <w:tblLook w:val="0000"/>
      </w:tblPr>
      <w:tblGrid>
        <w:gridCol w:w="4698"/>
        <w:gridCol w:w="720"/>
        <w:gridCol w:w="4230"/>
      </w:tblGrid>
      <w:tr w14:paraId="73A25958" w14:textId="77777777" w:rsidTr="00841099">
        <w:tblPrEx>
          <w:tblW w:w="0" w:type="auto"/>
          <w:tblLayout w:type="fixed"/>
          <w:tblLook w:val="0000"/>
        </w:tblPrEx>
        <w:tc>
          <w:tcPr>
            <w:tcW w:w="4698" w:type="dxa"/>
          </w:tcPr>
          <w:p w:rsidR="00F11490" w:rsidRPr="00204AA1" w:rsidP="00841099" w14:paraId="571BA8CC" w14:textId="77777777">
            <w:pPr>
              <w:ind w:right="-18"/>
              <w:rPr>
                <w:szCs w:val="22"/>
              </w:rPr>
            </w:pPr>
            <w:r w:rsidRPr="00204AA1">
              <w:rPr>
                <w:szCs w:val="22"/>
              </w:rPr>
              <w:t>In the Matter of</w:t>
            </w:r>
          </w:p>
          <w:p w:rsidR="00F11490" w:rsidRPr="00204AA1" w:rsidP="00841099" w14:paraId="5B277479" w14:textId="77777777">
            <w:pPr>
              <w:ind w:right="-18"/>
              <w:rPr>
                <w:szCs w:val="22"/>
              </w:rPr>
            </w:pPr>
          </w:p>
          <w:p w:rsidR="00F11490" w:rsidRPr="00204AA1" w:rsidP="00841099" w14:paraId="13AC220C" w14:textId="77777777">
            <w:pPr>
              <w:ind w:right="-18"/>
              <w:rPr>
                <w:szCs w:val="22"/>
              </w:rPr>
            </w:pPr>
            <w:r w:rsidRPr="00204AA1">
              <w:rPr>
                <w:szCs w:val="22"/>
              </w:rPr>
              <w:t>HUDSON COUNTY, NEW JERSEY</w:t>
            </w:r>
          </w:p>
          <w:p w:rsidR="00F11490" w:rsidRPr="00204AA1" w:rsidP="00841099" w14:paraId="4DA2E2E7" w14:textId="77777777">
            <w:pPr>
              <w:ind w:right="-18"/>
              <w:rPr>
                <w:szCs w:val="22"/>
              </w:rPr>
            </w:pPr>
          </w:p>
          <w:p w:rsidR="00F11490" w:rsidRPr="00204AA1" w:rsidP="00841099" w14:paraId="7CE788C3" w14:textId="4EDD3002">
            <w:pPr>
              <w:ind w:right="-18"/>
              <w:rPr>
                <w:szCs w:val="22"/>
              </w:rPr>
            </w:pPr>
            <w:r w:rsidRPr="00204AA1">
              <w:rPr>
                <w:szCs w:val="22"/>
              </w:rPr>
              <w:t xml:space="preserve">Request for </w:t>
            </w:r>
            <w:r w:rsidR="00CD2753">
              <w:rPr>
                <w:szCs w:val="22"/>
              </w:rPr>
              <w:t>Special Temporary Authority</w:t>
            </w:r>
          </w:p>
        </w:tc>
        <w:tc>
          <w:tcPr>
            <w:tcW w:w="720" w:type="dxa"/>
          </w:tcPr>
          <w:p w:rsidR="00F11490" w:rsidRPr="00204AA1" w:rsidP="00841099" w14:paraId="5976A0AB" w14:textId="77777777">
            <w:pPr>
              <w:rPr>
                <w:szCs w:val="22"/>
              </w:rPr>
            </w:pPr>
            <w:r w:rsidRPr="00204AA1">
              <w:rPr>
                <w:szCs w:val="22"/>
              </w:rPr>
              <w:t>)</w:t>
            </w:r>
          </w:p>
          <w:p w:rsidR="00F11490" w:rsidRPr="00204AA1" w:rsidP="00841099" w14:paraId="36FE9577" w14:textId="77777777">
            <w:pPr>
              <w:rPr>
                <w:szCs w:val="22"/>
              </w:rPr>
            </w:pPr>
            <w:r w:rsidRPr="00204AA1">
              <w:rPr>
                <w:szCs w:val="22"/>
              </w:rPr>
              <w:t>)</w:t>
            </w:r>
          </w:p>
          <w:p w:rsidR="00F11490" w:rsidRPr="00204AA1" w:rsidP="00841099" w14:paraId="5FB8CBCC" w14:textId="77777777">
            <w:pPr>
              <w:rPr>
                <w:szCs w:val="22"/>
              </w:rPr>
            </w:pPr>
            <w:r w:rsidRPr="00204AA1">
              <w:rPr>
                <w:szCs w:val="22"/>
              </w:rPr>
              <w:t>)</w:t>
            </w:r>
          </w:p>
          <w:p w:rsidR="00F11490" w:rsidRPr="00204AA1" w:rsidP="00841099" w14:paraId="4F6F3B95" w14:textId="77777777">
            <w:pPr>
              <w:rPr>
                <w:szCs w:val="22"/>
              </w:rPr>
            </w:pPr>
            <w:r w:rsidRPr="00204AA1">
              <w:rPr>
                <w:szCs w:val="22"/>
              </w:rPr>
              <w:t>)</w:t>
            </w:r>
          </w:p>
          <w:p w:rsidR="00F11490" w:rsidRPr="00CD2753" w:rsidP="00841099" w14:paraId="13BBC7E0" w14:textId="1427C0C2">
            <w:pPr>
              <w:rPr>
                <w:szCs w:val="22"/>
              </w:rPr>
            </w:pPr>
            <w:r w:rsidRPr="00204AA1">
              <w:rPr>
                <w:szCs w:val="22"/>
              </w:rPr>
              <w:t>)</w:t>
            </w:r>
          </w:p>
        </w:tc>
        <w:tc>
          <w:tcPr>
            <w:tcW w:w="4230" w:type="dxa"/>
          </w:tcPr>
          <w:p w:rsidR="00F11490" w:rsidRPr="00204AA1" w:rsidP="00841099" w14:paraId="25EF9B18" w14:textId="77777777">
            <w:pPr>
              <w:rPr>
                <w:szCs w:val="22"/>
              </w:rPr>
            </w:pPr>
          </w:p>
          <w:p w:rsidR="00F11490" w:rsidRPr="00204AA1" w:rsidP="00841099" w14:paraId="741D9C77" w14:textId="77777777">
            <w:pPr>
              <w:rPr>
                <w:szCs w:val="22"/>
              </w:rPr>
            </w:pPr>
          </w:p>
          <w:p w:rsidR="00F11490" w:rsidRPr="00204AA1" w:rsidP="00841099" w14:paraId="2F087CA4" w14:textId="600BE5E3">
            <w:pPr>
              <w:rPr>
                <w:szCs w:val="22"/>
              </w:rPr>
            </w:pPr>
            <w:r w:rsidRPr="00204AA1">
              <w:rPr>
                <w:szCs w:val="22"/>
              </w:rPr>
              <w:t xml:space="preserve">File No. </w:t>
            </w:r>
            <w:r w:rsidRPr="00CD2753" w:rsidR="00CD2753">
              <w:rPr>
                <w:szCs w:val="22"/>
              </w:rPr>
              <w:t>0009014193</w:t>
            </w:r>
          </w:p>
        </w:tc>
      </w:tr>
    </w:tbl>
    <w:p w:rsidR="00F11490" w:rsidRPr="00204AA1" w:rsidP="00F11490" w14:paraId="364A86E5" w14:textId="77777777">
      <w:pPr>
        <w:rPr>
          <w:szCs w:val="22"/>
        </w:rPr>
      </w:pPr>
    </w:p>
    <w:p w:rsidR="00F11490" w:rsidRPr="00204AA1" w:rsidP="00F11490" w14:paraId="6425D7D4" w14:textId="231672C7">
      <w:pPr>
        <w:spacing w:before="120"/>
        <w:jc w:val="center"/>
        <w:rPr>
          <w:b/>
          <w:szCs w:val="22"/>
        </w:rPr>
      </w:pPr>
      <w:r w:rsidRPr="00204AA1">
        <w:rPr>
          <w:b/>
          <w:spacing w:val="-2"/>
          <w:szCs w:val="22"/>
        </w:rPr>
        <w:t>ORDER</w:t>
      </w:r>
    </w:p>
    <w:p w:rsidR="00F11490" w:rsidRPr="00204AA1" w:rsidP="00F11490" w14:paraId="1AD5DBA6" w14:textId="77777777">
      <w:pPr>
        <w:rPr>
          <w:szCs w:val="22"/>
        </w:rPr>
      </w:pPr>
    </w:p>
    <w:p w:rsidR="00F11490" w:rsidRPr="00204AA1" w:rsidP="00F11490" w14:paraId="19583DE8" w14:textId="3729B446">
      <w:pPr>
        <w:tabs>
          <w:tab w:val="left" w:pos="5760"/>
          <w:tab w:val="right" w:pos="9360"/>
        </w:tabs>
        <w:rPr>
          <w:b/>
          <w:szCs w:val="22"/>
        </w:rPr>
      </w:pPr>
      <w:r w:rsidRPr="00204AA1">
        <w:rPr>
          <w:b/>
          <w:szCs w:val="22"/>
        </w:rPr>
        <w:t xml:space="preserve">Adopted:  </w:t>
      </w:r>
      <w:r w:rsidR="00CD2753">
        <w:rPr>
          <w:b/>
          <w:szCs w:val="22"/>
        </w:rPr>
        <w:t>March</w:t>
      </w:r>
      <w:r w:rsidR="00EB6A4C">
        <w:rPr>
          <w:b/>
          <w:szCs w:val="22"/>
        </w:rPr>
        <w:t xml:space="preserve"> </w:t>
      </w:r>
      <w:r w:rsidR="00911118">
        <w:rPr>
          <w:b/>
          <w:szCs w:val="22"/>
        </w:rPr>
        <w:t>20</w:t>
      </w:r>
      <w:r w:rsidRPr="00204AA1">
        <w:rPr>
          <w:b/>
          <w:spacing w:val="-2"/>
          <w:szCs w:val="22"/>
        </w:rPr>
        <w:t>, 20</w:t>
      </w:r>
      <w:r w:rsidR="00CD2753">
        <w:rPr>
          <w:b/>
          <w:spacing w:val="-2"/>
          <w:szCs w:val="22"/>
        </w:rPr>
        <w:t>20</w:t>
      </w:r>
      <w:r w:rsidRPr="00204AA1">
        <w:rPr>
          <w:b/>
          <w:szCs w:val="22"/>
        </w:rPr>
        <w:tab/>
      </w:r>
      <w:r w:rsidRPr="00204AA1">
        <w:rPr>
          <w:b/>
          <w:szCs w:val="22"/>
        </w:rPr>
        <w:tab/>
        <w:t xml:space="preserve">Released:  </w:t>
      </w:r>
      <w:r w:rsidR="00CD2753">
        <w:rPr>
          <w:b/>
          <w:szCs w:val="22"/>
        </w:rPr>
        <w:t>March</w:t>
      </w:r>
      <w:r w:rsidR="00EB6A4C">
        <w:rPr>
          <w:b/>
          <w:szCs w:val="22"/>
        </w:rPr>
        <w:t xml:space="preserve"> </w:t>
      </w:r>
      <w:r w:rsidR="00911118">
        <w:rPr>
          <w:b/>
          <w:szCs w:val="22"/>
        </w:rPr>
        <w:t>20</w:t>
      </w:r>
      <w:r w:rsidRPr="00204AA1">
        <w:rPr>
          <w:b/>
          <w:spacing w:val="-2"/>
          <w:szCs w:val="22"/>
        </w:rPr>
        <w:t>, 20</w:t>
      </w:r>
      <w:r w:rsidR="00CD2753">
        <w:rPr>
          <w:b/>
          <w:spacing w:val="-2"/>
          <w:szCs w:val="22"/>
        </w:rPr>
        <w:t>20</w:t>
      </w:r>
    </w:p>
    <w:p w:rsidR="00F11490" w:rsidRPr="00204AA1" w:rsidP="00F11490" w14:paraId="694BB583" w14:textId="77777777">
      <w:pPr>
        <w:tabs>
          <w:tab w:val="left" w:pos="5760"/>
        </w:tabs>
        <w:rPr>
          <w:b/>
          <w:szCs w:val="22"/>
        </w:rPr>
      </w:pPr>
    </w:p>
    <w:p w:rsidR="003C690F" w:rsidRPr="00204AA1" w:rsidP="004E23A6" w14:paraId="517B9962" w14:textId="12C69A34">
      <w:r w:rsidRPr="00204AA1">
        <w:rPr>
          <w:rStyle w:val="documentbody1"/>
          <w:rFonts w:ascii="Times New Roman" w:hAnsi="Times New Roman"/>
          <w:sz w:val="22"/>
          <w:szCs w:val="22"/>
        </w:rPr>
        <w:t>By the Chief, Public Safety and Homeland Security Bureau:</w:t>
      </w:r>
      <w:r w:rsidRPr="00204AA1">
        <w:br/>
      </w:r>
      <w:r w:rsidRPr="00204AA1">
        <w:br/>
      </w:r>
    </w:p>
    <w:p w:rsidR="003C690F" w:rsidRPr="00204AA1" w:rsidP="003C690F" w14:paraId="7E5301DE" w14:textId="163BB776">
      <w:pPr>
        <w:pStyle w:val="Heading1"/>
      </w:pPr>
      <w:r>
        <w:rPr>
          <w:lang w:val="en-US"/>
        </w:rPr>
        <w:t>INTRODUCTION</w:t>
      </w:r>
    </w:p>
    <w:p w:rsidR="00F11490" w:rsidRPr="00204AA1" w:rsidP="00F160B6" w14:paraId="64D392E8" w14:textId="3061BAF3">
      <w:pPr>
        <w:pStyle w:val="ParaNum"/>
      </w:pPr>
      <w:r>
        <w:rPr>
          <w:lang w:val="en-US"/>
        </w:rPr>
        <w:t xml:space="preserve">On March 17, 2020, </w:t>
      </w:r>
      <w:r w:rsidRPr="00204AA1">
        <w:t>Hudson County, New Jersey (Hudson</w:t>
      </w:r>
      <w:r>
        <w:rPr>
          <w:lang w:val="en-US"/>
        </w:rPr>
        <w:t>, or the County</w:t>
      </w:r>
      <w:r w:rsidRPr="00204AA1">
        <w:t xml:space="preserve">), </w:t>
      </w:r>
      <w:r>
        <w:rPr>
          <w:lang w:val="en-US"/>
        </w:rPr>
        <w:t>filed a request for Special Temporary Authority (STA)</w:t>
      </w:r>
      <w:r>
        <w:rPr>
          <w:rStyle w:val="FootnoteReference"/>
          <w:lang w:val="en-US"/>
        </w:rPr>
        <w:footnoteReference w:id="3"/>
      </w:r>
      <w:r>
        <w:rPr>
          <w:lang w:val="en-US"/>
        </w:rPr>
        <w:t xml:space="preserve"> to operate its </w:t>
      </w:r>
      <w:r w:rsidRPr="00204AA1">
        <w:t xml:space="preserve">Travelers’ Information Station (TIS) at 100 watts, rather than 10 watts as </w:t>
      </w:r>
      <w:r>
        <w:rPr>
          <w:lang w:val="en-US"/>
        </w:rPr>
        <w:t>limit</w:t>
      </w:r>
      <w:r w:rsidRPr="00204AA1">
        <w:t>ed by the Commission’s rules.</w:t>
      </w:r>
      <w:r>
        <w:rPr>
          <w:rStyle w:val="FootnoteReference"/>
        </w:rPr>
        <w:footnoteReference w:id="4"/>
      </w:r>
      <w:r>
        <w:rPr>
          <w:lang w:val="en-US"/>
        </w:rPr>
        <w:t xml:space="preserve">  Hudson filed the request </w:t>
      </w:r>
      <w:r w:rsidR="005E78F6">
        <w:rPr>
          <w:lang w:val="en-US"/>
        </w:rPr>
        <w:t>to expand the TIS signal’s reach during</w:t>
      </w:r>
      <w:r>
        <w:rPr>
          <w:lang w:val="en-US"/>
        </w:rPr>
        <w:t xml:space="preserve"> the national- and state-level emergencies associated with </w:t>
      </w:r>
      <w:r w:rsidR="0003295B">
        <w:rPr>
          <w:lang w:val="en-US"/>
        </w:rPr>
        <w:t xml:space="preserve">the </w:t>
      </w:r>
      <w:r>
        <w:rPr>
          <w:lang w:val="en-US"/>
        </w:rPr>
        <w:t>Novel Coronavirus Disease (COVID-19)</w:t>
      </w:r>
      <w:r w:rsidR="0003295B">
        <w:rPr>
          <w:lang w:val="en-US"/>
        </w:rPr>
        <w:t xml:space="preserve"> pandemic</w:t>
      </w:r>
      <w:r>
        <w:rPr>
          <w:lang w:val="en-US"/>
        </w:rPr>
        <w:t>.</w:t>
      </w:r>
      <w:r>
        <w:rPr>
          <w:rStyle w:val="FootnoteReference"/>
          <w:lang w:val="en-US"/>
        </w:rPr>
        <w:footnoteReference w:id="5"/>
      </w:r>
      <w:r>
        <w:rPr>
          <w:lang w:val="en-US"/>
        </w:rPr>
        <w:t xml:space="preserve">  For the reasons set forth below, we grant Hudson’s STA request as conditioned herein.  </w:t>
      </w:r>
    </w:p>
    <w:p w:rsidR="00F11490" w:rsidP="004E23A6" w14:paraId="23B7B78F" w14:textId="150FA79A">
      <w:pPr>
        <w:pStyle w:val="Heading1"/>
      </w:pPr>
      <w:r w:rsidRPr="00204AA1">
        <w:t>BACKGROUND</w:t>
      </w:r>
    </w:p>
    <w:p w:rsidR="002D50F8" w:rsidRPr="002D50F8" w:rsidP="00454E91" w14:paraId="33BD5E59" w14:textId="1FFC96AC">
      <w:pPr>
        <w:pStyle w:val="ParaNum"/>
      </w:pPr>
      <w:r w:rsidRPr="008431F5">
        <w:t xml:space="preserve">The Commission </w:t>
      </w:r>
      <w:r>
        <w:t xml:space="preserve">authorized Travelers’ Information Stations </w:t>
      </w:r>
      <w:r w:rsidRPr="008431F5">
        <w:t>in 1977 to “establish an efficient means of communicating certain kinds of information to travelers over low power radio transmitters licensed to Local Government entities.”</w:t>
      </w:r>
      <w:r>
        <w:rPr>
          <w:rStyle w:val="FootnoteReference"/>
        </w:rPr>
        <w:footnoteReference w:id="6"/>
      </w:r>
      <w:r w:rsidRPr="008431F5">
        <w:t> </w:t>
      </w:r>
      <w:r w:rsidR="009E290F">
        <w:rPr>
          <w:lang w:val="en-US"/>
        </w:rPr>
        <w:t xml:space="preserve"> </w:t>
      </w:r>
      <w:r w:rsidRPr="008431F5">
        <w:t>The Commission specifically noted that such stations had been used to reduce traffic congestion and to transmit “road conditions, travel restrictions, and weather forecasts to motorists.”</w:t>
      </w:r>
      <w:r>
        <w:rPr>
          <w:rStyle w:val="FootnoteReference"/>
        </w:rPr>
        <w:footnoteReference w:id="7"/>
      </w:r>
      <w:r w:rsidRPr="008431F5">
        <w:t> </w:t>
      </w:r>
      <w:r w:rsidR="009E290F">
        <w:rPr>
          <w:lang w:val="en-US"/>
        </w:rPr>
        <w:t xml:space="preserve"> </w:t>
      </w:r>
      <w:r w:rsidRPr="008431F5">
        <w:t>Further, the Commission anticipated that such stations also would be used to “transmit travel related emergency messages concerning natural disasters (</w:t>
      </w:r>
      <w:r w:rsidRPr="00450EDA">
        <w:rPr>
          <w:i/>
          <w:iCs/>
        </w:rPr>
        <w:t>e.g.</w:t>
      </w:r>
      <w:r w:rsidRPr="008431F5">
        <w:t>, forest fires, floods, etc.), traffic accidents and hazards, and related bulletins affecting the immediate welfare of citizens.”</w:t>
      </w:r>
      <w:r>
        <w:rPr>
          <w:rStyle w:val="FootnoteReference"/>
        </w:rPr>
        <w:footnoteReference w:id="8"/>
      </w:r>
      <w:r>
        <w:t xml:space="preserve">  In 2013</w:t>
      </w:r>
      <w:r w:rsidR="00DE3594">
        <w:rPr>
          <w:lang w:val="en-US"/>
        </w:rPr>
        <w:t>,</w:t>
      </w:r>
      <w:r>
        <w:t xml:space="preserve"> the Commission issued a</w:t>
      </w:r>
      <w:r w:rsidR="00E4533A">
        <w:rPr>
          <w:lang w:val="en-US"/>
        </w:rPr>
        <w:t xml:space="preserve"> Report and </w:t>
      </w:r>
      <w:r>
        <w:t xml:space="preserve">Order in which it </w:t>
      </w:r>
      <w:r w:rsidRPr="00450EDA" w:rsidR="004C4BF2">
        <w:rPr>
          <w:lang w:val="en-US"/>
        </w:rPr>
        <w:t xml:space="preserve">modified </w:t>
      </w:r>
      <w:r>
        <w:t xml:space="preserve">the TIS rules to </w:t>
      </w:r>
      <w:r>
        <w:t xml:space="preserve">allow “ribbon” transmitters but emphasized that a TIS was </w:t>
      </w:r>
      <w:r w:rsidRPr="00450EDA">
        <w:rPr>
          <w:lang w:val="en-US"/>
        </w:rPr>
        <w:t xml:space="preserve">only </w:t>
      </w:r>
      <w:r>
        <w:t>allowed to transmit “</w:t>
      </w:r>
      <w:r w:rsidRPr="005B17BE">
        <w:t>travel and emergency information that is relevant to travelers in the vicinity of each transmitter</w:t>
      </w:r>
      <w:r>
        <w:t>.”</w:t>
      </w:r>
      <w:r>
        <w:rPr>
          <w:rStyle w:val="FootnoteReference"/>
        </w:rPr>
        <w:footnoteReference w:id="9"/>
      </w:r>
      <w:r>
        <w:t xml:space="preserve"> </w:t>
      </w:r>
    </w:p>
    <w:p w:rsidR="005E78F6" w:rsidRPr="00454E91" w:rsidP="00F160B6" w14:paraId="53E6230D" w14:textId="2AE6A4EC">
      <w:pPr>
        <w:pStyle w:val="ParaNum"/>
        <w:rPr>
          <w:lang w:val="en-US"/>
        </w:rPr>
      </w:pPr>
      <w:r w:rsidRPr="00204AA1">
        <w:t xml:space="preserve">Hudson is located adjacent to New York City in northeastern New Jersey.  Hudson operates a single TIS transmitter in Jersey City, New Jersey, call sign WQFG689, operating </w:t>
      </w:r>
      <w:r w:rsidR="001C42F2">
        <w:rPr>
          <w:lang w:val="en-US"/>
        </w:rPr>
        <w:t>on</w:t>
      </w:r>
      <w:r w:rsidRPr="00204AA1" w:rsidR="001C42F2">
        <w:t xml:space="preserve"> </w:t>
      </w:r>
      <w:r w:rsidRPr="00204AA1">
        <w:t xml:space="preserve">1710 </w:t>
      </w:r>
      <w:r w:rsidR="001C42F2">
        <w:rPr>
          <w:lang w:val="en-US"/>
        </w:rPr>
        <w:t>kilohertz (“</w:t>
      </w:r>
      <w:r w:rsidR="00A22C74">
        <w:rPr>
          <w:lang w:val="en-US"/>
        </w:rPr>
        <w:t>kHz</w:t>
      </w:r>
      <w:r w:rsidR="001C42F2">
        <w:rPr>
          <w:lang w:val="en-US"/>
        </w:rPr>
        <w:t>”)</w:t>
      </w:r>
      <w:r w:rsidRPr="00204AA1">
        <w:t>,</w:t>
      </w:r>
      <w:r w:rsidR="00897FC0">
        <w:rPr>
          <w:lang w:val="en-US"/>
        </w:rPr>
        <w:t xml:space="preserve"> </w:t>
      </w:r>
      <w:r w:rsidRPr="00873ABA" w:rsidR="00897FC0">
        <w:t xml:space="preserve">outside of the </w:t>
      </w:r>
      <w:r w:rsidR="00897FC0">
        <w:rPr>
          <w:lang w:val="en-US"/>
        </w:rPr>
        <w:t>designate</w:t>
      </w:r>
      <w:bookmarkStart w:id="0" w:name="_GoBack"/>
      <w:bookmarkEnd w:id="0"/>
      <w:r w:rsidR="00897FC0">
        <w:rPr>
          <w:lang w:val="en-US"/>
        </w:rPr>
        <w:t>d</w:t>
      </w:r>
      <w:r w:rsidRPr="00873ABA" w:rsidR="00897FC0">
        <w:t xml:space="preserve"> TIS </w:t>
      </w:r>
      <w:r w:rsidR="00897FC0">
        <w:t>frequencies</w:t>
      </w:r>
      <w:r w:rsidR="00897FC0">
        <w:rPr>
          <w:lang w:val="en-US"/>
        </w:rPr>
        <w:t xml:space="preserve"> from</w:t>
      </w:r>
      <w:r w:rsidRPr="00873ABA" w:rsidR="00897FC0">
        <w:t xml:space="preserve"> 530</w:t>
      </w:r>
      <w:r w:rsidR="00DD78ED">
        <w:rPr>
          <w:lang w:val="en-US"/>
        </w:rPr>
        <w:t xml:space="preserve"> kHz</w:t>
      </w:r>
      <w:r w:rsidR="00897FC0">
        <w:rPr>
          <w:lang w:val="en-US"/>
        </w:rPr>
        <w:t xml:space="preserve"> to </w:t>
      </w:r>
      <w:r w:rsidRPr="00873ABA" w:rsidR="00897FC0">
        <w:t xml:space="preserve">1700 </w:t>
      </w:r>
      <w:r w:rsidR="00897FC0">
        <w:t>kHz</w:t>
      </w:r>
      <w:r w:rsidR="00897FC0">
        <w:rPr>
          <w:lang w:val="en-US"/>
        </w:rPr>
        <w:t>,</w:t>
      </w:r>
      <w:r w:rsidRPr="00204AA1">
        <w:t xml:space="preserve"> pursuant to a waiver granted in 2008.</w:t>
      </w:r>
      <w:r>
        <w:rPr>
          <w:rStyle w:val="FootnoteReference"/>
          <w:szCs w:val="22"/>
        </w:rPr>
        <w:footnoteReference w:id="10"/>
      </w:r>
      <w:r w:rsidRPr="00204AA1">
        <w:t xml:space="preserve"> </w:t>
      </w:r>
      <w:r w:rsidR="00450EDA">
        <w:rPr>
          <w:lang w:val="en-US"/>
        </w:rPr>
        <w:t xml:space="preserve"> </w:t>
      </w:r>
      <w:r w:rsidR="00E4533A">
        <w:rPr>
          <w:lang w:val="en-US"/>
        </w:rPr>
        <w:t xml:space="preserve">In </w:t>
      </w:r>
      <w:r w:rsidRPr="00204AA1" w:rsidR="00450EDA">
        <w:t xml:space="preserve">February 2014, the Public Safety and Homeland Security Bureau denied a request for waiver filed by </w:t>
      </w:r>
      <w:r w:rsidR="00450EDA">
        <w:rPr>
          <w:lang w:val="en-US"/>
        </w:rPr>
        <w:t xml:space="preserve">the </w:t>
      </w:r>
      <w:r w:rsidRPr="00204AA1" w:rsidR="00450EDA">
        <w:t xml:space="preserve">County </w:t>
      </w:r>
      <w:r w:rsidR="00E4533A">
        <w:rPr>
          <w:lang w:val="en-US"/>
        </w:rPr>
        <w:t xml:space="preserve">for permanent authorization </w:t>
      </w:r>
      <w:r w:rsidRPr="00204AA1" w:rsidR="00450EDA">
        <w:t>to operate its TIS at 100 watts</w:t>
      </w:r>
      <w:r w:rsidR="00450EDA">
        <w:rPr>
          <w:lang w:val="en-US"/>
        </w:rPr>
        <w:t>.</w:t>
      </w:r>
      <w:r>
        <w:rPr>
          <w:rStyle w:val="FootnoteReference"/>
          <w:lang w:val="en-US"/>
        </w:rPr>
        <w:footnoteReference w:id="11"/>
      </w:r>
      <w:r w:rsidR="00450EDA">
        <w:rPr>
          <w:lang w:val="en-US"/>
        </w:rPr>
        <w:t xml:space="preserve">  </w:t>
      </w:r>
      <w:r w:rsidR="00190CB0">
        <w:rPr>
          <w:lang w:val="en-US"/>
        </w:rPr>
        <w:t xml:space="preserve">The Bureau stated, however, that in the event of a major emergency, the County could request </w:t>
      </w:r>
      <w:r w:rsidR="00E4533A">
        <w:rPr>
          <w:szCs w:val="22"/>
        </w:rPr>
        <w:t>an STA to operate its station in excess of 10 watts</w:t>
      </w:r>
      <w:r w:rsidR="00E4533A">
        <w:rPr>
          <w:szCs w:val="22"/>
          <w:lang w:val="en-US"/>
        </w:rPr>
        <w:t>.</w:t>
      </w:r>
      <w:r>
        <w:rPr>
          <w:rStyle w:val="FootnoteReference"/>
          <w:szCs w:val="22"/>
          <w:lang w:val="en-US"/>
        </w:rPr>
        <w:footnoteReference w:id="12"/>
      </w:r>
      <w:r w:rsidR="00E4533A">
        <w:rPr>
          <w:szCs w:val="22"/>
          <w:lang w:val="en-US"/>
        </w:rPr>
        <w:t xml:space="preserve">  </w:t>
      </w:r>
    </w:p>
    <w:p w:rsidR="008C25A1" w:rsidRPr="00880C19" w:rsidP="0011641F" w14:paraId="1BF149D0" w14:textId="576DD81F">
      <w:pPr>
        <w:pStyle w:val="ParaNum"/>
      </w:pPr>
      <w:r w:rsidRPr="008C4F93">
        <w:rPr>
          <w:lang w:val="en-US"/>
        </w:rPr>
        <w:t xml:space="preserve">On March 13, 2020, the President declared a </w:t>
      </w:r>
      <w:r w:rsidR="009E290F">
        <w:rPr>
          <w:lang w:val="en-US"/>
        </w:rPr>
        <w:t>N</w:t>
      </w:r>
      <w:r w:rsidRPr="008C4F93">
        <w:rPr>
          <w:lang w:val="en-US"/>
        </w:rPr>
        <w:t xml:space="preserve">ational </w:t>
      </w:r>
      <w:r w:rsidR="009E290F">
        <w:rPr>
          <w:lang w:val="en-US"/>
        </w:rPr>
        <w:t>E</w:t>
      </w:r>
      <w:r w:rsidRPr="008C4F93">
        <w:rPr>
          <w:lang w:val="en-US"/>
        </w:rPr>
        <w:t xml:space="preserve">mergency related to the spread of COVID-19.  Similarly, on March 9, 2020, the Governor of New Jersey declared a State of Emergency and a Public Health Emergency as a result of COVID-19.  </w:t>
      </w:r>
      <w:r w:rsidRPr="008C4F93" w:rsidR="003C6F78">
        <w:rPr>
          <w:lang w:val="en-US"/>
        </w:rPr>
        <w:t>Hudson states that “[s]</w:t>
      </w:r>
      <w:r w:rsidRPr="008C4F93" w:rsidR="003C6F78">
        <w:rPr>
          <w:lang w:val="en-US"/>
        </w:rPr>
        <w:t>pecial</w:t>
      </w:r>
      <w:r w:rsidRPr="008C4F93" w:rsidR="003C6F78">
        <w:rPr>
          <w:lang w:val="en-US"/>
        </w:rPr>
        <w:t xml:space="preserve"> temporary authority is required in this case as the County’s Travelers Information Station is its only means of communicating with all of its residents and transients during this national emergency, and the station has only limited reach within the County at its licensed power.”</w:t>
      </w:r>
      <w:r>
        <w:rPr>
          <w:rStyle w:val="FootnoteReference"/>
          <w:lang w:val="en-US"/>
        </w:rPr>
        <w:footnoteReference w:id="13"/>
      </w:r>
      <w:r w:rsidRPr="008C4F93" w:rsidR="003C6F78">
        <w:rPr>
          <w:lang w:val="en-US"/>
        </w:rPr>
        <w:t xml:space="preserve">  </w:t>
      </w:r>
      <w:r w:rsidRPr="008C4F93" w:rsidR="00CE0A71">
        <w:rPr>
          <w:lang w:val="en-US"/>
        </w:rPr>
        <w:t>Hudson argues that “[u]</w:t>
      </w:r>
      <w:r w:rsidRPr="008C4F93" w:rsidR="003C6F78">
        <w:rPr>
          <w:lang w:val="en-US"/>
        </w:rPr>
        <w:t>nder</w:t>
      </w:r>
      <w:r w:rsidRPr="008C4F93" w:rsidR="003C6F78">
        <w:rPr>
          <w:lang w:val="en-US"/>
        </w:rPr>
        <w:t xml:space="preserve"> 47 C.F.R. § 1.915, an emergency involving danger to life or property is sufficient grounds for receiving special temporary authority. </w:t>
      </w:r>
      <w:r w:rsidRPr="008C4F93" w:rsidR="00CE0A71">
        <w:rPr>
          <w:lang w:val="en-US"/>
        </w:rPr>
        <w:t xml:space="preserve"> </w:t>
      </w:r>
      <w:r w:rsidRPr="008C4F93" w:rsidR="003C6F78">
        <w:rPr>
          <w:lang w:val="en-US"/>
        </w:rPr>
        <w:t>That standard is clearly met in this case, as the County will be unable to communicate with all of its citizens during this pandemic and national emergency without the requested special temporary authority to operate at 100 watts.”</w:t>
      </w:r>
      <w:r>
        <w:rPr>
          <w:rStyle w:val="FootnoteReference"/>
          <w:lang w:val="en-US"/>
        </w:rPr>
        <w:footnoteReference w:id="14"/>
      </w:r>
      <w:r w:rsidR="008C4F93">
        <w:rPr>
          <w:lang w:val="en-US"/>
        </w:rPr>
        <w:t xml:space="preserve">  </w:t>
      </w:r>
    </w:p>
    <w:p w:rsidR="00F11490" w:rsidRPr="00204AA1" w:rsidP="004E23A6" w14:paraId="160C7681" w14:textId="165E92B8">
      <w:pPr>
        <w:pStyle w:val="Heading1"/>
      </w:pPr>
      <w:r w:rsidRPr="00204AA1">
        <w:t>DISCUSSION</w:t>
      </w:r>
    </w:p>
    <w:p w:rsidR="00C90338" w:rsidRPr="00204AA1" w:rsidP="00C90338" w14:paraId="09210070" w14:textId="79E55606">
      <w:pPr>
        <w:pStyle w:val="ParaNum"/>
      </w:pPr>
      <w:r>
        <w:rPr>
          <w:lang w:val="en-US"/>
        </w:rPr>
        <w:t>Hudson’s temporary TIS operation at 100 watts would contravene two TIS rules</w:t>
      </w:r>
      <w:r w:rsidRPr="00204AA1">
        <w:t>:</w:t>
      </w:r>
    </w:p>
    <w:p w:rsidR="00C90338" w:rsidRPr="00204AA1" w:rsidP="00C90338" w14:paraId="521A86F4" w14:textId="628E5041">
      <w:pPr>
        <w:pStyle w:val="ParaNum"/>
        <w:numPr>
          <w:ilvl w:val="0"/>
          <w:numId w:val="5"/>
        </w:numPr>
      </w:pPr>
      <w:r w:rsidRPr="00204AA1">
        <w:t>Section 90.242(b)(4)(iii),</w:t>
      </w:r>
      <w:r>
        <w:rPr>
          <w:rStyle w:val="FootnoteReference"/>
          <w:szCs w:val="22"/>
        </w:rPr>
        <w:footnoteReference w:id="15"/>
      </w:r>
      <w:r w:rsidRPr="00204AA1">
        <w:t xml:space="preserve"> which limits TIS transmitter output power to 10 watts; </w:t>
      </w:r>
      <w:r>
        <w:rPr>
          <w:lang w:val="en-US"/>
        </w:rPr>
        <w:t>and</w:t>
      </w:r>
    </w:p>
    <w:p w:rsidR="00C90338" w:rsidRPr="00204AA1" w:rsidP="00C90338" w14:paraId="573C9C1B" w14:textId="0C1F5C49">
      <w:pPr>
        <w:pStyle w:val="ParaNum"/>
        <w:numPr>
          <w:ilvl w:val="0"/>
          <w:numId w:val="5"/>
        </w:numPr>
      </w:pPr>
      <w:r w:rsidRPr="00204AA1">
        <w:t>Section 90.242(b)(4)(iv),</w:t>
      </w:r>
      <w:r>
        <w:rPr>
          <w:rStyle w:val="FootnoteReference"/>
          <w:szCs w:val="22"/>
        </w:rPr>
        <w:footnoteReference w:id="16"/>
      </w:r>
      <w:r w:rsidRPr="00204AA1">
        <w:t xml:space="preserve"> which imposes a field strength limit of 2 </w:t>
      </w:r>
      <w:r>
        <w:rPr>
          <w:lang w:val="en-US"/>
        </w:rPr>
        <w:t>millivolts per meter (</w:t>
      </w:r>
      <w:r w:rsidRPr="00204AA1">
        <w:t>mV/m</w:t>
      </w:r>
      <w:r>
        <w:rPr>
          <w:lang w:val="en-US"/>
        </w:rPr>
        <w:t>)</w:t>
      </w:r>
      <w:r w:rsidRPr="00204AA1">
        <w:t xml:space="preserve"> at a distance of 1.5 kilometers</w:t>
      </w:r>
      <w:r>
        <w:rPr>
          <w:lang w:val="en-US"/>
        </w:rPr>
        <w:t xml:space="preserve"> from the TIS transmitter.</w:t>
      </w:r>
    </w:p>
    <w:p w:rsidR="00880C19" w:rsidRPr="00CA1DE1" w:rsidP="00880C19" w14:paraId="12F041E8" w14:textId="47E85B70">
      <w:pPr>
        <w:pStyle w:val="ParaNum"/>
      </w:pPr>
      <w:r w:rsidRPr="008C4F93">
        <w:rPr>
          <w:lang w:val="en-US"/>
        </w:rPr>
        <w:t>The Commission’s rules permit an STA to be granted in emergency situations.</w:t>
      </w:r>
      <w:r>
        <w:rPr>
          <w:rStyle w:val="FootnoteReference"/>
          <w:lang w:val="en-US"/>
        </w:rPr>
        <w:footnoteReference w:id="17"/>
      </w:r>
      <w:r w:rsidRPr="008C4F93">
        <w:rPr>
          <w:lang w:val="en-US"/>
        </w:rPr>
        <w:t xml:space="preserve">  </w:t>
      </w:r>
      <w:r>
        <w:rPr>
          <w:lang w:val="en-US"/>
        </w:rPr>
        <w:t xml:space="preserve">Given the national emergency, we find that Hudson meets the threshold for consideration of an emergency STA.  </w:t>
      </w:r>
      <w:r>
        <w:rPr>
          <w:lang w:val="en-US"/>
        </w:rPr>
        <w:t xml:space="preserve">We find that the public interest would be served by granting an STA ending after a period of 90 days or after the cessation of the national emergency, whichever comes first. </w:t>
      </w:r>
      <w:r w:rsidR="00D80404">
        <w:rPr>
          <w:lang w:val="en-US"/>
        </w:rPr>
        <w:t xml:space="preserve"> </w:t>
      </w:r>
      <w:r w:rsidR="002D50F8">
        <w:rPr>
          <w:lang w:val="en-US"/>
        </w:rPr>
        <w:t>Content shall be limited to that authorized by the Commission’s rules</w:t>
      </w:r>
      <w:r w:rsidR="00B53E18">
        <w:rPr>
          <w:lang w:val="en-US"/>
        </w:rPr>
        <w:t xml:space="preserve">, which may include information regarding </w:t>
      </w:r>
      <w:r w:rsidR="002D50F8">
        <w:rPr>
          <w:lang w:val="en-US"/>
        </w:rPr>
        <w:t xml:space="preserve">the location of </w:t>
      </w:r>
      <w:r w:rsidRPr="002D50F8" w:rsidR="002D50F8">
        <w:rPr>
          <w:lang w:val="en-US"/>
        </w:rPr>
        <w:t xml:space="preserve">COVID-19 testing </w:t>
      </w:r>
      <w:r w:rsidR="002D50F8">
        <w:rPr>
          <w:lang w:val="en-US"/>
        </w:rPr>
        <w:t xml:space="preserve">sites. </w:t>
      </w:r>
    </w:p>
    <w:p w:rsidR="00CA1DE1" w:rsidRPr="00880C19" w:rsidP="00ED3297" w14:paraId="6681CF14" w14:textId="0E508528">
      <w:pPr>
        <w:pStyle w:val="ParaNum"/>
      </w:pPr>
      <w:r w:rsidRPr="00A75C8C">
        <w:rPr>
          <w:lang w:val="en-US"/>
        </w:rPr>
        <w:t>We note that Hudson’s TIS is also within</w:t>
      </w:r>
      <w:r w:rsidRPr="00204AA1">
        <w:t xml:space="preserve"> </w:t>
      </w:r>
      <w:r w:rsidRPr="00A75C8C">
        <w:rPr>
          <w:lang w:val="en-US"/>
        </w:rPr>
        <w:t>15 kilometers</w:t>
      </w:r>
      <w:r w:rsidRPr="00204AA1">
        <w:t xml:space="preserve"> </w:t>
      </w:r>
      <w:r w:rsidRPr="00A75C8C">
        <w:rPr>
          <w:lang w:val="en-US"/>
        </w:rPr>
        <w:t xml:space="preserve">of the 0.5 mV/m contour of </w:t>
      </w:r>
      <w:r w:rsidRPr="00204AA1">
        <w:t>an AM broadcast station operating on a first adjacent channel</w:t>
      </w:r>
      <w:r w:rsidRPr="00A75C8C">
        <w:rPr>
          <w:lang w:val="en-US"/>
        </w:rPr>
        <w:t xml:space="preserve"> 1700 kHz, Station WRCR,</w:t>
      </w:r>
      <w:r w:rsidRPr="00204AA1">
        <w:t xml:space="preserve"> </w:t>
      </w:r>
      <w:r w:rsidRPr="00A75C8C">
        <w:rPr>
          <w:lang w:val="en-US"/>
        </w:rPr>
        <w:t>Ramapo</w:t>
      </w:r>
      <w:r w:rsidRPr="00204AA1">
        <w:t>, New York</w:t>
      </w:r>
      <w:r w:rsidRPr="00A75C8C">
        <w:rPr>
          <w:lang w:val="en-US"/>
        </w:rPr>
        <w:t>.</w:t>
      </w:r>
      <w:r>
        <w:rPr>
          <w:rStyle w:val="FootnoteReference"/>
          <w:szCs w:val="22"/>
        </w:rPr>
        <w:footnoteReference w:id="18"/>
      </w:r>
      <w:r w:rsidRPr="00A75C8C">
        <w:rPr>
          <w:lang w:val="en-US"/>
        </w:rPr>
        <w:t xml:space="preserve">  </w:t>
      </w:r>
      <w:r w:rsidR="00A75C8C">
        <w:rPr>
          <w:lang w:val="en-US"/>
        </w:rPr>
        <w:t xml:space="preserve">Under the Commission’s rules, </w:t>
      </w:r>
      <w:r w:rsidRPr="00A75C8C">
        <w:rPr>
          <w:lang w:val="en-US"/>
        </w:rPr>
        <w:t>STAs</w:t>
      </w:r>
      <w:r w:rsidRPr="008C25A1">
        <w:t xml:space="preserve"> </w:t>
      </w:r>
      <w:r w:rsidRPr="00A75C8C">
        <w:rPr>
          <w:lang w:val="en-US"/>
        </w:rPr>
        <w:t>will be authorized on a secondary, non-interference basis.</w:t>
      </w:r>
      <w:r>
        <w:rPr>
          <w:rStyle w:val="FootnoteReference"/>
          <w:lang w:val="en-US"/>
        </w:rPr>
        <w:footnoteReference w:id="19"/>
      </w:r>
      <w:r w:rsidRPr="00A75C8C">
        <w:rPr>
          <w:lang w:val="en-US"/>
        </w:rPr>
        <w:t xml:space="preserve">  Accordingly, we impose special conditions below to reduce the possibility of interference and address potential interference.</w:t>
      </w:r>
      <w:r w:rsidR="00A75C8C">
        <w:rPr>
          <w:lang w:val="en-US"/>
        </w:rPr>
        <w:t xml:space="preserve">  </w:t>
      </w:r>
      <w:r w:rsidRPr="00A75C8C">
        <w:rPr>
          <w:lang w:val="en-US"/>
        </w:rPr>
        <w:t xml:space="preserve">We stress that </w:t>
      </w:r>
      <w:r w:rsidR="00A75C8C">
        <w:rPr>
          <w:lang w:val="en-US"/>
        </w:rPr>
        <w:t xml:space="preserve">conditional </w:t>
      </w:r>
      <w:r w:rsidRPr="00A75C8C">
        <w:rPr>
          <w:lang w:val="en-US"/>
        </w:rPr>
        <w:t>grant of this STA is solely intended to address the critical needs of Hudson County’s community during the national emergency.  Granting this STA does not prejudge the outcome of a</w:t>
      </w:r>
      <w:r w:rsidRPr="00A75C8C" w:rsidR="00CF0B32">
        <w:rPr>
          <w:lang w:val="en-US"/>
        </w:rPr>
        <w:t>ny</w:t>
      </w:r>
      <w:r w:rsidRPr="00A75C8C">
        <w:rPr>
          <w:lang w:val="en-US"/>
        </w:rPr>
        <w:t xml:space="preserve"> </w:t>
      </w:r>
      <w:r w:rsidR="00F64DAD">
        <w:rPr>
          <w:lang w:val="en-US"/>
        </w:rPr>
        <w:t xml:space="preserve">pending or future </w:t>
      </w:r>
      <w:r w:rsidRPr="00A75C8C">
        <w:rPr>
          <w:lang w:val="en-US"/>
        </w:rPr>
        <w:t xml:space="preserve">request </w:t>
      </w:r>
      <w:r w:rsidR="004C4BF2">
        <w:rPr>
          <w:lang w:val="en-US"/>
        </w:rPr>
        <w:t xml:space="preserve">by Hudson </w:t>
      </w:r>
      <w:r w:rsidRPr="00A75C8C">
        <w:rPr>
          <w:lang w:val="en-US"/>
        </w:rPr>
        <w:t xml:space="preserve">for </w:t>
      </w:r>
      <w:r w:rsidR="00F64DAD">
        <w:rPr>
          <w:lang w:val="en-US"/>
        </w:rPr>
        <w:t xml:space="preserve">a </w:t>
      </w:r>
      <w:r w:rsidRPr="00A75C8C">
        <w:rPr>
          <w:lang w:val="en-US"/>
        </w:rPr>
        <w:t xml:space="preserve">permanent </w:t>
      </w:r>
      <w:r w:rsidR="00F64DAD">
        <w:rPr>
          <w:lang w:val="en-US"/>
        </w:rPr>
        <w:t xml:space="preserve">waiver allowing </w:t>
      </w:r>
      <w:r w:rsidRPr="00A75C8C" w:rsidR="00CF0B32">
        <w:rPr>
          <w:lang w:val="en-US"/>
        </w:rPr>
        <w:t xml:space="preserve">TIS </w:t>
      </w:r>
      <w:r w:rsidRPr="00A75C8C">
        <w:rPr>
          <w:lang w:val="en-US"/>
        </w:rPr>
        <w:t>operation</w:t>
      </w:r>
      <w:r w:rsidRPr="00A75C8C" w:rsidR="00CF0B32">
        <w:rPr>
          <w:lang w:val="en-US"/>
        </w:rPr>
        <w:t xml:space="preserve"> with a power exceeding 10 watts</w:t>
      </w:r>
      <w:r w:rsidRPr="00A75C8C">
        <w:rPr>
          <w:lang w:val="en-US"/>
        </w:rPr>
        <w:t>.</w:t>
      </w:r>
    </w:p>
    <w:p w:rsidR="004308D0" w:rsidRPr="004308D0" w:rsidP="00B75BBC" w14:paraId="24882B66" w14:textId="5D855D6A">
      <w:pPr>
        <w:pStyle w:val="ParaNum"/>
      </w:pPr>
      <w:r>
        <w:rPr>
          <w:lang w:val="en-US"/>
        </w:rPr>
        <w:t>For</w:t>
      </w:r>
      <w:r w:rsidR="0043101F">
        <w:t xml:space="preserve"> </w:t>
      </w:r>
      <w:r w:rsidRPr="00204AA1" w:rsidR="0043101F">
        <w:t>the for</w:t>
      </w:r>
      <w:r>
        <w:rPr>
          <w:lang w:val="en-US"/>
        </w:rPr>
        <w:t>e</w:t>
      </w:r>
      <w:r w:rsidRPr="00204AA1" w:rsidR="0043101F">
        <w:t>going</w:t>
      </w:r>
      <w:r>
        <w:rPr>
          <w:lang w:val="en-US"/>
        </w:rPr>
        <w:t xml:space="preserve"> reasons</w:t>
      </w:r>
      <w:r w:rsidR="0043101F">
        <w:t>,</w:t>
      </w:r>
      <w:r w:rsidRPr="00204AA1" w:rsidR="0043101F">
        <w:t xml:space="preserve"> </w:t>
      </w:r>
      <w:r w:rsidR="00092818">
        <w:rPr>
          <w:lang w:val="en-US"/>
        </w:rPr>
        <w:t xml:space="preserve">we </w:t>
      </w:r>
      <w:r>
        <w:rPr>
          <w:lang w:val="en-US"/>
        </w:rPr>
        <w:t>grant</w:t>
      </w:r>
      <w:r w:rsidR="00CD6634">
        <w:rPr>
          <w:lang w:val="en-US"/>
        </w:rPr>
        <w:t xml:space="preserve"> </w:t>
      </w:r>
      <w:r w:rsidR="00092818">
        <w:rPr>
          <w:lang w:val="en-US"/>
        </w:rPr>
        <w:t xml:space="preserve">Hudson’s </w:t>
      </w:r>
      <w:r>
        <w:rPr>
          <w:lang w:val="en-US"/>
        </w:rPr>
        <w:t>STA request as conditioned below</w:t>
      </w:r>
      <w:r w:rsidR="00A75C8C">
        <w:rPr>
          <w:lang w:val="en-US"/>
        </w:rPr>
        <w:t>,</w:t>
      </w:r>
      <w:r w:rsidR="00B84E8B">
        <w:rPr>
          <w:lang w:val="en-US"/>
        </w:rPr>
        <w:t xml:space="preserve"> in addition to standard STA special conditions</w:t>
      </w:r>
      <w:r>
        <w:rPr>
          <w:lang w:val="en-US"/>
        </w:rPr>
        <w:t>:</w:t>
      </w:r>
    </w:p>
    <w:p w:rsidR="004308D0" w:rsidRPr="004308D0" w:rsidP="00651FE5" w14:paraId="0D0B3430" w14:textId="75C9F295">
      <w:pPr>
        <w:pStyle w:val="ParaNum"/>
        <w:numPr>
          <w:ilvl w:val="0"/>
          <w:numId w:val="9"/>
        </w:numPr>
        <w:rPr>
          <w:lang w:val="en-US"/>
        </w:rPr>
      </w:pPr>
      <w:r w:rsidRPr="004308D0">
        <w:rPr>
          <w:lang w:val="en-US"/>
        </w:rPr>
        <w:t xml:space="preserve">This </w:t>
      </w:r>
      <w:r w:rsidR="00651FE5">
        <w:rPr>
          <w:lang w:val="en-US"/>
        </w:rPr>
        <w:t>Special Temporary Authority</w:t>
      </w:r>
      <w:r w:rsidRPr="004308D0">
        <w:rPr>
          <w:lang w:val="en-US"/>
        </w:rPr>
        <w:t xml:space="preserve"> shall be authorized for </w:t>
      </w:r>
      <w:r w:rsidR="00651FE5">
        <w:rPr>
          <w:lang w:val="en-US"/>
        </w:rPr>
        <w:t xml:space="preserve">a period ending </w:t>
      </w:r>
      <w:r w:rsidRPr="004308D0">
        <w:rPr>
          <w:lang w:val="en-US"/>
        </w:rPr>
        <w:t>the sooner of (1) the cessation of the current national emergency, or (2) 90 days.</w:t>
      </w:r>
    </w:p>
    <w:p w:rsidR="004308D0" w:rsidRPr="00BB4D36" w:rsidP="00651FE5" w14:paraId="2033202A" w14:textId="0395BBDD">
      <w:pPr>
        <w:pStyle w:val="ParaNum"/>
        <w:numPr>
          <w:ilvl w:val="0"/>
          <w:numId w:val="9"/>
        </w:numPr>
        <w:rPr>
          <w:lang w:val="en-US"/>
        </w:rPr>
      </w:pPr>
      <w:r w:rsidRPr="00BB4D36">
        <w:rPr>
          <w:lang w:val="en-US"/>
        </w:rPr>
        <w:t>T</w:t>
      </w:r>
      <w:r w:rsidRPr="00BB4D36">
        <w:rPr>
          <w:lang w:val="en-US"/>
        </w:rPr>
        <w:t>he licensee shall filter audio bandwidths above 3 kHz.  Specifically, this Travelers Information Station (TIS) shall be equipped with an audio low-pass filter installed between the modulation limiter and the modulated stage.  At audio frequencies between 3 kHz and 20 kHz this filter shall have an attenuation greater than the attenuation at 1 kHz by at least</w:t>
      </w:r>
      <w:r w:rsidRPr="00BB4D36" w:rsidR="00BB4D36">
        <w:rPr>
          <w:lang w:val="en-US"/>
        </w:rPr>
        <w:t xml:space="preserve"> </w:t>
      </w:r>
      <w:r w:rsidRPr="00BB4D36">
        <w:rPr>
          <w:lang w:val="en-US"/>
        </w:rPr>
        <w:t>60 log10 (f/3) decibels</w:t>
      </w:r>
      <w:r w:rsidRPr="00BB4D36" w:rsidR="00BB4D36">
        <w:rPr>
          <w:lang w:val="en-US"/>
        </w:rPr>
        <w:t xml:space="preserve">, </w:t>
      </w:r>
      <w:r w:rsidRPr="00BB4D36">
        <w:rPr>
          <w:lang w:val="en-US"/>
        </w:rPr>
        <w:t xml:space="preserve">where </w:t>
      </w:r>
      <w:r w:rsidR="00BB4D36">
        <w:rPr>
          <w:lang w:val="en-US"/>
        </w:rPr>
        <w:t>“</w:t>
      </w:r>
      <w:r w:rsidRPr="00BB4D36">
        <w:rPr>
          <w:lang w:val="en-US"/>
        </w:rPr>
        <w:t>f</w:t>
      </w:r>
      <w:r w:rsidR="00BB4D36">
        <w:rPr>
          <w:lang w:val="en-US"/>
        </w:rPr>
        <w:t>”</w:t>
      </w:r>
      <w:r w:rsidRPr="00BB4D36">
        <w:rPr>
          <w:lang w:val="en-US"/>
        </w:rPr>
        <w:t xml:space="preserve"> is the audio frequency in kHz.  At audio frequencies above 20 kHz, the attenuation shall be at least 50 decibels greater than the attenuation at 1 kHz.</w:t>
      </w:r>
    </w:p>
    <w:p w:rsidR="004308D0" w:rsidRPr="004308D0" w:rsidP="00651FE5" w14:paraId="29FA5ECC" w14:textId="77777777">
      <w:pPr>
        <w:pStyle w:val="ParaNum"/>
        <w:numPr>
          <w:ilvl w:val="0"/>
          <w:numId w:val="9"/>
        </w:numPr>
        <w:rPr>
          <w:lang w:val="en-US"/>
        </w:rPr>
      </w:pPr>
      <w:r w:rsidRPr="004308D0">
        <w:rPr>
          <w:lang w:val="en-US"/>
        </w:rPr>
        <w:t>The licensee shall notify Station WRCR when it begins operating at a power exceeding 10 watts.</w:t>
      </w:r>
    </w:p>
    <w:p w:rsidR="00042A17" w:rsidRPr="00BB4D36" w:rsidP="00651FE5" w14:paraId="1120F9DE" w14:textId="48F3A365">
      <w:pPr>
        <w:pStyle w:val="ParaNum"/>
        <w:numPr>
          <w:ilvl w:val="0"/>
          <w:numId w:val="9"/>
        </w:numPr>
        <w:rPr>
          <w:lang w:val="en-US"/>
        </w:rPr>
      </w:pPr>
      <w:r w:rsidRPr="004308D0">
        <w:rPr>
          <w:lang w:val="en-US"/>
        </w:rPr>
        <w:t xml:space="preserve">Should the licensee </w:t>
      </w:r>
      <w:r w:rsidR="000F0F37">
        <w:rPr>
          <w:lang w:val="en-US"/>
        </w:rPr>
        <w:t xml:space="preserve">receive a complaint </w:t>
      </w:r>
      <w:r w:rsidRPr="004308D0">
        <w:rPr>
          <w:lang w:val="en-US"/>
        </w:rPr>
        <w:t xml:space="preserve">of suspected interference, the licensee will reduce power to 10 watts and/or cease operations if necessary pending resolution of the interference issue.  The licensee shall work with </w:t>
      </w:r>
      <w:r w:rsidR="000F0F37">
        <w:rPr>
          <w:lang w:val="en-US"/>
        </w:rPr>
        <w:t xml:space="preserve">the </w:t>
      </w:r>
      <w:r w:rsidR="002D50F8">
        <w:rPr>
          <w:lang w:val="en-US"/>
        </w:rPr>
        <w:t>complainant</w:t>
      </w:r>
      <w:r w:rsidR="000F0F37">
        <w:rPr>
          <w:lang w:val="en-US"/>
        </w:rPr>
        <w:t xml:space="preserve"> to the extent possible </w:t>
      </w:r>
      <w:r w:rsidRPr="004308D0">
        <w:rPr>
          <w:lang w:val="en-US"/>
        </w:rPr>
        <w:t xml:space="preserve">to investigate </w:t>
      </w:r>
      <w:r w:rsidR="00651FE5">
        <w:rPr>
          <w:lang w:val="en-US"/>
        </w:rPr>
        <w:t xml:space="preserve">and resolve the </w:t>
      </w:r>
      <w:r w:rsidRPr="004308D0">
        <w:rPr>
          <w:lang w:val="en-US"/>
        </w:rPr>
        <w:t>interference.</w:t>
      </w:r>
    </w:p>
    <w:p w:rsidR="00E205A1" w:rsidRPr="00B10D81" w:rsidP="004E23A6" w14:paraId="68AA19B3" w14:textId="45CF8578">
      <w:pPr>
        <w:pStyle w:val="Heading1"/>
      </w:pPr>
      <w:r w:rsidRPr="006E2CD3">
        <w:rPr>
          <w:rStyle w:val="Heading1Char"/>
          <w:b/>
          <w:szCs w:val="22"/>
          <w:lang w:val="en-US"/>
        </w:rPr>
        <w:t>ORDERING CLAUSES</w:t>
      </w:r>
    </w:p>
    <w:p w:rsidR="00AB6375" w:rsidP="00F160B6" w14:paraId="60A8CCA8" w14:textId="52B742DC">
      <w:pPr>
        <w:pStyle w:val="ParaNum"/>
      </w:pPr>
      <w:r w:rsidRPr="00204AA1">
        <w:t xml:space="preserve">Accordingly, </w:t>
      </w:r>
      <w:r w:rsidR="008B53E8">
        <w:rPr>
          <w:lang w:val="en-US"/>
        </w:rPr>
        <w:t xml:space="preserve">IT IS </w:t>
      </w:r>
      <w:r w:rsidRPr="00204AA1">
        <w:t>ORDER</w:t>
      </w:r>
      <w:r w:rsidR="008B53E8">
        <w:rPr>
          <w:lang w:val="en-US"/>
        </w:rPr>
        <w:t>ED</w:t>
      </w:r>
      <w:r w:rsidR="001722BA">
        <w:rPr>
          <w:lang w:val="en-US"/>
        </w:rPr>
        <w:t xml:space="preserve"> that</w:t>
      </w:r>
      <w:r w:rsidRPr="00204AA1">
        <w:t xml:space="preserve">, pursuant to </w:t>
      </w:r>
      <w:r w:rsidR="001722BA">
        <w:t>Sections 1, 4(</w:t>
      </w:r>
      <w:r w:rsidR="001722BA">
        <w:t>i</w:t>
      </w:r>
      <w:r w:rsidR="001722BA">
        <w:t>) and 303(r) of the Communications Act of 1934, as amended, 47 U.S.C. §§ 151, 154(</w:t>
      </w:r>
      <w:r w:rsidR="001722BA">
        <w:t>i</w:t>
      </w:r>
      <w:r w:rsidR="001722BA">
        <w:t>), and 303(r)</w:t>
      </w:r>
      <w:r w:rsidRPr="00204AA1">
        <w:rPr>
          <w:lang w:val="en-US"/>
        </w:rPr>
        <w:t>,</w:t>
      </w:r>
      <w:r w:rsidRPr="00204AA1">
        <w:t xml:space="preserve"> and Section 1.</w:t>
      </w:r>
      <w:r w:rsidR="00B84E8B">
        <w:rPr>
          <w:lang w:val="en-US"/>
        </w:rPr>
        <w:t>931</w:t>
      </w:r>
      <w:r w:rsidRPr="00204AA1">
        <w:t xml:space="preserve"> of the </w:t>
      </w:r>
      <w:r w:rsidRPr="00204AA1">
        <w:rPr>
          <w:lang w:val="en-US"/>
        </w:rPr>
        <w:t xml:space="preserve">Commission’s </w:t>
      </w:r>
      <w:r w:rsidRPr="00204AA1">
        <w:t>Rules,</w:t>
      </w:r>
      <w:bookmarkStart w:id="1" w:name="FN[FN26]"/>
      <w:bookmarkEnd w:id="1"/>
      <w:r w:rsidRPr="00204AA1">
        <w:rPr>
          <w:vertAlign w:val="superscript"/>
          <w:lang w:val="en-US"/>
        </w:rPr>
        <w:t xml:space="preserve"> </w:t>
      </w:r>
      <w:r w:rsidRPr="00204AA1">
        <w:rPr>
          <w:lang w:val="en-US"/>
        </w:rPr>
        <w:t>47 CFR § 1.</w:t>
      </w:r>
      <w:r w:rsidR="00B84E8B">
        <w:rPr>
          <w:lang w:val="en-US"/>
        </w:rPr>
        <w:t>931</w:t>
      </w:r>
      <w:r w:rsidRPr="00204AA1">
        <w:rPr>
          <w:lang w:val="en-US"/>
        </w:rPr>
        <w:t>,</w:t>
      </w:r>
      <w:r w:rsidRPr="00204AA1">
        <w:t xml:space="preserve"> the </w:t>
      </w:r>
      <w:r w:rsidR="001722BA">
        <w:rPr>
          <w:lang w:val="en-US"/>
        </w:rPr>
        <w:t>Request for Special Temporary Authority</w:t>
      </w:r>
      <w:r w:rsidRPr="00204AA1">
        <w:t xml:space="preserve"> filed by Hudson County, New Jersey on </w:t>
      </w:r>
      <w:r w:rsidRPr="00204AA1">
        <w:rPr>
          <w:lang w:val="en-US"/>
        </w:rPr>
        <w:t xml:space="preserve">March </w:t>
      </w:r>
      <w:r w:rsidR="001722BA">
        <w:rPr>
          <w:lang w:val="en-US"/>
        </w:rPr>
        <w:t>17</w:t>
      </w:r>
      <w:r w:rsidRPr="00204AA1">
        <w:rPr>
          <w:lang w:val="en-US"/>
        </w:rPr>
        <w:t>, 20</w:t>
      </w:r>
      <w:r w:rsidR="001722BA">
        <w:rPr>
          <w:lang w:val="en-US"/>
        </w:rPr>
        <w:t>20</w:t>
      </w:r>
      <w:r w:rsidR="00AE2FD1">
        <w:rPr>
          <w:lang w:val="en-US"/>
        </w:rPr>
        <w:t xml:space="preserve">, </w:t>
      </w:r>
      <w:r w:rsidRPr="00204AA1">
        <w:rPr>
          <w:lang w:val="en-US"/>
        </w:rPr>
        <w:t>IS</w:t>
      </w:r>
      <w:r w:rsidRPr="00204AA1">
        <w:t xml:space="preserve"> </w:t>
      </w:r>
      <w:r w:rsidR="00B84E8B">
        <w:rPr>
          <w:lang w:val="en-US"/>
        </w:rPr>
        <w:t>GRANT</w:t>
      </w:r>
      <w:r w:rsidRPr="00A37452" w:rsidR="00E1371F">
        <w:rPr>
          <w:lang w:val="en-US"/>
        </w:rPr>
        <w:t>ED</w:t>
      </w:r>
      <w:r w:rsidR="001722BA">
        <w:rPr>
          <w:lang w:val="en-US"/>
        </w:rPr>
        <w:t xml:space="preserve"> as conditioned herein</w:t>
      </w:r>
      <w:r w:rsidRPr="00A37452">
        <w:t>.</w:t>
      </w:r>
      <w:bookmarkStart w:id="2" w:name="citeas((Cite_as:_2011_WL_1691818,_*5_(F."/>
      <w:bookmarkStart w:id="3" w:name="sp_999_5"/>
      <w:bookmarkStart w:id="4" w:name="SDU_5"/>
      <w:bookmarkEnd w:id="2"/>
    </w:p>
    <w:p w:rsidR="001722BA" w:rsidP="00F160B6" w14:paraId="191F3B1D" w14:textId="61D83174">
      <w:pPr>
        <w:pStyle w:val="ParaNum"/>
      </w:pPr>
      <w:r w:rsidRPr="001722BA">
        <w:t>IT IS FURTHER ORDERED</w:t>
      </w:r>
      <w:r>
        <w:t xml:space="preserve"> that the application, File No.</w:t>
      </w:r>
      <w:r>
        <w:rPr>
          <w:lang w:val="en-US"/>
        </w:rPr>
        <w:t xml:space="preserve"> </w:t>
      </w:r>
      <w:r w:rsidRPr="00CD2753">
        <w:rPr>
          <w:szCs w:val="22"/>
        </w:rPr>
        <w:t>0009014193</w:t>
      </w:r>
      <w:r>
        <w:rPr>
          <w:szCs w:val="22"/>
          <w:lang w:val="en-US"/>
        </w:rPr>
        <w:t xml:space="preserve">, </w:t>
      </w:r>
      <w:r>
        <w:t>SHALL BE PROCESSED in accordance with this order</w:t>
      </w:r>
    </w:p>
    <w:p w:rsidR="00F11490" w:rsidRPr="00204AA1" w:rsidP="00F160B6" w14:paraId="46C020B2" w14:textId="756678A9">
      <w:pPr>
        <w:pStyle w:val="ParaNum"/>
      </w:pPr>
      <w:r>
        <w:rPr>
          <w:lang w:val="en-US"/>
        </w:rPr>
        <w:t>T</w:t>
      </w:r>
      <w:r w:rsidRPr="00204AA1">
        <w:t>his</w:t>
      </w:r>
      <w:r w:rsidRPr="00204AA1">
        <w:t xml:space="preserve"> action </w:t>
      </w:r>
      <w:r w:rsidR="008B53E8">
        <w:rPr>
          <w:lang w:val="en-US"/>
        </w:rPr>
        <w:t xml:space="preserve">is taken </w:t>
      </w:r>
      <w:r w:rsidRPr="00204AA1">
        <w:t>pursuant to delegated authority under Sections</w:t>
      </w:r>
      <w:r w:rsidR="000D1762">
        <w:rPr>
          <w:lang w:val="en-US"/>
        </w:rPr>
        <w:t xml:space="preserve"> </w:t>
      </w:r>
      <w:r w:rsidRPr="00204AA1">
        <w:t>0.191</w:t>
      </w:r>
      <w:r w:rsidR="00B84E8B">
        <w:rPr>
          <w:lang w:val="en-US"/>
        </w:rPr>
        <w:t xml:space="preserve"> </w:t>
      </w:r>
      <w:r w:rsidRPr="00204AA1">
        <w:t>and 0.392 of the Commission’s rules, 47 CFR §§ 0.191, 0.392.</w:t>
      </w:r>
    </w:p>
    <w:p w:rsidR="00F11490" w:rsidRPr="00204AA1" w:rsidP="00F11490" w14:paraId="53B33A6F" w14:textId="77777777">
      <w:pPr>
        <w:autoSpaceDE w:val="0"/>
        <w:autoSpaceDN w:val="0"/>
        <w:adjustRightInd w:val="0"/>
        <w:rPr>
          <w:color w:val="000000"/>
          <w:szCs w:val="22"/>
        </w:rPr>
      </w:pP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szCs w:val="22"/>
        </w:rPr>
        <w:t>FEDERAL COMMUNICATIONS COMMISSION</w:t>
      </w:r>
      <w:r w:rsidRPr="00204AA1">
        <w:rPr>
          <w:color w:val="000000"/>
          <w:szCs w:val="22"/>
        </w:rPr>
        <w:br/>
      </w:r>
    </w:p>
    <w:p w:rsidR="00F11490" w:rsidRPr="00204AA1" w:rsidP="00F11490" w14:paraId="1DD59223" w14:textId="77777777">
      <w:pPr>
        <w:autoSpaceDE w:val="0"/>
        <w:autoSpaceDN w:val="0"/>
        <w:adjustRightInd w:val="0"/>
        <w:rPr>
          <w:color w:val="000000"/>
          <w:szCs w:val="22"/>
        </w:rPr>
      </w:pPr>
    </w:p>
    <w:p w:rsidR="00F11490" w:rsidRPr="00204AA1" w:rsidP="00F11490" w14:paraId="25540C14" w14:textId="77777777">
      <w:pPr>
        <w:autoSpaceDE w:val="0"/>
        <w:autoSpaceDN w:val="0"/>
        <w:adjustRightInd w:val="0"/>
        <w:rPr>
          <w:color w:val="000000"/>
          <w:szCs w:val="22"/>
        </w:rPr>
      </w:pPr>
    </w:p>
    <w:p w:rsidR="00F11490" w:rsidRPr="00204AA1" w:rsidP="00F11490" w14:paraId="24601A0F" w14:textId="77777777">
      <w:pPr>
        <w:autoSpaceDE w:val="0"/>
        <w:autoSpaceDN w:val="0"/>
        <w:adjustRightInd w:val="0"/>
        <w:rPr>
          <w:color w:val="000000"/>
          <w:szCs w:val="22"/>
        </w:rPr>
      </w:pPr>
    </w:p>
    <w:p w:rsidR="000D1762" w:rsidRPr="00204AA1" w:rsidP="00B84E8B" w14:paraId="0D9D0462" w14:textId="24C277B7">
      <w:pPr>
        <w:autoSpaceDE w:val="0"/>
        <w:autoSpaceDN w:val="0"/>
        <w:adjustRightInd w:val="0"/>
        <w:rPr>
          <w:szCs w:val="22"/>
        </w:rPr>
      </w:pP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bookmarkEnd w:id="3"/>
      <w:bookmarkEnd w:id="4"/>
      <w:r w:rsidRPr="00204AA1">
        <w:rPr>
          <w:color w:val="000000"/>
          <w:szCs w:val="22"/>
        </w:rPr>
        <w:tab/>
      </w:r>
      <w:r w:rsidR="001722BA">
        <w:rPr>
          <w:color w:val="000000"/>
          <w:szCs w:val="22"/>
        </w:rPr>
        <w:t>Lisa M. Fowlkes</w:t>
      </w:r>
      <w:r w:rsidRPr="00204AA1">
        <w:rPr>
          <w:color w:val="000000"/>
          <w:szCs w:val="22"/>
        </w:rPr>
        <w:br/>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00890EDF">
        <w:rPr>
          <w:color w:val="000000"/>
          <w:szCs w:val="22"/>
        </w:rPr>
        <w:t>Chief</w:t>
      </w:r>
      <w:r w:rsidRPr="00204AA1">
        <w:rPr>
          <w:color w:val="000000"/>
          <w:szCs w:val="22"/>
        </w:rPr>
        <w:br/>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color w:val="000000"/>
          <w:szCs w:val="22"/>
        </w:rPr>
        <w:tab/>
        <w:t>Public Safety and Homeland Security Bureau</w:t>
      </w:r>
      <w:r w:rsidRPr="00204AA1">
        <w:rPr>
          <w:color w:val="000000"/>
          <w:szCs w:val="22"/>
        </w:rPr>
        <w:br/>
      </w:r>
    </w:p>
    <w:sectPr w:rsidSect="00F64C37">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099" w14:paraId="79817B0E" w14:textId="7777777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B358F">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1099" w:rsidP="00F11490" w14:paraId="466D014E" w14:textId="77777777">
      <w:r>
        <w:separator/>
      </w:r>
    </w:p>
  </w:footnote>
  <w:footnote w:type="continuationSeparator" w:id="1">
    <w:p w:rsidR="00841099" w:rsidP="00F11490" w14:paraId="1959D737" w14:textId="77777777">
      <w:r>
        <w:continuationSeparator/>
      </w:r>
    </w:p>
  </w:footnote>
  <w:footnote w:type="continuationNotice" w:id="2">
    <w:p w:rsidR="00841099" w14:paraId="341A9B47" w14:textId="77777777"/>
  </w:footnote>
  <w:footnote w:id="3">
    <w:p w:rsidR="00CD2753" w14:paraId="7B6E351F" w14:textId="22EF5FEE">
      <w:pPr>
        <w:pStyle w:val="FootnoteText"/>
      </w:pPr>
      <w:r>
        <w:rPr>
          <w:rStyle w:val="FootnoteReference"/>
        </w:rPr>
        <w:footnoteRef/>
      </w:r>
      <w:r>
        <w:t xml:space="preserve"> File No. </w:t>
      </w:r>
      <w:r w:rsidRPr="00CD2753">
        <w:rPr>
          <w:szCs w:val="22"/>
        </w:rPr>
        <w:t>0009014193</w:t>
      </w:r>
      <w:r>
        <w:rPr>
          <w:szCs w:val="22"/>
        </w:rPr>
        <w:t xml:space="preserve"> (filed Mar. 17, 2020), attached Request for Special Temporary Authority (Exhibit).</w:t>
      </w:r>
    </w:p>
  </w:footnote>
  <w:footnote w:id="4">
    <w:p w:rsidR="00CD2753" w14:paraId="3254B723" w14:textId="0B5ADE14">
      <w:pPr>
        <w:pStyle w:val="FootnoteText"/>
      </w:pPr>
      <w:r>
        <w:rPr>
          <w:rStyle w:val="FootnoteReference"/>
        </w:rPr>
        <w:footnoteRef/>
      </w:r>
      <w:r>
        <w:t xml:space="preserve"> 47 CFR § 90.242(b)(4)(iii).</w:t>
      </w:r>
    </w:p>
  </w:footnote>
  <w:footnote w:id="5">
    <w:p w:rsidR="00CD2753" w14:paraId="46ABA901" w14:textId="631A98BF">
      <w:pPr>
        <w:pStyle w:val="FootnoteText"/>
      </w:pPr>
      <w:r>
        <w:rPr>
          <w:rStyle w:val="FootnoteReference"/>
        </w:rPr>
        <w:footnoteRef/>
      </w:r>
      <w:r>
        <w:t xml:space="preserve"> Exhibit at 1.</w:t>
      </w:r>
    </w:p>
  </w:footnote>
  <w:footnote w:id="6">
    <w:p w:rsidR="002D50F8" w:rsidP="002D50F8" w14:paraId="6755A172" w14:textId="77777777">
      <w:pPr>
        <w:pStyle w:val="FootnoteText"/>
      </w:pPr>
      <w:r>
        <w:rPr>
          <w:rStyle w:val="FootnoteReference"/>
        </w:rPr>
        <w:footnoteRef/>
      </w:r>
      <w:r>
        <w:t xml:space="preserve"> </w:t>
      </w:r>
      <w:r w:rsidRPr="008431F5">
        <w:rPr>
          <w:i/>
          <w:iCs/>
        </w:rPr>
        <w:t>See</w:t>
      </w:r>
      <w:r w:rsidRPr="008431F5">
        <w:t> </w:t>
      </w:r>
      <w:hyperlink r:id="rId1" w:history="1">
        <w:r w:rsidRPr="00AF69DD">
          <w:rPr>
            <w:rStyle w:val="Hyperlink"/>
            <w:i/>
            <w:iCs/>
            <w:color w:val="000000" w:themeColor="text1"/>
            <w:u w:val="none"/>
          </w:rPr>
          <w:t>Amendment of Parts 2 and 89 of the Rules to Provide for the Use of Frequencies 530, 1606, and 1612 kHz by Stations in the Local Government Radio Services for the Transmission of Certain Kinds of Information to the Traveling Public</w:t>
        </w:r>
        <w:r w:rsidRPr="00AF69DD">
          <w:rPr>
            <w:rStyle w:val="Hyperlink"/>
            <w:color w:val="000000" w:themeColor="text1"/>
            <w:u w:val="none"/>
          </w:rPr>
          <w:t>, Docket No. 20509, </w:t>
        </w:r>
        <w:r w:rsidRPr="00AF69DD">
          <w:rPr>
            <w:rStyle w:val="Hyperlink"/>
            <w:i/>
            <w:iCs/>
            <w:color w:val="000000" w:themeColor="text1"/>
            <w:u w:val="none"/>
          </w:rPr>
          <w:t>Report and Order</w:t>
        </w:r>
        <w:r w:rsidRPr="00AF69DD">
          <w:rPr>
            <w:rStyle w:val="Hyperlink"/>
            <w:color w:val="000000" w:themeColor="text1"/>
            <w:u w:val="none"/>
          </w:rPr>
          <w:t>, 67 FCC 2d 917 (1977)</w:t>
        </w:r>
      </w:hyperlink>
      <w:r w:rsidRPr="008431F5">
        <w:t> (</w:t>
      </w:r>
      <w:r w:rsidRPr="008431F5">
        <w:rPr>
          <w:i/>
          <w:iCs/>
        </w:rPr>
        <w:t>TIS Report and Order</w:t>
      </w:r>
      <w:r w:rsidRPr="008431F5">
        <w:t>).</w:t>
      </w:r>
    </w:p>
  </w:footnote>
  <w:footnote w:id="7">
    <w:p w:rsidR="002D50F8" w:rsidP="002D50F8" w14:paraId="5B1F8C2C" w14:textId="77777777">
      <w:pPr>
        <w:pStyle w:val="FootnoteText"/>
      </w:pPr>
      <w:r>
        <w:rPr>
          <w:rStyle w:val="FootnoteReference"/>
        </w:rPr>
        <w:footnoteRef/>
      </w:r>
      <w:r>
        <w:t xml:space="preserve"> </w:t>
      </w:r>
      <w:r w:rsidRPr="00AF69DD">
        <w:rPr>
          <w:i/>
          <w:iCs/>
        </w:rPr>
        <w:t>Id.</w:t>
      </w:r>
      <w:r w:rsidRPr="00AF69DD">
        <w:t xml:space="preserve"> at 917 </w:t>
      </w:r>
      <w:r>
        <w:t>para</w:t>
      </w:r>
      <w:r>
        <w:t>.</w:t>
      </w:r>
      <w:r w:rsidRPr="00AF69DD">
        <w:t xml:space="preserve"> 1.</w:t>
      </w:r>
    </w:p>
  </w:footnote>
  <w:footnote w:id="8">
    <w:p w:rsidR="002D50F8" w:rsidP="002D50F8" w14:paraId="64516B32" w14:textId="77777777">
      <w:pPr>
        <w:pStyle w:val="FootnoteText"/>
      </w:pPr>
      <w:r>
        <w:rPr>
          <w:rStyle w:val="FootnoteReference"/>
        </w:rPr>
        <w:footnoteRef/>
      </w:r>
      <w:r>
        <w:t xml:space="preserve"> </w:t>
      </w:r>
      <w:r w:rsidRPr="00AF69DD">
        <w:rPr>
          <w:i/>
          <w:iCs/>
        </w:rPr>
        <w:t>Id.</w:t>
      </w:r>
      <w:r w:rsidRPr="00AF69DD">
        <w:t xml:space="preserve"> at 922 </w:t>
      </w:r>
      <w:r>
        <w:t>para</w:t>
      </w:r>
      <w:r>
        <w:t>.</w:t>
      </w:r>
      <w:r w:rsidRPr="00AF69DD">
        <w:t xml:space="preserve"> 16.</w:t>
      </w:r>
    </w:p>
  </w:footnote>
  <w:footnote w:id="9">
    <w:p w:rsidR="002D50F8" w:rsidP="00454E91" w14:paraId="66546834" w14:textId="3AFC4C20">
      <w:pPr>
        <w:pStyle w:val="FootnoteText"/>
      </w:pPr>
      <w:r>
        <w:rPr>
          <w:rStyle w:val="FootnoteReference"/>
        </w:rPr>
        <w:footnoteRef/>
      </w:r>
      <w:r>
        <w:t xml:space="preserve"> </w:t>
      </w:r>
      <w:r w:rsidRPr="00A67CEF">
        <w:rPr>
          <w:i/>
          <w:iCs/>
        </w:rPr>
        <w:t>Travelers’ Information Stations</w:t>
      </w:r>
      <w:r>
        <w:t xml:space="preserve">, </w:t>
      </w:r>
      <w:r w:rsidRPr="005B17BE">
        <w:t>Report and Order and Further Notice of Proposed Rulemaking</w:t>
      </w:r>
      <w:r>
        <w:t>,</w:t>
      </w:r>
      <w:r w:rsidRPr="005B17BE" w:rsidR="00E349EC">
        <w:t xml:space="preserve"> </w:t>
      </w:r>
      <w:r w:rsidRPr="005B17BE">
        <w:t xml:space="preserve">28 FCC </w:t>
      </w:r>
      <w:r w:rsidRPr="005B17BE">
        <w:t>Rcd</w:t>
      </w:r>
      <w:r w:rsidRPr="005B17BE">
        <w:t xml:space="preserve"> 11276</w:t>
      </w:r>
      <w:r>
        <w:t>, 11290, para</w:t>
      </w:r>
      <w:r>
        <w:t xml:space="preserve">. </w:t>
      </w:r>
      <w:r>
        <w:t>41</w:t>
      </w:r>
      <w:r w:rsidRPr="005B17BE">
        <w:t xml:space="preserve"> (</w:t>
      </w:r>
      <w:r>
        <w:t>2013)</w:t>
      </w:r>
      <w:r w:rsidR="00E349EC">
        <w:t>.</w:t>
      </w:r>
    </w:p>
  </w:footnote>
  <w:footnote w:id="10">
    <w:p w:rsidR="00841099" w:rsidRPr="00873ABA" w:rsidP="00454E91" w14:paraId="654966B9" w14:textId="6E517166">
      <w:pPr>
        <w:pStyle w:val="FootnoteText"/>
      </w:pPr>
      <w:r w:rsidRPr="00873ABA">
        <w:rPr>
          <w:rStyle w:val="FootnoteReference"/>
        </w:rPr>
        <w:footnoteRef/>
      </w:r>
      <w:r w:rsidRPr="00873ABA">
        <w:t xml:space="preserve"> </w:t>
      </w:r>
      <w:r w:rsidRPr="00873ABA">
        <w:rPr>
          <w:i/>
        </w:rPr>
        <w:t xml:space="preserve">See </w:t>
      </w:r>
      <w:r w:rsidRPr="00873ABA">
        <w:t>Letter from Thomas J. Beers, Chief, Policy Division, Public Safety and Homeland Security Bureau, to William Baker, Information Station Specialist</w:t>
      </w:r>
      <w:r>
        <w:t>s</w:t>
      </w:r>
      <w:r w:rsidRPr="00873ABA">
        <w:t xml:space="preserve"> (Nov. 14, 2008)</w:t>
      </w:r>
      <w:r>
        <w:t xml:space="preserve"> (on file in </w:t>
      </w:r>
      <w:r w:rsidRPr="00873ABA">
        <w:t>File No. 0003568733</w:t>
      </w:r>
      <w:r>
        <w:t>)</w:t>
      </w:r>
      <w:r w:rsidRPr="00873ABA">
        <w:t>.</w:t>
      </w:r>
    </w:p>
  </w:footnote>
  <w:footnote w:id="11">
    <w:p w:rsidR="00450EDA" w14:paraId="1BF2548F" w14:textId="086E6445">
      <w:pPr>
        <w:pStyle w:val="FootnoteText"/>
      </w:pPr>
      <w:r>
        <w:rPr>
          <w:rStyle w:val="FootnoteReference"/>
        </w:rPr>
        <w:footnoteRef/>
      </w:r>
      <w:r>
        <w:t xml:space="preserve"> </w:t>
      </w:r>
      <w:r w:rsidRPr="004E23A6">
        <w:rPr>
          <w:i/>
        </w:rPr>
        <w:t>Hudson County, New Jersey, Application for Modification of Travelers’ Information Station WQFG689 and Request for Waiver of Section 90.242 of the Commission’s Rules</w:t>
      </w:r>
      <w:r w:rsidRPr="00873ABA">
        <w:t xml:space="preserve">, File No. 0005809584, </w:t>
      </w:r>
      <w:r w:rsidRPr="004E23A6">
        <w:t>Order</w:t>
      </w:r>
      <w:r w:rsidRPr="00873ABA">
        <w:t xml:space="preserve">, </w:t>
      </w:r>
      <w:r>
        <w:t xml:space="preserve">29 FCC </w:t>
      </w:r>
      <w:r>
        <w:t>Rcd</w:t>
      </w:r>
      <w:r>
        <w:t xml:space="preserve"> 1759 </w:t>
      </w:r>
      <w:r w:rsidRPr="00873ABA">
        <w:t>(</w:t>
      </w:r>
      <w:r>
        <w:t xml:space="preserve">PSHSB </w:t>
      </w:r>
      <w:r w:rsidRPr="00873ABA">
        <w:t>2014)</w:t>
      </w:r>
      <w:r w:rsidR="00190CB0">
        <w:t xml:space="preserve"> (</w:t>
      </w:r>
      <w:r w:rsidRPr="003541B5" w:rsidR="00190CB0">
        <w:rPr>
          <w:i/>
          <w:iCs/>
        </w:rPr>
        <w:t>Hudson County Order</w:t>
      </w:r>
      <w:r w:rsidR="00190CB0">
        <w:t>)</w:t>
      </w:r>
      <w:r>
        <w:t>.</w:t>
      </w:r>
      <w:r w:rsidR="00E4533A">
        <w:t xml:space="preserve">  The County filed a petition for reconsideration of the </w:t>
      </w:r>
      <w:r w:rsidR="00E4533A">
        <w:t>order, but</w:t>
      </w:r>
      <w:r w:rsidR="00E4533A">
        <w:t xml:space="preserve"> has consented to the petition being held in abeyance pending resolution of </w:t>
      </w:r>
      <w:r w:rsidR="00190CB0">
        <w:t xml:space="preserve">certain AM radio issues in MB Docket No. 13-249.  </w:t>
      </w:r>
      <w:r w:rsidRPr="00513FD4" w:rsidR="00E4533A">
        <w:rPr>
          <w:i/>
          <w:iCs/>
        </w:rPr>
        <w:t>See</w:t>
      </w:r>
      <w:r w:rsidR="00E4533A">
        <w:t xml:space="preserve"> Letter from Gerard Lederer, Attorney for Hudson County, New Jersey, to Ms. Marlene Dortch, Secretary, Federal Communications Commission (filed Dec. 14, 2015); </w:t>
      </w:r>
      <w:r w:rsidR="00E4533A">
        <w:rPr>
          <w:i/>
        </w:rPr>
        <w:t>see also AM Service Revitalization</w:t>
      </w:r>
      <w:r w:rsidR="00E4533A">
        <w:t xml:space="preserve">, MB Docket No. 13-249, First Report and Order, Further Notice of Proposed Rulemaking, and Notice of Inquiry, </w:t>
      </w:r>
      <w:r w:rsidRPr="009E290F" w:rsidR="00E4533A">
        <w:t xml:space="preserve">30 FCC </w:t>
      </w:r>
      <w:r w:rsidRPr="009E290F" w:rsidR="00E4533A">
        <w:t>Rcd</w:t>
      </w:r>
      <w:r w:rsidRPr="009E290F" w:rsidR="00E4533A">
        <w:t xml:space="preserve"> 12145</w:t>
      </w:r>
      <w:r w:rsidR="00E4533A">
        <w:t xml:space="preserve"> (2015).</w:t>
      </w:r>
    </w:p>
  </w:footnote>
  <w:footnote w:id="12">
    <w:p w:rsidR="00190CB0" w14:paraId="633FC697" w14:textId="0E095927">
      <w:pPr>
        <w:pStyle w:val="FootnoteText"/>
      </w:pPr>
      <w:r>
        <w:rPr>
          <w:rStyle w:val="FootnoteReference"/>
        </w:rPr>
        <w:footnoteRef/>
      </w:r>
      <w:r>
        <w:t xml:space="preserve"> </w:t>
      </w:r>
      <w:r w:rsidRPr="003541B5">
        <w:rPr>
          <w:i/>
          <w:iCs/>
        </w:rPr>
        <w:t>Hudson County Order</w:t>
      </w:r>
      <w:r>
        <w:t xml:space="preserve">, 29 FCC </w:t>
      </w:r>
      <w:r>
        <w:t>Rcd</w:t>
      </w:r>
      <w:r>
        <w:t xml:space="preserve"> at </w:t>
      </w:r>
      <w:r w:rsidR="00C24C0D">
        <w:t>1764 para</w:t>
      </w:r>
      <w:r w:rsidR="00C24C0D">
        <w:t xml:space="preserve">. </w:t>
      </w:r>
      <w:r w:rsidR="00C24C0D">
        <w:t>15.</w:t>
      </w:r>
    </w:p>
  </w:footnote>
  <w:footnote w:id="13">
    <w:p w:rsidR="003C6F78" w14:paraId="6A56B3F5" w14:textId="73088024">
      <w:pPr>
        <w:pStyle w:val="FootnoteText"/>
      </w:pPr>
      <w:r>
        <w:rPr>
          <w:rStyle w:val="FootnoteReference"/>
        </w:rPr>
        <w:footnoteRef/>
      </w:r>
      <w:r>
        <w:t xml:space="preserve"> Exhibit at 1.</w:t>
      </w:r>
    </w:p>
  </w:footnote>
  <w:footnote w:id="14">
    <w:p w:rsidR="00CE0A71" w:rsidRPr="00CE0A71" w14:paraId="316BC5C1" w14:textId="16504DE4">
      <w:pPr>
        <w:pStyle w:val="FootnoteText"/>
      </w:pPr>
      <w:r>
        <w:rPr>
          <w:rStyle w:val="FootnoteReference"/>
        </w:rPr>
        <w:footnoteRef/>
      </w:r>
      <w:r>
        <w:t xml:space="preserve"> </w:t>
      </w:r>
      <w:r>
        <w:rPr>
          <w:i/>
          <w:iCs/>
        </w:rPr>
        <w:t>Id</w:t>
      </w:r>
      <w:r>
        <w:t>.</w:t>
      </w:r>
      <w:r w:rsidR="00101BD9">
        <w:t xml:space="preserve">  See 47 CFR § 1.915</w:t>
      </w:r>
      <w:r w:rsidR="00DA4F1E">
        <w:t>(b)(1)</w:t>
      </w:r>
    </w:p>
  </w:footnote>
  <w:footnote w:id="15">
    <w:p w:rsidR="00C90338" w:rsidRPr="00873ABA" w:rsidP="00C90338" w14:paraId="14A1B820" w14:textId="39A506AD">
      <w:pPr>
        <w:pStyle w:val="FootnoteText"/>
      </w:pPr>
      <w:r w:rsidRPr="00873ABA">
        <w:rPr>
          <w:rStyle w:val="FootnoteReference"/>
        </w:rPr>
        <w:footnoteRef/>
      </w:r>
      <w:r w:rsidRPr="00873ABA">
        <w:t xml:space="preserve"> 47 CFR § 90.242(b)(4)(iii).</w:t>
      </w:r>
      <w:r>
        <w:t xml:space="preserve"> </w:t>
      </w:r>
    </w:p>
  </w:footnote>
  <w:footnote w:id="16">
    <w:p w:rsidR="00C90338" w:rsidRPr="00873ABA" w:rsidP="00C90338" w14:paraId="1B21626B" w14:textId="2E70D4EB">
      <w:pPr>
        <w:pStyle w:val="FootnoteText"/>
      </w:pPr>
      <w:r w:rsidRPr="00873ABA">
        <w:rPr>
          <w:rStyle w:val="FootnoteReference"/>
        </w:rPr>
        <w:footnoteRef/>
      </w:r>
      <w:r w:rsidRPr="00873ABA">
        <w:t xml:space="preserve"> 47 CFR § 90.242(b)(4)(iv).</w:t>
      </w:r>
    </w:p>
  </w:footnote>
  <w:footnote w:id="17">
    <w:p w:rsidR="000F0F37" w:rsidP="000F0F37" w14:paraId="0CF6A297" w14:textId="77777777">
      <w:pPr>
        <w:pStyle w:val="FootnoteText"/>
      </w:pPr>
      <w:r>
        <w:rPr>
          <w:rStyle w:val="FootnoteReference"/>
        </w:rPr>
        <w:footnoteRef/>
      </w:r>
      <w:r>
        <w:t xml:space="preserve"> 47 CFR § 1.931(b)(2)(</w:t>
      </w:r>
      <w:r>
        <w:t>i</w:t>
      </w:r>
      <w:r>
        <w:t>).</w:t>
      </w:r>
    </w:p>
  </w:footnote>
  <w:footnote w:id="18">
    <w:p w:rsidR="000F0F37" w:rsidRPr="00873ABA" w:rsidP="000F0F37" w14:paraId="3D55C4DE" w14:textId="77777777">
      <w:pPr>
        <w:pStyle w:val="FootnoteText"/>
      </w:pPr>
      <w:r w:rsidRPr="00873ABA">
        <w:rPr>
          <w:rStyle w:val="FootnoteReference"/>
        </w:rPr>
        <w:footnoteRef/>
      </w:r>
      <w:r w:rsidRPr="00873ABA">
        <w:t xml:space="preserve"> 47 CFR § 90.242(a)(2)(</w:t>
      </w:r>
      <w:r w:rsidRPr="00873ABA">
        <w:t>i</w:t>
      </w:r>
      <w:r w:rsidRPr="00873ABA">
        <w:t>).</w:t>
      </w:r>
      <w:r>
        <w:t xml:space="preserve">  Hudson’s site is approximately 4 kilometers from the authorized WRCR predicted 0.5 mV/m contour at the closest point.</w:t>
      </w:r>
    </w:p>
  </w:footnote>
  <w:footnote w:id="19">
    <w:p w:rsidR="000F0F37" w:rsidP="000F0F37" w14:paraId="1E6E42AE" w14:textId="77777777">
      <w:pPr>
        <w:pStyle w:val="FootnoteText"/>
      </w:pPr>
      <w:r>
        <w:rPr>
          <w:rStyle w:val="FootnoteReference"/>
        </w:rPr>
        <w:footnoteRef/>
      </w:r>
      <w:r>
        <w:t xml:space="preserve"> 47 CFR § 1.931(b)(1)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099" w14:paraId="779CD9D0" w14:textId="52B6B01B">
    <w:pPr>
      <w:pStyle w:val="Header"/>
      <w:tabs>
        <w:tab w:val="clear" w:pos="4320"/>
        <w:tab w:val="center" w:pos="4680"/>
        <w:tab w:val="clear" w:pos="8640"/>
        <w:tab w:val="right" w:pos="9360"/>
      </w:tabs>
    </w:pPr>
    <w:r>
      <w:rPr>
        <w:noProof/>
        <w:lang w:val="en-US" w:eastAsia="en-US"/>
      </w:rPr>
      <mc:AlternateContent>
        <mc:Choice Requires="wps">
          <w:drawing>
            <wp:anchor distT="0" distB="0" distL="114300" distR="114300" simplePos="0" relativeHeight="251660288" behindDoc="0" locked="0" layoutInCell="0" allowOverlap="1">
              <wp:simplePos x="0" y="0"/>
              <wp:positionH relativeFrom="column">
                <wp:posOffset>2540</wp:posOffset>
              </wp:positionH>
              <wp:positionV relativeFrom="paragraph">
                <wp:posOffset>168909</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49" style="mso-height-percent:0;mso-height-relative:page;mso-width-percent:0;mso-width-relative:page;mso-wrap-distance-bottom:0pt;mso-wrap-distance-left:9pt;mso-wrap-distance-right:9pt;mso-wrap-distance-top:0pt;mso-wrap-style:square;position:absolute;visibility:visible;z-index:251661312" from="0.2pt,13.3pt" to="468.2pt,13.3pt" o:allowincell="f" strokeweight="1.5pt"/>
          </w:pict>
        </mc:Fallback>
      </mc:AlternateContent>
    </w:r>
    <w:r>
      <w:rPr>
        <w:b/>
      </w:rPr>
      <w:tab/>
    </w:r>
    <w:r>
      <w:rPr>
        <w:b/>
      </w:rPr>
      <w:t>Federal Communications Commission</w:t>
    </w:r>
    <w:r>
      <w:rPr>
        <w:b/>
      </w:rPr>
      <w:tab/>
      <w:t xml:space="preserve">DA </w:t>
    </w:r>
    <w:r w:rsidR="00B83204">
      <w:rPr>
        <w:b/>
        <w:lang w:val="en-US"/>
      </w:rPr>
      <w:t>20</w:t>
    </w:r>
    <w:r>
      <w:rPr>
        <w:b/>
      </w:rPr>
      <w:t>-</w:t>
    </w:r>
    <w:r w:rsidR="00327AC6">
      <w:rPr>
        <w:b/>
        <w:lang w:val="en-US"/>
      </w:rPr>
      <w:t>309</w:t>
    </w:r>
    <w:r>
      <w:rPr>
        <w:b/>
      </w:rPr>
      <w:t xml:space="preserve">  </w:t>
    </w:r>
  </w:p>
  <w:p w:rsidR="00841099" w14:paraId="575D09F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099" w14:paraId="6EF0E594" w14:textId="64C37A95">
    <w:pPr>
      <w:pStyle w:val="Header"/>
      <w:tabs>
        <w:tab w:val="clear" w:pos="4320"/>
        <w:tab w:val="center" w:pos="4680"/>
        <w:tab w:val="clear" w:pos="8640"/>
        <w:tab w:val="right" w:pos="9360"/>
      </w:tabs>
      <w:rPr>
        <w:b/>
      </w:rPr>
    </w:pPr>
    <w:r>
      <w:rPr>
        <w:b/>
      </w:rPr>
      <w:tab/>
    </w:r>
    <w:r>
      <w:rPr>
        <w:b/>
      </w:rPr>
      <w:t>Federal Communications Commission</w:t>
    </w:r>
    <w:r>
      <w:rPr>
        <w:b/>
      </w:rPr>
      <w:tab/>
      <w:t xml:space="preserve">DA </w:t>
    </w:r>
    <w:r w:rsidR="00E4533A">
      <w:rPr>
        <w:b/>
        <w:lang w:val="en-US"/>
      </w:rPr>
      <w:t>20</w:t>
    </w:r>
    <w:r>
      <w:rPr>
        <w:b/>
      </w:rPr>
      <w:t>-</w:t>
    </w:r>
    <w:r w:rsidR="00327AC6">
      <w:rPr>
        <w:b/>
        <w:lang w:val="en-US"/>
      </w:rPr>
      <w:t>309</w:t>
    </w:r>
    <w:r>
      <w:rPr>
        <w:b/>
      </w:rPr>
      <w:t xml:space="preserve">  </w:t>
    </w:r>
  </w:p>
  <w:p w:rsidR="00841099" w14:paraId="2AA44EA3" w14:textId="77777777">
    <w:pPr>
      <w:pStyle w:val="Header"/>
      <w:tabs>
        <w:tab w:val="clear" w:pos="8640"/>
        <w:tab w:val="right" w:pos="9360"/>
      </w:tabs>
    </w:pPr>
    <w:r>
      <w:rPr>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2050" style="mso-height-percent:0;mso-height-relative:page;mso-width-percent:0;mso-width-relative:page;mso-wrap-distance-bottom:0pt;mso-wrap-distance-left:9pt;mso-wrap-distance-right:9pt;mso-wrap-distance-top:0pt;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B520D9"/>
    <w:multiLevelType w:val="hybridMultilevel"/>
    <w:tmpl w:val="B874B5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34A00ACF"/>
    <w:multiLevelType w:val="hybridMultilevel"/>
    <w:tmpl w:val="4F443284"/>
    <w:lvl w:ilvl="0">
      <w:start w:val="1"/>
      <w:numFmt w:val="upperRoman"/>
      <w:lvlText w:val="%1."/>
      <w:lvlJc w:val="left"/>
      <w:pPr>
        <w:ind w:left="720" w:hanging="72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4">
    <w:nsid w:val="5F6B5515"/>
    <w:multiLevelType w:val="hybridMultilevel"/>
    <w:tmpl w:val="A52E71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61182925"/>
    <w:multiLevelType w:val="singleLevel"/>
    <w:tmpl w:val="A9EE9842"/>
    <w:lvl w:ilvl="0">
      <w:start w:val="1"/>
      <w:numFmt w:val="decimal"/>
      <w:lvlText w:val="%1."/>
      <w:lvlJc w:val="left"/>
      <w:pPr>
        <w:tabs>
          <w:tab w:val="num" w:pos="1080"/>
        </w:tabs>
        <w:ind w:left="0" w:firstLine="720"/>
      </w:pPr>
    </w:lvl>
  </w:abstractNum>
  <w:abstractNum w:abstractNumId="6">
    <w:nsid w:val="68857FAC"/>
    <w:multiLevelType w:val="hybridMultilevel"/>
    <w:tmpl w:val="7166F138"/>
    <w:lvl w:ilvl="0">
      <w:start w:val="1"/>
      <w:numFmt w:val="bullet"/>
      <w:lvlText w:val=""/>
      <w:lvlJc w:val="left"/>
      <w:pPr>
        <w:ind w:left="781" w:hanging="360"/>
      </w:pPr>
      <w:rPr>
        <w:rFonts w:ascii="Symbol" w:hAnsi="Symbol" w:hint="default"/>
      </w:rPr>
    </w:lvl>
    <w:lvl w:ilvl="1" w:tentative="1">
      <w:start w:val="1"/>
      <w:numFmt w:val="bullet"/>
      <w:lvlText w:val="o"/>
      <w:lvlJc w:val="left"/>
      <w:pPr>
        <w:ind w:left="1501" w:hanging="360"/>
      </w:pPr>
      <w:rPr>
        <w:rFonts w:ascii="Courier New" w:hAnsi="Courier New" w:hint="default"/>
      </w:rPr>
    </w:lvl>
    <w:lvl w:ilvl="2" w:tentative="1">
      <w:start w:val="1"/>
      <w:numFmt w:val="bullet"/>
      <w:lvlText w:val=""/>
      <w:lvlJc w:val="left"/>
      <w:pPr>
        <w:ind w:left="2221" w:hanging="360"/>
      </w:pPr>
      <w:rPr>
        <w:rFonts w:ascii="Wingdings" w:hAnsi="Wingdings" w:hint="default"/>
      </w:rPr>
    </w:lvl>
    <w:lvl w:ilvl="3" w:tentative="1">
      <w:start w:val="1"/>
      <w:numFmt w:val="bullet"/>
      <w:lvlText w:val=""/>
      <w:lvlJc w:val="left"/>
      <w:pPr>
        <w:ind w:left="2941" w:hanging="360"/>
      </w:pPr>
      <w:rPr>
        <w:rFonts w:ascii="Symbol" w:hAnsi="Symbol" w:hint="default"/>
      </w:rPr>
    </w:lvl>
    <w:lvl w:ilvl="4" w:tentative="1">
      <w:start w:val="1"/>
      <w:numFmt w:val="bullet"/>
      <w:lvlText w:val="o"/>
      <w:lvlJc w:val="left"/>
      <w:pPr>
        <w:ind w:left="3661" w:hanging="360"/>
      </w:pPr>
      <w:rPr>
        <w:rFonts w:ascii="Courier New" w:hAnsi="Courier New" w:hint="default"/>
      </w:rPr>
    </w:lvl>
    <w:lvl w:ilvl="5" w:tentative="1">
      <w:start w:val="1"/>
      <w:numFmt w:val="bullet"/>
      <w:lvlText w:val=""/>
      <w:lvlJc w:val="left"/>
      <w:pPr>
        <w:ind w:left="4381" w:hanging="360"/>
      </w:pPr>
      <w:rPr>
        <w:rFonts w:ascii="Wingdings" w:hAnsi="Wingdings" w:hint="default"/>
      </w:rPr>
    </w:lvl>
    <w:lvl w:ilvl="6" w:tentative="1">
      <w:start w:val="1"/>
      <w:numFmt w:val="bullet"/>
      <w:lvlText w:val=""/>
      <w:lvlJc w:val="left"/>
      <w:pPr>
        <w:ind w:left="5101" w:hanging="360"/>
      </w:pPr>
      <w:rPr>
        <w:rFonts w:ascii="Symbol" w:hAnsi="Symbol" w:hint="default"/>
      </w:rPr>
    </w:lvl>
    <w:lvl w:ilvl="7" w:tentative="1">
      <w:start w:val="1"/>
      <w:numFmt w:val="bullet"/>
      <w:lvlText w:val="o"/>
      <w:lvlJc w:val="left"/>
      <w:pPr>
        <w:ind w:left="5821" w:hanging="360"/>
      </w:pPr>
      <w:rPr>
        <w:rFonts w:ascii="Courier New" w:hAnsi="Courier New" w:hint="default"/>
      </w:rPr>
    </w:lvl>
    <w:lvl w:ilvl="8" w:tentative="1">
      <w:start w:val="1"/>
      <w:numFmt w:val="bullet"/>
      <w:lvlText w:val=""/>
      <w:lvlJc w:val="left"/>
      <w:pPr>
        <w:ind w:left="6541" w:hanging="360"/>
      </w:pPr>
      <w:rPr>
        <w:rFonts w:ascii="Wingdings" w:hAnsi="Wingdings" w:hint="default"/>
      </w:rPr>
    </w:lvl>
  </w:abstractNum>
  <w:num w:numId="1">
    <w:abstractNumId w:val="3"/>
  </w:num>
  <w:num w:numId="2">
    <w:abstractNumId w:val="2"/>
  </w:num>
  <w:num w:numId="3">
    <w:abstractNumId w:val="6"/>
  </w:num>
  <w:num w:numId="4">
    <w:abstractNumId w:val="2"/>
  </w:num>
  <w:num w:numId="5">
    <w:abstractNumId w:val="0"/>
  </w:num>
  <w:num w:numId="6">
    <w:abstractNumId w:val="1"/>
  </w:num>
  <w:num w:numId="7">
    <w:abstractNumId w:val="2"/>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90"/>
    <w:rsid w:val="00001F64"/>
    <w:rsid w:val="00020D86"/>
    <w:rsid w:val="00021D69"/>
    <w:rsid w:val="0002242F"/>
    <w:rsid w:val="00024D3A"/>
    <w:rsid w:val="00030714"/>
    <w:rsid w:val="0003295B"/>
    <w:rsid w:val="00035471"/>
    <w:rsid w:val="0003631B"/>
    <w:rsid w:val="00042A17"/>
    <w:rsid w:val="000574C6"/>
    <w:rsid w:val="00062D6A"/>
    <w:rsid w:val="0006441B"/>
    <w:rsid w:val="000673D9"/>
    <w:rsid w:val="000711EE"/>
    <w:rsid w:val="000728CD"/>
    <w:rsid w:val="000779E8"/>
    <w:rsid w:val="0008036C"/>
    <w:rsid w:val="00080DE1"/>
    <w:rsid w:val="000837FA"/>
    <w:rsid w:val="00085039"/>
    <w:rsid w:val="00086138"/>
    <w:rsid w:val="0009083E"/>
    <w:rsid w:val="00092818"/>
    <w:rsid w:val="0009324C"/>
    <w:rsid w:val="00096EB3"/>
    <w:rsid w:val="000A107D"/>
    <w:rsid w:val="000A2405"/>
    <w:rsid w:val="000A39A5"/>
    <w:rsid w:val="000B05AE"/>
    <w:rsid w:val="000B0B21"/>
    <w:rsid w:val="000B11D2"/>
    <w:rsid w:val="000B5B5D"/>
    <w:rsid w:val="000B6CB1"/>
    <w:rsid w:val="000B7280"/>
    <w:rsid w:val="000C0AB1"/>
    <w:rsid w:val="000C416E"/>
    <w:rsid w:val="000D1762"/>
    <w:rsid w:val="000D2CD8"/>
    <w:rsid w:val="000D65C2"/>
    <w:rsid w:val="000E3F37"/>
    <w:rsid w:val="000E551E"/>
    <w:rsid w:val="000E644C"/>
    <w:rsid w:val="000E79E7"/>
    <w:rsid w:val="000F0B0F"/>
    <w:rsid w:val="000F0D15"/>
    <w:rsid w:val="000F0F37"/>
    <w:rsid w:val="000F2AEC"/>
    <w:rsid w:val="00101BD9"/>
    <w:rsid w:val="001030A8"/>
    <w:rsid w:val="00104D43"/>
    <w:rsid w:val="001050D2"/>
    <w:rsid w:val="00105141"/>
    <w:rsid w:val="00107EFF"/>
    <w:rsid w:val="001104AD"/>
    <w:rsid w:val="00111989"/>
    <w:rsid w:val="001126CF"/>
    <w:rsid w:val="0011618F"/>
    <w:rsid w:val="0011641F"/>
    <w:rsid w:val="00116949"/>
    <w:rsid w:val="00117634"/>
    <w:rsid w:val="00120CDB"/>
    <w:rsid w:val="001212EC"/>
    <w:rsid w:val="00122272"/>
    <w:rsid w:val="00124673"/>
    <w:rsid w:val="00130A43"/>
    <w:rsid w:val="00133702"/>
    <w:rsid w:val="001351E7"/>
    <w:rsid w:val="001359FF"/>
    <w:rsid w:val="00137C01"/>
    <w:rsid w:val="001403EC"/>
    <w:rsid w:val="001411D9"/>
    <w:rsid w:val="00141B29"/>
    <w:rsid w:val="001423A9"/>
    <w:rsid w:val="00142B32"/>
    <w:rsid w:val="001450AF"/>
    <w:rsid w:val="00146EA6"/>
    <w:rsid w:val="00146EF8"/>
    <w:rsid w:val="00147F89"/>
    <w:rsid w:val="00150555"/>
    <w:rsid w:val="0015099D"/>
    <w:rsid w:val="00153EB8"/>
    <w:rsid w:val="00164824"/>
    <w:rsid w:val="00164C68"/>
    <w:rsid w:val="001722BA"/>
    <w:rsid w:val="00177B7B"/>
    <w:rsid w:val="00182429"/>
    <w:rsid w:val="001844FF"/>
    <w:rsid w:val="001850C8"/>
    <w:rsid w:val="00185F56"/>
    <w:rsid w:val="00187CD1"/>
    <w:rsid w:val="00190CB0"/>
    <w:rsid w:val="00194155"/>
    <w:rsid w:val="001941A4"/>
    <w:rsid w:val="001A0E3F"/>
    <w:rsid w:val="001A29BF"/>
    <w:rsid w:val="001A6340"/>
    <w:rsid w:val="001B060F"/>
    <w:rsid w:val="001B0AE7"/>
    <w:rsid w:val="001B1144"/>
    <w:rsid w:val="001B1725"/>
    <w:rsid w:val="001B413E"/>
    <w:rsid w:val="001B558B"/>
    <w:rsid w:val="001B6321"/>
    <w:rsid w:val="001C42F2"/>
    <w:rsid w:val="001D117A"/>
    <w:rsid w:val="001D327C"/>
    <w:rsid w:val="001D3E1E"/>
    <w:rsid w:val="001D4856"/>
    <w:rsid w:val="001D4F2B"/>
    <w:rsid w:val="001D6283"/>
    <w:rsid w:val="001D76AB"/>
    <w:rsid w:val="001D76E3"/>
    <w:rsid w:val="001E0A31"/>
    <w:rsid w:val="001E1A98"/>
    <w:rsid w:val="001E2DC6"/>
    <w:rsid w:val="001E46E3"/>
    <w:rsid w:val="001E4E96"/>
    <w:rsid w:val="001E6F9A"/>
    <w:rsid w:val="001F7E9B"/>
    <w:rsid w:val="00202C2F"/>
    <w:rsid w:val="00204AA1"/>
    <w:rsid w:val="002050EC"/>
    <w:rsid w:val="002074B4"/>
    <w:rsid w:val="002079EF"/>
    <w:rsid w:val="00211222"/>
    <w:rsid w:val="002118B7"/>
    <w:rsid w:val="00217B01"/>
    <w:rsid w:val="00223E3A"/>
    <w:rsid w:val="00226C40"/>
    <w:rsid w:val="00234408"/>
    <w:rsid w:val="00235993"/>
    <w:rsid w:val="00236B28"/>
    <w:rsid w:val="00245452"/>
    <w:rsid w:val="002479D9"/>
    <w:rsid w:val="00250645"/>
    <w:rsid w:val="00253563"/>
    <w:rsid w:val="002536AB"/>
    <w:rsid w:val="00253B60"/>
    <w:rsid w:val="00254801"/>
    <w:rsid w:val="0025494A"/>
    <w:rsid w:val="00255AE8"/>
    <w:rsid w:val="002636AD"/>
    <w:rsid w:val="00274ACE"/>
    <w:rsid w:val="00277204"/>
    <w:rsid w:val="00277D77"/>
    <w:rsid w:val="00281F1D"/>
    <w:rsid w:val="0029103E"/>
    <w:rsid w:val="00295ACC"/>
    <w:rsid w:val="002A1023"/>
    <w:rsid w:val="002A10AE"/>
    <w:rsid w:val="002A1A86"/>
    <w:rsid w:val="002A361C"/>
    <w:rsid w:val="002A5E8D"/>
    <w:rsid w:val="002B32F1"/>
    <w:rsid w:val="002B6BA2"/>
    <w:rsid w:val="002C0150"/>
    <w:rsid w:val="002C0687"/>
    <w:rsid w:val="002C0F9E"/>
    <w:rsid w:val="002C19FB"/>
    <w:rsid w:val="002C45BB"/>
    <w:rsid w:val="002C4D2A"/>
    <w:rsid w:val="002C72E3"/>
    <w:rsid w:val="002D1358"/>
    <w:rsid w:val="002D361D"/>
    <w:rsid w:val="002D50F8"/>
    <w:rsid w:val="002D59F6"/>
    <w:rsid w:val="002D79AE"/>
    <w:rsid w:val="002D7D6D"/>
    <w:rsid w:val="002E2928"/>
    <w:rsid w:val="002E49C3"/>
    <w:rsid w:val="002F3794"/>
    <w:rsid w:val="0030157C"/>
    <w:rsid w:val="00302E60"/>
    <w:rsid w:val="003030A0"/>
    <w:rsid w:val="00311843"/>
    <w:rsid w:val="00313B73"/>
    <w:rsid w:val="00316F1C"/>
    <w:rsid w:val="003171DE"/>
    <w:rsid w:val="00322D0B"/>
    <w:rsid w:val="003235D9"/>
    <w:rsid w:val="00327AC6"/>
    <w:rsid w:val="00331EF9"/>
    <w:rsid w:val="00332C50"/>
    <w:rsid w:val="0033507E"/>
    <w:rsid w:val="00336022"/>
    <w:rsid w:val="00336A21"/>
    <w:rsid w:val="0034288A"/>
    <w:rsid w:val="00343356"/>
    <w:rsid w:val="0034449C"/>
    <w:rsid w:val="0034734F"/>
    <w:rsid w:val="00351107"/>
    <w:rsid w:val="003541B5"/>
    <w:rsid w:val="00357927"/>
    <w:rsid w:val="003612B9"/>
    <w:rsid w:val="00361C38"/>
    <w:rsid w:val="0036515F"/>
    <w:rsid w:val="00372CC0"/>
    <w:rsid w:val="00372E2C"/>
    <w:rsid w:val="0037549B"/>
    <w:rsid w:val="0037793F"/>
    <w:rsid w:val="00383C2E"/>
    <w:rsid w:val="00385EA0"/>
    <w:rsid w:val="00386E64"/>
    <w:rsid w:val="00391524"/>
    <w:rsid w:val="003916EA"/>
    <w:rsid w:val="00392ECB"/>
    <w:rsid w:val="003935B0"/>
    <w:rsid w:val="00396680"/>
    <w:rsid w:val="00396FAA"/>
    <w:rsid w:val="003A00A9"/>
    <w:rsid w:val="003A15D3"/>
    <w:rsid w:val="003A363B"/>
    <w:rsid w:val="003A6844"/>
    <w:rsid w:val="003A6FC2"/>
    <w:rsid w:val="003B1237"/>
    <w:rsid w:val="003B26B6"/>
    <w:rsid w:val="003B317B"/>
    <w:rsid w:val="003B462A"/>
    <w:rsid w:val="003B56CB"/>
    <w:rsid w:val="003C0A9F"/>
    <w:rsid w:val="003C127A"/>
    <w:rsid w:val="003C1B25"/>
    <w:rsid w:val="003C1FDC"/>
    <w:rsid w:val="003C690F"/>
    <w:rsid w:val="003C6F78"/>
    <w:rsid w:val="003E1603"/>
    <w:rsid w:val="003E3C8C"/>
    <w:rsid w:val="003F0B6C"/>
    <w:rsid w:val="003F6598"/>
    <w:rsid w:val="00400D74"/>
    <w:rsid w:val="0040173B"/>
    <w:rsid w:val="00402F2F"/>
    <w:rsid w:val="00405B66"/>
    <w:rsid w:val="004117F7"/>
    <w:rsid w:val="00411BCA"/>
    <w:rsid w:val="00411D49"/>
    <w:rsid w:val="00415CB7"/>
    <w:rsid w:val="00416B07"/>
    <w:rsid w:val="00423213"/>
    <w:rsid w:val="00423B61"/>
    <w:rsid w:val="00426382"/>
    <w:rsid w:val="00427163"/>
    <w:rsid w:val="00427DB6"/>
    <w:rsid w:val="004308D0"/>
    <w:rsid w:val="0043101F"/>
    <w:rsid w:val="004313DA"/>
    <w:rsid w:val="00436DF8"/>
    <w:rsid w:val="00444489"/>
    <w:rsid w:val="00446451"/>
    <w:rsid w:val="00450EDA"/>
    <w:rsid w:val="00452B1C"/>
    <w:rsid w:val="004536E8"/>
    <w:rsid w:val="00453EA4"/>
    <w:rsid w:val="00454E91"/>
    <w:rsid w:val="004559D4"/>
    <w:rsid w:val="004561CD"/>
    <w:rsid w:val="00461637"/>
    <w:rsid w:val="00462445"/>
    <w:rsid w:val="00463A3A"/>
    <w:rsid w:val="00466153"/>
    <w:rsid w:val="00467564"/>
    <w:rsid w:val="0046773A"/>
    <w:rsid w:val="0047376B"/>
    <w:rsid w:val="00476FD3"/>
    <w:rsid w:val="00491EB7"/>
    <w:rsid w:val="0049592F"/>
    <w:rsid w:val="00497F72"/>
    <w:rsid w:val="004A21DA"/>
    <w:rsid w:val="004A2372"/>
    <w:rsid w:val="004A32E0"/>
    <w:rsid w:val="004A38F2"/>
    <w:rsid w:val="004A483A"/>
    <w:rsid w:val="004A7019"/>
    <w:rsid w:val="004B20DB"/>
    <w:rsid w:val="004B7BAD"/>
    <w:rsid w:val="004B7D5D"/>
    <w:rsid w:val="004C1070"/>
    <w:rsid w:val="004C3440"/>
    <w:rsid w:val="004C46E3"/>
    <w:rsid w:val="004C4BF2"/>
    <w:rsid w:val="004C4BF3"/>
    <w:rsid w:val="004C5026"/>
    <w:rsid w:val="004C77AD"/>
    <w:rsid w:val="004C7FD0"/>
    <w:rsid w:val="004E1125"/>
    <w:rsid w:val="004E1E44"/>
    <w:rsid w:val="004E23A6"/>
    <w:rsid w:val="004E3C9B"/>
    <w:rsid w:val="004F409F"/>
    <w:rsid w:val="004F773F"/>
    <w:rsid w:val="004F7E89"/>
    <w:rsid w:val="00501084"/>
    <w:rsid w:val="0050151B"/>
    <w:rsid w:val="00501DD2"/>
    <w:rsid w:val="00502705"/>
    <w:rsid w:val="00505829"/>
    <w:rsid w:val="00512AFD"/>
    <w:rsid w:val="00513FD4"/>
    <w:rsid w:val="00515101"/>
    <w:rsid w:val="0051549B"/>
    <w:rsid w:val="00534420"/>
    <w:rsid w:val="005349AD"/>
    <w:rsid w:val="00535F66"/>
    <w:rsid w:val="00535F9D"/>
    <w:rsid w:val="005365FA"/>
    <w:rsid w:val="00551922"/>
    <w:rsid w:val="005521C7"/>
    <w:rsid w:val="00555A50"/>
    <w:rsid w:val="00566FBB"/>
    <w:rsid w:val="005671ED"/>
    <w:rsid w:val="0057224F"/>
    <w:rsid w:val="005758C1"/>
    <w:rsid w:val="00581AF4"/>
    <w:rsid w:val="00586BBB"/>
    <w:rsid w:val="00586CCC"/>
    <w:rsid w:val="0059413D"/>
    <w:rsid w:val="005A11EA"/>
    <w:rsid w:val="005A2BA3"/>
    <w:rsid w:val="005A78E5"/>
    <w:rsid w:val="005B17BE"/>
    <w:rsid w:val="005B45FE"/>
    <w:rsid w:val="005B5C83"/>
    <w:rsid w:val="005B7452"/>
    <w:rsid w:val="005C293A"/>
    <w:rsid w:val="005C31C9"/>
    <w:rsid w:val="005C6FF9"/>
    <w:rsid w:val="005D16B6"/>
    <w:rsid w:val="005D2198"/>
    <w:rsid w:val="005D2737"/>
    <w:rsid w:val="005D416C"/>
    <w:rsid w:val="005D6F2D"/>
    <w:rsid w:val="005E26F3"/>
    <w:rsid w:val="005E4079"/>
    <w:rsid w:val="005E4E5A"/>
    <w:rsid w:val="005E78F6"/>
    <w:rsid w:val="005F1F61"/>
    <w:rsid w:val="005F256F"/>
    <w:rsid w:val="005F43EF"/>
    <w:rsid w:val="005F6ABE"/>
    <w:rsid w:val="00601C19"/>
    <w:rsid w:val="006026C1"/>
    <w:rsid w:val="0060767B"/>
    <w:rsid w:val="0061359E"/>
    <w:rsid w:val="00613D26"/>
    <w:rsid w:val="00613FB3"/>
    <w:rsid w:val="006146C5"/>
    <w:rsid w:val="00616484"/>
    <w:rsid w:val="00621C83"/>
    <w:rsid w:val="00623382"/>
    <w:rsid w:val="006271AC"/>
    <w:rsid w:val="00627545"/>
    <w:rsid w:val="00634E93"/>
    <w:rsid w:val="00636F26"/>
    <w:rsid w:val="006404D5"/>
    <w:rsid w:val="00642AA2"/>
    <w:rsid w:val="0064342A"/>
    <w:rsid w:val="00644E6B"/>
    <w:rsid w:val="00645ACF"/>
    <w:rsid w:val="0064688B"/>
    <w:rsid w:val="0065198B"/>
    <w:rsid w:val="00651FE5"/>
    <w:rsid w:val="00652C30"/>
    <w:rsid w:val="006565CA"/>
    <w:rsid w:val="0065681D"/>
    <w:rsid w:val="00657BD9"/>
    <w:rsid w:val="00661714"/>
    <w:rsid w:val="00663FBC"/>
    <w:rsid w:val="0066576A"/>
    <w:rsid w:val="006663F6"/>
    <w:rsid w:val="00674EF1"/>
    <w:rsid w:val="00675A9F"/>
    <w:rsid w:val="00676053"/>
    <w:rsid w:val="0067642F"/>
    <w:rsid w:val="0068198F"/>
    <w:rsid w:val="006935A9"/>
    <w:rsid w:val="00697E45"/>
    <w:rsid w:val="006A4A2B"/>
    <w:rsid w:val="006A6584"/>
    <w:rsid w:val="006A7B14"/>
    <w:rsid w:val="006B2C2F"/>
    <w:rsid w:val="006B3E3E"/>
    <w:rsid w:val="006B5580"/>
    <w:rsid w:val="006B7CAE"/>
    <w:rsid w:val="006C0BDC"/>
    <w:rsid w:val="006C24BA"/>
    <w:rsid w:val="006C6799"/>
    <w:rsid w:val="006C70A3"/>
    <w:rsid w:val="006D1F46"/>
    <w:rsid w:val="006D6110"/>
    <w:rsid w:val="006D6404"/>
    <w:rsid w:val="006D71C7"/>
    <w:rsid w:val="006E2B10"/>
    <w:rsid w:val="006E2CD3"/>
    <w:rsid w:val="006F14FF"/>
    <w:rsid w:val="006F2003"/>
    <w:rsid w:val="006F2D2E"/>
    <w:rsid w:val="006F4D79"/>
    <w:rsid w:val="006F4DB2"/>
    <w:rsid w:val="006F5922"/>
    <w:rsid w:val="006F73E8"/>
    <w:rsid w:val="00700271"/>
    <w:rsid w:val="007046BB"/>
    <w:rsid w:val="00705006"/>
    <w:rsid w:val="007062E1"/>
    <w:rsid w:val="00707E1D"/>
    <w:rsid w:val="00710FFE"/>
    <w:rsid w:val="00714F6B"/>
    <w:rsid w:val="00715C44"/>
    <w:rsid w:val="00715F4F"/>
    <w:rsid w:val="0072381D"/>
    <w:rsid w:val="0072432E"/>
    <w:rsid w:val="00730FFE"/>
    <w:rsid w:val="0073154C"/>
    <w:rsid w:val="00734A4A"/>
    <w:rsid w:val="00734BB3"/>
    <w:rsid w:val="00736BFC"/>
    <w:rsid w:val="00737185"/>
    <w:rsid w:val="0074137A"/>
    <w:rsid w:val="007426CA"/>
    <w:rsid w:val="007457CC"/>
    <w:rsid w:val="00746188"/>
    <w:rsid w:val="00752C07"/>
    <w:rsid w:val="0077373D"/>
    <w:rsid w:val="00776059"/>
    <w:rsid w:val="007771D5"/>
    <w:rsid w:val="0078280F"/>
    <w:rsid w:val="00783F7C"/>
    <w:rsid w:val="00784D07"/>
    <w:rsid w:val="007855D4"/>
    <w:rsid w:val="00786563"/>
    <w:rsid w:val="0078706F"/>
    <w:rsid w:val="00790508"/>
    <w:rsid w:val="007926A4"/>
    <w:rsid w:val="007A0EEE"/>
    <w:rsid w:val="007A3A5B"/>
    <w:rsid w:val="007A453B"/>
    <w:rsid w:val="007A4CF6"/>
    <w:rsid w:val="007A5F4D"/>
    <w:rsid w:val="007B04FF"/>
    <w:rsid w:val="007B39E9"/>
    <w:rsid w:val="007B3C05"/>
    <w:rsid w:val="007B64CC"/>
    <w:rsid w:val="007B758F"/>
    <w:rsid w:val="007C11F4"/>
    <w:rsid w:val="007D0EEA"/>
    <w:rsid w:val="007D1A56"/>
    <w:rsid w:val="007D2D6F"/>
    <w:rsid w:val="007D50BF"/>
    <w:rsid w:val="007D6E00"/>
    <w:rsid w:val="007D6EE4"/>
    <w:rsid w:val="007D74B2"/>
    <w:rsid w:val="007E1BA3"/>
    <w:rsid w:val="007F1061"/>
    <w:rsid w:val="007F15EA"/>
    <w:rsid w:val="008021A2"/>
    <w:rsid w:val="00804A70"/>
    <w:rsid w:val="008066A9"/>
    <w:rsid w:val="00806B6A"/>
    <w:rsid w:val="0081031E"/>
    <w:rsid w:val="00811D24"/>
    <w:rsid w:val="008175B0"/>
    <w:rsid w:val="00822197"/>
    <w:rsid w:val="008273BA"/>
    <w:rsid w:val="00830496"/>
    <w:rsid w:val="00831EFE"/>
    <w:rsid w:val="00834C90"/>
    <w:rsid w:val="00841099"/>
    <w:rsid w:val="008431F5"/>
    <w:rsid w:val="008515C7"/>
    <w:rsid w:val="00857FE2"/>
    <w:rsid w:val="00861F8B"/>
    <w:rsid w:val="008624D4"/>
    <w:rsid w:val="00862BFB"/>
    <w:rsid w:val="008635E2"/>
    <w:rsid w:val="00871999"/>
    <w:rsid w:val="00872871"/>
    <w:rsid w:val="00873ABA"/>
    <w:rsid w:val="00873D66"/>
    <w:rsid w:val="00874FC5"/>
    <w:rsid w:val="00880C19"/>
    <w:rsid w:val="00882947"/>
    <w:rsid w:val="00885640"/>
    <w:rsid w:val="008866DB"/>
    <w:rsid w:val="00886B65"/>
    <w:rsid w:val="00890BF0"/>
    <w:rsid w:val="00890EDF"/>
    <w:rsid w:val="00897FC0"/>
    <w:rsid w:val="008A0138"/>
    <w:rsid w:val="008B067C"/>
    <w:rsid w:val="008B29AA"/>
    <w:rsid w:val="008B342E"/>
    <w:rsid w:val="008B53E8"/>
    <w:rsid w:val="008B565D"/>
    <w:rsid w:val="008B56CE"/>
    <w:rsid w:val="008C16D0"/>
    <w:rsid w:val="008C25A1"/>
    <w:rsid w:val="008C4F93"/>
    <w:rsid w:val="008D2270"/>
    <w:rsid w:val="008D392F"/>
    <w:rsid w:val="008D710D"/>
    <w:rsid w:val="008E3BE6"/>
    <w:rsid w:val="008E3DE8"/>
    <w:rsid w:val="008E4C7B"/>
    <w:rsid w:val="008E7C62"/>
    <w:rsid w:val="008F046E"/>
    <w:rsid w:val="008F2117"/>
    <w:rsid w:val="008F2EF8"/>
    <w:rsid w:val="008F5BE7"/>
    <w:rsid w:val="008F75AE"/>
    <w:rsid w:val="008F7B2F"/>
    <w:rsid w:val="00911118"/>
    <w:rsid w:val="009123ED"/>
    <w:rsid w:val="00912DB5"/>
    <w:rsid w:val="00912F7D"/>
    <w:rsid w:val="00913A86"/>
    <w:rsid w:val="009160BD"/>
    <w:rsid w:val="0091671F"/>
    <w:rsid w:val="00921A18"/>
    <w:rsid w:val="00923D4C"/>
    <w:rsid w:val="009240EE"/>
    <w:rsid w:val="0092551A"/>
    <w:rsid w:val="00927531"/>
    <w:rsid w:val="00933467"/>
    <w:rsid w:val="00944B5D"/>
    <w:rsid w:val="0095195C"/>
    <w:rsid w:val="00956945"/>
    <w:rsid w:val="00963B34"/>
    <w:rsid w:val="00972D33"/>
    <w:rsid w:val="00976215"/>
    <w:rsid w:val="00977FD6"/>
    <w:rsid w:val="009813F9"/>
    <w:rsid w:val="00983DD7"/>
    <w:rsid w:val="009875A0"/>
    <w:rsid w:val="0099235F"/>
    <w:rsid w:val="00993AB0"/>
    <w:rsid w:val="00993E55"/>
    <w:rsid w:val="009A1BA5"/>
    <w:rsid w:val="009A1E3B"/>
    <w:rsid w:val="009A2783"/>
    <w:rsid w:val="009A755B"/>
    <w:rsid w:val="009B4D82"/>
    <w:rsid w:val="009B7D56"/>
    <w:rsid w:val="009C19DA"/>
    <w:rsid w:val="009C1D41"/>
    <w:rsid w:val="009C5CED"/>
    <w:rsid w:val="009D134D"/>
    <w:rsid w:val="009D7D3D"/>
    <w:rsid w:val="009E1B7C"/>
    <w:rsid w:val="009E2143"/>
    <w:rsid w:val="009E290F"/>
    <w:rsid w:val="009E4035"/>
    <w:rsid w:val="009E40A8"/>
    <w:rsid w:val="009E5907"/>
    <w:rsid w:val="009F351D"/>
    <w:rsid w:val="009F4FF1"/>
    <w:rsid w:val="00A02E3C"/>
    <w:rsid w:val="00A058EE"/>
    <w:rsid w:val="00A10D32"/>
    <w:rsid w:val="00A11E25"/>
    <w:rsid w:val="00A17A2B"/>
    <w:rsid w:val="00A20A1B"/>
    <w:rsid w:val="00A20AEC"/>
    <w:rsid w:val="00A22C74"/>
    <w:rsid w:val="00A30F5C"/>
    <w:rsid w:val="00A315C1"/>
    <w:rsid w:val="00A35265"/>
    <w:rsid w:val="00A35775"/>
    <w:rsid w:val="00A37452"/>
    <w:rsid w:val="00A3767F"/>
    <w:rsid w:val="00A4345E"/>
    <w:rsid w:val="00A44959"/>
    <w:rsid w:val="00A47FA9"/>
    <w:rsid w:val="00A50F28"/>
    <w:rsid w:val="00A538F5"/>
    <w:rsid w:val="00A53FD4"/>
    <w:rsid w:val="00A623E7"/>
    <w:rsid w:val="00A627F2"/>
    <w:rsid w:val="00A65429"/>
    <w:rsid w:val="00A66C7D"/>
    <w:rsid w:val="00A67CEF"/>
    <w:rsid w:val="00A71253"/>
    <w:rsid w:val="00A7209E"/>
    <w:rsid w:val="00A74C54"/>
    <w:rsid w:val="00A75723"/>
    <w:rsid w:val="00A75C8C"/>
    <w:rsid w:val="00A76A96"/>
    <w:rsid w:val="00A7767E"/>
    <w:rsid w:val="00A82F72"/>
    <w:rsid w:val="00A85D79"/>
    <w:rsid w:val="00A86CB5"/>
    <w:rsid w:val="00A901B1"/>
    <w:rsid w:val="00A933B0"/>
    <w:rsid w:val="00A94A5B"/>
    <w:rsid w:val="00A97A58"/>
    <w:rsid w:val="00AA2868"/>
    <w:rsid w:val="00AA3D32"/>
    <w:rsid w:val="00AA4FBC"/>
    <w:rsid w:val="00AA599B"/>
    <w:rsid w:val="00AB358F"/>
    <w:rsid w:val="00AB6375"/>
    <w:rsid w:val="00AB7EAF"/>
    <w:rsid w:val="00AC4D24"/>
    <w:rsid w:val="00AD08D2"/>
    <w:rsid w:val="00AD1910"/>
    <w:rsid w:val="00AD261A"/>
    <w:rsid w:val="00AD38C8"/>
    <w:rsid w:val="00AE0E5F"/>
    <w:rsid w:val="00AE1ACD"/>
    <w:rsid w:val="00AE2057"/>
    <w:rsid w:val="00AE2FD1"/>
    <w:rsid w:val="00AF51C9"/>
    <w:rsid w:val="00AF69DD"/>
    <w:rsid w:val="00B0353C"/>
    <w:rsid w:val="00B07F7F"/>
    <w:rsid w:val="00B10D81"/>
    <w:rsid w:val="00B116C6"/>
    <w:rsid w:val="00B1269B"/>
    <w:rsid w:val="00B12F97"/>
    <w:rsid w:val="00B149D4"/>
    <w:rsid w:val="00B14E5A"/>
    <w:rsid w:val="00B21EFE"/>
    <w:rsid w:val="00B23D60"/>
    <w:rsid w:val="00B30539"/>
    <w:rsid w:val="00B3244D"/>
    <w:rsid w:val="00B354B6"/>
    <w:rsid w:val="00B35CE6"/>
    <w:rsid w:val="00B36197"/>
    <w:rsid w:val="00B363A8"/>
    <w:rsid w:val="00B37499"/>
    <w:rsid w:val="00B4016D"/>
    <w:rsid w:val="00B40F06"/>
    <w:rsid w:val="00B41B59"/>
    <w:rsid w:val="00B41DD7"/>
    <w:rsid w:val="00B422A4"/>
    <w:rsid w:val="00B45932"/>
    <w:rsid w:val="00B460AB"/>
    <w:rsid w:val="00B53E18"/>
    <w:rsid w:val="00B53F73"/>
    <w:rsid w:val="00B56134"/>
    <w:rsid w:val="00B61DA8"/>
    <w:rsid w:val="00B6618D"/>
    <w:rsid w:val="00B66FE5"/>
    <w:rsid w:val="00B70CAC"/>
    <w:rsid w:val="00B71942"/>
    <w:rsid w:val="00B73E4C"/>
    <w:rsid w:val="00B74850"/>
    <w:rsid w:val="00B74B7D"/>
    <w:rsid w:val="00B751A6"/>
    <w:rsid w:val="00B75BBC"/>
    <w:rsid w:val="00B76A33"/>
    <w:rsid w:val="00B83204"/>
    <w:rsid w:val="00B84E8B"/>
    <w:rsid w:val="00B90CCF"/>
    <w:rsid w:val="00B92268"/>
    <w:rsid w:val="00B93AF6"/>
    <w:rsid w:val="00BA18CB"/>
    <w:rsid w:val="00BA231E"/>
    <w:rsid w:val="00BA454B"/>
    <w:rsid w:val="00BB4908"/>
    <w:rsid w:val="00BB4D36"/>
    <w:rsid w:val="00BC17C4"/>
    <w:rsid w:val="00BD1529"/>
    <w:rsid w:val="00BD175B"/>
    <w:rsid w:val="00BD604F"/>
    <w:rsid w:val="00BD61EC"/>
    <w:rsid w:val="00BD6BC3"/>
    <w:rsid w:val="00BE1A51"/>
    <w:rsid w:val="00BE1F0F"/>
    <w:rsid w:val="00BE2F45"/>
    <w:rsid w:val="00BF2E4C"/>
    <w:rsid w:val="00BF397B"/>
    <w:rsid w:val="00C017B9"/>
    <w:rsid w:val="00C05F6A"/>
    <w:rsid w:val="00C1557B"/>
    <w:rsid w:val="00C24C0D"/>
    <w:rsid w:val="00C25E34"/>
    <w:rsid w:val="00C27C63"/>
    <w:rsid w:val="00C315DD"/>
    <w:rsid w:val="00C34690"/>
    <w:rsid w:val="00C34998"/>
    <w:rsid w:val="00C35C86"/>
    <w:rsid w:val="00C41482"/>
    <w:rsid w:val="00C42DFC"/>
    <w:rsid w:val="00C45B94"/>
    <w:rsid w:val="00C60E49"/>
    <w:rsid w:val="00C63E9E"/>
    <w:rsid w:val="00C6594B"/>
    <w:rsid w:val="00C670D3"/>
    <w:rsid w:val="00C701BD"/>
    <w:rsid w:val="00C70B96"/>
    <w:rsid w:val="00C71B1C"/>
    <w:rsid w:val="00C7211A"/>
    <w:rsid w:val="00C729FD"/>
    <w:rsid w:val="00C73862"/>
    <w:rsid w:val="00C74E1E"/>
    <w:rsid w:val="00C76C21"/>
    <w:rsid w:val="00C76F03"/>
    <w:rsid w:val="00C83A90"/>
    <w:rsid w:val="00C84F09"/>
    <w:rsid w:val="00C90338"/>
    <w:rsid w:val="00C90518"/>
    <w:rsid w:val="00C9059A"/>
    <w:rsid w:val="00C95271"/>
    <w:rsid w:val="00C970A1"/>
    <w:rsid w:val="00CA0CB4"/>
    <w:rsid w:val="00CA1DE1"/>
    <w:rsid w:val="00CA46A4"/>
    <w:rsid w:val="00CA46E2"/>
    <w:rsid w:val="00CA4852"/>
    <w:rsid w:val="00CB0D72"/>
    <w:rsid w:val="00CB225E"/>
    <w:rsid w:val="00CB2ADC"/>
    <w:rsid w:val="00CB36D4"/>
    <w:rsid w:val="00CB4EAE"/>
    <w:rsid w:val="00CB60EA"/>
    <w:rsid w:val="00CC0706"/>
    <w:rsid w:val="00CC53C1"/>
    <w:rsid w:val="00CD2753"/>
    <w:rsid w:val="00CD6634"/>
    <w:rsid w:val="00CE0A71"/>
    <w:rsid w:val="00CE37F4"/>
    <w:rsid w:val="00CE3B93"/>
    <w:rsid w:val="00CE43ED"/>
    <w:rsid w:val="00CE6C74"/>
    <w:rsid w:val="00CE79C6"/>
    <w:rsid w:val="00CE7FED"/>
    <w:rsid w:val="00CF0B32"/>
    <w:rsid w:val="00CF19BE"/>
    <w:rsid w:val="00CF3C7D"/>
    <w:rsid w:val="00CF72D5"/>
    <w:rsid w:val="00CF7359"/>
    <w:rsid w:val="00D00055"/>
    <w:rsid w:val="00D03CFF"/>
    <w:rsid w:val="00D04C34"/>
    <w:rsid w:val="00D111BC"/>
    <w:rsid w:val="00D20045"/>
    <w:rsid w:val="00D20CF2"/>
    <w:rsid w:val="00D240A9"/>
    <w:rsid w:val="00D251B2"/>
    <w:rsid w:val="00D31344"/>
    <w:rsid w:val="00D3454E"/>
    <w:rsid w:val="00D40F8C"/>
    <w:rsid w:val="00D42B0C"/>
    <w:rsid w:val="00D4412A"/>
    <w:rsid w:val="00D47E73"/>
    <w:rsid w:val="00D51DCC"/>
    <w:rsid w:val="00D56088"/>
    <w:rsid w:val="00D60CBC"/>
    <w:rsid w:val="00D6295C"/>
    <w:rsid w:val="00D64641"/>
    <w:rsid w:val="00D67FDC"/>
    <w:rsid w:val="00D709FC"/>
    <w:rsid w:val="00D70FF4"/>
    <w:rsid w:val="00D72C3D"/>
    <w:rsid w:val="00D73416"/>
    <w:rsid w:val="00D7654B"/>
    <w:rsid w:val="00D80404"/>
    <w:rsid w:val="00D81FB2"/>
    <w:rsid w:val="00D869AC"/>
    <w:rsid w:val="00D91DBD"/>
    <w:rsid w:val="00D9365F"/>
    <w:rsid w:val="00D93E73"/>
    <w:rsid w:val="00D976E6"/>
    <w:rsid w:val="00DA1159"/>
    <w:rsid w:val="00DA4F1E"/>
    <w:rsid w:val="00DA56DC"/>
    <w:rsid w:val="00DB358F"/>
    <w:rsid w:val="00DB3A94"/>
    <w:rsid w:val="00DB7ACF"/>
    <w:rsid w:val="00DB7CBB"/>
    <w:rsid w:val="00DC1041"/>
    <w:rsid w:val="00DC4D98"/>
    <w:rsid w:val="00DC6C5F"/>
    <w:rsid w:val="00DD1D88"/>
    <w:rsid w:val="00DD6426"/>
    <w:rsid w:val="00DD72CF"/>
    <w:rsid w:val="00DD74DF"/>
    <w:rsid w:val="00DD7503"/>
    <w:rsid w:val="00DD78ED"/>
    <w:rsid w:val="00DE078F"/>
    <w:rsid w:val="00DE15B0"/>
    <w:rsid w:val="00DE1A72"/>
    <w:rsid w:val="00DE209A"/>
    <w:rsid w:val="00DE3594"/>
    <w:rsid w:val="00DE69E7"/>
    <w:rsid w:val="00DF0135"/>
    <w:rsid w:val="00DF15A6"/>
    <w:rsid w:val="00DF3CB6"/>
    <w:rsid w:val="00DF6E91"/>
    <w:rsid w:val="00DF7266"/>
    <w:rsid w:val="00E0296F"/>
    <w:rsid w:val="00E0645B"/>
    <w:rsid w:val="00E10C94"/>
    <w:rsid w:val="00E10D7D"/>
    <w:rsid w:val="00E120F0"/>
    <w:rsid w:val="00E1371F"/>
    <w:rsid w:val="00E15276"/>
    <w:rsid w:val="00E205A1"/>
    <w:rsid w:val="00E2065A"/>
    <w:rsid w:val="00E244DE"/>
    <w:rsid w:val="00E25D12"/>
    <w:rsid w:val="00E26EC8"/>
    <w:rsid w:val="00E3222C"/>
    <w:rsid w:val="00E349EC"/>
    <w:rsid w:val="00E35BAB"/>
    <w:rsid w:val="00E4533A"/>
    <w:rsid w:val="00E45A8D"/>
    <w:rsid w:val="00E55267"/>
    <w:rsid w:val="00E55DBC"/>
    <w:rsid w:val="00E57E2A"/>
    <w:rsid w:val="00E60906"/>
    <w:rsid w:val="00E60BAD"/>
    <w:rsid w:val="00E61A68"/>
    <w:rsid w:val="00E61CFD"/>
    <w:rsid w:val="00E631C9"/>
    <w:rsid w:val="00E63873"/>
    <w:rsid w:val="00E64B08"/>
    <w:rsid w:val="00E666F8"/>
    <w:rsid w:val="00E73D5A"/>
    <w:rsid w:val="00E8194C"/>
    <w:rsid w:val="00E82A03"/>
    <w:rsid w:val="00E834BF"/>
    <w:rsid w:val="00E8412D"/>
    <w:rsid w:val="00E90513"/>
    <w:rsid w:val="00E906A0"/>
    <w:rsid w:val="00E94A91"/>
    <w:rsid w:val="00E94AF3"/>
    <w:rsid w:val="00EA3B9F"/>
    <w:rsid w:val="00EA50C5"/>
    <w:rsid w:val="00EB36F0"/>
    <w:rsid w:val="00EB37D1"/>
    <w:rsid w:val="00EB584B"/>
    <w:rsid w:val="00EB6A4C"/>
    <w:rsid w:val="00EC0493"/>
    <w:rsid w:val="00EC1D16"/>
    <w:rsid w:val="00EC52B2"/>
    <w:rsid w:val="00EC687C"/>
    <w:rsid w:val="00ED3297"/>
    <w:rsid w:val="00ED3522"/>
    <w:rsid w:val="00ED7289"/>
    <w:rsid w:val="00EE102C"/>
    <w:rsid w:val="00EE3A52"/>
    <w:rsid w:val="00EE4BBE"/>
    <w:rsid w:val="00EF2704"/>
    <w:rsid w:val="00F02E9A"/>
    <w:rsid w:val="00F05913"/>
    <w:rsid w:val="00F06CE3"/>
    <w:rsid w:val="00F06EAD"/>
    <w:rsid w:val="00F076A9"/>
    <w:rsid w:val="00F07767"/>
    <w:rsid w:val="00F077C4"/>
    <w:rsid w:val="00F07B23"/>
    <w:rsid w:val="00F1133C"/>
    <w:rsid w:val="00F11490"/>
    <w:rsid w:val="00F14070"/>
    <w:rsid w:val="00F147BA"/>
    <w:rsid w:val="00F160B6"/>
    <w:rsid w:val="00F20C08"/>
    <w:rsid w:val="00F248B2"/>
    <w:rsid w:val="00F26D98"/>
    <w:rsid w:val="00F3190E"/>
    <w:rsid w:val="00F34415"/>
    <w:rsid w:val="00F429FE"/>
    <w:rsid w:val="00F4331F"/>
    <w:rsid w:val="00F43A3E"/>
    <w:rsid w:val="00F45C14"/>
    <w:rsid w:val="00F529E5"/>
    <w:rsid w:val="00F54273"/>
    <w:rsid w:val="00F5614D"/>
    <w:rsid w:val="00F56D8F"/>
    <w:rsid w:val="00F62E71"/>
    <w:rsid w:val="00F631D6"/>
    <w:rsid w:val="00F64C37"/>
    <w:rsid w:val="00F64DAD"/>
    <w:rsid w:val="00F67AF9"/>
    <w:rsid w:val="00F67E92"/>
    <w:rsid w:val="00F7027E"/>
    <w:rsid w:val="00F74BE7"/>
    <w:rsid w:val="00F80F3B"/>
    <w:rsid w:val="00F83652"/>
    <w:rsid w:val="00F83888"/>
    <w:rsid w:val="00F84C49"/>
    <w:rsid w:val="00F8537B"/>
    <w:rsid w:val="00F907E3"/>
    <w:rsid w:val="00F946D3"/>
    <w:rsid w:val="00FA1837"/>
    <w:rsid w:val="00FA1EE7"/>
    <w:rsid w:val="00FA5649"/>
    <w:rsid w:val="00FA71C8"/>
    <w:rsid w:val="00FB0DDE"/>
    <w:rsid w:val="00FB0E51"/>
    <w:rsid w:val="00FB47DE"/>
    <w:rsid w:val="00FB4E13"/>
    <w:rsid w:val="00FB5011"/>
    <w:rsid w:val="00FC00FE"/>
    <w:rsid w:val="00FC2169"/>
    <w:rsid w:val="00FC48BD"/>
    <w:rsid w:val="00FD3211"/>
    <w:rsid w:val="00FD34FC"/>
    <w:rsid w:val="00FD5019"/>
    <w:rsid w:val="00FE29A9"/>
    <w:rsid w:val="00FE7985"/>
    <w:rsid w:val="00FF4611"/>
    <w:rsid w:val="00FF5D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58F"/>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uiPriority w:val="9"/>
    <w:qFormat/>
    <w:rsid w:val="00F11490"/>
    <w:pPr>
      <w:keepNext/>
      <w:widowControl w:val="0"/>
      <w:numPr>
        <w:numId w:val="1"/>
      </w:numPr>
      <w:suppressAutoHyphens/>
      <w:spacing w:after="220"/>
      <w:jc w:val="both"/>
      <w:outlineLvl w:val="0"/>
    </w:pPr>
    <w:rPr>
      <w:b/>
      <w:caps/>
      <w:lang w:val="x-none" w:eastAsia="x-none"/>
    </w:rPr>
  </w:style>
  <w:style w:type="paragraph" w:styleId="Heading2">
    <w:name w:val="heading 2"/>
    <w:basedOn w:val="Normal"/>
    <w:next w:val="ParaNum"/>
    <w:link w:val="Heading2Char"/>
    <w:uiPriority w:val="9"/>
    <w:qFormat/>
    <w:rsid w:val="00F11490"/>
    <w:pPr>
      <w:keepNext/>
      <w:widowControl w:val="0"/>
      <w:numPr>
        <w:ilvl w:val="1"/>
        <w:numId w:val="1"/>
      </w:numPr>
      <w:spacing w:after="220"/>
      <w:jc w:val="both"/>
      <w:outlineLvl w:val="1"/>
    </w:pPr>
    <w:rPr>
      <w:rFonts w:ascii="Cambria" w:hAnsi="Cambria"/>
      <w:b/>
      <w:bCs/>
      <w:i/>
      <w:iCs/>
      <w:sz w:val="28"/>
      <w:szCs w:val="28"/>
      <w:lang w:val="x-none" w:eastAsia="x-none"/>
    </w:rPr>
  </w:style>
  <w:style w:type="paragraph" w:styleId="Heading3">
    <w:name w:val="heading 3"/>
    <w:basedOn w:val="Normal"/>
    <w:next w:val="ParaNum"/>
    <w:link w:val="Heading3Char"/>
    <w:uiPriority w:val="9"/>
    <w:qFormat/>
    <w:rsid w:val="00F11490"/>
    <w:pPr>
      <w:keepNext/>
      <w:widowControl w:val="0"/>
      <w:numPr>
        <w:ilvl w:val="2"/>
        <w:numId w:val="1"/>
      </w:numPr>
      <w:spacing w:after="220"/>
      <w:jc w:val="both"/>
      <w:outlineLvl w:val="2"/>
    </w:pPr>
    <w:rPr>
      <w:rFonts w:ascii="Cambria" w:hAnsi="Cambria"/>
      <w:b/>
      <w:bCs/>
      <w:sz w:val="26"/>
      <w:szCs w:val="26"/>
      <w:lang w:val="x-none" w:eastAsia="x-none"/>
    </w:rPr>
  </w:style>
  <w:style w:type="paragraph" w:styleId="Heading4">
    <w:name w:val="heading 4"/>
    <w:basedOn w:val="Normal"/>
    <w:next w:val="ParaNum"/>
    <w:link w:val="Heading4Char"/>
    <w:uiPriority w:val="9"/>
    <w:qFormat/>
    <w:rsid w:val="00F11490"/>
    <w:pPr>
      <w:keepNext/>
      <w:widowControl w:val="0"/>
      <w:numPr>
        <w:ilvl w:val="3"/>
        <w:numId w:val="1"/>
      </w:numPr>
      <w:spacing w:after="220"/>
      <w:jc w:val="both"/>
      <w:outlineLvl w:val="3"/>
    </w:pPr>
    <w:rPr>
      <w:rFonts w:ascii="Calibri" w:hAnsi="Calibri"/>
      <w:b/>
      <w:bCs/>
      <w:sz w:val="28"/>
      <w:szCs w:val="28"/>
      <w:lang w:val="x-none" w:eastAsia="x-none"/>
    </w:rPr>
  </w:style>
  <w:style w:type="paragraph" w:styleId="Heading5">
    <w:name w:val="heading 5"/>
    <w:basedOn w:val="Normal"/>
    <w:next w:val="ParaNum"/>
    <w:link w:val="Heading5Char"/>
    <w:uiPriority w:val="9"/>
    <w:qFormat/>
    <w:rsid w:val="00F11490"/>
    <w:pPr>
      <w:keepNext/>
      <w:widowControl w:val="0"/>
      <w:numPr>
        <w:ilvl w:val="4"/>
        <w:numId w:val="1"/>
      </w:numPr>
      <w:suppressAutoHyphens/>
      <w:spacing w:after="220"/>
      <w:jc w:val="both"/>
      <w:outlineLvl w:val="4"/>
    </w:pPr>
    <w:rPr>
      <w:rFonts w:ascii="Calibri" w:hAnsi="Calibri"/>
      <w:b/>
      <w:bCs/>
      <w:i/>
      <w:iCs/>
      <w:sz w:val="26"/>
      <w:szCs w:val="26"/>
      <w:lang w:val="x-none" w:eastAsia="x-none"/>
    </w:rPr>
  </w:style>
  <w:style w:type="paragraph" w:styleId="Heading6">
    <w:name w:val="heading 6"/>
    <w:basedOn w:val="Normal"/>
    <w:next w:val="ParaNum"/>
    <w:link w:val="Heading6Char"/>
    <w:uiPriority w:val="9"/>
    <w:qFormat/>
    <w:rsid w:val="00F11490"/>
    <w:pPr>
      <w:widowControl w:val="0"/>
      <w:numPr>
        <w:ilvl w:val="5"/>
        <w:numId w:val="1"/>
      </w:numPr>
      <w:spacing w:after="220"/>
      <w:jc w:val="both"/>
      <w:outlineLvl w:val="5"/>
    </w:pPr>
    <w:rPr>
      <w:rFonts w:ascii="Calibri" w:hAnsi="Calibri"/>
      <w:b/>
      <w:bCs/>
      <w:szCs w:val="22"/>
      <w:lang w:val="x-none" w:eastAsia="x-none"/>
    </w:rPr>
  </w:style>
  <w:style w:type="paragraph" w:styleId="Heading7">
    <w:name w:val="heading 7"/>
    <w:basedOn w:val="Normal"/>
    <w:next w:val="ParaNum"/>
    <w:link w:val="Heading7Char"/>
    <w:uiPriority w:val="9"/>
    <w:qFormat/>
    <w:rsid w:val="00F11490"/>
    <w:pPr>
      <w:widowControl w:val="0"/>
      <w:numPr>
        <w:ilvl w:val="6"/>
        <w:numId w:val="1"/>
      </w:numPr>
      <w:spacing w:after="220"/>
      <w:jc w:val="both"/>
      <w:outlineLvl w:val="6"/>
    </w:pPr>
    <w:rPr>
      <w:rFonts w:ascii="Calibri" w:hAnsi="Calibri"/>
      <w:sz w:val="24"/>
      <w:szCs w:val="24"/>
      <w:lang w:val="x-none" w:eastAsia="x-none"/>
    </w:rPr>
  </w:style>
  <w:style w:type="paragraph" w:styleId="Heading8">
    <w:name w:val="heading 8"/>
    <w:basedOn w:val="Normal"/>
    <w:next w:val="ParaNum"/>
    <w:link w:val="Heading8Char"/>
    <w:uiPriority w:val="9"/>
    <w:qFormat/>
    <w:rsid w:val="00F11490"/>
    <w:pPr>
      <w:widowControl w:val="0"/>
      <w:numPr>
        <w:ilvl w:val="7"/>
        <w:numId w:val="1"/>
      </w:numPr>
      <w:spacing w:after="220"/>
      <w:jc w:val="both"/>
      <w:outlineLvl w:val="7"/>
    </w:pPr>
    <w:rPr>
      <w:rFonts w:ascii="Calibri" w:hAnsi="Calibri"/>
      <w:i/>
      <w:iCs/>
      <w:sz w:val="24"/>
      <w:szCs w:val="24"/>
      <w:lang w:val="x-none" w:eastAsia="x-none"/>
    </w:rPr>
  </w:style>
  <w:style w:type="paragraph" w:styleId="Heading9">
    <w:name w:val="heading 9"/>
    <w:basedOn w:val="Normal"/>
    <w:next w:val="ParaNum"/>
    <w:link w:val="Heading9Char"/>
    <w:uiPriority w:val="9"/>
    <w:qFormat/>
    <w:rsid w:val="00F11490"/>
    <w:pPr>
      <w:widowControl w:val="0"/>
      <w:numPr>
        <w:ilvl w:val="8"/>
        <w:numId w:val="1"/>
      </w:numPr>
      <w:spacing w:after="220"/>
      <w:jc w:val="both"/>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490"/>
    <w:rPr>
      <w:rFonts w:ascii="Times New Roman" w:eastAsia="Times New Roman" w:hAnsi="Times New Roman" w:cs="Times New Roman"/>
      <w:b/>
      <w:caps/>
      <w:szCs w:val="20"/>
      <w:lang w:val="x-none" w:eastAsia="x-none"/>
    </w:rPr>
  </w:style>
  <w:style w:type="character" w:customStyle="1" w:styleId="Heading2Char">
    <w:name w:val="Heading 2 Char"/>
    <w:basedOn w:val="DefaultParagraphFont"/>
    <w:link w:val="Heading2"/>
    <w:uiPriority w:val="9"/>
    <w:rsid w:val="00F1149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F1149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F1149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F1149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F11490"/>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rsid w:val="00F1149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F11490"/>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F11490"/>
    <w:rPr>
      <w:rFonts w:ascii="Cambria" w:eastAsia="Times New Roman" w:hAnsi="Cambria" w:cs="Times New Roman"/>
      <w:lang w:val="x-none" w:eastAsia="x-none"/>
    </w:rPr>
  </w:style>
  <w:style w:type="paragraph" w:customStyle="1" w:styleId="ParaNum">
    <w:name w:val="ParaNum"/>
    <w:basedOn w:val="Normal"/>
    <w:link w:val="ParaNumChar"/>
    <w:rsid w:val="00AB358F"/>
    <w:pPr>
      <w:numPr>
        <w:numId w:val="2"/>
      </w:numPr>
      <w:tabs>
        <w:tab w:val="clear" w:pos="1080"/>
        <w:tab w:val="left" w:pos="1440"/>
      </w:tabs>
      <w:spacing w:after="220"/>
    </w:pPr>
    <w:rPr>
      <w:lang w:val="x-none" w:eastAsia="x-none"/>
    </w:rPr>
  </w:style>
  <w:style w:type="paragraph" w:styleId="FootnoteText">
    <w:name w:val="footnote text"/>
    <w:aliases w:val="FOOT,Footnote Text Char Char2 Char Char,Footnote Text Char Char2 Char Char Char2 Char,Footnote Text Char3,Footnote Text Char3 Char,Footnote Text Char3 Char Char Char2 Char,Footnote Text Char4 Char1 Char,f,fn,fn Char Char"/>
    <w:basedOn w:val="Normal"/>
    <w:link w:val="FootnoteTextChar"/>
    <w:rsid w:val="0074137A"/>
    <w:pPr>
      <w:tabs>
        <w:tab w:val="left" w:pos="180"/>
      </w:tabs>
      <w:spacing w:after="120"/>
    </w:pPr>
    <w:rPr>
      <w:sz w:val="20"/>
    </w:rPr>
  </w:style>
  <w:style w:type="character" w:customStyle="1" w:styleId="FootnoteTextChar">
    <w:name w:val="Footnote Text Char"/>
    <w:aliases w:val="Footnote Text Char Char2 Char Char Char,Footnote Text Char Char2 Char Char Char2 Char Char,Footnote Text Char3 Char Char,Footnote Text Char3 Char Char Char2 Char Char,Footnote Text Char3 Char1,Footnote Text Char4 Char1 Char Char"/>
    <w:basedOn w:val="DefaultParagraphFont"/>
    <w:link w:val="FootnoteText"/>
    <w:uiPriority w:val="99"/>
    <w:semiHidden/>
    <w:rsid w:val="0074137A"/>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3,fr,o"/>
    <w:rsid w:val="00F11490"/>
    <w:rPr>
      <w:vertAlign w:val="superscript"/>
    </w:rPr>
  </w:style>
  <w:style w:type="paragraph" w:styleId="Header">
    <w:name w:val="header"/>
    <w:basedOn w:val="Normal"/>
    <w:link w:val="HeaderChar"/>
    <w:uiPriority w:val="99"/>
    <w:rsid w:val="00F1149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11490"/>
    <w:rPr>
      <w:rFonts w:ascii="Times New Roman" w:eastAsia="Times New Roman" w:hAnsi="Times New Roman" w:cs="Times New Roman"/>
      <w:szCs w:val="20"/>
      <w:lang w:val="x-none" w:eastAsia="x-none"/>
    </w:rPr>
  </w:style>
  <w:style w:type="paragraph" w:styleId="Footer">
    <w:name w:val="footer"/>
    <w:basedOn w:val="Normal"/>
    <w:link w:val="FooterChar"/>
    <w:uiPriority w:val="99"/>
    <w:rsid w:val="00F1149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11490"/>
    <w:rPr>
      <w:rFonts w:ascii="Times New Roman" w:eastAsia="Times New Roman" w:hAnsi="Times New Roman" w:cs="Times New Roman"/>
      <w:szCs w:val="20"/>
      <w:lang w:val="x-none" w:eastAsia="x-none"/>
    </w:rPr>
  </w:style>
  <w:style w:type="character" w:styleId="PageNumber">
    <w:name w:val="page number"/>
    <w:uiPriority w:val="99"/>
    <w:rsid w:val="00F11490"/>
    <w:rPr>
      <w:rFonts w:cs="Times New Roman"/>
    </w:rPr>
  </w:style>
  <w:style w:type="character" w:customStyle="1" w:styleId="documentbody1">
    <w:name w:val="documentbody1"/>
    <w:rsid w:val="00F11490"/>
    <w:rPr>
      <w:rFonts w:ascii="Verdana" w:hAnsi="Verdana"/>
      <w:sz w:val="19"/>
    </w:rPr>
  </w:style>
  <w:style w:type="character" w:customStyle="1" w:styleId="ParaNumChar">
    <w:name w:val="ParaNum Char"/>
    <w:link w:val="ParaNum"/>
    <w:locked/>
    <w:rsid w:val="00AB358F"/>
    <w:rPr>
      <w:rFonts w:ascii="Times New Roman" w:eastAsia="Times New Roman" w:hAnsi="Times New Roman" w:cs="Times New Roman"/>
      <w:szCs w:val="20"/>
      <w:lang w:val="x-none" w:eastAsia="x-none"/>
    </w:rPr>
  </w:style>
  <w:style w:type="paragraph" w:styleId="ListParagraph">
    <w:name w:val="List Paragraph"/>
    <w:basedOn w:val="Normal"/>
    <w:uiPriority w:val="34"/>
    <w:qFormat/>
    <w:rsid w:val="00F11490"/>
    <w:pPr>
      <w:ind w:left="720"/>
      <w:contextualSpacing/>
    </w:pPr>
  </w:style>
  <w:style w:type="paragraph" w:styleId="BalloonText">
    <w:name w:val="Balloon Text"/>
    <w:basedOn w:val="Normal"/>
    <w:link w:val="BalloonTextChar"/>
    <w:uiPriority w:val="99"/>
    <w:semiHidden/>
    <w:unhideWhenUsed/>
    <w:rsid w:val="00204AA1"/>
    <w:rPr>
      <w:rFonts w:ascii="Tahoma" w:hAnsi="Tahoma" w:cs="Tahoma"/>
      <w:sz w:val="16"/>
      <w:szCs w:val="16"/>
    </w:rPr>
  </w:style>
  <w:style w:type="character" w:customStyle="1" w:styleId="BalloonTextChar">
    <w:name w:val="Balloon Text Char"/>
    <w:basedOn w:val="DefaultParagraphFont"/>
    <w:link w:val="BalloonText"/>
    <w:uiPriority w:val="99"/>
    <w:semiHidden/>
    <w:rsid w:val="00204A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4BBE"/>
    <w:rPr>
      <w:sz w:val="16"/>
      <w:szCs w:val="16"/>
    </w:rPr>
  </w:style>
  <w:style w:type="paragraph" w:styleId="CommentText">
    <w:name w:val="annotation text"/>
    <w:basedOn w:val="Normal"/>
    <w:link w:val="CommentTextChar"/>
    <w:uiPriority w:val="99"/>
    <w:semiHidden/>
    <w:unhideWhenUsed/>
    <w:rsid w:val="00EE4BBE"/>
    <w:rPr>
      <w:sz w:val="20"/>
    </w:rPr>
  </w:style>
  <w:style w:type="character" w:customStyle="1" w:styleId="CommentTextChar">
    <w:name w:val="Comment Text Char"/>
    <w:basedOn w:val="DefaultParagraphFont"/>
    <w:link w:val="CommentText"/>
    <w:uiPriority w:val="99"/>
    <w:semiHidden/>
    <w:rsid w:val="00EE4B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BBE"/>
    <w:rPr>
      <w:b/>
      <w:bCs/>
    </w:rPr>
  </w:style>
  <w:style w:type="character" w:customStyle="1" w:styleId="CommentSubjectChar">
    <w:name w:val="Comment Subject Char"/>
    <w:basedOn w:val="CommentTextChar"/>
    <w:link w:val="CommentSubject"/>
    <w:uiPriority w:val="99"/>
    <w:semiHidden/>
    <w:rsid w:val="00EE4BBE"/>
    <w:rPr>
      <w:rFonts w:ascii="Times New Roman" w:eastAsia="Times New Roman" w:hAnsi="Times New Roman" w:cs="Times New Roman"/>
      <w:b/>
      <w:bCs/>
      <w:sz w:val="20"/>
      <w:szCs w:val="20"/>
    </w:rPr>
  </w:style>
  <w:style w:type="character" w:styleId="Hyperlink">
    <w:name w:val="Hyperlink"/>
    <w:rsid w:val="00871999"/>
    <w:rPr>
      <w:color w:val="0000FF"/>
      <w:u w:val="single"/>
    </w:rPr>
  </w:style>
  <w:style w:type="character" w:customStyle="1" w:styleId="searchterm">
    <w:name w:val="searchterm"/>
    <w:basedOn w:val="DefaultParagraphFont"/>
    <w:rsid w:val="00D40F8C"/>
  </w:style>
  <w:style w:type="character" w:customStyle="1" w:styleId="documentbody">
    <w:name w:val="documentbody"/>
    <w:basedOn w:val="DefaultParagraphFont"/>
    <w:rsid w:val="007771D5"/>
  </w:style>
  <w:style w:type="paragraph" w:styleId="Revision">
    <w:name w:val="Revision"/>
    <w:hidden/>
    <w:uiPriority w:val="99"/>
    <w:semiHidden/>
    <w:rsid w:val="004559D4"/>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77025568&amp;pubNum=0001017&amp;originatingDoc=I814c8ec516d811e0aa23bccc834e9520&amp;refType=CA&amp;originationContext=document&amp;transitionType=DocumentItem&amp;contextData=(sc.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