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4475" w14:paraId="230EB263" w14:textId="77777777">
      <w:pPr>
        <w:jc w:val="center"/>
        <w:rPr>
          <w:b/>
          <w:sz w:val="22"/>
          <w:szCs w:val="22"/>
        </w:rPr>
      </w:pPr>
      <w:bookmarkStart w:id="0" w:name="_GoBack"/>
      <w:bookmarkEnd w:id="0"/>
      <w:r>
        <w:rPr>
          <w:b/>
          <w:sz w:val="22"/>
          <w:szCs w:val="22"/>
        </w:rPr>
        <w:t xml:space="preserve">Before the </w:t>
      </w:r>
    </w:p>
    <w:p w:rsidR="00F04475" w14:paraId="05DE50F7" w14:textId="77777777">
      <w:pPr>
        <w:jc w:val="center"/>
        <w:rPr>
          <w:b/>
          <w:sz w:val="22"/>
          <w:szCs w:val="22"/>
        </w:rPr>
      </w:pPr>
      <w:r>
        <w:rPr>
          <w:b/>
          <w:sz w:val="22"/>
          <w:szCs w:val="22"/>
        </w:rPr>
        <w:t>Federal Communications Commission</w:t>
      </w:r>
    </w:p>
    <w:p w:rsidR="00F04475" w14:paraId="3CD4D4C5" w14:textId="77777777">
      <w:pPr>
        <w:jc w:val="center"/>
        <w:rPr>
          <w:b/>
          <w:sz w:val="22"/>
          <w:szCs w:val="22"/>
        </w:rPr>
      </w:pPr>
      <w:r>
        <w:rPr>
          <w:b/>
          <w:sz w:val="22"/>
          <w:szCs w:val="22"/>
        </w:rPr>
        <w:t>Washington, D.C. 20554</w:t>
      </w:r>
    </w:p>
    <w:p w:rsidR="00F04475" w14:paraId="4BF35684" w14:textId="77777777">
      <w:pPr>
        <w:rPr>
          <w:sz w:val="22"/>
          <w:szCs w:val="22"/>
        </w:rPr>
      </w:pPr>
    </w:p>
    <w:p w:rsidR="00F04475" w14:paraId="514AF4B2" w14:textId="77777777">
      <w:pPr>
        <w:rPr>
          <w:sz w:val="22"/>
          <w:szCs w:val="22"/>
        </w:rPr>
      </w:pPr>
    </w:p>
    <w:tbl>
      <w:tblPr>
        <w:tblW w:w="9648" w:type="dxa"/>
        <w:tblLayout w:type="fixed"/>
        <w:tblLook w:val="0000"/>
      </w:tblPr>
      <w:tblGrid>
        <w:gridCol w:w="4698"/>
        <w:gridCol w:w="720"/>
        <w:gridCol w:w="4230"/>
      </w:tblGrid>
      <w:tr w14:paraId="66016A84" w14:textId="77777777">
        <w:tblPrEx>
          <w:tblW w:w="9648" w:type="dxa"/>
          <w:tblLayout w:type="fixed"/>
          <w:tblLook w:val="0000"/>
        </w:tblPrEx>
        <w:tc>
          <w:tcPr>
            <w:tcW w:w="4698" w:type="dxa"/>
          </w:tcPr>
          <w:p w:rsidR="00F04475" w14:paraId="439A3C56" w14:textId="77777777">
            <w:pPr>
              <w:ind w:right="-18"/>
              <w:rPr>
                <w:sz w:val="22"/>
                <w:szCs w:val="22"/>
              </w:rPr>
            </w:pPr>
            <w:r>
              <w:rPr>
                <w:sz w:val="22"/>
                <w:szCs w:val="22"/>
              </w:rPr>
              <w:t xml:space="preserve">In the Matter of </w:t>
            </w:r>
          </w:p>
          <w:p w:rsidR="00F04475" w14:paraId="0F0989C2" w14:textId="77777777">
            <w:pPr>
              <w:ind w:right="-18"/>
              <w:rPr>
                <w:sz w:val="22"/>
                <w:szCs w:val="22"/>
              </w:rPr>
            </w:pPr>
          </w:p>
          <w:p w:rsidR="00F04475" w14:paraId="7BF69B22" w14:textId="77777777">
            <w:pPr>
              <w:ind w:right="-18"/>
              <w:rPr>
                <w:sz w:val="22"/>
                <w:szCs w:val="22"/>
              </w:rPr>
            </w:pPr>
            <w:r>
              <w:rPr>
                <w:sz w:val="22"/>
                <w:szCs w:val="22"/>
              </w:rPr>
              <w:t>DEPARTMENT OF HAWAIIAN HOMELANDS</w:t>
            </w:r>
          </w:p>
          <w:p w:rsidR="00F04475" w14:paraId="3EAA6861" w14:textId="77777777">
            <w:pPr>
              <w:ind w:right="-18"/>
              <w:rPr>
                <w:sz w:val="22"/>
                <w:szCs w:val="22"/>
              </w:rPr>
            </w:pPr>
          </w:p>
          <w:p w:rsidR="00F04475" w14:paraId="2A7322FD" w14:textId="77777777">
            <w:pPr>
              <w:ind w:right="-18"/>
              <w:rPr>
                <w:sz w:val="22"/>
                <w:szCs w:val="22"/>
              </w:rPr>
            </w:pPr>
            <w:r>
              <w:rPr>
                <w:sz w:val="22"/>
                <w:szCs w:val="22"/>
              </w:rPr>
              <w:t>Request for Waiver to File as an Eligible Entity in the 2.5 GHz Rural Tribal Priority Window</w:t>
            </w:r>
          </w:p>
          <w:p w:rsidR="00F04475" w14:paraId="1E11FDE8" w14:textId="77777777">
            <w:pPr>
              <w:ind w:right="-198"/>
              <w:rPr>
                <w:sz w:val="22"/>
                <w:szCs w:val="22"/>
              </w:rPr>
            </w:pPr>
          </w:p>
        </w:tc>
        <w:tc>
          <w:tcPr>
            <w:tcW w:w="720" w:type="dxa"/>
          </w:tcPr>
          <w:p w:rsidR="00F04475" w14:paraId="33467763" w14:textId="77777777">
            <w:pPr>
              <w:rPr>
                <w:b/>
                <w:sz w:val="22"/>
                <w:szCs w:val="22"/>
              </w:rPr>
            </w:pPr>
            <w:r>
              <w:rPr>
                <w:b/>
                <w:sz w:val="22"/>
                <w:szCs w:val="22"/>
              </w:rPr>
              <w:t>)</w:t>
            </w:r>
          </w:p>
          <w:p w:rsidR="00F04475" w14:paraId="315EDD18" w14:textId="77777777">
            <w:pPr>
              <w:rPr>
                <w:b/>
                <w:sz w:val="22"/>
                <w:szCs w:val="22"/>
              </w:rPr>
            </w:pPr>
            <w:r>
              <w:rPr>
                <w:b/>
                <w:sz w:val="22"/>
                <w:szCs w:val="22"/>
              </w:rPr>
              <w:t>)</w:t>
            </w:r>
          </w:p>
          <w:p w:rsidR="00F04475" w14:paraId="1F54AA2D" w14:textId="77777777">
            <w:pPr>
              <w:rPr>
                <w:b/>
                <w:sz w:val="22"/>
                <w:szCs w:val="22"/>
              </w:rPr>
            </w:pPr>
            <w:r>
              <w:rPr>
                <w:b/>
                <w:sz w:val="22"/>
                <w:szCs w:val="22"/>
              </w:rPr>
              <w:t>)</w:t>
            </w:r>
          </w:p>
          <w:p w:rsidR="00F04475" w14:paraId="0E114CA1" w14:textId="77777777">
            <w:pPr>
              <w:rPr>
                <w:b/>
                <w:sz w:val="22"/>
                <w:szCs w:val="22"/>
              </w:rPr>
            </w:pPr>
            <w:r>
              <w:rPr>
                <w:b/>
                <w:sz w:val="22"/>
                <w:szCs w:val="22"/>
              </w:rPr>
              <w:t>)</w:t>
            </w:r>
          </w:p>
          <w:p w:rsidR="00F04475" w14:paraId="48B56C84" w14:textId="77777777">
            <w:pPr>
              <w:rPr>
                <w:b/>
                <w:sz w:val="22"/>
                <w:szCs w:val="22"/>
              </w:rPr>
            </w:pPr>
            <w:r>
              <w:rPr>
                <w:b/>
                <w:sz w:val="22"/>
                <w:szCs w:val="22"/>
              </w:rPr>
              <w:t>)</w:t>
            </w:r>
          </w:p>
          <w:p w:rsidR="00F04475" w14:paraId="7310EE59" w14:textId="77777777">
            <w:pPr>
              <w:rPr>
                <w:b/>
                <w:sz w:val="22"/>
                <w:szCs w:val="22"/>
              </w:rPr>
            </w:pPr>
            <w:r>
              <w:rPr>
                <w:b/>
                <w:sz w:val="22"/>
                <w:szCs w:val="22"/>
              </w:rPr>
              <w:t>)</w:t>
            </w:r>
          </w:p>
        </w:tc>
        <w:tc>
          <w:tcPr>
            <w:tcW w:w="4230" w:type="dxa"/>
          </w:tcPr>
          <w:p w:rsidR="00F04475" w14:paraId="6B94C9D6" w14:textId="77777777">
            <w:pPr>
              <w:rPr>
                <w:sz w:val="22"/>
                <w:szCs w:val="22"/>
              </w:rPr>
            </w:pPr>
          </w:p>
          <w:p w:rsidR="00F04475" w14:paraId="460FFA2C" w14:textId="77777777">
            <w:pPr>
              <w:rPr>
                <w:sz w:val="22"/>
                <w:szCs w:val="22"/>
              </w:rPr>
            </w:pPr>
          </w:p>
          <w:p w:rsidR="00F04475" w14:paraId="6DFD4552" w14:textId="77777777">
            <w:pPr>
              <w:rPr>
                <w:spacing w:val="-2"/>
                <w:sz w:val="22"/>
                <w:szCs w:val="22"/>
              </w:rPr>
            </w:pPr>
            <w:r>
              <w:rPr>
                <w:spacing w:val="-2"/>
                <w:sz w:val="22"/>
                <w:szCs w:val="22"/>
              </w:rPr>
              <w:t>WTB Docket No. 20-21</w:t>
            </w:r>
          </w:p>
          <w:p w:rsidR="00F04475" w14:paraId="285944BD" w14:textId="77777777">
            <w:pPr>
              <w:rPr>
                <w:sz w:val="22"/>
                <w:szCs w:val="22"/>
              </w:rPr>
            </w:pPr>
          </w:p>
          <w:p w:rsidR="00F04475" w14:paraId="03AEDA82" w14:textId="77777777">
            <w:pPr>
              <w:rPr>
                <w:sz w:val="22"/>
                <w:szCs w:val="22"/>
              </w:rPr>
            </w:pPr>
          </w:p>
        </w:tc>
      </w:tr>
    </w:tbl>
    <w:p w:rsidR="00F04475" w14:paraId="5F603A1F" w14:textId="77777777">
      <w:pPr>
        <w:rPr>
          <w:sz w:val="22"/>
          <w:szCs w:val="22"/>
        </w:rPr>
      </w:pPr>
    </w:p>
    <w:p w:rsidR="00F04475" w14:paraId="09A28DE2" w14:textId="77777777">
      <w:pPr>
        <w:rPr>
          <w:sz w:val="22"/>
          <w:szCs w:val="22"/>
        </w:rPr>
      </w:pPr>
    </w:p>
    <w:p w:rsidR="00F04475" w14:paraId="3C29C9AE" w14:textId="77777777">
      <w:pPr>
        <w:jc w:val="center"/>
        <w:rPr>
          <w:b/>
          <w:sz w:val="22"/>
          <w:szCs w:val="22"/>
        </w:rPr>
      </w:pPr>
      <w:r>
        <w:rPr>
          <w:b/>
          <w:sz w:val="22"/>
          <w:szCs w:val="22"/>
        </w:rPr>
        <w:t>MEMORANDUM OPINION AND ORDER</w:t>
      </w:r>
    </w:p>
    <w:p w:rsidR="00F04475" w14:paraId="2A2AE2FE" w14:textId="77777777">
      <w:pPr>
        <w:rPr>
          <w:sz w:val="22"/>
          <w:szCs w:val="22"/>
        </w:rPr>
      </w:pPr>
    </w:p>
    <w:p w:rsidR="00F04475" w14:paraId="4A52E864" w14:textId="0A8637C7">
      <w:pPr>
        <w:tabs>
          <w:tab w:val="left" w:pos="6480"/>
        </w:tabs>
        <w:rPr>
          <w:b/>
          <w:sz w:val="22"/>
          <w:szCs w:val="22"/>
        </w:rPr>
      </w:pPr>
      <w:r>
        <w:rPr>
          <w:b/>
          <w:sz w:val="22"/>
          <w:szCs w:val="22"/>
        </w:rPr>
        <w:t xml:space="preserve">Adopted:  </w:t>
      </w:r>
      <w:r w:rsidR="00CF3918">
        <w:rPr>
          <w:b/>
          <w:sz w:val="22"/>
          <w:szCs w:val="22"/>
        </w:rPr>
        <w:t xml:space="preserve">March </w:t>
      </w:r>
      <w:r w:rsidR="00307A29">
        <w:rPr>
          <w:b/>
          <w:sz w:val="22"/>
          <w:szCs w:val="22"/>
        </w:rPr>
        <w:t>20</w:t>
      </w:r>
      <w:r>
        <w:rPr>
          <w:b/>
          <w:sz w:val="22"/>
          <w:szCs w:val="22"/>
        </w:rPr>
        <w:t>, 2020</w:t>
      </w:r>
      <w:r>
        <w:rPr>
          <w:sz w:val="22"/>
          <w:szCs w:val="22"/>
        </w:rPr>
        <w:tab/>
      </w:r>
      <w:r>
        <w:rPr>
          <w:b/>
          <w:sz w:val="22"/>
          <w:szCs w:val="22"/>
        </w:rPr>
        <w:t xml:space="preserve">Released: </w:t>
      </w:r>
      <w:r w:rsidR="00CF3918">
        <w:rPr>
          <w:b/>
          <w:sz w:val="22"/>
          <w:szCs w:val="22"/>
        </w:rPr>
        <w:t>March</w:t>
      </w:r>
      <w:r>
        <w:rPr>
          <w:b/>
          <w:sz w:val="22"/>
          <w:szCs w:val="22"/>
        </w:rPr>
        <w:t xml:space="preserve"> </w:t>
      </w:r>
      <w:r w:rsidR="00307A29">
        <w:rPr>
          <w:b/>
          <w:sz w:val="22"/>
          <w:szCs w:val="22"/>
        </w:rPr>
        <w:t>20</w:t>
      </w:r>
      <w:r>
        <w:rPr>
          <w:b/>
          <w:sz w:val="22"/>
          <w:szCs w:val="22"/>
        </w:rPr>
        <w:t>, 2020</w:t>
      </w:r>
    </w:p>
    <w:p w:rsidR="00F04475" w14:paraId="69AA0E0E" w14:textId="77777777">
      <w:pPr>
        <w:rPr>
          <w:b/>
          <w:sz w:val="22"/>
          <w:szCs w:val="22"/>
        </w:rPr>
      </w:pPr>
    </w:p>
    <w:p w:rsidR="00F04475" w14:paraId="3BEA2519" w14:textId="77777777">
      <w:pPr>
        <w:rPr>
          <w:sz w:val="22"/>
          <w:szCs w:val="22"/>
        </w:rPr>
      </w:pPr>
      <w:r>
        <w:rPr>
          <w:sz w:val="22"/>
          <w:szCs w:val="22"/>
        </w:rPr>
        <w:t>By the Chief, Wireless Telecommunications Bureau:</w:t>
      </w:r>
    </w:p>
    <w:p w:rsidR="00F04475" w14:paraId="209E0D25" w14:textId="77777777">
      <w:pPr>
        <w:rPr>
          <w:sz w:val="22"/>
          <w:szCs w:val="22"/>
        </w:rPr>
      </w:pPr>
    </w:p>
    <w:p w:rsidR="00F04475" w14:paraId="6A6B0ED8" w14:textId="77777777">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F04475" w14:paraId="28255C79" w14:textId="77777777">
      <w:pPr>
        <w:rPr>
          <w:sz w:val="22"/>
          <w:szCs w:val="22"/>
        </w:rPr>
      </w:pPr>
    </w:p>
    <w:p w:rsidR="00F04475" w14:paraId="3C5945EE" w14:textId="2ED71B52">
      <w:pPr>
        <w:pStyle w:val="ParaNum"/>
        <w:tabs>
          <w:tab w:val="num" w:pos="1440"/>
          <w:tab w:val="clear" w:pos="2520"/>
        </w:tabs>
        <w:spacing w:after="120"/>
        <w:ind w:left="0"/>
        <w:rPr>
          <w:sz w:val="22"/>
          <w:szCs w:val="22"/>
        </w:rPr>
      </w:pPr>
      <w:r>
        <w:rPr>
          <w:sz w:val="22"/>
          <w:szCs w:val="22"/>
        </w:rPr>
        <w:t>On January 14, 2020, the Department of Hawaiian Homelands (DHHL) filed a petition for a waiver of the Commission’s rules regarding eligibility for the 2.5 GHz Rural Tribal Priority Window</w:t>
      </w:r>
      <w:r w:rsidR="00B40A42">
        <w:rPr>
          <w:sz w:val="22"/>
          <w:szCs w:val="22"/>
        </w:rPr>
        <w:t xml:space="preserve"> (Window)</w:t>
      </w:r>
      <w:r>
        <w:rPr>
          <w:sz w:val="22"/>
          <w:szCs w:val="22"/>
        </w:rPr>
        <w:t>.</w:t>
      </w:r>
      <w:r>
        <w:rPr>
          <w:rStyle w:val="FootnoteReference"/>
          <w:sz w:val="22"/>
          <w:szCs w:val="22"/>
        </w:rPr>
        <w:footnoteReference w:id="3"/>
      </w:r>
      <w:r>
        <w:rPr>
          <w:sz w:val="22"/>
          <w:szCs w:val="22"/>
        </w:rPr>
        <w:t xml:space="preserve">  In this </w:t>
      </w:r>
      <w:r>
        <w:rPr>
          <w:i/>
          <w:sz w:val="22"/>
          <w:szCs w:val="22"/>
        </w:rPr>
        <w:t>Memorandum Opinion and Order</w:t>
      </w:r>
      <w:r>
        <w:rPr>
          <w:sz w:val="22"/>
          <w:szCs w:val="22"/>
        </w:rPr>
        <w:t>, we grant this waiver and allow the DHHL to apply in the Rural Tribal Priority Window as an eligible entity.</w:t>
      </w:r>
    </w:p>
    <w:p w:rsidR="00F04475" w14:paraId="47DC893D" w14:textId="77777777">
      <w:pPr>
        <w:pStyle w:val="Heading1"/>
        <w:spacing w:before="0" w:after="2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t>BACKGROUND</w:t>
      </w:r>
    </w:p>
    <w:p w:rsidR="00F04475" w:rsidRPr="00DE47CC" w14:paraId="276A06F0" w14:textId="42ADF2A7">
      <w:pPr>
        <w:pStyle w:val="ParaNum"/>
        <w:tabs>
          <w:tab w:val="num" w:pos="1440"/>
          <w:tab w:val="clear" w:pos="2520"/>
        </w:tabs>
        <w:spacing w:after="120"/>
        <w:ind w:left="0"/>
        <w:rPr>
          <w:sz w:val="22"/>
          <w:szCs w:val="22"/>
        </w:rPr>
      </w:pPr>
      <w:r w:rsidRPr="00DE47CC">
        <w:rPr>
          <w:sz w:val="22"/>
          <w:szCs w:val="22"/>
        </w:rPr>
        <w:t>In July 2019, the Commission approved an order modernizing the portion of the 2.5 GHz band known as the Educational Broadband Service (EBS).</w:t>
      </w:r>
      <w:r>
        <w:rPr>
          <w:rStyle w:val="FootnoteReference"/>
          <w:sz w:val="22"/>
          <w:szCs w:val="22"/>
        </w:rPr>
        <w:footnoteReference w:id="4"/>
      </w:r>
      <w:r w:rsidRPr="00DE47CC">
        <w:rPr>
          <w:sz w:val="22"/>
          <w:szCs w:val="22"/>
        </w:rPr>
        <w:t xml:space="preserve">  </w:t>
      </w:r>
      <w:r w:rsidR="009D5955">
        <w:rPr>
          <w:sz w:val="22"/>
          <w:szCs w:val="22"/>
        </w:rPr>
        <w:t xml:space="preserve">Among other things, the order created a </w:t>
      </w:r>
      <w:r w:rsidR="007124B3">
        <w:rPr>
          <w:sz w:val="22"/>
          <w:szCs w:val="22"/>
        </w:rPr>
        <w:t>W</w:t>
      </w:r>
      <w:r w:rsidR="009D5955">
        <w:rPr>
          <w:sz w:val="22"/>
          <w:szCs w:val="22"/>
        </w:rPr>
        <w:t>indow during which eligible Tribal entities can apply for licenses for currently unassigned EBS spectrum.  T</w:t>
      </w:r>
      <w:r w:rsidRPr="00DE47CC">
        <w:rPr>
          <w:sz w:val="22"/>
          <w:szCs w:val="22"/>
        </w:rPr>
        <w:t xml:space="preserve">o obtain a license in the Window, an applicant must meet four requirements.  First, the applicant must be an eligible entity, which the rule defines as </w:t>
      </w:r>
      <w:r w:rsidRPr="00DE47CC" w:rsidR="00BC7E6C">
        <w:rPr>
          <w:sz w:val="22"/>
          <w:szCs w:val="22"/>
        </w:rPr>
        <w:t>a</w:t>
      </w:r>
      <w:r w:rsidR="00756545">
        <w:rPr>
          <w:sz w:val="22"/>
          <w:szCs w:val="22"/>
        </w:rPr>
        <w:t xml:space="preserve"> </w:t>
      </w:r>
      <w:r w:rsidRPr="00DE47CC">
        <w:rPr>
          <w:sz w:val="22"/>
          <w:szCs w:val="22"/>
        </w:rPr>
        <w:t>“federally recognized American Indian Tribe or Alaska Native Village; or an entity that is owned and controlled by a federally-recognized Tribe or a consortium of federally-recognized Tribes.”</w:t>
      </w:r>
      <w:r>
        <w:rPr>
          <w:rStyle w:val="FootnoteReference"/>
          <w:sz w:val="22"/>
          <w:szCs w:val="22"/>
        </w:rPr>
        <w:footnoteReference w:id="5"/>
      </w:r>
      <w:r w:rsidRPr="00DE47CC">
        <w:rPr>
          <w:sz w:val="22"/>
          <w:szCs w:val="22"/>
        </w:rPr>
        <w:t xml:space="preserve">  Second, the applicant must apply for eligible Tribal lands, which are defined</w:t>
      </w:r>
      <w:r w:rsidR="00561B6B">
        <w:rPr>
          <w:sz w:val="22"/>
          <w:szCs w:val="22"/>
        </w:rPr>
        <w:t>, in relevant part,</w:t>
      </w:r>
      <w:r w:rsidRPr="00DE47CC">
        <w:rPr>
          <w:sz w:val="22"/>
          <w:szCs w:val="22"/>
        </w:rPr>
        <w:t xml:space="preserve"> </w:t>
      </w:r>
      <w:r w:rsidRPr="00DE47CC" w:rsidR="006D18F0">
        <w:rPr>
          <w:sz w:val="22"/>
          <w:szCs w:val="22"/>
        </w:rPr>
        <w:t xml:space="preserve">as </w:t>
      </w:r>
      <w:r w:rsidRPr="00DE47CC">
        <w:rPr>
          <w:sz w:val="22"/>
          <w:szCs w:val="22"/>
        </w:rPr>
        <w:t>“any federally recognized Indian Tribe</w:t>
      </w:r>
      <w:r w:rsidR="009D5955">
        <w:rPr>
          <w:sz w:val="22"/>
          <w:szCs w:val="22"/>
        </w:rPr>
        <w:t>’</w:t>
      </w:r>
      <w:r w:rsidRPr="00DE47CC">
        <w:rPr>
          <w:sz w:val="22"/>
          <w:szCs w:val="22"/>
        </w:rPr>
        <w:t xml:space="preserv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w:t>
      </w:r>
      <w:r w:rsidR="007F1565">
        <w:rPr>
          <w:sz w:val="22"/>
          <w:szCs w:val="22"/>
        </w:rPr>
        <w:t>Hawai’i</w:t>
      </w:r>
      <w:r w:rsidRPr="00DE47CC">
        <w:rPr>
          <w:sz w:val="22"/>
          <w:szCs w:val="22"/>
        </w:rPr>
        <w:t>, pursuant to the Hawaiian Homes Commission Act, 1920, July 9, 1921, 42 Stat 108, et seq., as amended.”</w:t>
      </w:r>
      <w:r>
        <w:rPr>
          <w:rStyle w:val="FootnoteReference"/>
          <w:sz w:val="22"/>
          <w:szCs w:val="22"/>
        </w:rPr>
        <w:footnoteReference w:id="6"/>
      </w:r>
      <w:r w:rsidRPr="00DE47CC">
        <w:rPr>
          <w:sz w:val="22"/>
          <w:szCs w:val="22"/>
        </w:rPr>
        <w:t xml:space="preserve">  Third, the eligible Tribal land must be in a rural area, which is defined </w:t>
      </w:r>
      <w:r w:rsidRPr="00DE47CC" w:rsidR="00BC7E6C">
        <w:rPr>
          <w:sz w:val="22"/>
          <w:szCs w:val="22"/>
        </w:rPr>
        <w:t>as</w:t>
      </w:r>
      <w:r w:rsidRPr="00DE47CC">
        <w:rPr>
          <w:sz w:val="22"/>
          <w:szCs w:val="22"/>
        </w:rPr>
        <w:t xml:space="preserve"> lands that are not part of an urbanized area or urban cluster area with a population equal to or greater than 50,000.</w:t>
      </w:r>
      <w:r>
        <w:rPr>
          <w:rStyle w:val="FootnoteReference"/>
          <w:sz w:val="22"/>
          <w:szCs w:val="22"/>
        </w:rPr>
        <w:footnoteReference w:id="7"/>
      </w:r>
      <w:r w:rsidRPr="00DE47CC">
        <w:rPr>
          <w:sz w:val="22"/>
          <w:szCs w:val="22"/>
        </w:rPr>
        <w:t xml:space="preserve">  Finally, the applicant must have a local presence on the Tribal Land for which they are applying.</w:t>
      </w:r>
      <w:r>
        <w:rPr>
          <w:rStyle w:val="FootnoteReference"/>
          <w:sz w:val="22"/>
          <w:szCs w:val="22"/>
        </w:rPr>
        <w:footnoteReference w:id="8"/>
      </w:r>
    </w:p>
    <w:p w:rsidR="00F04475" w14:paraId="2998DD76" w14:textId="6954866F">
      <w:pPr>
        <w:pStyle w:val="ParaNum"/>
        <w:tabs>
          <w:tab w:val="num" w:pos="1440"/>
          <w:tab w:val="clear" w:pos="2520"/>
        </w:tabs>
        <w:spacing w:after="120"/>
        <w:ind w:left="0"/>
        <w:rPr>
          <w:sz w:val="22"/>
          <w:szCs w:val="22"/>
        </w:rPr>
      </w:pPr>
      <w:r>
        <w:rPr>
          <w:sz w:val="22"/>
          <w:szCs w:val="22"/>
        </w:rPr>
        <w:t>According to t</w:t>
      </w:r>
      <w:r w:rsidR="007B71E1">
        <w:rPr>
          <w:sz w:val="22"/>
          <w:szCs w:val="22"/>
        </w:rPr>
        <w:t>he Bureau of Indian Affairs</w:t>
      </w:r>
      <w:r>
        <w:rPr>
          <w:sz w:val="22"/>
          <w:szCs w:val="22"/>
        </w:rPr>
        <w:t>’</w:t>
      </w:r>
      <w:r w:rsidR="007B71E1">
        <w:rPr>
          <w:sz w:val="22"/>
          <w:szCs w:val="22"/>
        </w:rPr>
        <w:t xml:space="preserve"> </w:t>
      </w:r>
      <w:r w:rsidR="00D06C14">
        <w:rPr>
          <w:sz w:val="22"/>
          <w:szCs w:val="22"/>
        </w:rPr>
        <w:t xml:space="preserve">current </w:t>
      </w:r>
      <w:r w:rsidR="007B71E1">
        <w:rPr>
          <w:sz w:val="22"/>
          <w:szCs w:val="22"/>
        </w:rPr>
        <w:t>list of federally</w:t>
      </w:r>
      <w:r w:rsidR="00B40A42">
        <w:rPr>
          <w:sz w:val="22"/>
          <w:szCs w:val="22"/>
        </w:rPr>
        <w:t xml:space="preserve"> </w:t>
      </w:r>
      <w:r w:rsidR="007B71E1">
        <w:rPr>
          <w:sz w:val="22"/>
          <w:szCs w:val="22"/>
        </w:rPr>
        <w:t>recognized Tribal entities</w:t>
      </w:r>
      <w:r>
        <w:rPr>
          <w:sz w:val="22"/>
          <w:szCs w:val="22"/>
        </w:rPr>
        <w:t xml:space="preserve">, there are no federally recognized tribes in </w:t>
      </w:r>
      <w:r w:rsidR="007F1565">
        <w:rPr>
          <w:sz w:val="22"/>
          <w:szCs w:val="22"/>
        </w:rPr>
        <w:t>Hawai’i</w:t>
      </w:r>
      <w:r w:rsidR="007B71E1">
        <w:rPr>
          <w:sz w:val="22"/>
          <w:szCs w:val="22"/>
        </w:rPr>
        <w:t>.</w:t>
      </w:r>
      <w:r>
        <w:rPr>
          <w:rStyle w:val="FootnoteReference"/>
          <w:sz w:val="22"/>
          <w:szCs w:val="22"/>
        </w:rPr>
        <w:footnoteReference w:id="9"/>
      </w:r>
      <w:r w:rsidR="007B71E1">
        <w:rPr>
          <w:sz w:val="22"/>
          <w:szCs w:val="22"/>
        </w:rPr>
        <w:t xml:space="preserve">  </w:t>
      </w:r>
      <w:r w:rsidR="00D06C14">
        <w:rPr>
          <w:sz w:val="22"/>
          <w:szCs w:val="22"/>
        </w:rPr>
        <w:t xml:space="preserve">Therefore, there are no </w:t>
      </w:r>
      <w:r w:rsidR="00D34409">
        <w:rPr>
          <w:sz w:val="22"/>
          <w:szCs w:val="22"/>
        </w:rPr>
        <w:t>entities eligible to claim the available spectrum in that state.</w:t>
      </w:r>
    </w:p>
    <w:p w:rsidR="00F04475" w14:paraId="6874BB27" w14:textId="000C4D24">
      <w:pPr>
        <w:pStyle w:val="ParaNum"/>
        <w:tabs>
          <w:tab w:val="num" w:pos="1440"/>
          <w:tab w:val="clear" w:pos="2520"/>
        </w:tabs>
        <w:spacing w:after="120"/>
        <w:ind w:left="0"/>
        <w:rPr>
          <w:sz w:val="22"/>
          <w:szCs w:val="22"/>
        </w:rPr>
      </w:pPr>
      <w:r>
        <w:rPr>
          <w:sz w:val="22"/>
          <w:szCs w:val="22"/>
        </w:rPr>
        <w:t xml:space="preserve">Since its establishment, </w:t>
      </w:r>
      <w:r w:rsidR="007B71E1">
        <w:rPr>
          <w:sz w:val="22"/>
          <w:szCs w:val="22"/>
        </w:rPr>
        <w:t xml:space="preserve">DHHL </w:t>
      </w:r>
      <w:r>
        <w:rPr>
          <w:sz w:val="22"/>
          <w:szCs w:val="22"/>
        </w:rPr>
        <w:t xml:space="preserve">has </w:t>
      </w:r>
      <w:r w:rsidR="007B71E1">
        <w:rPr>
          <w:sz w:val="22"/>
          <w:szCs w:val="22"/>
        </w:rPr>
        <w:t>manage</w:t>
      </w:r>
      <w:r>
        <w:rPr>
          <w:sz w:val="22"/>
          <w:szCs w:val="22"/>
        </w:rPr>
        <w:t>d</w:t>
      </w:r>
      <w:r w:rsidR="007B71E1">
        <w:rPr>
          <w:sz w:val="22"/>
          <w:szCs w:val="22"/>
        </w:rPr>
        <w:t xml:space="preserve"> thousands of Homesteading leases</w:t>
      </w:r>
      <w:r>
        <w:rPr>
          <w:rStyle w:val="FootnoteReference"/>
          <w:sz w:val="22"/>
          <w:szCs w:val="22"/>
        </w:rPr>
        <w:footnoteReference w:id="10"/>
      </w:r>
      <w:r w:rsidR="00786DEF">
        <w:rPr>
          <w:sz w:val="22"/>
          <w:szCs w:val="22"/>
        </w:rPr>
        <w:t xml:space="preserve"> </w:t>
      </w:r>
      <w:r>
        <w:rPr>
          <w:sz w:val="22"/>
          <w:szCs w:val="22"/>
        </w:rPr>
        <w:t xml:space="preserve">and other resources on behalf of native Hawaiians </w:t>
      </w:r>
      <w:r w:rsidR="007B71E1">
        <w:rPr>
          <w:sz w:val="22"/>
          <w:szCs w:val="22"/>
        </w:rPr>
        <w:t>across twenty distinct regions in Hawai’i, fifteen of which have spectrum available.</w:t>
      </w:r>
      <w:r>
        <w:rPr>
          <w:rStyle w:val="FootnoteReference"/>
          <w:sz w:val="22"/>
          <w:szCs w:val="22"/>
        </w:rPr>
        <w:footnoteReference w:id="11"/>
      </w:r>
      <w:r w:rsidR="007B71E1">
        <w:rPr>
          <w:sz w:val="22"/>
          <w:szCs w:val="22"/>
        </w:rPr>
        <w:t xml:space="preserve">  The Hawaiian Homes Commission Act (HHCA), the same statute referenced by the Commission’s rules in the definition of Tribal lands eligible for the Window,</w:t>
      </w:r>
      <w:r>
        <w:rPr>
          <w:rStyle w:val="FootnoteReference"/>
          <w:sz w:val="22"/>
          <w:szCs w:val="22"/>
        </w:rPr>
        <w:footnoteReference w:id="12"/>
      </w:r>
      <w:r w:rsidR="007B71E1">
        <w:rPr>
          <w:sz w:val="22"/>
          <w:szCs w:val="22"/>
        </w:rPr>
        <w:t xml:space="preserve"> also delegates to DHHL the authority to grant various utility licenses and easements, as well as general control of the administration of the Hawaiian Home Lands.</w:t>
      </w:r>
      <w:r>
        <w:rPr>
          <w:rStyle w:val="FootnoteReference"/>
          <w:sz w:val="22"/>
          <w:szCs w:val="22"/>
        </w:rPr>
        <w:footnoteReference w:id="13"/>
      </w:r>
      <w:r w:rsidR="007B71E1">
        <w:rPr>
          <w:sz w:val="22"/>
          <w:szCs w:val="22"/>
        </w:rPr>
        <w:t xml:space="preserve">  </w:t>
      </w:r>
    </w:p>
    <w:p w:rsidR="00F04475" w14:paraId="613CA55A" w14:textId="4AC66FE4">
      <w:pPr>
        <w:pStyle w:val="ParaNum"/>
        <w:tabs>
          <w:tab w:val="num" w:pos="1440"/>
          <w:tab w:val="clear" w:pos="2520"/>
        </w:tabs>
        <w:spacing w:after="120"/>
        <w:ind w:left="0"/>
        <w:rPr>
          <w:sz w:val="22"/>
          <w:szCs w:val="22"/>
        </w:rPr>
      </w:pPr>
      <w:r>
        <w:rPr>
          <w:sz w:val="22"/>
          <w:szCs w:val="22"/>
        </w:rPr>
        <w:t xml:space="preserve">On January 14, 2020, DHHL filed its </w:t>
      </w:r>
      <w:r>
        <w:rPr>
          <w:i/>
          <w:iCs/>
          <w:sz w:val="22"/>
          <w:szCs w:val="22"/>
        </w:rPr>
        <w:t xml:space="preserve">Waiver Request </w:t>
      </w:r>
      <w:r>
        <w:rPr>
          <w:sz w:val="22"/>
          <w:szCs w:val="22"/>
        </w:rPr>
        <w:t xml:space="preserve">seeking a waiver of the eligibility rules </w:t>
      </w:r>
      <w:r w:rsidR="003C1E3E">
        <w:rPr>
          <w:sz w:val="22"/>
          <w:szCs w:val="22"/>
        </w:rPr>
        <w:t>to allow it to apply for licenses under the Tribal Priority Window</w:t>
      </w:r>
      <w:r>
        <w:rPr>
          <w:sz w:val="22"/>
          <w:szCs w:val="22"/>
        </w:rPr>
        <w:t>.</w:t>
      </w:r>
      <w:r>
        <w:rPr>
          <w:rStyle w:val="FootnoteReference"/>
          <w:sz w:val="22"/>
          <w:szCs w:val="22"/>
        </w:rPr>
        <w:footnoteReference w:id="14"/>
      </w:r>
      <w:r>
        <w:rPr>
          <w:sz w:val="22"/>
          <w:szCs w:val="22"/>
        </w:rPr>
        <w:t xml:space="preserve">  Along with its Waiver Request, DHHL provided a Memorandum of Understanding signed by the Office of Hawaiian Affairs, the Department of Business, Economic Development, and Tourism, and itself, in which all three agencies agree that DHHL is the appropriate applicant.</w:t>
      </w:r>
      <w:r>
        <w:rPr>
          <w:rStyle w:val="FootnoteReference"/>
          <w:sz w:val="22"/>
          <w:szCs w:val="22"/>
        </w:rPr>
        <w:footnoteReference w:id="15"/>
      </w:r>
      <w:r>
        <w:rPr>
          <w:sz w:val="22"/>
          <w:szCs w:val="22"/>
        </w:rPr>
        <w:t xml:space="preserve">  The Wireless Telecommunications Bureau’s Broadband Division sought comment on the </w:t>
      </w:r>
      <w:r>
        <w:rPr>
          <w:i/>
          <w:iCs/>
          <w:sz w:val="22"/>
          <w:szCs w:val="22"/>
        </w:rPr>
        <w:t>Waiver Request</w:t>
      </w:r>
      <w:r>
        <w:rPr>
          <w:sz w:val="22"/>
          <w:szCs w:val="22"/>
        </w:rPr>
        <w:t xml:space="preserve"> on January 24, 2020.</w:t>
      </w:r>
      <w:r>
        <w:rPr>
          <w:rStyle w:val="FootnoteReference"/>
          <w:sz w:val="22"/>
          <w:szCs w:val="22"/>
        </w:rPr>
        <w:footnoteReference w:id="16"/>
      </w:r>
      <w:r>
        <w:rPr>
          <w:sz w:val="22"/>
          <w:szCs w:val="22"/>
        </w:rPr>
        <w:t xml:space="preserve"> </w:t>
      </w:r>
      <w:r>
        <w:rPr>
          <w:i/>
          <w:iCs/>
          <w:sz w:val="22"/>
          <w:szCs w:val="22"/>
        </w:rPr>
        <w:t xml:space="preserve"> </w:t>
      </w:r>
      <w:r>
        <w:rPr>
          <w:sz w:val="22"/>
          <w:szCs w:val="22"/>
        </w:rPr>
        <w:t>No oppositions or comments were filed.</w:t>
      </w:r>
    </w:p>
    <w:p w:rsidR="00F04475" w14:paraId="6EA053E5" w14:textId="77777777">
      <w:pPr>
        <w:spacing w:after="120"/>
        <w:rPr>
          <w:b/>
          <w:sz w:val="22"/>
          <w:szCs w:val="22"/>
        </w:rPr>
      </w:pPr>
      <w:r>
        <w:rPr>
          <w:b/>
          <w:sz w:val="22"/>
          <w:szCs w:val="22"/>
        </w:rPr>
        <w:t>III.</w:t>
      </w:r>
      <w:r>
        <w:rPr>
          <w:b/>
          <w:sz w:val="22"/>
          <w:szCs w:val="22"/>
        </w:rPr>
        <w:tab/>
        <w:t>DISCUSSION</w:t>
      </w:r>
    </w:p>
    <w:p w:rsidR="00F04475" w14:paraId="17BF6F1B" w14:textId="20773408">
      <w:pPr>
        <w:pStyle w:val="ParaNum"/>
        <w:tabs>
          <w:tab w:val="num" w:pos="1440"/>
          <w:tab w:val="clear" w:pos="2520"/>
        </w:tabs>
        <w:spacing w:after="120"/>
        <w:ind w:left="0"/>
        <w:rPr>
          <w:sz w:val="22"/>
          <w:szCs w:val="22"/>
        </w:rPr>
      </w:pPr>
      <w:r>
        <w:rPr>
          <w:sz w:val="22"/>
          <w:szCs w:val="22"/>
        </w:rPr>
        <w:t>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17"/>
      </w:r>
      <w:r>
        <w:rPr>
          <w:sz w:val="22"/>
          <w:szCs w:val="22"/>
        </w:rPr>
        <w:t xml:space="preserve">  </w:t>
      </w:r>
    </w:p>
    <w:p w:rsidR="00A74E3A" w:rsidRPr="00A74E3A" w:rsidP="00A74E3A" w14:paraId="479323A2" w14:textId="6C95BB3C">
      <w:pPr>
        <w:pStyle w:val="ParaNum"/>
        <w:tabs>
          <w:tab w:val="num" w:pos="1440"/>
          <w:tab w:val="clear" w:pos="2520"/>
        </w:tabs>
        <w:spacing w:after="120"/>
        <w:ind w:left="0"/>
        <w:rPr>
          <w:sz w:val="22"/>
          <w:szCs w:val="22"/>
        </w:rPr>
      </w:pPr>
      <w:r>
        <w:rPr>
          <w:sz w:val="22"/>
          <w:szCs w:val="22"/>
        </w:rPr>
        <w:t xml:space="preserve">We conclude that DHHL has met the first prong of the waiver standard, because </w:t>
      </w:r>
      <w:r w:rsidRPr="00D00539">
        <w:rPr>
          <w:sz w:val="22"/>
          <w:szCs w:val="22"/>
        </w:rPr>
        <w:t>application of the entity eligibility rules to DHHL would frustrate the underlying purpose of the rules establishing the 2.5 GHz Rural Tribal Priority Window</w:t>
      </w:r>
      <w:r>
        <w:rPr>
          <w:sz w:val="22"/>
          <w:szCs w:val="22"/>
        </w:rPr>
        <w:t xml:space="preserve">. As explained in the </w:t>
      </w:r>
      <w:r w:rsidRPr="004B48DF" w:rsidR="00582C50">
        <w:rPr>
          <w:i/>
          <w:iCs/>
          <w:sz w:val="22"/>
          <w:szCs w:val="22"/>
        </w:rPr>
        <w:t xml:space="preserve">Report and </w:t>
      </w:r>
      <w:r w:rsidRPr="004B48DF">
        <w:rPr>
          <w:i/>
          <w:iCs/>
          <w:sz w:val="22"/>
          <w:szCs w:val="22"/>
        </w:rPr>
        <w:t>Order</w:t>
      </w:r>
      <w:r>
        <w:rPr>
          <w:sz w:val="22"/>
          <w:szCs w:val="22"/>
        </w:rPr>
        <w:t>, these rules are intended</w:t>
      </w:r>
      <w:r w:rsidRPr="00D00539">
        <w:rPr>
          <w:sz w:val="22"/>
          <w:szCs w:val="22"/>
        </w:rPr>
        <w:t xml:space="preserve"> to provide an opportunity </w:t>
      </w:r>
      <w:r w:rsidR="00582C50">
        <w:rPr>
          <w:sz w:val="22"/>
          <w:szCs w:val="22"/>
        </w:rPr>
        <w:t xml:space="preserve">for </w:t>
      </w:r>
      <w:r w:rsidRPr="00363480" w:rsidR="00E959FB">
        <w:t xml:space="preserve">Tribal Nations </w:t>
      </w:r>
      <w:r w:rsidRPr="00D00539">
        <w:rPr>
          <w:sz w:val="22"/>
          <w:szCs w:val="22"/>
        </w:rPr>
        <w:t xml:space="preserve">to obtain unassigned [2.5 GHz] spectrum </w:t>
      </w:r>
      <w:r w:rsidR="008D77E8">
        <w:rPr>
          <w:sz w:val="22"/>
          <w:szCs w:val="22"/>
        </w:rPr>
        <w:t xml:space="preserve">over </w:t>
      </w:r>
      <w:r>
        <w:rPr>
          <w:sz w:val="22"/>
          <w:szCs w:val="22"/>
        </w:rPr>
        <w:t>rural Tribal lands</w:t>
      </w:r>
      <w:r w:rsidR="00E959FB">
        <w:rPr>
          <w:sz w:val="22"/>
          <w:szCs w:val="22"/>
        </w:rPr>
        <w:t xml:space="preserve"> to address their communications needs</w:t>
      </w:r>
      <w:r w:rsidRPr="00D00539">
        <w:rPr>
          <w:sz w:val="22"/>
          <w:szCs w:val="22"/>
        </w:rPr>
        <w:t>.</w:t>
      </w:r>
      <w:r>
        <w:rPr>
          <w:rStyle w:val="FootnoteReference"/>
          <w:sz w:val="22"/>
          <w:szCs w:val="22"/>
        </w:rPr>
        <w:footnoteReference w:id="18"/>
      </w:r>
      <w:r w:rsidRPr="00D00539">
        <w:rPr>
          <w:sz w:val="22"/>
          <w:szCs w:val="22"/>
        </w:rPr>
        <w:t xml:space="preserve">  </w:t>
      </w:r>
      <w:r>
        <w:rPr>
          <w:sz w:val="22"/>
          <w:szCs w:val="22"/>
        </w:rPr>
        <w:t>These rules explicitly include Hawaiian Home Lands as one of the types of eligible Tribal land</w:t>
      </w:r>
      <w:r w:rsidR="00B0349C">
        <w:rPr>
          <w:sz w:val="22"/>
          <w:szCs w:val="22"/>
        </w:rPr>
        <w:t>s</w:t>
      </w:r>
      <w:r>
        <w:rPr>
          <w:sz w:val="22"/>
          <w:szCs w:val="22"/>
        </w:rPr>
        <w:t xml:space="preserve">, </w:t>
      </w:r>
      <w:r w:rsidR="00DB0AAB">
        <w:rPr>
          <w:sz w:val="22"/>
          <w:szCs w:val="22"/>
        </w:rPr>
        <w:t>demonstra</w:t>
      </w:r>
      <w:r>
        <w:rPr>
          <w:sz w:val="22"/>
          <w:szCs w:val="22"/>
        </w:rPr>
        <w:t xml:space="preserve">ting </w:t>
      </w:r>
      <w:r w:rsidR="00DB0AAB">
        <w:rPr>
          <w:sz w:val="22"/>
          <w:szCs w:val="22"/>
        </w:rPr>
        <w:t xml:space="preserve">the Commission’s intent that the Window </w:t>
      </w:r>
      <w:r w:rsidR="00A41D25">
        <w:rPr>
          <w:sz w:val="22"/>
          <w:szCs w:val="22"/>
        </w:rPr>
        <w:t>make the relevant spectrum</w:t>
      </w:r>
      <w:r w:rsidR="00DB0AAB">
        <w:rPr>
          <w:sz w:val="22"/>
          <w:szCs w:val="22"/>
        </w:rPr>
        <w:t xml:space="preserve"> in Hawai’</w:t>
      </w:r>
      <w:r w:rsidR="00A41D25">
        <w:rPr>
          <w:sz w:val="22"/>
          <w:szCs w:val="22"/>
        </w:rPr>
        <w:t>i available in the Window</w:t>
      </w:r>
      <w:r w:rsidR="00DB0AAB">
        <w:rPr>
          <w:sz w:val="22"/>
          <w:szCs w:val="22"/>
        </w:rPr>
        <w:t>.</w:t>
      </w:r>
      <w:r>
        <w:rPr>
          <w:rStyle w:val="FootnoteReference"/>
          <w:sz w:val="22"/>
          <w:szCs w:val="22"/>
        </w:rPr>
        <w:footnoteReference w:id="19"/>
      </w:r>
      <w:r w:rsidR="00DB0AAB">
        <w:rPr>
          <w:sz w:val="22"/>
          <w:szCs w:val="22"/>
        </w:rPr>
        <w:t xml:space="preserve">  </w:t>
      </w:r>
      <w:r w:rsidR="003B1317">
        <w:rPr>
          <w:sz w:val="22"/>
          <w:szCs w:val="22"/>
        </w:rPr>
        <w:t>However, b</w:t>
      </w:r>
      <w:r w:rsidRPr="00D00539">
        <w:rPr>
          <w:sz w:val="22"/>
          <w:szCs w:val="22"/>
        </w:rPr>
        <w:t>ecause there are currently no federally</w:t>
      </w:r>
      <w:r w:rsidR="007F1565">
        <w:rPr>
          <w:sz w:val="22"/>
          <w:szCs w:val="22"/>
        </w:rPr>
        <w:t xml:space="preserve"> </w:t>
      </w:r>
      <w:r w:rsidRPr="00D00539">
        <w:rPr>
          <w:sz w:val="22"/>
          <w:szCs w:val="22"/>
        </w:rPr>
        <w:t>recognized Tribes located in Hawai’i, and thus no entities eligible to apply in that state, the available spectrum over eligible Tribal land in Hawai’i will be effectively unavailable in the Window unless this waiver is granted.</w:t>
      </w:r>
      <w:r w:rsidRPr="003B1317" w:rsidR="003B1317">
        <w:rPr>
          <w:rStyle w:val="FootnoteReference"/>
          <w:sz w:val="22"/>
          <w:szCs w:val="22"/>
        </w:rPr>
        <w:t xml:space="preserve"> </w:t>
      </w:r>
      <w:r>
        <w:rPr>
          <w:rStyle w:val="FootnoteReference"/>
          <w:sz w:val="22"/>
          <w:szCs w:val="22"/>
        </w:rPr>
        <w:footnoteReference w:id="20"/>
      </w:r>
      <w:r w:rsidRPr="00D00539">
        <w:rPr>
          <w:sz w:val="22"/>
          <w:szCs w:val="22"/>
        </w:rPr>
        <w:t xml:space="preserve">  </w:t>
      </w:r>
      <w:r w:rsidR="008715C9">
        <w:rPr>
          <w:sz w:val="22"/>
          <w:szCs w:val="22"/>
        </w:rPr>
        <w:t>Thus, g</w:t>
      </w:r>
      <w:r w:rsidR="003B1317">
        <w:rPr>
          <w:sz w:val="22"/>
          <w:szCs w:val="22"/>
        </w:rPr>
        <w:t>ranting DHHL’s Waiver Request would avoid frustrating</w:t>
      </w:r>
      <w:r w:rsidRPr="00D00539">
        <w:rPr>
          <w:sz w:val="22"/>
          <w:szCs w:val="22"/>
        </w:rPr>
        <w:t xml:space="preserve"> the underlying purpose of these rule</w:t>
      </w:r>
      <w:r w:rsidR="008715C9">
        <w:rPr>
          <w:sz w:val="22"/>
          <w:szCs w:val="22"/>
        </w:rPr>
        <w:t>s.</w:t>
      </w:r>
      <w:r>
        <w:rPr>
          <w:rStyle w:val="FootnoteReference"/>
          <w:sz w:val="22"/>
          <w:szCs w:val="22"/>
        </w:rPr>
        <w:footnoteReference w:id="21"/>
      </w:r>
      <w:r>
        <w:rPr>
          <w:sz w:val="22"/>
          <w:szCs w:val="22"/>
        </w:rPr>
        <w:t xml:space="preserve"> </w:t>
      </w:r>
      <w:r w:rsidR="00B0349C">
        <w:rPr>
          <w:sz w:val="22"/>
          <w:szCs w:val="22"/>
        </w:rPr>
        <w:t xml:space="preserve"> </w:t>
      </w:r>
    </w:p>
    <w:p w:rsidR="00F04475" w14:paraId="26161C7A" w14:textId="69094179">
      <w:pPr>
        <w:pStyle w:val="ParaNum"/>
        <w:tabs>
          <w:tab w:val="num" w:pos="1440"/>
          <w:tab w:val="clear" w:pos="2520"/>
        </w:tabs>
        <w:spacing w:after="120"/>
        <w:ind w:left="0"/>
        <w:rPr>
          <w:sz w:val="22"/>
          <w:szCs w:val="22"/>
        </w:rPr>
      </w:pPr>
      <w:r>
        <w:rPr>
          <w:sz w:val="22"/>
          <w:szCs w:val="22"/>
        </w:rPr>
        <w:t xml:space="preserve">We </w:t>
      </w:r>
      <w:r w:rsidR="003B1317">
        <w:rPr>
          <w:sz w:val="22"/>
          <w:szCs w:val="22"/>
        </w:rPr>
        <w:t xml:space="preserve">also </w:t>
      </w:r>
      <w:r>
        <w:rPr>
          <w:sz w:val="22"/>
          <w:szCs w:val="22"/>
        </w:rPr>
        <w:t xml:space="preserve">conclude that </w:t>
      </w:r>
      <w:r w:rsidR="00A831E7">
        <w:rPr>
          <w:sz w:val="22"/>
          <w:szCs w:val="22"/>
        </w:rPr>
        <w:t>DHHL has met the second prong of the waiver standard</w:t>
      </w:r>
      <w:r w:rsidR="003B1317">
        <w:rPr>
          <w:sz w:val="22"/>
          <w:szCs w:val="22"/>
        </w:rPr>
        <w:t>,</w:t>
      </w:r>
      <w:r w:rsidR="00A831E7">
        <w:rPr>
          <w:sz w:val="22"/>
          <w:szCs w:val="22"/>
        </w:rPr>
        <w:t xml:space="preserve"> because </w:t>
      </w:r>
      <w:r>
        <w:rPr>
          <w:sz w:val="22"/>
          <w:szCs w:val="22"/>
        </w:rPr>
        <w:t>application of the entity eligibility rules to DHHL would be inequitable and contrary to the public interest under the unique circumstances of Tribal land</w:t>
      </w:r>
      <w:r w:rsidR="00582C50">
        <w:rPr>
          <w:sz w:val="22"/>
          <w:szCs w:val="22"/>
        </w:rPr>
        <w:t>s</w:t>
      </w:r>
      <w:r>
        <w:rPr>
          <w:sz w:val="22"/>
          <w:szCs w:val="22"/>
        </w:rPr>
        <w:t xml:space="preserve"> in the state of Hawai’i.  </w:t>
      </w:r>
      <w:r w:rsidR="008715C9">
        <w:rPr>
          <w:sz w:val="22"/>
          <w:szCs w:val="22"/>
        </w:rPr>
        <w:t>B</w:t>
      </w:r>
      <w:r>
        <w:rPr>
          <w:sz w:val="22"/>
          <w:szCs w:val="22"/>
        </w:rPr>
        <w:t xml:space="preserve">ecause there are no </w:t>
      </w:r>
      <w:r w:rsidR="00582C50">
        <w:rPr>
          <w:sz w:val="22"/>
          <w:szCs w:val="22"/>
        </w:rPr>
        <w:t>eli</w:t>
      </w:r>
      <w:r w:rsidR="004B48DF">
        <w:rPr>
          <w:sz w:val="22"/>
          <w:szCs w:val="22"/>
        </w:rPr>
        <w:t>gible</w:t>
      </w:r>
      <w:r w:rsidR="00582C50">
        <w:rPr>
          <w:sz w:val="22"/>
          <w:szCs w:val="22"/>
        </w:rPr>
        <w:t xml:space="preserve"> </w:t>
      </w:r>
      <w:r>
        <w:rPr>
          <w:sz w:val="22"/>
          <w:szCs w:val="22"/>
        </w:rPr>
        <w:t xml:space="preserve">entities </w:t>
      </w:r>
      <w:r w:rsidR="00582C50">
        <w:rPr>
          <w:sz w:val="22"/>
          <w:szCs w:val="22"/>
        </w:rPr>
        <w:t xml:space="preserve">in Hawai’i that can </w:t>
      </w:r>
      <w:r w:rsidR="00B170C7">
        <w:rPr>
          <w:sz w:val="22"/>
          <w:szCs w:val="22"/>
        </w:rPr>
        <w:t>apply for</w:t>
      </w:r>
      <w:r>
        <w:rPr>
          <w:sz w:val="22"/>
          <w:szCs w:val="22"/>
        </w:rPr>
        <w:t xml:space="preserve"> the available spectrum over eligible Tribal land in Hawai’</w:t>
      </w:r>
      <w:r w:rsidR="00D34409">
        <w:rPr>
          <w:sz w:val="22"/>
          <w:szCs w:val="22"/>
        </w:rPr>
        <w:t>i</w:t>
      </w:r>
      <w:r w:rsidR="00FE1450">
        <w:rPr>
          <w:sz w:val="22"/>
          <w:szCs w:val="22"/>
        </w:rPr>
        <w:t>, no entities will be able to take advantage of the Window in Hawai’</w:t>
      </w:r>
      <w:r w:rsidR="00D34409">
        <w:rPr>
          <w:sz w:val="22"/>
          <w:szCs w:val="22"/>
        </w:rPr>
        <w:t>i</w:t>
      </w:r>
      <w:r w:rsidR="00FE1450">
        <w:rPr>
          <w:sz w:val="22"/>
          <w:szCs w:val="22"/>
        </w:rPr>
        <w:t xml:space="preserve"> </w:t>
      </w:r>
      <w:r>
        <w:rPr>
          <w:sz w:val="22"/>
          <w:szCs w:val="22"/>
        </w:rPr>
        <w:t xml:space="preserve">unless this waiver is granted.  This is a unique factual circumstance not present </w:t>
      </w:r>
      <w:r w:rsidR="00FC4098">
        <w:rPr>
          <w:sz w:val="22"/>
          <w:szCs w:val="22"/>
        </w:rPr>
        <w:t xml:space="preserve">in any other state or </w:t>
      </w:r>
      <w:r>
        <w:rPr>
          <w:sz w:val="22"/>
          <w:szCs w:val="22"/>
        </w:rPr>
        <w:t>with respect</w:t>
      </w:r>
      <w:r w:rsidR="00D34409">
        <w:rPr>
          <w:sz w:val="22"/>
          <w:szCs w:val="22"/>
        </w:rPr>
        <w:t xml:space="preserve"> </w:t>
      </w:r>
      <w:r>
        <w:rPr>
          <w:sz w:val="22"/>
          <w:szCs w:val="22"/>
        </w:rPr>
        <w:t xml:space="preserve">to any other Tribal land eligible for the Window, as every other state </w:t>
      </w:r>
      <w:r w:rsidR="00346C9E">
        <w:rPr>
          <w:sz w:val="22"/>
          <w:szCs w:val="22"/>
        </w:rPr>
        <w:t>with eligible Tribal land</w:t>
      </w:r>
      <w:r w:rsidR="00B27C29">
        <w:rPr>
          <w:sz w:val="22"/>
          <w:szCs w:val="22"/>
        </w:rPr>
        <w:t>s</w:t>
      </w:r>
      <w:r w:rsidR="00346C9E">
        <w:rPr>
          <w:sz w:val="22"/>
          <w:szCs w:val="22"/>
        </w:rPr>
        <w:t xml:space="preserve"> </w:t>
      </w:r>
      <w:r>
        <w:rPr>
          <w:sz w:val="22"/>
          <w:szCs w:val="22"/>
        </w:rPr>
        <w:t>is home to eligible federally</w:t>
      </w:r>
      <w:r w:rsidR="00346C9E">
        <w:rPr>
          <w:sz w:val="22"/>
          <w:szCs w:val="22"/>
        </w:rPr>
        <w:t xml:space="preserve"> </w:t>
      </w:r>
      <w:r>
        <w:rPr>
          <w:sz w:val="22"/>
          <w:szCs w:val="22"/>
        </w:rPr>
        <w:t>recognized Tribes able to apply for available spectrum over their eligible land.</w:t>
      </w:r>
      <w:r>
        <w:rPr>
          <w:rStyle w:val="FootnoteReference"/>
          <w:sz w:val="22"/>
          <w:szCs w:val="22"/>
        </w:rPr>
        <w:footnoteReference w:id="22"/>
      </w:r>
      <w:r>
        <w:rPr>
          <w:sz w:val="22"/>
          <w:szCs w:val="22"/>
        </w:rPr>
        <w:t xml:space="preserve">  The explicit inclusion of Hawaiian Home Lands as eligible Tribal land for purposes of the Window demonstrates the intent of the Commission that such spectrum be </w:t>
      </w:r>
      <w:r w:rsidR="00562F9A">
        <w:rPr>
          <w:sz w:val="22"/>
          <w:szCs w:val="22"/>
        </w:rPr>
        <w:t xml:space="preserve">made </w:t>
      </w:r>
      <w:r>
        <w:rPr>
          <w:sz w:val="22"/>
          <w:szCs w:val="22"/>
        </w:rPr>
        <w:t xml:space="preserve">available </w:t>
      </w:r>
      <w:r w:rsidR="00562F9A">
        <w:rPr>
          <w:sz w:val="22"/>
          <w:szCs w:val="22"/>
        </w:rPr>
        <w:t xml:space="preserve">for licensing </w:t>
      </w:r>
      <w:r>
        <w:rPr>
          <w:sz w:val="22"/>
          <w:szCs w:val="22"/>
        </w:rPr>
        <w:t xml:space="preserve">in </w:t>
      </w:r>
      <w:r w:rsidR="00562F9A">
        <w:rPr>
          <w:sz w:val="22"/>
          <w:szCs w:val="22"/>
        </w:rPr>
        <w:t xml:space="preserve">those areas through </w:t>
      </w:r>
      <w:r>
        <w:rPr>
          <w:sz w:val="22"/>
          <w:szCs w:val="22"/>
        </w:rPr>
        <w:t>the Window, and it would be inequitable to exclude that spectrum due to the lack of any entities eligible to apply for it.</w:t>
      </w:r>
      <w:r>
        <w:rPr>
          <w:rStyle w:val="FootnoteReference"/>
          <w:sz w:val="22"/>
          <w:szCs w:val="22"/>
        </w:rPr>
        <w:footnoteReference w:id="23"/>
      </w:r>
      <w:r>
        <w:rPr>
          <w:sz w:val="22"/>
          <w:szCs w:val="22"/>
        </w:rPr>
        <w:t xml:space="preserve">  Providing a path for eligible 2.5 GHz spectrum to be acquired and used for the benefit of native Hawaiians is consistent with the purpose of the rules establishing the Window and </w:t>
      </w:r>
      <w:r w:rsidR="00FC4098">
        <w:rPr>
          <w:sz w:val="22"/>
          <w:szCs w:val="22"/>
        </w:rPr>
        <w:t xml:space="preserve">also is </w:t>
      </w:r>
      <w:r>
        <w:rPr>
          <w:sz w:val="22"/>
          <w:szCs w:val="22"/>
        </w:rPr>
        <w:t>in the public interest.</w:t>
      </w:r>
    </w:p>
    <w:p w:rsidR="00F04475" w14:paraId="394F3A9B" w14:textId="5790764A">
      <w:pPr>
        <w:pStyle w:val="ParaNum"/>
        <w:tabs>
          <w:tab w:val="num" w:pos="1440"/>
          <w:tab w:val="clear" w:pos="2520"/>
        </w:tabs>
        <w:spacing w:after="120"/>
        <w:ind w:left="0"/>
        <w:rPr>
          <w:sz w:val="22"/>
          <w:szCs w:val="22"/>
        </w:rPr>
      </w:pPr>
      <w:r>
        <w:rPr>
          <w:sz w:val="22"/>
          <w:szCs w:val="22"/>
        </w:rPr>
        <w:t xml:space="preserve"> </w:t>
      </w:r>
      <w:r w:rsidR="00FC4098">
        <w:rPr>
          <w:sz w:val="22"/>
          <w:szCs w:val="22"/>
        </w:rPr>
        <w:t xml:space="preserve">Moreover, </w:t>
      </w:r>
      <w:r>
        <w:rPr>
          <w:sz w:val="22"/>
          <w:szCs w:val="22"/>
        </w:rPr>
        <w:t>DHHL has no reasonable alternative to its Waiver Request</w:t>
      </w:r>
      <w:r w:rsidR="00FC4098">
        <w:rPr>
          <w:sz w:val="22"/>
          <w:szCs w:val="22"/>
        </w:rPr>
        <w:t xml:space="preserve"> to meet its goal of ensuring that this spectrum is used to serve rural tribal lands in Hawai’i.  </w:t>
      </w:r>
      <w:r>
        <w:rPr>
          <w:sz w:val="22"/>
          <w:szCs w:val="22"/>
        </w:rPr>
        <w:t xml:space="preserve">Because there are no eligible entities in the state of Hawai’i, DHHL will not be able, for example, </w:t>
      </w:r>
      <w:r w:rsidR="00FC4098">
        <w:rPr>
          <w:sz w:val="22"/>
          <w:szCs w:val="22"/>
        </w:rPr>
        <w:t>to assist eligible entities in</w:t>
      </w:r>
      <w:r>
        <w:rPr>
          <w:sz w:val="22"/>
          <w:szCs w:val="22"/>
        </w:rPr>
        <w:t xml:space="preserve"> fil</w:t>
      </w:r>
      <w:r w:rsidR="00FC4098">
        <w:rPr>
          <w:sz w:val="22"/>
          <w:szCs w:val="22"/>
        </w:rPr>
        <w:t xml:space="preserve">ing their </w:t>
      </w:r>
      <w:r>
        <w:rPr>
          <w:sz w:val="22"/>
          <w:szCs w:val="22"/>
        </w:rPr>
        <w:t>application</w:t>
      </w:r>
      <w:r w:rsidR="00FC4098">
        <w:rPr>
          <w:sz w:val="22"/>
          <w:szCs w:val="22"/>
        </w:rPr>
        <w:t>s</w:t>
      </w:r>
      <w:r>
        <w:rPr>
          <w:sz w:val="22"/>
          <w:szCs w:val="22"/>
        </w:rPr>
        <w:t xml:space="preserve">.  </w:t>
      </w:r>
      <w:r w:rsidR="00FC4098">
        <w:rPr>
          <w:sz w:val="22"/>
          <w:szCs w:val="22"/>
        </w:rPr>
        <w:t xml:space="preserve">Nor can DHHL partner with eligible entities to assist them with buildout requirements after those entities acquire </w:t>
      </w:r>
      <w:r w:rsidR="00577A97">
        <w:rPr>
          <w:sz w:val="22"/>
          <w:szCs w:val="22"/>
        </w:rPr>
        <w:t xml:space="preserve">the spectrum.  </w:t>
      </w:r>
      <w:r>
        <w:rPr>
          <w:sz w:val="22"/>
          <w:szCs w:val="22"/>
        </w:rPr>
        <w:t>The only available relief</w:t>
      </w:r>
      <w:r w:rsidR="00577A97">
        <w:rPr>
          <w:sz w:val="22"/>
          <w:szCs w:val="22"/>
        </w:rPr>
        <w:t xml:space="preserve"> </w:t>
      </w:r>
      <w:r w:rsidR="000823FA">
        <w:rPr>
          <w:sz w:val="22"/>
          <w:szCs w:val="22"/>
        </w:rPr>
        <w:t>that will e</w:t>
      </w:r>
      <w:r w:rsidR="00D34409">
        <w:rPr>
          <w:sz w:val="22"/>
          <w:szCs w:val="22"/>
        </w:rPr>
        <w:t>nsure</w:t>
      </w:r>
      <w:r w:rsidR="000823FA">
        <w:rPr>
          <w:sz w:val="22"/>
          <w:szCs w:val="22"/>
        </w:rPr>
        <w:t xml:space="preserve"> that Hawaiian Natives have</w:t>
      </w:r>
      <w:r w:rsidR="00577A97">
        <w:rPr>
          <w:sz w:val="22"/>
          <w:szCs w:val="22"/>
        </w:rPr>
        <w:t xml:space="preserve"> access to </w:t>
      </w:r>
      <w:r>
        <w:rPr>
          <w:sz w:val="22"/>
          <w:szCs w:val="22"/>
        </w:rPr>
        <w:t>the</w:t>
      </w:r>
      <w:r w:rsidR="00577A97">
        <w:rPr>
          <w:sz w:val="22"/>
          <w:szCs w:val="22"/>
        </w:rPr>
        <w:t xml:space="preserve"> remaining</w:t>
      </w:r>
      <w:r w:rsidR="00D34409">
        <w:rPr>
          <w:sz w:val="22"/>
          <w:szCs w:val="22"/>
        </w:rPr>
        <w:t xml:space="preserve"> </w:t>
      </w:r>
      <w:r w:rsidR="00577A97">
        <w:rPr>
          <w:sz w:val="22"/>
          <w:szCs w:val="22"/>
        </w:rPr>
        <w:t xml:space="preserve">unassigned </w:t>
      </w:r>
      <w:r>
        <w:rPr>
          <w:sz w:val="22"/>
          <w:szCs w:val="22"/>
        </w:rPr>
        <w:t xml:space="preserve">spectrum over Hawaiian Home Lands is </w:t>
      </w:r>
      <w:r w:rsidR="000823FA">
        <w:rPr>
          <w:sz w:val="22"/>
          <w:szCs w:val="22"/>
        </w:rPr>
        <w:t xml:space="preserve">to </w:t>
      </w:r>
      <w:r>
        <w:rPr>
          <w:sz w:val="22"/>
          <w:szCs w:val="22"/>
        </w:rPr>
        <w:t>grant this Waiver Request.  DHHL is uniquely suited to administer resources on behalf of the Hawaiian Homesteads, due to its designation by the State of Hawai’i as the entity responsible for managing Hawaiian Home Lands, including trust resources, and because of its capabilities and operational history with regard to “managing and licensing utilities for expansion and service to rural Homestead communities.”</w:t>
      </w:r>
      <w:r>
        <w:rPr>
          <w:rStyle w:val="FootnoteReference"/>
          <w:sz w:val="22"/>
          <w:szCs w:val="22"/>
        </w:rPr>
        <w:footnoteReference w:id="24"/>
      </w:r>
      <w:r>
        <w:rPr>
          <w:sz w:val="22"/>
          <w:szCs w:val="22"/>
        </w:rPr>
        <w:t xml:space="preserve">  </w:t>
      </w:r>
      <w:r w:rsidR="00D34409">
        <w:rPr>
          <w:sz w:val="22"/>
          <w:szCs w:val="22"/>
        </w:rPr>
        <w:t xml:space="preserve">The only other entities that arguably </w:t>
      </w:r>
      <w:r w:rsidR="00C54DC4">
        <w:rPr>
          <w:sz w:val="22"/>
          <w:szCs w:val="22"/>
        </w:rPr>
        <w:t xml:space="preserve">are </w:t>
      </w:r>
      <w:r w:rsidR="00D34409">
        <w:rPr>
          <w:sz w:val="22"/>
          <w:szCs w:val="22"/>
        </w:rPr>
        <w:t>similarly situated do not object to DHHL’s serving in this capacity, and</w:t>
      </w:r>
      <w:r w:rsidR="008715C9">
        <w:rPr>
          <w:sz w:val="22"/>
          <w:szCs w:val="22"/>
        </w:rPr>
        <w:t>,</w:t>
      </w:r>
      <w:r w:rsidR="00D34409">
        <w:rPr>
          <w:sz w:val="22"/>
          <w:szCs w:val="22"/>
        </w:rPr>
        <w:t xml:space="preserve"> in</w:t>
      </w:r>
      <w:r w:rsidR="00DE47CC">
        <w:rPr>
          <w:sz w:val="22"/>
          <w:szCs w:val="22"/>
        </w:rPr>
        <w:t xml:space="preserve"> fact</w:t>
      </w:r>
      <w:r w:rsidR="00D34409">
        <w:rPr>
          <w:sz w:val="22"/>
          <w:szCs w:val="22"/>
        </w:rPr>
        <w:t xml:space="preserve"> have signed a Memorandum of Understanding in support of DHHL</w:t>
      </w:r>
      <w:r w:rsidR="00A831E7">
        <w:rPr>
          <w:sz w:val="22"/>
          <w:szCs w:val="22"/>
        </w:rPr>
        <w:t>’s Waiver Request</w:t>
      </w:r>
      <w:r w:rsidR="00D34409">
        <w:rPr>
          <w:sz w:val="22"/>
          <w:szCs w:val="22"/>
        </w:rPr>
        <w:t>.</w:t>
      </w:r>
      <w:r>
        <w:rPr>
          <w:rStyle w:val="FootnoteReference"/>
          <w:sz w:val="22"/>
          <w:szCs w:val="22"/>
        </w:rPr>
        <w:footnoteReference w:id="25"/>
      </w:r>
      <w:r w:rsidR="00D34409">
        <w:rPr>
          <w:sz w:val="22"/>
          <w:szCs w:val="22"/>
        </w:rPr>
        <w:t xml:space="preserve">  </w:t>
      </w:r>
      <w:r>
        <w:rPr>
          <w:sz w:val="22"/>
          <w:szCs w:val="22"/>
        </w:rPr>
        <w:t>In the absence of any objections to DHHL’s suitability to administer this valuable resource on behalf of native Hawaiians,</w:t>
      </w:r>
      <w:r w:rsidR="00577A97">
        <w:rPr>
          <w:sz w:val="22"/>
          <w:szCs w:val="22"/>
        </w:rPr>
        <w:t xml:space="preserve"> and in light of </w:t>
      </w:r>
      <w:r>
        <w:rPr>
          <w:sz w:val="22"/>
          <w:szCs w:val="22"/>
        </w:rPr>
        <w:t xml:space="preserve">DHHL’s long history of experience managing the resources of the Hawaiian Home Lands and its Memorandum of Understanding with </w:t>
      </w:r>
      <w:r w:rsidR="008715C9">
        <w:rPr>
          <w:sz w:val="22"/>
          <w:szCs w:val="22"/>
        </w:rPr>
        <w:t xml:space="preserve">both </w:t>
      </w:r>
      <w:r>
        <w:rPr>
          <w:sz w:val="22"/>
          <w:szCs w:val="22"/>
        </w:rPr>
        <w:t xml:space="preserve">other relevant Hawaiian government agencies, we conclude that DHHL is </w:t>
      </w:r>
      <w:r w:rsidR="001F0A3B">
        <w:rPr>
          <w:sz w:val="22"/>
          <w:szCs w:val="22"/>
        </w:rPr>
        <w:t>uniquely qualified to serve as the eligible entity to obtain unassigned</w:t>
      </w:r>
      <w:r w:rsidR="00D34409">
        <w:rPr>
          <w:sz w:val="22"/>
          <w:szCs w:val="22"/>
        </w:rPr>
        <w:t xml:space="preserve"> </w:t>
      </w:r>
      <w:r>
        <w:rPr>
          <w:sz w:val="22"/>
          <w:szCs w:val="22"/>
        </w:rPr>
        <w:t xml:space="preserve">2.5 GHz spectrum </w:t>
      </w:r>
      <w:r w:rsidR="001F0A3B">
        <w:rPr>
          <w:sz w:val="22"/>
          <w:szCs w:val="22"/>
        </w:rPr>
        <w:t xml:space="preserve">and to ensure the resulting buildout requirements are met over rural Hawaiian Home Lands.  </w:t>
      </w:r>
    </w:p>
    <w:p w:rsidR="00F04475" w14:paraId="2F880E52" w14:textId="162C56BE">
      <w:pPr>
        <w:pStyle w:val="ParaNum"/>
        <w:tabs>
          <w:tab w:val="num" w:pos="1440"/>
          <w:tab w:val="clear" w:pos="2520"/>
        </w:tabs>
        <w:spacing w:after="120"/>
        <w:ind w:left="0"/>
        <w:rPr>
          <w:sz w:val="22"/>
          <w:szCs w:val="22"/>
        </w:rPr>
      </w:pPr>
      <w:r>
        <w:rPr>
          <w:sz w:val="22"/>
          <w:szCs w:val="22"/>
        </w:rPr>
        <w:t>We note that a grant of this order does not automatically award DHHL any spectrum license.  DHHL</w:t>
      </w:r>
      <w:r w:rsidR="00786DEF">
        <w:rPr>
          <w:sz w:val="22"/>
          <w:szCs w:val="22"/>
        </w:rPr>
        <w:t xml:space="preserve"> </w:t>
      </w:r>
      <w:r>
        <w:rPr>
          <w:sz w:val="22"/>
          <w:szCs w:val="22"/>
        </w:rPr>
        <w:t xml:space="preserve">still </w:t>
      </w:r>
      <w:r w:rsidR="00577A97">
        <w:rPr>
          <w:sz w:val="22"/>
          <w:szCs w:val="22"/>
        </w:rPr>
        <w:t xml:space="preserve">will </w:t>
      </w:r>
      <w:r>
        <w:rPr>
          <w:sz w:val="22"/>
          <w:szCs w:val="22"/>
        </w:rPr>
        <w:t xml:space="preserve">be required to apply for such license pursuant to the Commission’s rules, including all rules relevant to the Window for which DHHL has not sought a waiver. </w:t>
      </w:r>
      <w:r w:rsidR="00B27C29">
        <w:rPr>
          <w:sz w:val="22"/>
          <w:szCs w:val="22"/>
        </w:rPr>
        <w:t xml:space="preserve"> </w:t>
      </w:r>
      <w:r>
        <w:rPr>
          <w:sz w:val="22"/>
          <w:szCs w:val="22"/>
        </w:rPr>
        <w:t>The grant of this waiver merely establishes that DHHL, as an entity, is eligible to apply.</w:t>
      </w:r>
    </w:p>
    <w:p w:rsidR="00F04475" w14:paraId="119A3A9B" w14:textId="2652C841">
      <w:pPr>
        <w:pStyle w:val="Heading1"/>
        <w:spacing w:before="0" w:after="22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t>ORDERING CLAUSE</w:t>
      </w:r>
    </w:p>
    <w:p w:rsidR="00F04475" w14:paraId="422A09DD" w14:textId="77777777">
      <w:pPr>
        <w:pStyle w:val="ParaNum"/>
        <w:tabs>
          <w:tab w:val="num" w:pos="1440"/>
          <w:tab w:val="clear" w:pos="2520"/>
        </w:tabs>
        <w:spacing w:after="120"/>
        <w:ind w:left="0"/>
        <w:rPr>
          <w:sz w:val="22"/>
          <w:szCs w:val="22"/>
        </w:rPr>
      </w:pPr>
      <w:r>
        <w:rPr>
          <w:sz w:val="22"/>
          <w:szCs w:val="22"/>
        </w:rPr>
        <w:t>Accordingly, IT IS ORDERED, pursuant to Section 4(i) of the Communications Act of 1934, as amended 47 U.S.C. § 154(i), and Section 1.925(b)(3) of the Commission’s Rules, 47 CFR § 1.925(b)(3), that the waiver request filed by the Department of Hawaiian Homelands on January 14, 2020 IS GRANTED, and Section 27.1204(b)(1) of the Commission’s rules IS WAIVED for the Department of Hawaiian Homelands for an application specifying eligible rural Tribal land in the state of Hawai’i.</w:t>
      </w:r>
      <w:r>
        <w:rPr>
          <w:rStyle w:val="FootnoteReference"/>
          <w:sz w:val="22"/>
          <w:szCs w:val="22"/>
        </w:rPr>
        <w:footnoteReference w:id="26"/>
      </w:r>
    </w:p>
    <w:p w:rsidR="00F04475" w14:paraId="61C93661" w14:textId="77777777">
      <w:pPr>
        <w:pStyle w:val="ParaNum"/>
        <w:tabs>
          <w:tab w:val="num" w:pos="1440"/>
          <w:tab w:val="clear" w:pos="2520"/>
        </w:tabs>
        <w:spacing w:after="120"/>
        <w:ind w:left="0"/>
        <w:rPr>
          <w:sz w:val="22"/>
          <w:szCs w:val="22"/>
        </w:rPr>
      </w:pPr>
      <w:r>
        <w:rPr>
          <w:sz w:val="22"/>
          <w:szCs w:val="22"/>
        </w:rPr>
        <w:t>This action is taken under delegated authority pursuant to Sections 0.131 and 0.331 of the Commission’s Rules, 47 CFR §§ 0.131, 0.331.</w:t>
      </w:r>
    </w:p>
    <w:p w:rsidR="00F04475" w14:paraId="7F3811EF" w14:textId="77777777">
      <w:pPr>
        <w:rPr>
          <w:sz w:val="22"/>
          <w:szCs w:val="22"/>
        </w:rPr>
      </w:pPr>
    </w:p>
    <w:p w:rsidR="00F04475" w14:paraId="2514F0D7"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F04475" w14:paraId="2F683B0D" w14:textId="77777777">
      <w:pPr>
        <w:rPr>
          <w:sz w:val="22"/>
          <w:szCs w:val="22"/>
        </w:rPr>
      </w:pPr>
    </w:p>
    <w:p w:rsidR="00F04475" w14:paraId="4CAE3E7C" w14:textId="77777777">
      <w:pPr>
        <w:rPr>
          <w:sz w:val="22"/>
          <w:szCs w:val="22"/>
        </w:rPr>
      </w:pPr>
      <w:r>
        <w:rPr>
          <w:sz w:val="22"/>
          <w:szCs w:val="22"/>
        </w:rPr>
        <w:tab/>
      </w:r>
    </w:p>
    <w:p w:rsidR="00F04475" w14:paraId="539FEFF1" w14:textId="77777777">
      <w:pPr>
        <w:rPr>
          <w:sz w:val="22"/>
          <w:szCs w:val="22"/>
        </w:rPr>
      </w:pPr>
    </w:p>
    <w:p w:rsidR="00F04475" w14:paraId="39C4C2AC"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t>Donald K. Stockdale, Jr.</w:t>
      </w:r>
    </w:p>
    <w:p w:rsidR="00F04475" w14:paraId="4C6D1D52"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t>Chief, Wireless Telecommunications Bureau</w:t>
      </w:r>
    </w:p>
    <w:sectPr>
      <w:headerReference w:type="default" r:id="rId5"/>
      <w:footerReference w:type="even"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475" w14:paraId="5AB7D8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04475" w14:paraId="5A033A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475" w14:paraId="5A68A6EB" w14:textId="77777777">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2</w:t>
    </w:r>
    <w:r>
      <w:rPr>
        <w:rStyle w:val="PageNumber"/>
        <w:sz w:val="22"/>
        <w:szCs w:val="22"/>
      </w:rPr>
      <w:fldChar w:fldCharType="end"/>
    </w:r>
  </w:p>
  <w:p w:rsidR="00F04475" w14:paraId="7BD867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898" w14:paraId="6248421D" w14:textId="77777777">
      <w:r>
        <w:separator/>
      </w:r>
    </w:p>
  </w:footnote>
  <w:footnote w:type="continuationSeparator" w:id="1">
    <w:p w:rsidR="00590898" w14:paraId="412D7A2C" w14:textId="77777777">
      <w:r>
        <w:continuationSeparator/>
      </w:r>
    </w:p>
  </w:footnote>
  <w:footnote w:type="continuationNotice" w:id="2">
    <w:p w:rsidR="00590898" w14:paraId="1C1C4C8E" w14:textId="77777777"/>
  </w:footnote>
  <w:footnote w:id="3">
    <w:p w:rsidR="00F04475" w14:paraId="1AE1C1A8" w14:textId="77777777">
      <w:pPr>
        <w:pStyle w:val="FootnoteText"/>
        <w:spacing w:after="120"/>
      </w:pPr>
      <w:r>
        <w:rPr>
          <w:rStyle w:val="FootnoteReference"/>
        </w:rPr>
        <w:footnoteRef/>
      </w:r>
      <w:r>
        <w:t xml:space="preserve"> </w:t>
      </w:r>
      <w:r>
        <w:rPr>
          <w:i/>
        </w:rPr>
        <w:t xml:space="preserve">See </w:t>
      </w:r>
      <w:r>
        <w:t>Department of Hawaiian Homelands Petition for Waiver (Waiver Request) (filed January 14, 2020).</w:t>
      </w:r>
    </w:p>
  </w:footnote>
  <w:footnote w:id="4">
    <w:p w:rsidR="00F04475" w14:paraId="61CF0812" w14:textId="77777777">
      <w:pPr>
        <w:pStyle w:val="FootnoteText"/>
        <w:spacing w:after="120"/>
      </w:pPr>
      <w:r>
        <w:rPr>
          <w:rStyle w:val="FootnoteReference"/>
        </w:rPr>
        <w:footnoteRef/>
      </w:r>
      <w:r>
        <w:t xml:space="preserve"> </w:t>
      </w:r>
      <w:r>
        <w:rPr>
          <w:i/>
          <w:iCs/>
        </w:rPr>
        <w:t>Transforming the 2.5 GHz Band</w:t>
      </w:r>
      <w:r>
        <w:t>, Report &amp; Order, 34 FCC Rcd 5447 (2019) (</w:t>
      </w:r>
      <w:r>
        <w:rPr>
          <w:i/>
          <w:iCs/>
        </w:rPr>
        <w:t>Report &amp; Order</w:t>
      </w:r>
      <w:r>
        <w:t>).</w:t>
      </w:r>
    </w:p>
  </w:footnote>
  <w:footnote w:id="5">
    <w:p w:rsidR="00F04475" w14:paraId="5D48E487" w14:textId="7495CF07">
      <w:pPr>
        <w:pStyle w:val="FootnoteText"/>
        <w:spacing w:after="120"/>
      </w:pPr>
      <w:r>
        <w:rPr>
          <w:rStyle w:val="FootnoteReference"/>
        </w:rPr>
        <w:footnoteRef/>
      </w:r>
      <w:r>
        <w:t xml:space="preserve"> </w:t>
      </w:r>
      <w:r>
        <w:rPr>
          <w:i/>
        </w:rPr>
        <w:t>See</w:t>
      </w:r>
      <w:r>
        <w:t xml:space="preserve"> 47 CFR § 27.1204(b)(1).</w:t>
      </w:r>
      <w:r w:rsidR="004656F3">
        <w:t xml:space="preserve">  This limitation to federally</w:t>
      </w:r>
      <w:r w:rsidR="008D77E8">
        <w:t xml:space="preserve"> </w:t>
      </w:r>
      <w:r w:rsidR="004656F3">
        <w:t xml:space="preserve">recognized Tribes is consistent with Commission precedent in other contexts. </w:t>
      </w:r>
      <w:r w:rsidR="004656F3">
        <w:rPr>
          <w:i/>
          <w:iCs/>
        </w:rPr>
        <w:t>See</w:t>
      </w:r>
      <w:r w:rsidR="004656F3">
        <w:t xml:space="preserve"> </w:t>
      </w:r>
      <w:r w:rsidR="004656F3">
        <w:rPr>
          <w:i/>
          <w:iCs/>
        </w:rPr>
        <w:t>Report &amp; Order</w:t>
      </w:r>
      <w:r w:rsidR="004656F3">
        <w:t xml:space="preserve">, 34 FCC Rcd at 5464, para. 49. </w:t>
      </w:r>
    </w:p>
  </w:footnote>
  <w:footnote w:id="6">
    <w:p w:rsidR="00F04475" w14:paraId="5073EBBB" w14:textId="77777777">
      <w:pPr>
        <w:pStyle w:val="FootnoteText"/>
        <w:spacing w:after="120"/>
      </w:pPr>
      <w:r>
        <w:rPr>
          <w:rStyle w:val="FootnoteReference"/>
        </w:rPr>
        <w:footnoteRef/>
      </w:r>
      <w:r>
        <w:t xml:space="preserve"> </w:t>
      </w:r>
      <w:r>
        <w:rPr>
          <w:i/>
        </w:rPr>
        <w:t>See</w:t>
      </w:r>
      <w:r>
        <w:t xml:space="preserve"> 47 CFR § 27.1204(b)(2).</w:t>
      </w:r>
    </w:p>
  </w:footnote>
  <w:footnote w:id="7">
    <w:p w:rsidR="00F04475" w14:paraId="0A2732DD" w14:textId="3986C502">
      <w:pPr>
        <w:pStyle w:val="FootnoteText"/>
        <w:spacing w:after="120"/>
      </w:pPr>
      <w:r>
        <w:rPr>
          <w:rStyle w:val="FootnoteReference"/>
        </w:rPr>
        <w:footnoteRef/>
      </w:r>
      <w:r>
        <w:t xml:space="preserve"> 47 C</w:t>
      </w:r>
      <w:r w:rsidR="00D34409">
        <w:t>F</w:t>
      </w:r>
      <w:r>
        <w:t>R § 27.1204(b)(3).</w:t>
      </w:r>
    </w:p>
  </w:footnote>
  <w:footnote w:id="8">
    <w:p w:rsidR="00F04475" w14:paraId="1CD6F82B" w14:textId="77777777">
      <w:pPr>
        <w:pStyle w:val="FootnoteText"/>
        <w:spacing w:after="120"/>
      </w:pPr>
      <w:r>
        <w:rPr>
          <w:rStyle w:val="FootnoteReference"/>
        </w:rPr>
        <w:footnoteRef/>
      </w:r>
      <w:r>
        <w:t xml:space="preserve"> 47 CFR § 27.1204(b)(4).</w:t>
      </w:r>
    </w:p>
  </w:footnote>
  <w:footnote w:id="9">
    <w:p w:rsidR="00F04475" w14:paraId="2AC8553B" w14:textId="77777777">
      <w:pPr>
        <w:pStyle w:val="FootnoteText"/>
        <w:spacing w:after="120"/>
      </w:pPr>
      <w:r>
        <w:rPr>
          <w:rStyle w:val="FootnoteReference"/>
        </w:rPr>
        <w:footnoteRef/>
      </w:r>
      <w:r>
        <w:t xml:space="preserve"> </w:t>
      </w:r>
      <w:r>
        <w:rPr>
          <w:i/>
        </w:rPr>
        <w:t>See</w:t>
      </w:r>
      <w:r>
        <w:t xml:space="preserve"> Indian Entities Recognized by and Eligible To Receive Services From the United States Bureau of Indian Affairs, 85 FR 5462 (2020) (</w:t>
      </w:r>
      <w:r>
        <w:rPr>
          <w:i/>
          <w:iCs/>
        </w:rPr>
        <w:t>BIA 2020 Eligible Entities List</w:t>
      </w:r>
      <w:r>
        <w:t>).</w:t>
      </w:r>
    </w:p>
  </w:footnote>
  <w:footnote w:id="10">
    <w:p w:rsidR="004B48DF" w:rsidP="00DD0CC5" w14:paraId="4BEDEF51" w14:textId="68233099">
      <w:pPr>
        <w:pStyle w:val="FootnoteText"/>
        <w:spacing w:after="120"/>
      </w:pPr>
      <w:r>
        <w:rPr>
          <w:rStyle w:val="FootnoteReference"/>
        </w:rPr>
        <w:footnoteRef/>
      </w:r>
      <w:r>
        <w:t xml:space="preserve"> Homesteading leases are </w:t>
      </w:r>
      <w:r w:rsidRPr="004B48DF">
        <w:t>99-year residential, agricultural, and pastoral leases to native Hawaiians, at an annual rent of one dollar</w:t>
      </w:r>
      <w:r>
        <w:t xml:space="preserve">.  </w:t>
      </w:r>
      <w:r>
        <w:rPr>
          <w:i/>
          <w:iCs/>
        </w:rPr>
        <w:t xml:space="preserve">See Waiver Request </w:t>
      </w:r>
      <w:r>
        <w:t>at</w:t>
      </w:r>
      <w:r w:rsidR="00DD0CC5">
        <w:t xml:space="preserve"> 3.</w:t>
      </w:r>
    </w:p>
  </w:footnote>
  <w:footnote w:id="11">
    <w:p w:rsidR="00F04475" w14:paraId="6DEA1AE9" w14:textId="040652EF">
      <w:pPr>
        <w:pStyle w:val="FootnoteText"/>
        <w:spacing w:after="120"/>
      </w:pPr>
      <w:r>
        <w:rPr>
          <w:rStyle w:val="FootnoteReference"/>
        </w:rPr>
        <w:footnoteRef/>
      </w:r>
      <w:r>
        <w:t xml:space="preserve"> </w:t>
      </w:r>
      <w:r>
        <w:rPr>
          <w:i/>
          <w:iCs/>
        </w:rPr>
        <w:t>See Waiver Request</w:t>
      </w:r>
      <w:r>
        <w:t xml:space="preserve"> at </w:t>
      </w:r>
      <w:r w:rsidR="00786DEF">
        <w:t>2-3</w:t>
      </w:r>
      <w:r>
        <w:t>.</w:t>
      </w:r>
      <w:r w:rsidR="003C1E3E">
        <w:t xml:space="preserve"> </w:t>
      </w:r>
    </w:p>
  </w:footnote>
  <w:footnote w:id="12">
    <w:p w:rsidR="00F04475" w14:paraId="1F746C9D" w14:textId="77777777">
      <w:pPr>
        <w:pStyle w:val="FootnoteText"/>
        <w:spacing w:after="120"/>
      </w:pPr>
      <w:r>
        <w:rPr>
          <w:rStyle w:val="FootnoteReference"/>
        </w:rPr>
        <w:footnoteRef/>
      </w:r>
      <w:r>
        <w:t xml:space="preserve"> </w:t>
      </w:r>
      <w:r>
        <w:rPr>
          <w:i/>
          <w:iCs/>
        </w:rPr>
        <w:t>See</w:t>
      </w:r>
      <w:r>
        <w:t xml:space="preserve"> 47 CFR § 27.1204(b)(2).</w:t>
      </w:r>
    </w:p>
  </w:footnote>
  <w:footnote w:id="13">
    <w:p w:rsidR="00F04475" w14:paraId="50778E6A" w14:textId="77777777">
      <w:pPr>
        <w:pStyle w:val="FootnoteText"/>
        <w:spacing w:after="120"/>
      </w:pPr>
      <w:r>
        <w:rPr>
          <w:rStyle w:val="FootnoteReference"/>
        </w:rPr>
        <w:footnoteRef/>
      </w:r>
      <w:r>
        <w:t xml:space="preserve"> </w:t>
      </w:r>
      <w:r>
        <w:rPr>
          <w:i/>
          <w:iCs/>
        </w:rPr>
        <w:t>See</w:t>
      </w:r>
      <w:r>
        <w:t xml:space="preserve"> </w:t>
      </w:r>
      <w:r>
        <w:rPr>
          <w:i/>
          <w:iCs/>
        </w:rPr>
        <w:t>Waiver Request</w:t>
      </w:r>
      <w:r>
        <w:t xml:space="preserve"> at 3-4, </w:t>
      </w:r>
      <w:r>
        <w:rPr>
          <w:i/>
          <w:iCs/>
        </w:rPr>
        <w:t>Hawaiian Homes Commission Act</w:t>
      </w:r>
      <w:r>
        <w:t>, 1920, July 9, 1921, 42 Stat 108 § 207(c)(1).</w:t>
      </w:r>
    </w:p>
  </w:footnote>
  <w:footnote w:id="14">
    <w:p w:rsidR="00F04475" w14:paraId="159F4802" w14:textId="77777777">
      <w:pPr>
        <w:pStyle w:val="FootnoteText"/>
        <w:spacing w:after="120"/>
      </w:pPr>
      <w:r>
        <w:rPr>
          <w:rStyle w:val="FootnoteReference"/>
        </w:rPr>
        <w:footnoteRef/>
      </w:r>
      <w:r>
        <w:t xml:space="preserve"> </w:t>
      </w:r>
      <w:r>
        <w:rPr>
          <w:i/>
          <w:iCs/>
        </w:rPr>
        <w:t>See Waiver Request</w:t>
      </w:r>
      <w:r>
        <w:t xml:space="preserve"> at 1.</w:t>
      </w:r>
    </w:p>
  </w:footnote>
  <w:footnote w:id="15">
    <w:p w:rsidR="00F04475" w14:paraId="1A9A43DA" w14:textId="77777777">
      <w:pPr>
        <w:pStyle w:val="FootnoteText"/>
        <w:spacing w:after="120"/>
      </w:pPr>
      <w:r>
        <w:rPr>
          <w:rStyle w:val="FootnoteReference"/>
        </w:rPr>
        <w:footnoteRef/>
      </w:r>
      <w:r>
        <w:t xml:space="preserve">  </w:t>
      </w:r>
      <w:r>
        <w:rPr>
          <w:i/>
          <w:iCs/>
        </w:rPr>
        <w:t>See</w:t>
      </w:r>
      <w:r>
        <w:t xml:space="preserve"> </w:t>
      </w:r>
      <w:r>
        <w:rPr>
          <w:i/>
          <w:iCs/>
        </w:rPr>
        <w:t>Waiver Request</w:t>
      </w:r>
      <w:r>
        <w:t xml:space="preserve"> at Exhibit 1.</w:t>
      </w:r>
    </w:p>
  </w:footnote>
  <w:footnote w:id="16">
    <w:p w:rsidR="00F04475" w14:paraId="2B29D4D8" w14:textId="77777777">
      <w:pPr>
        <w:pStyle w:val="FootnoteText"/>
        <w:spacing w:after="120"/>
      </w:pPr>
      <w:r>
        <w:rPr>
          <w:rStyle w:val="FootnoteReference"/>
        </w:rPr>
        <w:footnoteRef/>
      </w:r>
      <w:r>
        <w:t xml:space="preserve"> </w:t>
      </w:r>
      <w:r>
        <w:rPr>
          <w:i/>
          <w:iCs/>
        </w:rPr>
        <w:t>Wireless Telecommunications Bureau Seeks Comment on Department of Hawaiian Homelands Request for Waiver to File as an Eligible Entity in the 2.5 GHz Rural Tribal Priority Window</w:t>
      </w:r>
      <w:r>
        <w:t>, Public Notice, DA 20-104 (WTB BD rel. Jan. 24, 2020).</w:t>
      </w:r>
    </w:p>
  </w:footnote>
  <w:footnote w:id="17">
    <w:p w:rsidR="00F04475" w14:paraId="1E743F70" w14:textId="77777777">
      <w:pPr>
        <w:pStyle w:val="FootnoteText"/>
        <w:spacing w:after="120"/>
      </w:pPr>
      <w:r>
        <w:rPr>
          <w:rStyle w:val="FootnoteReference"/>
        </w:rPr>
        <w:footnoteRef/>
      </w:r>
      <w:r>
        <w:t xml:space="preserve"> 47 CFR § 1.925(b)(3).</w:t>
      </w:r>
    </w:p>
  </w:footnote>
  <w:footnote w:id="18">
    <w:p w:rsidR="00A74E3A" w:rsidRPr="009E69C8" w:rsidP="00A74E3A" w14:paraId="4C246DE1" w14:textId="77777777">
      <w:pPr>
        <w:pStyle w:val="FootnoteText"/>
        <w:spacing w:after="120"/>
      </w:pPr>
      <w:r>
        <w:rPr>
          <w:rStyle w:val="FootnoteReference"/>
        </w:rPr>
        <w:footnoteRef/>
      </w:r>
      <w:r>
        <w:t xml:space="preserve"> </w:t>
      </w:r>
      <w:r>
        <w:rPr>
          <w:i/>
          <w:iCs/>
        </w:rPr>
        <w:t>See</w:t>
      </w:r>
      <w:r>
        <w:t xml:space="preserve"> </w:t>
      </w:r>
      <w:r>
        <w:rPr>
          <w:i/>
          <w:iCs/>
        </w:rPr>
        <w:t>Report &amp; Order</w:t>
      </w:r>
      <w:r>
        <w:t>, 34 FCC Rcd at 5463, para. 47.</w:t>
      </w:r>
    </w:p>
  </w:footnote>
  <w:footnote w:id="19">
    <w:p w:rsidR="00DB0AAB" w:rsidP="00B14184" w14:paraId="570591B3" w14:textId="3725AC6C">
      <w:pPr>
        <w:pStyle w:val="FootnoteText"/>
        <w:spacing w:after="120"/>
      </w:pPr>
      <w:r>
        <w:rPr>
          <w:rStyle w:val="FootnoteReference"/>
        </w:rPr>
        <w:footnoteRef/>
      </w:r>
      <w:r>
        <w:t xml:space="preserve"> </w:t>
      </w:r>
      <w:r>
        <w:rPr>
          <w:i/>
          <w:iCs/>
        </w:rPr>
        <w:t>See Report &amp; Order</w:t>
      </w:r>
      <w:r>
        <w:t>, 34 FCC Rcd at 5465, para. 51; 47 CFR § 27.1204(b)(2).</w:t>
      </w:r>
    </w:p>
  </w:footnote>
  <w:footnote w:id="20">
    <w:p w:rsidR="003B1317" w:rsidP="003B1317" w14:paraId="53178308" w14:textId="77777777">
      <w:pPr>
        <w:pStyle w:val="FootnoteText"/>
        <w:spacing w:after="120"/>
      </w:pPr>
      <w:r>
        <w:rPr>
          <w:rStyle w:val="FootnoteReference"/>
        </w:rPr>
        <w:footnoteRef/>
      </w:r>
      <w:r>
        <w:t xml:space="preserve"> </w:t>
      </w:r>
      <w:r>
        <w:rPr>
          <w:i/>
          <w:iCs/>
        </w:rPr>
        <w:t>See</w:t>
      </w:r>
      <w:r>
        <w:t xml:space="preserve"> 47 CFR § 27.1204(b)(1), </w:t>
      </w:r>
      <w:r>
        <w:rPr>
          <w:i/>
          <w:iCs/>
        </w:rPr>
        <w:t>BIA 2020 Eligible Entities List</w:t>
      </w:r>
      <w:r>
        <w:t>.</w:t>
      </w:r>
    </w:p>
  </w:footnote>
  <w:footnote w:id="21">
    <w:p w:rsidR="00A74E3A" w:rsidRPr="00D00539" w:rsidP="00A74E3A" w14:paraId="2C98221D" w14:textId="7A774EB9">
      <w:pPr>
        <w:pStyle w:val="FootnoteText"/>
        <w:spacing w:after="120"/>
      </w:pPr>
      <w:r>
        <w:rPr>
          <w:rStyle w:val="FootnoteReference"/>
        </w:rPr>
        <w:footnoteRef/>
      </w:r>
      <w:r>
        <w:t xml:space="preserve"> </w:t>
      </w:r>
      <w:r>
        <w:rPr>
          <w:i/>
          <w:iCs/>
        </w:rPr>
        <w:t>See Report &amp; Order</w:t>
      </w:r>
      <w:r>
        <w:t xml:space="preserve">, 34 FCC Rcd at 5465, para. 51; 47 CFR § 27.1204(b)(2). </w:t>
      </w:r>
      <w:r w:rsidR="00B0349C">
        <w:t xml:space="preserve"> </w:t>
      </w:r>
      <w:r>
        <w:rPr>
          <w:i/>
          <w:iCs/>
        </w:rPr>
        <w:t>See also</w:t>
      </w:r>
      <w:r>
        <w:t xml:space="preserve"> </w:t>
      </w:r>
      <w:r>
        <w:rPr>
          <w:i/>
          <w:iCs/>
        </w:rPr>
        <w:t>Waiver Request</w:t>
      </w:r>
      <w:r>
        <w:t xml:space="preserve"> at 1-2.</w:t>
      </w:r>
    </w:p>
  </w:footnote>
  <w:footnote w:id="22">
    <w:p w:rsidR="00F04475" w14:paraId="165AAD7F" w14:textId="77777777">
      <w:pPr>
        <w:pStyle w:val="FootnoteText"/>
        <w:spacing w:after="120"/>
      </w:pPr>
      <w:r>
        <w:rPr>
          <w:rStyle w:val="FootnoteReference"/>
        </w:rPr>
        <w:footnoteRef/>
      </w:r>
      <w:r>
        <w:t xml:space="preserve"> </w:t>
      </w:r>
      <w:r>
        <w:rPr>
          <w:i/>
          <w:iCs/>
        </w:rPr>
        <w:t>See</w:t>
      </w:r>
      <w:r>
        <w:t xml:space="preserve"> </w:t>
      </w:r>
      <w:r>
        <w:rPr>
          <w:i/>
          <w:iCs/>
        </w:rPr>
        <w:t>BIA 2020 Eligible Entities List</w:t>
      </w:r>
      <w:r>
        <w:t>.</w:t>
      </w:r>
    </w:p>
  </w:footnote>
  <w:footnote w:id="23">
    <w:p w:rsidR="00F04475" w14:paraId="2FBE9836" w14:textId="4E13FEDA">
      <w:pPr>
        <w:pStyle w:val="FootnoteText"/>
        <w:spacing w:after="120"/>
      </w:pPr>
      <w:r>
        <w:rPr>
          <w:rStyle w:val="FootnoteReference"/>
        </w:rPr>
        <w:footnoteRef/>
      </w:r>
      <w:r>
        <w:t xml:space="preserve"> </w:t>
      </w:r>
      <w:r>
        <w:rPr>
          <w:i/>
          <w:iCs/>
        </w:rPr>
        <w:t>See Report &amp; Order</w:t>
      </w:r>
      <w:r>
        <w:t xml:space="preserve">, 34 FCC Rcd at 5465, para. 51; 47 CFR § 27.1204(b)(2). </w:t>
      </w:r>
      <w:r w:rsidR="00B0349C">
        <w:t xml:space="preserve"> </w:t>
      </w:r>
      <w:r>
        <w:rPr>
          <w:i/>
          <w:iCs/>
        </w:rPr>
        <w:t>See also</w:t>
      </w:r>
      <w:r>
        <w:t xml:space="preserve"> </w:t>
      </w:r>
      <w:r>
        <w:rPr>
          <w:i/>
          <w:iCs/>
        </w:rPr>
        <w:t>Waiver Request</w:t>
      </w:r>
      <w:r>
        <w:t xml:space="preserve"> at 1-2.</w:t>
      </w:r>
    </w:p>
  </w:footnote>
  <w:footnote w:id="24">
    <w:p w:rsidR="00F04475" w14:paraId="3DE21680" w14:textId="77777777">
      <w:pPr>
        <w:pStyle w:val="FootnoteText"/>
        <w:spacing w:after="120"/>
      </w:pPr>
      <w:r>
        <w:rPr>
          <w:rStyle w:val="FootnoteReference"/>
        </w:rPr>
        <w:footnoteRef/>
      </w:r>
      <w:r>
        <w:t xml:space="preserve"> </w:t>
      </w:r>
      <w:r>
        <w:rPr>
          <w:i/>
          <w:iCs/>
        </w:rPr>
        <w:t>See Waiver Request</w:t>
      </w:r>
      <w:r>
        <w:t xml:space="preserve"> at 3.</w:t>
      </w:r>
    </w:p>
  </w:footnote>
  <w:footnote w:id="25">
    <w:p w:rsidR="00D34409" w:rsidRPr="00DE47CC" w:rsidP="00A831E7" w14:paraId="0B3E25C3" w14:textId="084BAB21">
      <w:pPr>
        <w:pStyle w:val="FootnoteText"/>
        <w:spacing w:after="120"/>
      </w:pPr>
      <w:r>
        <w:rPr>
          <w:rStyle w:val="FootnoteReference"/>
        </w:rPr>
        <w:footnoteRef/>
      </w:r>
      <w:r>
        <w:t xml:space="preserve"> </w:t>
      </w:r>
      <w:r>
        <w:rPr>
          <w:i/>
          <w:iCs/>
        </w:rPr>
        <w:t>See Waiver Request</w:t>
      </w:r>
      <w:r>
        <w:t xml:space="preserve"> at Exhibit 1.</w:t>
      </w:r>
    </w:p>
  </w:footnote>
  <w:footnote w:id="26">
    <w:p w:rsidR="00F04475" w14:paraId="20B6D467" w14:textId="77777777">
      <w:pPr>
        <w:pStyle w:val="FootnoteText"/>
        <w:spacing w:after="120"/>
      </w:pPr>
      <w:r>
        <w:rPr>
          <w:rStyle w:val="FootnoteReference"/>
        </w:rPr>
        <w:footnoteRef/>
      </w:r>
      <w:r>
        <w:t xml:space="preserve"> In completing its Form 601, DHHL should answer “Yes” to the waiver question (Main Form, Question 11) and include a copy of this </w:t>
      </w:r>
      <w:r>
        <w:rPr>
          <w:i/>
          <w:iCs/>
        </w:rPr>
        <w:t>Memorandum Opinion and Order</w:t>
      </w:r>
      <w:r>
        <w:t xml:space="preserve"> as part of its waiver exhibit.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475" w14:paraId="2329B8EE" w14:textId="11459921">
    <w:pPr>
      <w:pStyle w:val="Header"/>
      <w:tabs>
        <w:tab w:val="clear" w:pos="4320"/>
        <w:tab w:val="center" w:pos="4680"/>
        <w:tab w:val="clear" w:pos="8640"/>
        <w:tab w:val="right" w:pos="9360"/>
      </w:tabs>
      <w:rPr>
        <w:b/>
        <w:sz w:val="22"/>
        <w:szCs w:val="22"/>
      </w:rPr>
    </w:pPr>
    <w:r>
      <w:rPr>
        <w:b/>
      </w:rPr>
      <w:tab/>
    </w:r>
    <w:r>
      <w:rPr>
        <w:b/>
        <w:sz w:val="22"/>
        <w:szCs w:val="22"/>
      </w:rPr>
      <w:t>Federal Communications Commission</w:t>
    </w:r>
    <w:r>
      <w:rPr>
        <w:b/>
        <w:sz w:val="22"/>
        <w:szCs w:val="22"/>
      </w:rPr>
      <w:tab/>
      <w:t>DA 20-</w:t>
    </w:r>
    <w:r w:rsidR="002D2456">
      <w:rPr>
        <w:b/>
        <w:sz w:val="22"/>
        <w:szCs w:val="22"/>
      </w:rPr>
      <w:t>314</w:t>
    </w:r>
    <w:r>
      <w:rPr>
        <w:b/>
        <w:sz w:val="22"/>
        <w:szCs w:val="22"/>
      </w:rPr>
      <w:t xml:space="preserve"> </w:t>
    </w:r>
  </w:p>
  <w:p w:rsidR="00F04475" w14:paraId="12A84D64" w14:textId="777777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p w:rsidR="00F04475" w14:paraId="5DADC1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475" w14:paraId="7FBA6EA5" w14:textId="40B2C89C">
    <w:pPr>
      <w:pStyle w:val="Header"/>
      <w:tabs>
        <w:tab w:val="clear" w:pos="4320"/>
        <w:tab w:val="center" w:pos="4680"/>
        <w:tab w:val="clear" w:pos="8640"/>
        <w:tab w:val="right" w:pos="9360"/>
      </w:tabs>
      <w:rPr>
        <w:b/>
        <w:sz w:val="22"/>
        <w:szCs w:val="22"/>
      </w:rPr>
    </w:pPr>
    <w:r>
      <w:rPr>
        <w:b/>
        <w:sz w:val="22"/>
        <w:szCs w:val="22"/>
      </w:rPr>
      <w:tab/>
      <w:t>Federal Communications Commission</w:t>
    </w:r>
    <w:r>
      <w:rPr>
        <w:b/>
        <w:sz w:val="22"/>
        <w:szCs w:val="22"/>
      </w:rPr>
      <w:tab/>
      <w:t>DA 20-</w:t>
    </w:r>
    <w:r w:rsidR="002D2456">
      <w:rPr>
        <w:b/>
        <w:sz w:val="22"/>
        <w:szCs w:val="22"/>
      </w:rPr>
      <w:t>314</w:t>
    </w:r>
  </w:p>
  <w:p w:rsidR="00F04475" w14:paraId="2E33AD39" w14:textId="777777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F04475" w14:paraId="0F8932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B708B2"/>
    <w:multiLevelType w:val="hybridMultilevel"/>
    <w:tmpl w:val="CD68BCB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start w:val="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1182925"/>
    <w:multiLevelType w:val="singleLevel"/>
    <w:tmpl w:val="A9EE9842"/>
    <w:lvl w:ilvl="0">
      <w:start w:val="1"/>
      <w:numFmt w:val="decimal"/>
      <w:lvlText w:val="%1."/>
      <w:lvlJc w:val="left"/>
      <w:pPr>
        <w:tabs>
          <w:tab w:val="num" w:pos="1080"/>
        </w:tabs>
        <w:ind w:left="0" w:firstLine="720"/>
      </w:pPr>
    </w:lvl>
  </w:abstractNum>
  <w:abstractNum w:abstractNumId="10">
    <w:nsid w:val="6E8658A8"/>
    <w:multiLevelType w:val="hybridMultilevel"/>
    <w:tmpl w:val="B4AA65A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EBB3959"/>
    <w:multiLevelType w:val="hybridMultilevel"/>
    <w:tmpl w:val="C076F94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F067C0C"/>
    <w:multiLevelType w:val="hybridMultilevel"/>
    <w:tmpl w:val="92DA493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3792974"/>
    <w:multiLevelType w:val="hybridMultilevel"/>
    <w:tmpl w:val="CAC68F90"/>
    <w:lvl w:ilvl="0">
      <w:start w:val="1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3EB5021"/>
    <w:multiLevelType w:val="hybridMultilevel"/>
    <w:tmpl w:val="DCC2A218"/>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6C35A40"/>
    <w:multiLevelType w:val="hybridMultilevel"/>
    <w:tmpl w:val="CF2682DC"/>
    <w:lvl w:ilvl="0">
      <w:start w:val="1"/>
      <w:numFmt w:val="decimal"/>
      <w:pStyle w:val="ParaNum"/>
      <w:lvlText w:val="%1."/>
      <w:lvlJc w:val="left"/>
      <w:pPr>
        <w:tabs>
          <w:tab w:val="num" w:pos="2520"/>
        </w:tabs>
        <w:ind w:left="1440" w:firstLine="720"/>
      </w:pPr>
      <w:rPr>
        <w:rFonts w:hint="default"/>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77320669"/>
    <w:multiLevelType w:val="hybridMultilevel"/>
    <w:tmpl w:val="712AC832"/>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1"/>
  </w:num>
  <w:num w:numId="2">
    <w:abstractNumId w:val="10"/>
  </w:num>
  <w:num w:numId="3">
    <w:abstractNumId w:val="2"/>
  </w:num>
  <w:num w:numId="4">
    <w:abstractNumId w:val="5"/>
  </w:num>
  <w:num w:numId="5">
    <w:abstractNumId w:val="1"/>
  </w:num>
  <w:num w:numId="6">
    <w:abstractNumId w:val="0"/>
  </w:num>
  <w:num w:numId="7">
    <w:abstractNumId w:val="7"/>
  </w:num>
  <w:num w:numId="8">
    <w:abstractNumId w:val="16"/>
  </w:num>
  <w:num w:numId="9">
    <w:abstractNumId w:val="8"/>
  </w:num>
  <w:num w:numId="10">
    <w:abstractNumId w:val="12"/>
  </w:num>
  <w:num w:numId="11">
    <w:abstractNumId w:val="4"/>
  </w:num>
  <w:num w:numId="12">
    <w:abstractNumId w:val="6"/>
  </w:num>
  <w:num w:numId="13">
    <w:abstractNumId w:val="3"/>
  </w:num>
  <w:num w:numId="14">
    <w:abstractNumId w:val="14"/>
  </w:num>
  <w:num w:numId="15">
    <w:abstractNumId w:val="13"/>
  </w:num>
  <w:num w:numId="16">
    <w:abstractNumId w:val="15"/>
  </w:num>
  <w:num w:numId="17">
    <w:abstractNumId w:val="17"/>
  </w:num>
  <w:num w:numId="18">
    <w:abstractNumId w:val="15"/>
    <w:lvlOverride w:ilvl="0">
      <w:startOverride w:val="1"/>
    </w:lvlOverride>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75"/>
    <w:rsid w:val="00004C93"/>
    <w:rsid w:val="00010BEF"/>
    <w:rsid w:val="00074E04"/>
    <w:rsid w:val="000823FA"/>
    <w:rsid w:val="00112423"/>
    <w:rsid w:val="001153F2"/>
    <w:rsid w:val="001B69DC"/>
    <w:rsid w:val="001F0A3B"/>
    <w:rsid w:val="00246550"/>
    <w:rsid w:val="00284B3F"/>
    <w:rsid w:val="002D2456"/>
    <w:rsid w:val="002D6E15"/>
    <w:rsid w:val="00306295"/>
    <w:rsid w:val="00307A29"/>
    <w:rsid w:val="0032013C"/>
    <w:rsid w:val="0032690E"/>
    <w:rsid w:val="00346C9E"/>
    <w:rsid w:val="00363480"/>
    <w:rsid w:val="00383A9A"/>
    <w:rsid w:val="003872EE"/>
    <w:rsid w:val="003B1317"/>
    <w:rsid w:val="003C1E3E"/>
    <w:rsid w:val="0042704A"/>
    <w:rsid w:val="004656F3"/>
    <w:rsid w:val="004B48DF"/>
    <w:rsid w:val="00561B6B"/>
    <w:rsid w:val="00562F9A"/>
    <w:rsid w:val="00577A97"/>
    <w:rsid w:val="00582C50"/>
    <w:rsid w:val="00590898"/>
    <w:rsid w:val="00604F51"/>
    <w:rsid w:val="006D18F0"/>
    <w:rsid w:val="007124B3"/>
    <w:rsid w:val="00756545"/>
    <w:rsid w:val="00786DEF"/>
    <w:rsid w:val="00792F4D"/>
    <w:rsid w:val="007B71E1"/>
    <w:rsid w:val="007F1565"/>
    <w:rsid w:val="008715C9"/>
    <w:rsid w:val="008B4247"/>
    <w:rsid w:val="008B753B"/>
    <w:rsid w:val="008D77E8"/>
    <w:rsid w:val="00926C53"/>
    <w:rsid w:val="009D5955"/>
    <w:rsid w:val="009E69C8"/>
    <w:rsid w:val="00A2305F"/>
    <w:rsid w:val="00A41D25"/>
    <w:rsid w:val="00A6196A"/>
    <w:rsid w:val="00A74E3A"/>
    <w:rsid w:val="00A831E7"/>
    <w:rsid w:val="00B0349C"/>
    <w:rsid w:val="00B14184"/>
    <w:rsid w:val="00B170C7"/>
    <w:rsid w:val="00B27C29"/>
    <w:rsid w:val="00B4007A"/>
    <w:rsid w:val="00B40A42"/>
    <w:rsid w:val="00B567D3"/>
    <w:rsid w:val="00B91B5E"/>
    <w:rsid w:val="00B92319"/>
    <w:rsid w:val="00BC7E6C"/>
    <w:rsid w:val="00C27766"/>
    <w:rsid w:val="00C54DC4"/>
    <w:rsid w:val="00C60674"/>
    <w:rsid w:val="00C66148"/>
    <w:rsid w:val="00C77C8C"/>
    <w:rsid w:val="00CE5311"/>
    <w:rsid w:val="00CF37D0"/>
    <w:rsid w:val="00CF3918"/>
    <w:rsid w:val="00D00539"/>
    <w:rsid w:val="00D06C14"/>
    <w:rsid w:val="00D34409"/>
    <w:rsid w:val="00DB0AAB"/>
    <w:rsid w:val="00DD0CC5"/>
    <w:rsid w:val="00DE47CC"/>
    <w:rsid w:val="00E054D9"/>
    <w:rsid w:val="00E959FB"/>
    <w:rsid w:val="00EF12A6"/>
    <w:rsid w:val="00F04475"/>
    <w:rsid w:val="00F4210F"/>
    <w:rsid w:val="00FB2F5C"/>
    <w:rsid w:val="00FC4098"/>
    <w:rsid w:val="00FD6123"/>
    <w:rsid w:val="00FE1450"/>
    <w:rsid w:val="00FF6A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basedOn w:val="Normal"/>
    <w:link w:val="FootnoteTextChar2"/>
    <w:rPr>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semiHidden/>
    <w:unhideWhenUsed/>
    <w:rPr>
      <w:color w:val="800080" w:themeColor="followedHyperlink"/>
      <w:u w:val="single"/>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FootnoteTextCharCharCharCharChar">
    <w:name w:val="Footnote Text Char Char Char Char Char"/>
    <w:aliases w:val="Footnote Text Char1 Char Char Char,Footnote Text Char1 Char Char1,Footnote Text Char1 Char1 Char Char Char Char Char,Footnote Text Char2 Cha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