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7F1C" w:rsidP="00C2117C" w14:paraId="7A424A61" w14:textId="77777777">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C87F1C" w:rsidP="00C2117C" w14:paraId="5C2C69F1" w14:textId="77777777">
      <w:pPr>
        <w:pStyle w:val="StyleBoldCentered"/>
        <w:widowControl/>
      </w:pPr>
      <w:r>
        <w:t>F</w:t>
      </w:r>
      <w:r>
        <w:rPr>
          <w:caps w:val="0"/>
        </w:rPr>
        <w:t>ederal Communications Commission</w:t>
      </w:r>
    </w:p>
    <w:p w:rsidR="00C87F1C" w:rsidP="00C2117C" w14:paraId="2EE92263" w14:textId="77777777">
      <w:pPr>
        <w:pStyle w:val="StyleBoldCentered"/>
        <w:widowControl/>
      </w:pPr>
      <w:r>
        <w:rPr>
          <w:caps w:val="0"/>
        </w:rPr>
        <w:t>Washington, D.C. 20554</w:t>
      </w:r>
    </w:p>
    <w:p w:rsidR="00C87F1C" w:rsidP="00C2117C" w14:paraId="40D8EFA7" w14:textId="77777777">
      <w:pPr>
        <w:widowControl/>
      </w:pPr>
    </w:p>
    <w:p w:rsidR="00C87F1C" w:rsidP="00C2117C" w14:paraId="5D6EC2A4" w14:textId="77777777">
      <w:pPr>
        <w:widowControl/>
      </w:pPr>
    </w:p>
    <w:tbl>
      <w:tblPr>
        <w:tblW w:w="0" w:type="auto"/>
        <w:tblLayout w:type="fixed"/>
        <w:tblLook w:val="0000"/>
      </w:tblPr>
      <w:tblGrid>
        <w:gridCol w:w="4698"/>
        <w:gridCol w:w="630"/>
        <w:gridCol w:w="4248"/>
      </w:tblGrid>
      <w:tr w14:paraId="1736AF4C" w14:textId="77777777" w:rsidTr="00257960">
        <w:tblPrEx>
          <w:tblW w:w="0" w:type="auto"/>
          <w:tblLayout w:type="fixed"/>
          <w:tblLook w:val="0000"/>
        </w:tblPrEx>
        <w:tc>
          <w:tcPr>
            <w:tcW w:w="4698" w:type="dxa"/>
          </w:tcPr>
          <w:p w:rsidR="00C87F1C" w:rsidP="00C2117C" w14:paraId="7D2DF9C5" w14:textId="77777777">
            <w:pPr>
              <w:widowControl/>
              <w:tabs>
                <w:tab w:val="center" w:pos="4680"/>
              </w:tabs>
              <w:suppressAutoHyphens/>
              <w:rPr>
                <w:spacing w:val="-2"/>
              </w:rPr>
            </w:pPr>
            <w:r>
              <w:rPr>
                <w:spacing w:val="-2"/>
              </w:rPr>
              <w:t>In the Matter of</w:t>
            </w:r>
          </w:p>
          <w:p w:rsidR="00C87F1C" w:rsidP="00C2117C" w14:paraId="67D405DB" w14:textId="77777777">
            <w:pPr>
              <w:widowControl/>
              <w:tabs>
                <w:tab w:val="center" w:pos="4680"/>
              </w:tabs>
              <w:suppressAutoHyphens/>
              <w:rPr>
                <w:spacing w:val="-2"/>
              </w:rPr>
            </w:pPr>
          </w:p>
          <w:p w:rsidR="00C87F1C" w:rsidRPr="007115F7" w:rsidP="00C2117C" w14:paraId="4BF1962C" w14:textId="77777777">
            <w:pPr>
              <w:widowControl/>
              <w:tabs>
                <w:tab w:val="center" w:pos="4680"/>
              </w:tabs>
              <w:suppressAutoHyphens/>
              <w:rPr>
                <w:spacing w:val="-2"/>
              </w:rPr>
            </w:pPr>
            <w:r w:rsidRPr="00722DA0">
              <w:rPr>
                <w:spacing w:val="-2"/>
              </w:rPr>
              <w:t>Commonwealth of Pennsylvania and First Energy Corp. Request for Amendment of Waiver</w:t>
            </w:r>
          </w:p>
        </w:tc>
        <w:tc>
          <w:tcPr>
            <w:tcW w:w="630" w:type="dxa"/>
          </w:tcPr>
          <w:p w:rsidR="00C87F1C" w:rsidP="00C2117C" w14:paraId="0E1AFA3E" w14:textId="77777777">
            <w:pPr>
              <w:widowControl/>
              <w:tabs>
                <w:tab w:val="center" w:pos="4680"/>
              </w:tabs>
              <w:suppressAutoHyphens/>
              <w:rPr>
                <w:b/>
                <w:spacing w:val="-2"/>
              </w:rPr>
            </w:pPr>
            <w:r>
              <w:rPr>
                <w:b/>
                <w:spacing w:val="-2"/>
              </w:rPr>
              <w:t>)</w:t>
            </w:r>
          </w:p>
          <w:p w:rsidR="00C87F1C" w:rsidP="00C2117C" w14:paraId="3BFED159" w14:textId="77777777">
            <w:pPr>
              <w:widowControl/>
              <w:tabs>
                <w:tab w:val="center" w:pos="4680"/>
              </w:tabs>
              <w:suppressAutoHyphens/>
              <w:rPr>
                <w:b/>
                <w:spacing w:val="-2"/>
              </w:rPr>
            </w:pPr>
            <w:r>
              <w:rPr>
                <w:b/>
                <w:spacing w:val="-2"/>
              </w:rPr>
              <w:t>)</w:t>
            </w:r>
          </w:p>
          <w:p w:rsidR="00C87F1C" w:rsidP="00C2117C" w14:paraId="39B21F58" w14:textId="77777777">
            <w:pPr>
              <w:widowControl/>
              <w:tabs>
                <w:tab w:val="center" w:pos="4680"/>
              </w:tabs>
              <w:suppressAutoHyphens/>
              <w:rPr>
                <w:b/>
                <w:spacing w:val="-2"/>
              </w:rPr>
            </w:pPr>
            <w:r>
              <w:rPr>
                <w:b/>
                <w:spacing w:val="-2"/>
              </w:rPr>
              <w:t>)</w:t>
            </w:r>
          </w:p>
          <w:p w:rsidR="00C87F1C" w:rsidP="00C2117C" w14:paraId="01694EE9" w14:textId="77777777">
            <w:pPr>
              <w:widowControl/>
              <w:tabs>
                <w:tab w:val="center" w:pos="4680"/>
              </w:tabs>
              <w:suppressAutoHyphens/>
              <w:rPr>
                <w:b/>
                <w:spacing w:val="-2"/>
              </w:rPr>
            </w:pPr>
            <w:r>
              <w:rPr>
                <w:b/>
                <w:spacing w:val="-2"/>
              </w:rPr>
              <w:t>)</w:t>
            </w:r>
          </w:p>
          <w:p w:rsidR="00C87F1C" w:rsidP="00C2117C" w14:paraId="4004EF40" w14:textId="77777777">
            <w:pPr>
              <w:widowControl/>
              <w:tabs>
                <w:tab w:val="center" w:pos="4680"/>
              </w:tabs>
              <w:suppressAutoHyphens/>
              <w:rPr>
                <w:spacing w:val="-2"/>
              </w:rPr>
            </w:pPr>
          </w:p>
        </w:tc>
        <w:tc>
          <w:tcPr>
            <w:tcW w:w="4248" w:type="dxa"/>
          </w:tcPr>
          <w:p w:rsidR="00C87F1C" w:rsidP="00C2117C" w14:paraId="185B4358" w14:textId="77777777">
            <w:pPr>
              <w:widowControl/>
              <w:tabs>
                <w:tab w:val="center" w:pos="4680"/>
              </w:tabs>
              <w:suppressAutoHyphens/>
              <w:rPr>
                <w:spacing w:val="-2"/>
              </w:rPr>
            </w:pPr>
          </w:p>
          <w:p w:rsidR="00C87F1C" w:rsidP="00C2117C" w14:paraId="003344CA" w14:textId="77777777">
            <w:pPr>
              <w:pStyle w:val="TOAHeading"/>
              <w:widowControl/>
              <w:tabs>
                <w:tab w:val="center" w:pos="4680"/>
                <w:tab w:val="clear" w:pos="9360"/>
              </w:tabs>
              <w:rPr>
                <w:spacing w:val="-2"/>
              </w:rPr>
            </w:pPr>
          </w:p>
          <w:p w:rsidR="00C87F1C" w:rsidP="00C2117C" w14:paraId="49E2A73D" w14:textId="77777777">
            <w:pPr>
              <w:widowControl/>
              <w:tabs>
                <w:tab w:val="center" w:pos="4680"/>
              </w:tabs>
              <w:suppressAutoHyphens/>
              <w:rPr>
                <w:spacing w:val="-2"/>
              </w:rPr>
            </w:pPr>
            <w:r>
              <w:rPr>
                <w:spacing w:val="-2"/>
              </w:rPr>
              <w:t>PS Docket No. 19-255</w:t>
            </w:r>
          </w:p>
        </w:tc>
      </w:tr>
    </w:tbl>
    <w:p w:rsidR="00C87F1C" w:rsidP="00C2117C" w14:paraId="27EFBA32" w14:textId="77777777">
      <w:pPr>
        <w:widowControl/>
      </w:pPr>
    </w:p>
    <w:p w:rsidR="00C87F1C" w:rsidP="00C2117C" w14:paraId="32C6E3DC" w14:textId="77777777">
      <w:pPr>
        <w:pStyle w:val="StyleBoldCentered"/>
        <w:widowControl/>
      </w:pPr>
      <w:r>
        <w:t>Order</w:t>
      </w:r>
    </w:p>
    <w:p w:rsidR="00C87F1C" w:rsidP="00C2117C" w14:paraId="132044A5" w14:textId="77777777">
      <w:pPr>
        <w:widowControl/>
        <w:tabs>
          <w:tab w:val="left" w:pos="-720"/>
        </w:tabs>
        <w:suppressAutoHyphens/>
        <w:spacing w:line="227" w:lineRule="auto"/>
        <w:rPr>
          <w:spacing w:val="-2"/>
        </w:rPr>
      </w:pPr>
    </w:p>
    <w:p w:rsidR="00C87F1C" w:rsidP="00C2117C" w14:paraId="57F619A0" w14:textId="0B2ADD69">
      <w:pPr>
        <w:widowControl/>
        <w:tabs>
          <w:tab w:val="left" w:pos="720"/>
          <w:tab w:val="right" w:pos="9360"/>
        </w:tabs>
        <w:suppressAutoHyphens/>
        <w:spacing w:line="227" w:lineRule="auto"/>
        <w:rPr>
          <w:spacing w:val="-2"/>
        </w:rPr>
      </w:pPr>
      <w:r>
        <w:rPr>
          <w:b/>
          <w:spacing w:val="-2"/>
        </w:rPr>
        <w:t>Adopted: M</w:t>
      </w:r>
      <w:r w:rsidR="00772910">
        <w:rPr>
          <w:b/>
          <w:spacing w:val="-2"/>
        </w:rPr>
        <w:t>arch 20</w:t>
      </w:r>
      <w:r>
        <w:rPr>
          <w:b/>
          <w:spacing w:val="-2"/>
        </w:rPr>
        <w:t>, 2020</w:t>
      </w:r>
      <w:r>
        <w:rPr>
          <w:b/>
          <w:spacing w:val="-2"/>
        </w:rPr>
        <w:tab/>
        <w:t>Released: M</w:t>
      </w:r>
      <w:r w:rsidR="00772910">
        <w:rPr>
          <w:b/>
          <w:spacing w:val="-2"/>
        </w:rPr>
        <w:t>arch 20</w:t>
      </w:r>
      <w:r>
        <w:rPr>
          <w:b/>
          <w:spacing w:val="-2"/>
        </w:rPr>
        <w:t>, 2020</w:t>
      </w:r>
    </w:p>
    <w:p w:rsidR="00C87F1C" w:rsidP="00C2117C" w14:paraId="1741E4FF" w14:textId="77777777">
      <w:pPr>
        <w:widowControl/>
      </w:pPr>
    </w:p>
    <w:p w:rsidR="00C87F1C" w:rsidP="00C2117C" w14:paraId="55FAC441" w14:textId="77777777">
      <w:pPr>
        <w:widowControl/>
        <w:rPr>
          <w:snapToGrid/>
          <w:spacing w:val="-2"/>
          <w:kern w:val="0"/>
          <w:szCs w:val="22"/>
        </w:rPr>
      </w:pPr>
      <w:r>
        <w:rPr>
          <w:szCs w:val="22"/>
        </w:rPr>
        <w:t>By the</w:t>
      </w:r>
      <w:r>
        <w:rPr>
          <w:spacing w:val="-2"/>
          <w:szCs w:val="22"/>
        </w:rPr>
        <w:t xml:space="preserve"> Chief, Policy and Licensing Division, Public Safety and Homeland Security Bureau:</w:t>
      </w:r>
    </w:p>
    <w:p w:rsidR="00C87F1C" w:rsidP="00C2117C" w14:paraId="1047E59B" w14:textId="77777777">
      <w:pPr>
        <w:widowControl/>
        <w:rPr>
          <w:spacing w:val="-2"/>
        </w:rPr>
      </w:pPr>
    </w:p>
    <w:p w:rsidR="00C87F1C" w:rsidP="00C2117C" w14:paraId="314025AE" w14:textId="77777777">
      <w:pPr>
        <w:pStyle w:val="Heading1"/>
        <w:widowControl/>
      </w:pPr>
      <w:r>
        <w:t>Introduction</w:t>
      </w:r>
    </w:p>
    <w:p w:rsidR="00C87F1C" w:rsidP="00C2117C" w14:paraId="04F24ACC" w14:textId="03CDBE0F">
      <w:pPr>
        <w:pStyle w:val="ParaNum"/>
        <w:widowControl/>
      </w:pPr>
      <w:r>
        <w:t xml:space="preserve">In this </w:t>
      </w:r>
      <w:r w:rsidRPr="00B31568">
        <w:rPr>
          <w:i/>
          <w:iCs/>
        </w:rPr>
        <w:t>Order</w:t>
      </w:r>
      <w:r>
        <w:t xml:space="preserve">, we address a petition for waiver of the Commission’s rules, jointly </w:t>
      </w:r>
      <w:r w:rsidR="005D346A">
        <w:t xml:space="preserve">filed </w:t>
      </w:r>
      <w:r>
        <w:t>by the Commonwealth of Pennsylvania (Pennsylvania) and FirstEnergy Corp. (FirstEnergy) (together, Petitioners).</w:t>
      </w:r>
      <w:r>
        <w:rPr>
          <w:rStyle w:val="FootnoteReference"/>
        </w:rPr>
        <w:footnoteReference w:id="3"/>
      </w:r>
      <w:r>
        <w:t xml:space="preserve">  In 1999, the Wireless Telecommunications Bureau (WTB) granted a waiver of section 90.179 of the Commission’s rules </w:t>
      </w:r>
      <w:r w:rsidR="006E3662">
        <w:t>allowing</w:t>
      </w:r>
      <w:r w:rsidRPr="00D91838" w:rsidR="00D91838">
        <w:t xml:space="preserve"> </w:t>
      </w:r>
      <w:r w:rsidR="00D91838">
        <w:t xml:space="preserve">Pennsylvania and First Energy’s predecessor to </w:t>
      </w:r>
      <w:r>
        <w:t>jointly operate</w:t>
      </w:r>
      <w:r w:rsidR="00D91838">
        <w:t xml:space="preserve"> a</w:t>
      </w:r>
      <w:r>
        <w:t xml:space="preserve"> statewide 800 MHz Public Safety/Power Radio Service system on a non-profit, cost shared basis.</w:t>
      </w:r>
      <w:r>
        <w:rPr>
          <w:rStyle w:val="FootnoteReference"/>
        </w:rPr>
        <w:footnoteReference w:id="4"/>
      </w:r>
      <w:r>
        <w:t xml:space="preserve">  In </w:t>
      </w:r>
      <w:r w:rsidR="00F265F4">
        <w:t xml:space="preserve">the </w:t>
      </w:r>
      <w:r>
        <w:t>instant request, Petitioners ask the Commission to interpret th</w:t>
      </w:r>
      <w:r w:rsidR="00D91838">
        <w:t>e</w:t>
      </w:r>
      <w:r>
        <w:t xml:space="preserve"> </w:t>
      </w:r>
      <w:r w:rsidRPr="00815BA5">
        <w:rPr>
          <w:i/>
          <w:iCs/>
        </w:rPr>
        <w:t xml:space="preserve">1999 </w:t>
      </w:r>
      <w:r w:rsidRPr="00815BA5" w:rsidR="002F649A">
        <w:rPr>
          <w:i/>
          <w:iCs/>
        </w:rPr>
        <w:t>W</w:t>
      </w:r>
      <w:r w:rsidRPr="00815BA5">
        <w:rPr>
          <w:i/>
          <w:iCs/>
        </w:rPr>
        <w:t>aiver</w:t>
      </w:r>
      <w:r w:rsidRPr="00815BA5" w:rsidR="00D91838">
        <w:rPr>
          <w:i/>
          <w:iCs/>
        </w:rPr>
        <w:t xml:space="preserve"> </w:t>
      </w:r>
      <w:r w:rsidRPr="00815BA5" w:rsidR="002F649A">
        <w:rPr>
          <w:i/>
          <w:iCs/>
        </w:rPr>
        <w:t>O</w:t>
      </w:r>
      <w:r w:rsidRPr="00815BA5" w:rsidR="00D91838">
        <w:rPr>
          <w:i/>
          <w:iCs/>
        </w:rPr>
        <w:t>rder</w:t>
      </w:r>
      <w:r>
        <w:t xml:space="preserve"> to allow Petitioners to </w:t>
      </w:r>
      <w:r w:rsidR="00D91838">
        <w:t xml:space="preserve">add </w:t>
      </w:r>
      <w:r>
        <w:t xml:space="preserve">VHF </w:t>
      </w:r>
      <w:r w:rsidR="00334FAE">
        <w:t>channels</w:t>
      </w:r>
      <w:r w:rsidR="00D91838">
        <w:t xml:space="preserve"> </w:t>
      </w:r>
      <w:r>
        <w:t xml:space="preserve">to </w:t>
      </w:r>
      <w:r w:rsidR="00D91838">
        <w:t xml:space="preserve">the </w:t>
      </w:r>
      <w:r>
        <w:t>joint system</w:t>
      </w:r>
      <w:r w:rsidR="00D91838">
        <w:t>.</w:t>
      </w:r>
      <w:r>
        <w:rPr>
          <w:rStyle w:val="FootnoteReference"/>
        </w:rPr>
        <w:footnoteReference w:id="5"/>
      </w:r>
      <w:r w:rsidR="00D91838">
        <w:t xml:space="preserve">  I</w:t>
      </w:r>
      <w:r>
        <w:t xml:space="preserve">n the alternative, </w:t>
      </w:r>
      <w:r w:rsidR="00D91838">
        <w:t xml:space="preserve">Petitioners request that the 1999 </w:t>
      </w:r>
      <w:r>
        <w:t xml:space="preserve">waiver </w:t>
      </w:r>
      <w:r w:rsidR="00D91838">
        <w:t xml:space="preserve">be amended </w:t>
      </w:r>
      <w:r w:rsidR="00334FAE">
        <w:t xml:space="preserve">or that a new waiver be granted </w:t>
      </w:r>
      <w:r>
        <w:t xml:space="preserve">to permit </w:t>
      </w:r>
      <w:r w:rsidR="00D91838">
        <w:t xml:space="preserve">adding </w:t>
      </w:r>
      <w:r w:rsidR="002F649A">
        <w:t xml:space="preserve">the </w:t>
      </w:r>
      <w:r>
        <w:t>VHF channels.</w:t>
      </w:r>
      <w:r>
        <w:rPr>
          <w:rStyle w:val="FootnoteReference"/>
        </w:rPr>
        <w:footnoteReference w:id="6"/>
      </w:r>
      <w:r>
        <w:t xml:space="preserve">  Based on the record in this proceeding, and for the reasons discussed below, we grant </w:t>
      </w:r>
      <w:r w:rsidR="00026638">
        <w:t xml:space="preserve">a new waiver allowing addition of VHF channels to </w:t>
      </w:r>
      <w:r>
        <w:t>Petitioner</w:t>
      </w:r>
      <w:r w:rsidR="00026638">
        <w:t>s</w:t>
      </w:r>
      <w:r>
        <w:t>’</w:t>
      </w:r>
      <w:r w:rsidR="00026638">
        <w:t xml:space="preserve"> statewide system.  </w:t>
      </w:r>
    </w:p>
    <w:p w:rsidR="00C87F1C" w:rsidP="00C2117C" w14:paraId="5E2C2BA1" w14:textId="77777777">
      <w:pPr>
        <w:pStyle w:val="Heading1"/>
        <w:widowControl/>
      </w:pPr>
      <w:r>
        <w:t>background</w:t>
      </w:r>
    </w:p>
    <w:p w:rsidR="00C87F1C" w14:paraId="197DB5BF" w14:textId="08BC8219">
      <w:pPr>
        <w:pStyle w:val="ParaNum"/>
        <w:widowControl/>
      </w:pPr>
      <w:r>
        <w:t>T</w:t>
      </w:r>
      <w:r>
        <w:t xml:space="preserve">he </w:t>
      </w:r>
      <w:r w:rsidRPr="00815BA5">
        <w:rPr>
          <w:i/>
          <w:iCs/>
        </w:rPr>
        <w:t xml:space="preserve">1999 </w:t>
      </w:r>
      <w:r w:rsidRPr="00815BA5">
        <w:rPr>
          <w:i/>
          <w:iCs/>
        </w:rPr>
        <w:t xml:space="preserve">Waiver </w:t>
      </w:r>
      <w:r w:rsidRPr="00815BA5" w:rsidR="002F649A">
        <w:rPr>
          <w:i/>
          <w:iCs/>
        </w:rPr>
        <w:t>Order</w:t>
      </w:r>
      <w:r w:rsidR="002F649A">
        <w:t xml:space="preserve"> </w:t>
      </w:r>
      <w:r>
        <w:t>granted</w:t>
      </w:r>
      <w:r>
        <w:t xml:space="preserve"> Pennsylvania and GPU Energy—a predecessor in interest to FirstEnergy Corp.</w:t>
      </w:r>
      <w:r>
        <w:t>,</w:t>
      </w:r>
      <w:r>
        <w:t xml:space="preserve"> a waiver of section 90.179 to construct and operate a shared network on 800 MHz Public Safety and Industrial/Land Transportation </w:t>
      </w:r>
      <w:r w:rsidR="005E3875">
        <w:t>(I/LT)</w:t>
      </w:r>
      <w:r>
        <w:t xml:space="preserve"> frequencies to be used by Public Safety and Power Radio </w:t>
      </w:r>
      <w:r>
        <w:t>eligibles</w:t>
      </w:r>
      <w:r>
        <w:t xml:space="preserve"> on a non-profit, cost-shared basis.</w:t>
      </w:r>
      <w:r>
        <w:rPr>
          <w:rStyle w:val="FootnoteReference"/>
        </w:rPr>
        <w:footnoteReference w:id="7"/>
      </w:r>
      <w:r>
        <w:t xml:space="preserve">  Petitioners claim that the statewide system has now reached the end of its lifecycle and is being upgraded, at least in part, to Project 25 Phase II </w:t>
      </w:r>
      <w:r>
        <w:t>technology.</w:t>
      </w:r>
      <w:r>
        <w:rPr>
          <w:rStyle w:val="FootnoteReference"/>
        </w:rPr>
        <w:footnoteReference w:id="8"/>
      </w:r>
      <w:r>
        <w:t xml:space="preserve">  </w:t>
      </w:r>
      <w:r w:rsidR="005E3875">
        <w:t xml:space="preserve">As part of the upgrade, </w:t>
      </w:r>
      <w:r>
        <w:t xml:space="preserve">Petitioners propose to </w:t>
      </w:r>
      <w:r w:rsidR="002F649A">
        <w:t xml:space="preserve">add </w:t>
      </w:r>
      <w:r w:rsidR="00334FAE">
        <w:t xml:space="preserve">422 </w:t>
      </w:r>
      <w:r>
        <w:t xml:space="preserve">VHF channels </w:t>
      </w:r>
      <w:r w:rsidR="002F649A">
        <w:t xml:space="preserve">to </w:t>
      </w:r>
      <w:r>
        <w:t>the system to increase coverage</w:t>
      </w:r>
      <w:r w:rsidR="005E3875">
        <w:t xml:space="preserve"> and </w:t>
      </w:r>
      <w:r>
        <w:t>replac</w:t>
      </w:r>
      <w:r w:rsidR="005E3875">
        <w:t>e</w:t>
      </w:r>
      <w:r>
        <w:t xml:space="preserve"> legacy 800 MHz facilities in certain areas.</w:t>
      </w:r>
      <w:r>
        <w:rPr>
          <w:rStyle w:val="FootnoteReference"/>
        </w:rPr>
        <w:footnoteReference w:id="9"/>
      </w:r>
      <w:r>
        <w:t xml:space="preserve">  Petitioners state that the legacy system, with pole-mounted antennas, “do[es] not have equipment shelters, adequate backup power, or robust backhaul.”</w:t>
      </w:r>
      <w:r>
        <w:rPr>
          <w:rStyle w:val="FootnoteReference"/>
        </w:rPr>
        <w:footnoteReference w:id="10"/>
      </w:r>
      <w:r>
        <w:t xml:space="preserve">  Petitioners also submit that upgrading the legacy system without using the requested VHF channels “would impose overwhelming financial and logistics burdens.”</w:t>
      </w:r>
      <w:r>
        <w:rPr>
          <w:rStyle w:val="FootnoteReference"/>
        </w:rPr>
        <w:footnoteReference w:id="11"/>
      </w:r>
      <w:r>
        <w:t xml:space="preserve">   </w:t>
      </w:r>
    </w:p>
    <w:p w:rsidR="00C87F1C" w:rsidP="00C2117C" w14:paraId="06B21C7C" w14:textId="5D6CA4D7">
      <w:pPr>
        <w:pStyle w:val="ParaNum"/>
        <w:widowControl/>
      </w:pPr>
      <w:r>
        <w:t>In their March 12, 2019 filing</w:t>
      </w:r>
      <w:r w:rsidR="00927455">
        <w:t>,</w:t>
      </w:r>
      <w:r>
        <w:t xml:space="preserve"> Petitioners ask the Commission to interpret the </w:t>
      </w:r>
      <w:r w:rsidRPr="00815BA5">
        <w:rPr>
          <w:i/>
          <w:iCs/>
        </w:rPr>
        <w:t xml:space="preserve">1999 </w:t>
      </w:r>
      <w:r w:rsidRPr="00815BA5" w:rsidR="002F649A">
        <w:rPr>
          <w:i/>
          <w:iCs/>
        </w:rPr>
        <w:t>W</w:t>
      </w:r>
      <w:r w:rsidRPr="00815BA5">
        <w:rPr>
          <w:i/>
          <w:iCs/>
        </w:rPr>
        <w:t xml:space="preserve">aiver </w:t>
      </w:r>
      <w:r w:rsidRPr="00815BA5" w:rsidR="002F649A">
        <w:rPr>
          <w:i/>
          <w:iCs/>
        </w:rPr>
        <w:t>Order</w:t>
      </w:r>
      <w:r w:rsidR="002F649A">
        <w:t xml:space="preserve"> </w:t>
      </w:r>
      <w:r w:rsidR="00334FAE">
        <w:t xml:space="preserve">to </w:t>
      </w:r>
      <w:r>
        <w:t xml:space="preserve">allow </w:t>
      </w:r>
      <w:r w:rsidR="00334FAE">
        <w:t>them to add</w:t>
      </w:r>
      <w:r>
        <w:t xml:space="preserve"> VHF channels </w:t>
      </w:r>
      <w:r w:rsidR="00334FAE">
        <w:t xml:space="preserve">to </w:t>
      </w:r>
      <w:r>
        <w:t>their system</w:t>
      </w:r>
      <w:r w:rsidR="009563F7">
        <w:t xml:space="preserve"> and </w:t>
      </w:r>
      <w:r w:rsidR="005E3875">
        <w:t xml:space="preserve">to </w:t>
      </w:r>
      <w:r w:rsidR="009563F7">
        <w:t>use the channels on the same shared basis as the system’s 800 MHz channels.</w:t>
      </w:r>
      <w:r>
        <w:rPr>
          <w:rStyle w:val="FootnoteReference"/>
        </w:rPr>
        <w:footnoteReference w:id="12"/>
      </w:r>
      <w:r w:rsidR="009563F7">
        <w:t xml:space="preserve">  Alternatively, Petitioners request that the Commission allow incorporation of VHF channels into the shared system either by </w:t>
      </w:r>
      <w:r>
        <w:t>amend</w:t>
      </w:r>
      <w:r w:rsidR="009563F7">
        <w:t>ing</w:t>
      </w:r>
      <w:r>
        <w:t xml:space="preserve"> the 1999 </w:t>
      </w:r>
      <w:r w:rsidR="002F649A">
        <w:t>w</w:t>
      </w:r>
      <w:r>
        <w:t>aiver</w:t>
      </w:r>
      <w:r>
        <w:rPr>
          <w:rStyle w:val="FootnoteReference"/>
        </w:rPr>
        <w:footnoteReference w:id="13"/>
      </w:r>
      <w:r>
        <w:t xml:space="preserve"> </w:t>
      </w:r>
      <w:r w:rsidR="009563F7">
        <w:t xml:space="preserve">or by granting </w:t>
      </w:r>
      <w:r>
        <w:t xml:space="preserve">a </w:t>
      </w:r>
      <w:r w:rsidR="009563F7">
        <w:t xml:space="preserve">new </w:t>
      </w:r>
      <w:r>
        <w:t>waiver</w:t>
      </w:r>
      <w:r w:rsidR="009563F7">
        <w:t>.</w:t>
      </w:r>
      <w:r>
        <w:rPr>
          <w:rStyle w:val="FootnoteReference"/>
        </w:rPr>
        <w:footnoteReference w:id="14"/>
      </w:r>
      <w:r>
        <w:t xml:space="preserve"> </w:t>
      </w:r>
    </w:p>
    <w:p w:rsidR="00C87F1C" w:rsidP="00C2117C" w14:paraId="79FB6815" w14:textId="6BB888B3">
      <w:pPr>
        <w:pStyle w:val="ParaNum"/>
        <w:widowControl/>
      </w:pPr>
      <w:r>
        <w:t xml:space="preserve">On </w:t>
      </w:r>
      <w:r w:rsidRPr="00D433A5">
        <w:t xml:space="preserve">November 1, 2019, </w:t>
      </w:r>
      <w:r>
        <w:t>the Public Safety and Homeland Security Bureau (Bureau) placed Petitioners’ proposal, as supplemented, on public notice.</w:t>
      </w:r>
      <w:r>
        <w:rPr>
          <w:vertAlign w:val="superscript"/>
        </w:rPr>
        <w:footnoteReference w:id="15"/>
      </w:r>
      <w:r w:rsidRPr="00D433A5" w:rsidR="00D54A00">
        <w:t xml:space="preserve"> </w:t>
      </w:r>
      <w:r>
        <w:t xml:space="preserve"> The Bureau received comments</w:t>
      </w:r>
      <w:r w:rsidR="009563F7">
        <w:t xml:space="preserve"> from the State of Maryland Department of Information Technology (Maryland) and the Commonwealth of Virginia Department of State Police (Virginia),</w:t>
      </w:r>
      <w:r>
        <w:rPr>
          <w:rStyle w:val="FootnoteReference"/>
        </w:rPr>
        <w:footnoteReference w:id="16"/>
      </w:r>
      <w:r>
        <w:t xml:space="preserve"> and </w:t>
      </w:r>
      <w:r w:rsidR="009563F7">
        <w:t xml:space="preserve">Pennsylvania and First Energy filed </w:t>
      </w:r>
      <w:r>
        <w:t>reply comments.</w:t>
      </w:r>
      <w:r>
        <w:rPr>
          <w:rStyle w:val="FootnoteReference"/>
        </w:rPr>
        <w:footnoteReference w:id="17"/>
      </w:r>
      <w:r>
        <w:t xml:space="preserve">  </w:t>
      </w:r>
      <w:r w:rsidR="00CE594A">
        <w:t xml:space="preserve">Maryland </w:t>
      </w:r>
      <w:r w:rsidR="00334FAE">
        <w:t xml:space="preserve">generally </w:t>
      </w:r>
      <w:r>
        <w:t>support</w:t>
      </w:r>
      <w:r w:rsidR="00815BA5">
        <w:t>s</w:t>
      </w:r>
      <w:r>
        <w:t xml:space="preserve"> Petitioners’ request, </w:t>
      </w:r>
      <w:r w:rsidR="00CE594A">
        <w:t xml:space="preserve">as does Virginia, </w:t>
      </w:r>
      <w:r>
        <w:t xml:space="preserve">with some </w:t>
      </w:r>
      <w:r w:rsidR="009563F7">
        <w:t>qualifications</w:t>
      </w:r>
      <w:r>
        <w:t>.  Maryland submits that “a plain reading of the 1999 waiver supports the use of both [800 MHz and VHF] frequency bands in a shared land mobile radio communications system.”</w:t>
      </w:r>
      <w:r>
        <w:rPr>
          <w:rStyle w:val="FootnoteReference"/>
        </w:rPr>
        <w:footnoteReference w:id="18"/>
      </w:r>
      <w:r>
        <w:t xml:space="preserve">  Virginia </w:t>
      </w:r>
      <w:r w:rsidR="00334FAE">
        <w:t xml:space="preserve">asserts </w:t>
      </w:r>
      <w:r>
        <w:t>that the Commission’s rules “make no provision for amending previously granted waivers”</w:t>
      </w:r>
      <w:r>
        <w:rPr>
          <w:rStyle w:val="FootnoteReference"/>
        </w:rPr>
        <w:footnoteReference w:id="19"/>
      </w:r>
      <w:r>
        <w:t xml:space="preserve"> and asks that any waiver granted be limited to operating within the territorial limits of Pennsylvania, since FirstEnergy operates in multiple </w:t>
      </w:r>
      <w:r>
        <w:t>states.</w:t>
      </w:r>
      <w:r>
        <w:rPr>
          <w:rStyle w:val="FootnoteReference"/>
        </w:rPr>
        <w:footnoteReference w:id="20"/>
      </w:r>
      <w:r>
        <w:t xml:space="preserve">  In </w:t>
      </w:r>
      <w:r w:rsidR="000C7868">
        <w:t xml:space="preserve">its </w:t>
      </w:r>
      <w:r>
        <w:t>reply</w:t>
      </w:r>
      <w:r w:rsidR="00665395">
        <w:t>,</w:t>
      </w:r>
      <w:r>
        <w:t xml:space="preserve"> FirstEnergy</w:t>
      </w:r>
      <w:r w:rsidR="00334FAE">
        <w:t xml:space="preserve"> states that it </w:t>
      </w:r>
      <w:r>
        <w:t>does not object to Virginia’s conditions,</w:t>
      </w:r>
      <w:r>
        <w:rPr>
          <w:rStyle w:val="FootnoteReference"/>
        </w:rPr>
        <w:footnoteReference w:id="21"/>
      </w:r>
      <w:r>
        <w:t xml:space="preserve"> and Pennsylvania clarifies that Petitioners only seek to “share facilities serving Pennsylvania.”</w:t>
      </w:r>
      <w:r>
        <w:rPr>
          <w:rStyle w:val="FootnoteReference"/>
        </w:rPr>
        <w:footnoteReference w:id="22"/>
      </w:r>
    </w:p>
    <w:p w:rsidR="00C87F1C" w:rsidP="00C2117C" w14:paraId="3CD4DFD2" w14:textId="77777777">
      <w:pPr>
        <w:pStyle w:val="Heading1"/>
        <w:widowControl/>
      </w:pPr>
      <w:r>
        <w:t>discussion</w:t>
      </w:r>
    </w:p>
    <w:p w:rsidR="0087244D" w:rsidP="00C2117C" w14:paraId="6363DE21" w14:textId="7BD0EFB1">
      <w:pPr>
        <w:pStyle w:val="ParaNum"/>
        <w:widowControl/>
      </w:pPr>
      <w:r>
        <w:t xml:space="preserve">Petitioners propose </w:t>
      </w:r>
      <w:r>
        <w:t xml:space="preserve">to add VHF channels to the statewide system as follows: (1) </w:t>
      </w:r>
      <w:r w:rsidRPr="00030F0C">
        <w:t>Pennsylvania</w:t>
      </w:r>
      <w:r>
        <w:t xml:space="preserve"> </w:t>
      </w:r>
      <w:r>
        <w:t xml:space="preserve">will </w:t>
      </w:r>
      <w:r>
        <w:t xml:space="preserve">contribute 301 </w:t>
      </w:r>
      <w:r>
        <w:t>P</w:t>
      </w:r>
      <w:r>
        <w:t xml:space="preserve">art 90 </w:t>
      </w:r>
      <w:r>
        <w:t>Public Safety channels</w:t>
      </w:r>
      <w:r>
        <w:rPr>
          <w:vertAlign w:val="superscript"/>
        </w:rPr>
        <w:footnoteReference w:id="23"/>
      </w:r>
      <w:r>
        <w:t xml:space="preserve">; </w:t>
      </w:r>
      <w:r w:rsidR="00F776D8">
        <w:t xml:space="preserve">and </w:t>
      </w:r>
      <w:r>
        <w:t xml:space="preserve">(2) </w:t>
      </w:r>
      <w:r>
        <w:t xml:space="preserve">FirstEnergy </w:t>
      </w:r>
      <w:r>
        <w:t xml:space="preserve">will </w:t>
      </w:r>
      <w:r>
        <w:t xml:space="preserve">contribute 83 </w:t>
      </w:r>
      <w:r>
        <w:t>Part 90 I</w:t>
      </w:r>
      <w:r w:rsidR="002A4739">
        <w:t xml:space="preserve">ndustrial/Business </w:t>
      </w:r>
      <w:r>
        <w:t>channels</w:t>
      </w:r>
      <w:r w:rsidR="00F776D8">
        <w:t xml:space="preserve"> and </w:t>
      </w:r>
      <w:r>
        <w:t xml:space="preserve">38 </w:t>
      </w:r>
      <w:r>
        <w:t>Part 22 VHF channels.</w:t>
      </w:r>
      <w:r w:rsidRPr="00F776D8" w:rsidR="00F776D8">
        <w:rPr>
          <w:vertAlign w:val="superscript"/>
        </w:rPr>
        <w:t xml:space="preserve"> </w:t>
      </w:r>
      <w:r>
        <w:rPr>
          <w:vertAlign w:val="superscript"/>
        </w:rPr>
        <w:footnoteReference w:id="24"/>
      </w:r>
      <w:r w:rsidR="00F776D8">
        <w:t xml:space="preserve"> </w:t>
      </w:r>
      <w:r>
        <w:t xml:space="preserve"> </w:t>
      </w:r>
      <w:r w:rsidR="00F776D8">
        <w:t xml:space="preserve">We address these channel categories </w:t>
      </w:r>
      <w:r w:rsidR="002A4739">
        <w:t>in turn.</w:t>
      </w:r>
      <w:r w:rsidR="00F776D8">
        <w:t xml:space="preserve"> </w:t>
      </w:r>
    </w:p>
    <w:p w:rsidR="00F776D8" w:rsidP="00815BA5" w14:paraId="3AFE70D7" w14:textId="00DBAF67">
      <w:pPr>
        <w:pStyle w:val="Heading2"/>
        <w:widowControl/>
      </w:pPr>
      <w:r>
        <w:t xml:space="preserve">Pennsylvania </w:t>
      </w:r>
      <w:r>
        <w:t xml:space="preserve">Public Safety Channels </w:t>
      </w:r>
    </w:p>
    <w:p w:rsidR="00C87F1C" w:rsidRPr="0075243A" w14:paraId="79F4B2D7" w14:textId="198866C5">
      <w:pPr>
        <w:pStyle w:val="ParaNum"/>
        <w:widowControl/>
      </w:pPr>
      <w:r>
        <w:t>W</w:t>
      </w:r>
      <w:r w:rsidRPr="001F5135">
        <w:t xml:space="preserve">e grant </w:t>
      </w:r>
      <w:r w:rsidR="00F04C61">
        <w:t xml:space="preserve">Petitioners’ </w:t>
      </w:r>
      <w:r w:rsidRPr="001F5135">
        <w:t xml:space="preserve">request for a waiver of </w:t>
      </w:r>
      <w:r w:rsidR="00F04C61">
        <w:t>S</w:t>
      </w:r>
      <w:r w:rsidRPr="001F5135">
        <w:t xml:space="preserve">ection 90.179 with respect to the use of </w:t>
      </w:r>
      <w:r>
        <w:t>Pennsylvania</w:t>
      </w:r>
      <w:r w:rsidRPr="001F5135">
        <w:t xml:space="preserve">’s </w:t>
      </w:r>
      <w:r>
        <w:t>VHF</w:t>
      </w:r>
      <w:r w:rsidRPr="001F5135">
        <w:t xml:space="preserve"> </w:t>
      </w:r>
      <w:r w:rsidR="00F04C61">
        <w:t>P</w:t>
      </w:r>
      <w:r>
        <w:t xml:space="preserve">ublic </w:t>
      </w:r>
      <w:r w:rsidR="00F04C61">
        <w:t>S</w:t>
      </w:r>
      <w:r>
        <w:t xml:space="preserve">afety pool </w:t>
      </w:r>
      <w:r w:rsidR="00F04C61">
        <w:t>channels</w:t>
      </w:r>
      <w:r w:rsidRPr="001F5135">
        <w:t xml:space="preserve">.  </w:t>
      </w:r>
      <w:r w:rsidR="00107FB3">
        <w:t xml:space="preserve">As </w:t>
      </w:r>
      <w:r w:rsidR="00F04C61">
        <w:t>a threshold matter, w</w:t>
      </w:r>
      <w:r>
        <w:t xml:space="preserve">e decline </w:t>
      </w:r>
      <w:r w:rsidR="00F04C61">
        <w:t xml:space="preserve">Petitioners’ request </w:t>
      </w:r>
      <w:r>
        <w:t xml:space="preserve">to interpret the </w:t>
      </w:r>
      <w:r w:rsidRPr="00815BA5">
        <w:rPr>
          <w:i/>
          <w:iCs/>
        </w:rPr>
        <w:t xml:space="preserve">1999 Waiver </w:t>
      </w:r>
      <w:r w:rsidRPr="00815BA5" w:rsidR="00D860C5">
        <w:rPr>
          <w:i/>
          <w:iCs/>
        </w:rPr>
        <w:t>Order</w:t>
      </w:r>
      <w:r w:rsidR="00D860C5">
        <w:t xml:space="preserve"> </w:t>
      </w:r>
      <w:r w:rsidR="00054224">
        <w:t xml:space="preserve">to </w:t>
      </w:r>
      <w:r>
        <w:t xml:space="preserve">allow shared use of VHF channels. </w:t>
      </w:r>
      <w:r w:rsidR="00815BA5">
        <w:t xml:space="preserve"> </w:t>
      </w:r>
      <w:r w:rsidR="002A4D85">
        <w:t>T</w:t>
      </w:r>
      <w:r>
        <w:t xml:space="preserve">he </w:t>
      </w:r>
      <w:r w:rsidR="00172DD5">
        <w:t xml:space="preserve">initiating waiver </w:t>
      </w:r>
      <w:r w:rsidR="00D860C5">
        <w:t xml:space="preserve">request </w:t>
      </w:r>
      <w:r w:rsidR="002A4D85">
        <w:t xml:space="preserve">that led to the </w:t>
      </w:r>
      <w:r w:rsidR="00F04C61">
        <w:t xml:space="preserve">1999 </w:t>
      </w:r>
      <w:r w:rsidR="002A4D85">
        <w:t xml:space="preserve">order </w:t>
      </w:r>
      <w:r w:rsidR="001F3072">
        <w:t xml:space="preserve">was limited to 800 MHz channels and </w:t>
      </w:r>
      <w:r w:rsidR="00107FB3">
        <w:t xml:space="preserve">did </w:t>
      </w:r>
      <w:r w:rsidR="001F3072">
        <w:t xml:space="preserve">not </w:t>
      </w:r>
      <w:r w:rsidR="00D860C5">
        <w:t xml:space="preserve">seek </w:t>
      </w:r>
      <w:r>
        <w:t>use of VHF channels</w:t>
      </w:r>
      <w:r w:rsidR="001F3072">
        <w:t xml:space="preserve"> or channels in any other band.  </w:t>
      </w:r>
      <w:r>
        <w:t>Had WTB intended to include other spectrum bands</w:t>
      </w:r>
      <w:r w:rsidR="001F3072">
        <w:t xml:space="preserve"> </w:t>
      </w:r>
      <w:r w:rsidR="002A4D85">
        <w:t xml:space="preserve">besides 800 MHz </w:t>
      </w:r>
      <w:r w:rsidR="001F3072">
        <w:t xml:space="preserve">in the </w:t>
      </w:r>
      <w:r w:rsidRPr="00815BA5" w:rsidR="001F3072">
        <w:rPr>
          <w:i/>
          <w:iCs/>
        </w:rPr>
        <w:t>1999 Waiver Order</w:t>
      </w:r>
      <w:r>
        <w:t xml:space="preserve">, it would have explicitly done so.  </w:t>
      </w:r>
      <w:r w:rsidR="002A4D85">
        <w:t xml:space="preserve">We </w:t>
      </w:r>
      <w:r w:rsidR="00F04C61">
        <w:t xml:space="preserve">also </w:t>
      </w:r>
      <w:r w:rsidR="002A4D85">
        <w:t xml:space="preserve">do not agree with </w:t>
      </w:r>
      <w:r>
        <w:t xml:space="preserve">Maryland that </w:t>
      </w:r>
      <w:r w:rsidR="002A4D85">
        <w:t xml:space="preserve">the order can be </w:t>
      </w:r>
      <w:r w:rsidRPr="00815BA5">
        <w:t>assumed</w:t>
      </w:r>
      <w:r w:rsidRPr="002A4D85">
        <w:t xml:space="preserve"> </w:t>
      </w:r>
      <w:r w:rsidR="002A4D85">
        <w:t xml:space="preserve">to have authorized </w:t>
      </w:r>
      <w:r>
        <w:t xml:space="preserve">use of VHF </w:t>
      </w:r>
      <w:r w:rsidR="002A4D85">
        <w:t>channels because it did not explicitly exclude them</w:t>
      </w:r>
      <w:r>
        <w:t>.</w:t>
      </w:r>
      <w:r>
        <w:rPr>
          <w:rStyle w:val="FootnoteReference"/>
        </w:rPr>
        <w:footnoteReference w:id="25"/>
      </w:r>
      <w:r>
        <w:t xml:space="preserve">  </w:t>
      </w:r>
      <w:r w:rsidR="00754D32">
        <w:t xml:space="preserve">Such an interpretation </w:t>
      </w:r>
      <w:r>
        <w:t xml:space="preserve">is overbroad </w:t>
      </w:r>
      <w:r w:rsidR="00054224">
        <w:t xml:space="preserve">in </w:t>
      </w:r>
      <w:r>
        <w:t xml:space="preserve">that it would </w:t>
      </w:r>
      <w:r w:rsidR="00054224">
        <w:t xml:space="preserve">potentially </w:t>
      </w:r>
      <w:r>
        <w:t>allow Petitioners to use any frequency suitable for land mobile use, independent of the effect on incumbent licensees</w:t>
      </w:r>
      <w:r w:rsidR="00054224">
        <w:t>, without notice to the Commission or other stakeholders</w:t>
      </w:r>
      <w:r>
        <w:t xml:space="preserve">.  </w:t>
      </w:r>
    </w:p>
    <w:p w:rsidR="00C87F1C" w:rsidP="00C2117C" w14:paraId="6637AFB1" w14:textId="17260333">
      <w:pPr>
        <w:pStyle w:val="ParaNum"/>
        <w:widowControl/>
      </w:pPr>
      <w:r>
        <w:t xml:space="preserve">While we do not adopt Petitioners’ interpretation of the </w:t>
      </w:r>
      <w:r w:rsidRPr="00815BA5">
        <w:rPr>
          <w:i/>
          <w:iCs/>
        </w:rPr>
        <w:t>1999 Waiver Order</w:t>
      </w:r>
      <w:r>
        <w:t xml:space="preserve">, we conclude that their alternative waiver request has merit.  </w:t>
      </w:r>
      <w:r w:rsidRPr="001F5135">
        <w:t xml:space="preserve">To obtain a waiver of the Commission’s </w:t>
      </w:r>
      <w:r w:rsidR="00AB0C9F">
        <w:t>r</w:t>
      </w:r>
      <w:r w:rsidRPr="001F5135">
        <w:t>ules, a petitioner must demonstrate either that (</w:t>
      </w:r>
      <w:r w:rsidRPr="001F5135">
        <w:t>i</w:t>
      </w:r>
      <w:r w:rsidRPr="001F5135">
        <w:t>) the underlying purpose of the rule(s) would not be served or would be frustrated by application to the present case, and that a grant of the waiver would be in the public interest;</w:t>
      </w:r>
      <w:r>
        <w:rPr>
          <w:vertAlign w:val="superscript"/>
        </w:rPr>
        <w:footnoteReference w:id="26"/>
      </w:r>
      <w:r w:rsidRPr="001F5135">
        <w:t xml:space="preserve"> or (ii)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27"/>
      </w:r>
      <w:r w:rsidRPr="001F5135">
        <w:t xml:space="preserve">  </w:t>
      </w:r>
    </w:p>
    <w:p w:rsidR="00C87F1C" w:rsidP="00B8761C" w14:paraId="3FD91A42" w14:textId="5C5FEA52">
      <w:pPr>
        <w:pStyle w:val="ParaNum"/>
        <w:widowControl/>
      </w:pPr>
      <w:r>
        <w:t xml:space="preserve">Section </w:t>
      </w:r>
      <w:r w:rsidRPr="001F5135">
        <w:t>90.179(a</w:t>
      </w:r>
      <w:r>
        <w:t>)</w:t>
      </w:r>
      <w:r w:rsidRPr="007F6BA0">
        <w:t xml:space="preserve"> provides that “persons may share a radio station only on frequencies for which they would be eligible for a separate authorization.”</w:t>
      </w:r>
      <w:r>
        <w:rPr>
          <w:rStyle w:val="FootnoteReference"/>
        </w:rPr>
        <w:footnoteReference w:id="28"/>
      </w:r>
      <w:r>
        <w:t xml:space="preserve"> </w:t>
      </w:r>
      <w:r w:rsidR="00B8761C">
        <w:t xml:space="preserve"> </w:t>
      </w:r>
      <w:r w:rsidRPr="001F5135">
        <w:t>Th</w:t>
      </w:r>
      <w:r>
        <w:t xml:space="preserve">is limitation was imposed to ensure adequate </w:t>
      </w:r>
      <w:r w:rsidRPr="001F5135">
        <w:t>spectrum is available for each service category (</w:t>
      </w:r>
      <w:r w:rsidR="00754D32">
        <w:t>e.g.</w:t>
      </w:r>
      <w:r w:rsidRPr="001F5135">
        <w:t>, Public Safety and Industrial/Business) and to avoid incompatible services</w:t>
      </w:r>
      <w:r>
        <w:t xml:space="preserve"> interfering with one another</w:t>
      </w:r>
      <w:r w:rsidRPr="001F5135">
        <w:t>.</w:t>
      </w:r>
      <w:r>
        <w:rPr>
          <w:rStyle w:val="FootnoteReference"/>
        </w:rPr>
        <w:footnoteReference w:id="29"/>
      </w:r>
      <w:r w:rsidR="00B8761C">
        <w:t xml:space="preserve">  </w:t>
      </w:r>
      <w:r>
        <w:t xml:space="preserve">Petitioners assert that </w:t>
      </w:r>
      <w:r w:rsidR="00754D32">
        <w:t xml:space="preserve">granting a waiver to </w:t>
      </w:r>
      <w:r w:rsidR="00754D32">
        <w:t xml:space="preserve">allow shared </w:t>
      </w:r>
      <w:r>
        <w:t xml:space="preserve">use of VHF channels in </w:t>
      </w:r>
      <w:r w:rsidR="00754D32">
        <w:t xml:space="preserve">their </w:t>
      </w:r>
      <w:r>
        <w:t>combined system will serve a multitude of federal, state, and local agencies, and that giving local entities currently using VHF facilities access to a shared network with VHF channels promotes interoperability and would be less costly than constructing 800 MHz facilities.</w:t>
      </w:r>
      <w:r w:rsidRPr="00754D32" w:rsidR="00754D32">
        <w:rPr>
          <w:rStyle w:val="FootnoteReference"/>
        </w:rPr>
        <w:t xml:space="preserve"> </w:t>
      </w:r>
      <w:r>
        <w:rPr>
          <w:rStyle w:val="FootnoteReference"/>
        </w:rPr>
        <w:footnoteReference w:id="30"/>
      </w:r>
      <w:r>
        <w:t xml:space="preserve">  </w:t>
      </w:r>
    </w:p>
    <w:p w:rsidR="00C87F1C" w:rsidP="00F31EC5" w14:paraId="06D13331" w14:textId="5A6DBFEE">
      <w:pPr>
        <w:pStyle w:val="ParaNum"/>
        <w:widowControl/>
      </w:pPr>
      <w:r>
        <w:t xml:space="preserve">We conclude that Petitioners have demonstrated the need to add VHF public safety channels to the system on the same shared-use basis that applies to its 800 MHz channels.  </w:t>
      </w:r>
      <w:r>
        <w:t xml:space="preserve">Petitioners note that </w:t>
      </w:r>
      <w:r w:rsidR="00D966A9">
        <w:t xml:space="preserve">due to the superior propagation characteristics of </w:t>
      </w:r>
      <w:r>
        <w:t xml:space="preserve">VHF </w:t>
      </w:r>
      <w:r w:rsidR="00D966A9">
        <w:t xml:space="preserve">transmissions, VHF channels </w:t>
      </w:r>
      <w:r>
        <w:t>provide optimum coverage in Pennsylvania’s rugged terrain and densely forested areas.</w:t>
      </w:r>
      <w:r>
        <w:rPr>
          <w:rStyle w:val="FootnoteReference"/>
        </w:rPr>
        <w:footnoteReference w:id="31"/>
      </w:r>
      <w:r>
        <w:t xml:space="preserve">  They point to a recent incident – the largest manhunt in Pennsylvania’s history – in which </w:t>
      </w:r>
      <w:r w:rsidR="00D966A9">
        <w:t xml:space="preserve">the existing 800 MHz system did not provide full </w:t>
      </w:r>
      <w:r>
        <w:t xml:space="preserve">coverage </w:t>
      </w:r>
      <w:r w:rsidR="00D966A9">
        <w:t>in these areas</w:t>
      </w:r>
      <w:r>
        <w:t>.</w:t>
      </w:r>
      <w:r>
        <w:rPr>
          <w:rStyle w:val="FootnoteReference"/>
        </w:rPr>
        <w:footnoteReference w:id="32"/>
      </w:r>
      <w:r>
        <w:t xml:space="preserve">  Petitioners state that </w:t>
      </w:r>
      <w:r w:rsidRPr="006E1513">
        <w:t>VHF</w:t>
      </w:r>
      <w:r>
        <w:t xml:space="preserve"> was </w:t>
      </w:r>
      <w:r w:rsidR="00D966A9">
        <w:t xml:space="preserve">needed during the manhunt </w:t>
      </w:r>
      <w:r>
        <w:t xml:space="preserve">to “adequately cover the area” and </w:t>
      </w:r>
      <w:r w:rsidR="00D966A9">
        <w:t xml:space="preserve">that </w:t>
      </w:r>
      <w:r>
        <w:t>VHF sites are presently being incorporated to “increase coverage outside . . . of more highly populated areas.”</w:t>
      </w:r>
      <w:r>
        <w:rPr>
          <w:rStyle w:val="FootnoteReference"/>
        </w:rPr>
        <w:footnoteReference w:id="33"/>
      </w:r>
      <w:r w:rsidR="00D966A9">
        <w:t xml:space="preserve">  </w:t>
      </w:r>
      <w:r>
        <w:t>Petitioners’ showing that Pennsylvania’s 800 MHz system has provided insufficient coverage in rural, rugged</w:t>
      </w:r>
      <w:r w:rsidR="00D966A9">
        <w:t>,</w:t>
      </w:r>
      <w:r>
        <w:t xml:space="preserve"> and forested areas </w:t>
      </w:r>
      <w:r w:rsidR="00712566">
        <w:t xml:space="preserve">demonstrates that </w:t>
      </w:r>
      <w:r w:rsidR="00D966A9">
        <w:t xml:space="preserve">strict </w:t>
      </w:r>
      <w:r w:rsidR="00712566">
        <w:t>application of section 90.17</w:t>
      </w:r>
      <w:r w:rsidR="00D966A9">
        <w:t>9</w:t>
      </w:r>
      <w:r w:rsidR="00712566">
        <w:t>(a) in this case would be unduly burdensome</w:t>
      </w:r>
      <w:r w:rsidR="004D6C40">
        <w:t xml:space="preserve"> and </w:t>
      </w:r>
      <w:r w:rsidR="00712566">
        <w:t>costly</w:t>
      </w:r>
      <w:r w:rsidR="004D6C40">
        <w:t>.  G</w:t>
      </w:r>
      <w:r w:rsidR="00712566">
        <w:t xml:space="preserve">iven </w:t>
      </w:r>
      <w:r>
        <w:t>the documented coverage problems inherent in Petitioners using an 800 MHz-only system in rural and rugged environments</w:t>
      </w:r>
      <w:r w:rsidR="004D6C40">
        <w:t xml:space="preserve">, </w:t>
      </w:r>
      <w:r w:rsidR="00712566">
        <w:t>and in light of the fact that there appear to be</w:t>
      </w:r>
      <w:r>
        <w:t xml:space="preserve"> no reasonable alternative</w:t>
      </w:r>
      <w:r w:rsidR="00712566">
        <w:t>s</w:t>
      </w:r>
      <w:r>
        <w:t xml:space="preserve"> available to Petitioners to meet the coverage shortfall, </w:t>
      </w:r>
      <w:r w:rsidR="00712566">
        <w:t>we</w:t>
      </w:r>
      <w:r>
        <w:t xml:space="preserve"> find the public interest dictates granting the waiver. </w:t>
      </w:r>
    </w:p>
    <w:p w:rsidR="002A4739" w:rsidP="002A4739" w14:paraId="025E8242" w14:textId="4F2DEF7A">
      <w:pPr>
        <w:pStyle w:val="Heading2"/>
        <w:widowControl/>
      </w:pPr>
      <w:r>
        <w:t xml:space="preserve">FirstEnergy Industrial/Business and Part 22 </w:t>
      </w:r>
      <w:r w:rsidR="000E47EC">
        <w:t>C</w:t>
      </w:r>
      <w:r>
        <w:t xml:space="preserve">hannels </w:t>
      </w:r>
    </w:p>
    <w:p w:rsidR="00C87F1C" w:rsidP="00F776D8" w14:paraId="22A59C3E" w14:textId="2775576D">
      <w:pPr>
        <w:pStyle w:val="ParaNum"/>
        <w:widowControl/>
      </w:pPr>
      <w:r w:rsidRPr="00F776D8">
        <w:rPr>
          <w:i/>
          <w:iCs/>
        </w:rPr>
        <w:t xml:space="preserve">Part 90 Industrial/Business </w:t>
      </w:r>
      <w:r w:rsidR="000E47EC">
        <w:rPr>
          <w:i/>
          <w:iCs/>
        </w:rPr>
        <w:t>Channels</w:t>
      </w:r>
      <w:r>
        <w:t xml:space="preserve">.  </w:t>
      </w:r>
      <w:r w:rsidRPr="006E1513">
        <w:t>Section 90.179(</w:t>
      </w:r>
      <w:r w:rsidRPr="00BD40E6">
        <w:t>h) of the Commission’s rules provides that</w:t>
      </w:r>
      <w:r w:rsidRPr="006E1513">
        <w:t xml:space="preserve"> “licensees authorized to operate radio systems on Industrial/Business Pool frequencies designated in §</w:t>
      </w:r>
      <w:r w:rsidRPr="00BD40E6">
        <w:t xml:space="preserve"> </w:t>
      </w:r>
      <w:r w:rsidRPr="006E1513">
        <w:t>90.35 may share their facilities with Public Safety Pool entities designated in §</w:t>
      </w:r>
      <w:r w:rsidRPr="00BD40E6">
        <w:t xml:space="preserve"> </w:t>
      </w:r>
      <w:r w:rsidRPr="006E1513">
        <w:t xml:space="preserve">90.20 and with </w:t>
      </w:r>
      <w:r w:rsidR="00AB0C9F">
        <w:t>f</w:t>
      </w:r>
      <w:r w:rsidRPr="006E1513">
        <w:t xml:space="preserve">ederal </w:t>
      </w:r>
      <w:r w:rsidR="00AB0C9F">
        <w:t>a</w:t>
      </w:r>
      <w:r w:rsidRPr="00BD40E6">
        <w:t>gencies</w:t>
      </w:r>
      <w:r w:rsidRPr="006E1513">
        <w:t xml:space="preserve"> on a non-profit cost-shared basis</w:t>
      </w:r>
      <w:r w:rsidR="000C7868">
        <w:t>.</w:t>
      </w:r>
      <w:r w:rsidRPr="00BD40E6">
        <w:t>”</w:t>
      </w:r>
      <w:r w:rsidR="00815BA5">
        <w:t xml:space="preserve"> </w:t>
      </w:r>
      <w:r w:rsidR="000C7868">
        <w:t xml:space="preserve"> </w:t>
      </w:r>
      <w:r w:rsidRPr="006E1513">
        <w:t xml:space="preserve">Therefore, </w:t>
      </w:r>
      <w:r>
        <w:t xml:space="preserve">section 90.179 poses no impediment to FirstEnergy sharing its Industrial/Business 800 MHz and VHF frequencies with Pennsylvania and with </w:t>
      </w:r>
      <w:r w:rsidR="00AB0C9F">
        <w:t>f</w:t>
      </w:r>
      <w:r>
        <w:t>ederal agencies</w:t>
      </w:r>
      <w:r w:rsidRPr="00BD40E6">
        <w:t>.</w:t>
      </w:r>
    </w:p>
    <w:p w:rsidR="00C87F1C" w:rsidRPr="004C51E0" w:rsidP="00063C46" w14:paraId="78DB39F4" w14:textId="75AD9E5A">
      <w:pPr>
        <w:pStyle w:val="ParaNum"/>
        <w:widowControl/>
        <w:tabs>
          <w:tab w:val="num" w:pos="1170"/>
          <w:tab w:val="clear" w:pos="1440"/>
        </w:tabs>
      </w:pPr>
      <w:r w:rsidRPr="00257960">
        <w:rPr>
          <w:i/>
          <w:iCs/>
          <w:szCs w:val="22"/>
        </w:rPr>
        <w:t>Part 22</w:t>
      </w:r>
      <w:r w:rsidR="000E47EC">
        <w:rPr>
          <w:i/>
          <w:iCs/>
          <w:szCs w:val="22"/>
        </w:rPr>
        <w:t xml:space="preserve"> </w:t>
      </w:r>
      <w:r w:rsidRPr="00815BA5" w:rsidR="000E47EC">
        <w:rPr>
          <w:i/>
          <w:iCs/>
          <w:szCs w:val="22"/>
        </w:rPr>
        <w:t>Channels</w:t>
      </w:r>
      <w:r>
        <w:rPr>
          <w:szCs w:val="22"/>
        </w:rPr>
        <w:t xml:space="preserve">.  </w:t>
      </w:r>
      <w:r w:rsidRPr="002B69D9">
        <w:rPr>
          <w:szCs w:val="22"/>
        </w:rPr>
        <w:t>FirstEnergy</w:t>
      </w:r>
      <w:r>
        <w:rPr>
          <w:szCs w:val="22"/>
        </w:rPr>
        <w:t xml:space="preserve"> </w:t>
      </w:r>
      <w:r w:rsidR="003D46FA">
        <w:rPr>
          <w:szCs w:val="22"/>
        </w:rPr>
        <w:t>proposes</w:t>
      </w:r>
      <w:r>
        <w:rPr>
          <w:szCs w:val="22"/>
        </w:rPr>
        <w:t xml:space="preserve"> </w:t>
      </w:r>
      <w:r w:rsidR="00402D56">
        <w:rPr>
          <w:szCs w:val="22"/>
        </w:rPr>
        <w:t xml:space="preserve">to </w:t>
      </w:r>
      <w:r w:rsidR="00D837C0">
        <w:rPr>
          <w:szCs w:val="22"/>
        </w:rPr>
        <w:t xml:space="preserve">contribute </w:t>
      </w:r>
      <w:r w:rsidR="00F776D8">
        <w:rPr>
          <w:szCs w:val="22"/>
        </w:rPr>
        <w:t>38 P</w:t>
      </w:r>
      <w:r w:rsidR="00400FB5">
        <w:rPr>
          <w:szCs w:val="22"/>
        </w:rPr>
        <w:t xml:space="preserve">art 22 </w:t>
      </w:r>
      <w:r w:rsidR="00D837C0">
        <w:rPr>
          <w:szCs w:val="22"/>
        </w:rPr>
        <w:t xml:space="preserve">VHF </w:t>
      </w:r>
      <w:r w:rsidR="00F776D8">
        <w:rPr>
          <w:szCs w:val="22"/>
        </w:rPr>
        <w:t>c</w:t>
      </w:r>
      <w:r w:rsidR="00D837C0">
        <w:rPr>
          <w:szCs w:val="22"/>
        </w:rPr>
        <w:t xml:space="preserve">hannels to </w:t>
      </w:r>
      <w:r w:rsidR="009E68F9">
        <w:rPr>
          <w:szCs w:val="22"/>
        </w:rPr>
        <w:t>th</w:t>
      </w:r>
      <w:r w:rsidR="00D837C0">
        <w:rPr>
          <w:szCs w:val="22"/>
        </w:rPr>
        <w:t xml:space="preserve">e shared </w:t>
      </w:r>
      <w:r w:rsidR="009E68F9">
        <w:rPr>
          <w:szCs w:val="22"/>
        </w:rPr>
        <w:t>system</w:t>
      </w:r>
      <w:r w:rsidR="002F7CCF">
        <w:rPr>
          <w:szCs w:val="22"/>
        </w:rPr>
        <w:t>.</w:t>
      </w:r>
      <w:r>
        <w:rPr>
          <w:szCs w:val="22"/>
          <w:vertAlign w:val="superscript"/>
        </w:rPr>
        <w:footnoteReference w:id="34"/>
      </w:r>
      <w:r w:rsidRPr="002B69D9">
        <w:rPr>
          <w:szCs w:val="22"/>
        </w:rPr>
        <w:t xml:space="preserve"> </w:t>
      </w:r>
      <w:r>
        <w:rPr>
          <w:szCs w:val="22"/>
        </w:rPr>
        <w:t xml:space="preserve"> In its reply comments, FirstEnergy notes that</w:t>
      </w:r>
      <w:r w:rsidRPr="002B69D9">
        <w:rPr>
          <w:szCs w:val="22"/>
        </w:rPr>
        <w:t xml:space="preserve"> no waiver is required for shared use of </w:t>
      </w:r>
      <w:r w:rsidR="00D837C0">
        <w:rPr>
          <w:szCs w:val="22"/>
        </w:rPr>
        <w:t>P</w:t>
      </w:r>
      <w:r w:rsidRPr="002B69D9">
        <w:rPr>
          <w:szCs w:val="22"/>
        </w:rPr>
        <w:t>art 22 channels</w:t>
      </w:r>
      <w:r>
        <w:rPr>
          <w:szCs w:val="22"/>
        </w:rPr>
        <w:t>.</w:t>
      </w:r>
      <w:r>
        <w:rPr>
          <w:rStyle w:val="FootnoteReference"/>
          <w:szCs w:val="22"/>
        </w:rPr>
        <w:footnoteReference w:id="35"/>
      </w:r>
      <w:r w:rsidR="003F3557">
        <w:rPr>
          <w:szCs w:val="22"/>
        </w:rPr>
        <w:t xml:space="preserve"> </w:t>
      </w:r>
      <w:r>
        <w:rPr>
          <w:szCs w:val="22"/>
        </w:rPr>
        <w:t xml:space="preserve"> We agree</w:t>
      </w:r>
      <w:r w:rsidR="003F3557">
        <w:rPr>
          <w:szCs w:val="22"/>
        </w:rPr>
        <w:t xml:space="preserve">. </w:t>
      </w:r>
      <w:r>
        <w:rPr>
          <w:szCs w:val="22"/>
        </w:rPr>
        <w:t xml:space="preserve"> </w:t>
      </w:r>
      <w:r w:rsidR="004C51E0">
        <w:rPr>
          <w:szCs w:val="22"/>
        </w:rPr>
        <w:t xml:space="preserve">In </w:t>
      </w:r>
      <w:r w:rsidR="00D837C0">
        <w:rPr>
          <w:szCs w:val="22"/>
        </w:rPr>
        <w:t xml:space="preserve">2017, the Commission </w:t>
      </w:r>
      <w:r w:rsidR="004C51E0">
        <w:rPr>
          <w:szCs w:val="22"/>
        </w:rPr>
        <w:t>elimin</w:t>
      </w:r>
      <w:r w:rsidR="00D31832">
        <w:rPr>
          <w:szCs w:val="22"/>
        </w:rPr>
        <w:t>ated</w:t>
      </w:r>
      <w:r w:rsidR="004C51E0">
        <w:rPr>
          <w:szCs w:val="22"/>
        </w:rPr>
        <w:t xml:space="preserve"> Section 20.9 of the rules, </w:t>
      </w:r>
      <w:r w:rsidR="00D31832">
        <w:rPr>
          <w:szCs w:val="22"/>
        </w:rPr>
        <w:t xml:space="preserve">which required </w:t>
      </w:r>
      <w:r w:rsidR="00A04384">
        <w:rPr>
          <w:szCs w:val="22"/>
        </w:rPr>
        <w:t>l</w:t>
      </w:r>
      <w:r w:rsidR="004C51E0">
        <w:t xml:space="preserve">icensees </w:t>
      </w:r>
      <w:r w:rsidR="00D31832">
        <w:t xml:space="preserve">on channels allocated for commercial use </w:t>
      </w:r>
      <w:r w:rsidR="004C51E0">
        <w:t xml:space="preserve">to seek waivers or submit certifications to the Commission </w:t>
      </w:r>
      <w:r w:rsidR="00D31832">
        <w:t xml:space="preserve">in order to </w:t>
      </w:r>
      <w:r w:rsidR="004C51E0">
        <w:t>provide non-commercial services</w:t>
      </w:r>
      <w:r w:rsidR="00D31832">
        <w:t>.</w:t>
      </w:r>
      <w:r>
        <w:rPr>
          <w:rStyle w:val="FootnoteReference"/>
          <w:szCs w:val="22"/>
        </w:rPr>
        <w:footnoteReference w:id="36"/>
      </w:r>
      <w:r w:rsidR="00D31832">
        <w:t xml:space="preserve">  </w:t>
      </w:r>
      <w:r w:rsidR="00A0465A">
        <w:t xml:space="preserve">The Commission </w:t>
      </w:r>
      <w:r w:rsidR="00D31832">
        <w:t xml:space="preserve">stated </w:t>
      </w:r>
      <w:r w:rsidR="00A0465A">
        <w:t>that the “</w:t>
      </w:r>
      <w:r w:rsidRPr="00F2543F" w:rsidR="00A0465A">
        <w:t xml:space="preserve">elimination </w:t>
      </w:r>
      <w:r w:rsidRPr="00F2543F" w:rsidR="00A0465A">
        <w:t>of Section 20.9 will help bring beneficial services to businesses, state and local governments, and the public safety community</w:t>
      </w:r>
      <w:r w:rsidR="00A0465A">
        <w:t>, while reducing the administrative burdens and processing delays that certain providers of these services currently face.”</w:t>
      </w:r>
      <w:r>
        <w:rPr>
          <w:rStyle w:val="FootnoteReference"/>
        </w:rPr>
        <w:footnoteReference w:id="37"/>
      </w:r>
      <w:r w:rsidR="00A0465A">
        <w:t xml:space="preserve">  </w:t>
      </w:r>
      <w:r w:rsidR="00D31832">
        <w:t xml:space="preserve">As a result of this rule change, </w:t>
      </w:r>
      <w:r w:rsidR="003D46FA">
        <w:t xml:space="preserve">Petitioners’ proposed </w:t>
      </w:r>
      <w:r w:rsidR="00D31832">
        <w:t>non-commercial shared use of Part 22 channels as part of the Pennsylvania/FirstEnergy system is permissible</w:t>
      </w:r>
      <w:r w:rsidR="003D46FA">
        <w:t xml:space="preserve"> without a waiver</w:t>
      </w:r>
      <w:r w:rsidR="00D31832">
        <w:t>.</w:t>
      </w:r>
      <w:r>
        <w:rPr>
          <w:rStyle w:val="FootnoteReference"/>
        </w:rPr>
        <w:footnoteReference w:id="38"/>
      </w:r>
      <w:r w:rsidR="00D31832">
        <w:t xml:space="preserve">  </w:t>
      </w:r>
      <w:r w:rsidRPr="004C51E0" w:rsidR="00D52154">
        <w:rPr>
          <w:szCs w:val="22"/>
        </w:rPr>
        <w:t xml:space="preserve">  </w:t>
      </w:r>
    </w:p>
    <w:p w:rsidR="00C87F1C" w:rsidP="00C2117C" w14:paraId="0D4B2FBE" w14:textId="20A0E12D">
      <w:pPr>
        <w:pStyle w:val="Heading2"/>
        <w:widowControl/>
      </w:pPr>
      <w:r>
        <w:t>Applicability of the Waiver to Future F</w:t>
      </w:r>
      <w:r w:rsidR="004B028F">
        <w:t>acilities and Channels</w:t>
      </w:r>
      <w:r>
        <w:t xml:space="preserve">. </w:t>
      </w:r>
    </w:p>
    <w:p w:rsidR="00C87F1C" w:rsidRPr="009D3268" w:rsidP="00C2117C" w14:paraId="1873474B" w14:textId="45A28EF0">
      <w:pPr>
        <w:pStyle w:val="ParaNum"/>
        <w:widowControl/>
        <w:tabs>
          <w:tab w:val="num" w:pos="1080"/>
          <w:tab w:val="clear" w:pos="1440"/>
        </w:tabs>
      </w:pPr>
      <w:r>
        <w:t xml:space="preserve">  Petitioners ask that </w:t>
      </w:r>
      <w:r w:rsidR="00CC02D5">
        <w:t xml:space="preserve">any </w:t>
      </w:r>
      <w:r>
        <w:t xml:space="preserve">waiver </w:t>
      </w:r>
      <w:r w:rsidR="00CC02D5">
        <w:t xml:space="preserve">relief not only apply to the specific VHF channels identified in the Petition but also </w:t>
      </w:r>
      <w:r>
        <w:t>to any future stations that may be added later</w:t>
      </w:r>
      <w:r w:rsidR="004B028F">
        <w:t>,</w:t>
      </w:r>
      <w:r>
        <w:t xml:space="preserve"> </w:t>
      </w:r>
      <w:r w:rsidR="004B028F">
        <w:t>“</w:t>
      </w:r>
      <w:r>
        <w:t>to avoid the unnecessarily burdensome administrative task of refiling a waiver request each time a site is constructed o</w:t>
      </w:r>
      <w:r w:rsidR="006C18B1">
        <w:t>r</w:t>
      </w:r>
      <w:r>
        <w:t xml:space="preserve"> modified.”</w:t>
      </w:r>
      <w:r>
        <w:rPr>
          <w:rStyle w:val="FootnoteReference"/>
        </w:rPr>
        <w:footnoteReference w:id="39"/>
      </w:r>
      <w:r>
        <w:t xml:space="preserve">  </w:t>
      </w:r>
      <w:r w:rsidR="007F20ED">
        <w:t>We have declined to grant such open-ended relief in similar waiver cases,</w:t>
      </w:r>
      <w:r>
        <w:rPr>
          <w:rStyle w:val="FootnoteReference"/>
        </w:rPr>
        <w:footnoteReference w:id="40"/>
      </w:r>
      <w:r>
        <w:t xml:space="preserve"> </w:t>
      </w:r>
      <w:r w:rsidR="007F20ED">
        <w:t xml:space="preserve">and we decline to do so here, as it </w:t>
      </w:r>
      <w:r>
        <w:t xml:space="preserve">would foreclose the Commission from </w:t>
      </w:r>
      <w:r w:rsidR="005663D3">
        <w:t xml:space="preserve">being able to assess the impact of future expansion of Petitioners’ system on </w:t>
      </w:r>
      <w:r>
        <w:t>the supply of frequencies available for other users in the area, especially public safety users</w:t>
      </w:r>
      <w:r w:rsidR="00AC7780">
        <w:t>.</w:t>
      </w:r>
      <w:r w:rsidR="005663D3">
        <w:t xml:space="preserve">  However, </w:t>
      </w:r>
      <w:r w:rsidR="007833BB">
        <w:t xml:space="preserve">should </w:t>
      </w:r>
      <w:r w:rsidR="005663D3">
        <w:t xml:space="preserve">Petitioners apply </w:t>
      </w:r>
      <w:r w:rsidR="007833BB">
        <w:t xml:space="preserve">for </w:t>
      </w:r>
      <w:r w:rsidR="005663D3">
        <w:t>additional</w:t>
      </w:r>
      <w:r w:rsidR="004D6C40">
        <w:t xml:space="preserve"> VHF</w:t>
      </w:r>
      <w:r w:rsidR="005663D3">
        <w:t xml:space="preserve"> channels or facilities to expand their system</w:t>
      </w:r>
      <w:r w:rsidR="007833BB">
        <w:t xml:space="preserve"> in the future</w:t>
      </w:r>
      <w:r w:rsidR="005663D3">
        <w:t xml:space="preserve">, they may request amendment of this waiver to include such channels or facilities, subject to an appropriate showing that the Commission’s waiver criteria are met.      </w:t>
      </w:r>
    </w:p>
    <w:p w:rsidR="00C87F1C" w:rsidP="00C2117C" w14:paraId="353AECC7" w14:textId="77777777">
      <w:pPr>
        <w:pStyle w:val="Heading1"/>
        <w:widowControl/>
      </w:pPr>
      <w:r>
        <w:t>Ordering clauses</w:t>
      </w:r>
    </w:p>
    <w:p w:rsidR="00C87F1C" w:rsidRPr="00257960" w:rsidP="00C2117C" w14:paraId="309A4BCF" w14:textId="4D8F999A">
      <w:pPr>
        <w:pStyle w:val="ParaNum"/>
        <w:widowControl/>
      </w:pPr>
      <w:r w:rsidRPr="00257960">
        <w:t xml:space="preserve">Accordingly, IT IS ORDERED, that pursuant to </w:t>
      </w:r>
      <w:r w:rsidR="00B7763F">
        <w:t>s</w:t>
      </w:r>
      <w:r w:rsidRPr="00D04C2F">
        <w:t>ections</w:t>
      </w:r>
      <w:r w:rsidRPr="00257960">
        <w:t xml:space="preserve"> 4(</w:t>
      </w:r>
      <w:r w:rsidRPr="00257960">
        <w:t>i</w:t>
      </w:r>
      <w:r w:rsidRPr="00257960">
        <w:t>), 303(c), and 303(r) of the Communications Act of 1934, as amended, 47 U.S.C. §§ 154(</w:t>
      </w:r>
      <w:r w:rsidRPr="00257960">
        <w:t>i</w:t>
      </w:r>
      <w:r w:rsidRPr="00257960">
        <w:t xml:space="preserve">), 303(c), and 303(r), and </w:t>
      </w:r>
      <w:r w:rsidR="00B7763F">
        <w:t>s</w:t>
      </w:r>
      <w:r w:rsidRPr="00D04C2F">
        <w:t>ection</w:t>
      </w:r>
      <w:r>
        <w:t>s</w:t>
      </w:r>
      <w:r w:rsidRPr="00257960">
        <w:t xml:space="preserve"> 1.3, 1.925, 90.179(a), 1.3, and 1.925, of the Commission’s rules, 47 CFR §§ 1.3, 1.925, and 90.179(a), the waiver request jointly filed by the Commonwealth of Pennsylvania and FirstEnergy Corporation, as supplemented, IS GRANTED IN PART to the extent that the Commonwealth of Pennsylvania and FirstEnergy Corporation may share the frequencies currently licensed to the call signs listed in the Appendix.</w:t>
      </w:r>
    </w:p>
    <w:p w:rsidR="00C87F1C" w:rsidRPr="00257960" w:rsidP="007833BB" w14:paraId="05570EE7" w14:textId="5D1C5F50">
      <w:pPr>
        <w:pStyle w:val="ParaNum"/>
        <w:widowControl/>
      </w:pPr>
      <w:r w:rsidRPr="00257960">
        <w:t>IT IS FURTHER ORDERED that the portion of the waiver request jointly filed by the Commonwealth of Pennsylvania and FirstEnergy Corporation, as supplemented</w:t>
      </w:r>
      <w:r w:rsidR="007833BB">
        <w:t>,</w:t>
      </w:r>
      <w:r w:rsidRPr="00257960">
        <w:t xml:space="preserve"> that seeks a waiver to share </w:t>
      </w:r>
      <w:r w:rsidR="007833BB">
        <w:t>P</w:t>
      </w:r>
      <w:r>
        <w:t>art</w:t>
      </w:r>
      <w:r w:rsidRPr="00257960">
        <w:t xml:space="preserve"> 22 frequencies is DISMISSED AS MOOT. </w:t>
      </w:r>
    </w:p>
    <w:p w:rsidR="00A86E07" w:rsidP="00C2117C" w14:paraId="77E3679E" w14:textId="1F242D7D">
      <w:pPr>
        <w:pStyle w:val="ParaNum"/>
        <w:widowControl/>
      </w:pPr>
      <w:r w:rsidRPr="00257960">
        <w:t xml:space="preserve">IT IS FURTHER ORDERED that, in the event of a use conflict between a public safety user of the shared system and any other user, priority shall be afforded to the public safety user. </w:t>
      </w:r>
    </w:p>
    <w:p w:rsidR="00A86E07" w14:paraId="49F1E4CF" w14:textId="5FE3AF37">
      <w:pPr>
        <w:widowControl/>
      </w:pPr>
      <w:r>
        <w:br w:type="page"/>
      </w:r>
    </w:p>
    <w:p w:rsidR="00C87F1C" w:rsidP="00A86E07" w14:paraId="6A0AFEF9" w14:textId="110CD8E8">
      <w:pPr>
        <w:pStyle w:val="ParaNum"/>
        <w:widowControl/>
      </w:pPr>
      <w:r w:rsidRPr="00257960">
        <w:t xml:space="preserve">This action is taken under delegated authority pursuant to </w:t>
      </w:r>
      <w:r w:rsidR="00B7763F">
        <w:t>s</w:t>
      </w:r>
      <w:r w:rsidRPr="00D04C2F">
        <w:t>ections</w:t>
      </w:r>
      <w:r w:rsidRPr="00257960">
        <w:t xml:space="preserve"> 0.191 and 0.392 of the Commission’s rules, 47 CFR §§ 0.191 and 0.392.</w:t>
      </w:r>
    </w:p>
    <w:p w:rsidR="00A86E07" w:rsidRPr="00257960" w:rsidP="00A86E07" w14:paraId="34EA0663" w14:textId="77777777">
      <w:pPr>
        <w:pStyle w:val="ParaNum"/>
        <w:widowControl/>
        <w:numPr>
          <w:ilvl w:val="0"/>
          <w:numId w:val="0"/>
        </w:numPr>
      </w:pPr>
    </w:p>
    <w:p w:rsidR="00C87F1C" w:rsidRPr="001B4B42" w:rsidP="00C2117C" w14:paraId="548BF90D" w14:textId="77777777">
      <w:pPr>
        <w:pStyle w:val="ParaNum"/>
        <w:keepNext/>
        <w:keepLines/>
        <w:widowControl/>
        <w:numPr>
          <w:ilvl w:val="0"/>
          <w:numId w:val="0"/>
        </w:numPr>
        <w:spacing w:after="0"/>
        <w:ind w:left="3600" w:firstLine="720"/>
        <w:rPr>
          <w:szCs w:val="22"/>
        </w:rPr>
      </w:pPr>
      <w:r w:rsidRPr="001B4B42">
        <w:rPr>
          <w:szCs w:val="22"/>
        </w:rPr>
        <w:t xml:space="preserve">FEDERAL COMMUNICATIONS COMMISSION </w:t>
      </w:r>
    </w:p>
    <w:p w:rsidR="00C87F1C" w:rsidRPr="001B4B42" w:rsidP="00C2117C" w14:paraId="18DE4B28" w14:textId="77777777">
      <w:pPr>
        <w:pStyle w:val="ParaNum"/>
        <w:keepNext/>
        <w:keepLines/>
        <w:widowControl/>
        <w:numPr>
          <w:ilvl w:val="0"/>
          <w:numId w:val="0"/>
        </w:numPr>
        <w:spacing w:after="0"/>
        <w:ind w:left="720"/>
        <w:rPr>
          <w:szCs w:val="22"/>
        </w:rPr>
      </w:pPr>
    </w:p>
    <w:p w:rsidR="00C87F1C" w:rsidRPr="001B4B42" w:rsidP="00C2117C" w14:paraId="22F5F26F" w14:textId="77777777">
      <w:pPr>
        <w:pStyle w:val="ParaNum"/>
        <w:keepNext/>
        <w:keepLines/>
        <w:widowControl/>
        <w:numPr>
          <w:ilvl w:val="0"/>
          <w:numId w:val="0"/>
        </w:numPr>
        <w:spacing w:after="0"/>
        <w:ind w:left="720"/>
        <w:rPr>
          <w:szCs w:val="22"/>
        </w:rPr>
      </w:pPr>
    </w:p>
    <w:p w:rsidR="00C87F1C" w:rsidRPr="001B4B42" w:rsidP="00C2117C" w14:paraId="506248F1" w14:textId="77777777">
      <w:pPr>
        <w:pStyle w:val="ParaNum"/>
        <w:keepNext/>
        <w:keepLines/>
        <w:widowControl/>
        <w:numPr>
          <w:ilvl w:val="0"/>
          <w:numId w:val="0"/>
        </w:numPr>
        <w:spacing w:after="0"/>
        <w:ind w:left="720"/>
        <w:rPr>
          <w:szCs w:val="22"/>
        </w:rPr>
      </w:pPr>
    </w:p>
    <w:p w:rsidR="00C87F1C" w:rsidRPr="001B4B42" w:rsidP="00C2117C" w14:paraId="2494747E" w14:textId="77777777">
      <w:pPr>
        <w:pStyle w:val="ParaNum"/>
        <w:keepNext/>
        <w:keepLines/>
        <w:widowControl/>
        <w:numPr>
          <w:ilvl w:val="0"/>
          <w:numId w:val="0"/>
        </w:numPr>
        <w:spacing w:after="0"/>
        <w:ind w:left="3600" w:firstLine="720"/>
        <w:rPr>
          <w:szCs w:val="22"/>
        </w:rPr>
      </w:pPr>
      <w:r w:rsidRPr="001B4B42">
        <w:rPr>
          <w:szCs w:val="22"/>
        </w:rPr>
        <w:t xml:space="preserve">Michael J. Wilhelm  </w:t>
      </w:r>
    </w:p>
    <w:p w:rsidR="00C87F1C" w:rsidRPr="001B4B42" w:rsidP="00C2117C" w14:paraId="6E45DB57" w14:textId="77777777">
      <w:pPr>
        <w:pStyle w:val="ParaNum"/>
        <w:keepNext/>
        <w:keepLines/>
        <w:widowControl/>
        <w:numPr>
          <w:ilvl w:val="0"/>
          <w:numId w:val="0"/>
        </w:numPr>
        <w:spacing w:after="0"/>
        <w:ind w:left="3600" w:firstLine="720"/>
        <w:rPr>
          <w:szCs w:val="22"/>
        </w:rPr>
      </w:pPr>
      <w:r w:rsidRPr="001B4B42">
        <w:rPr>
          <w:szCs w:val="22"/>
        </w:rPr>
        <w:t xml:space="preserve">Chief, Policy and Licensing Division </w:t>
      </w:r>
    </w:p>
    <w:p w:rsidR="00C87F1C" w:rsidRPr="001B4B42" w:rsidP="00C2117C" w14:paraId="08FC8315" w14:textId="77777777">
      <w:pPr>
        <w:pStyle w:val="ParaNum"/>
        <w:keepNext/>
        <w:keepLines/>
        <w:widowControl/>
        <w:numPr>
          <w:ilvl w:val="0"/>
          <w:numId w:val="0"/>
        </w:numPr>
        <w:spacing w:after="0"/>
        <w:ind w:left="3600" w:firstLine="720"/>
        <w:rPr>
          <w:szCs w:val="22"/>
        </w:rPr>
      </w:pPr>
      <w:r w:rsidRPr="001B4B42">
        <w:rPr>
          <w:szCs w:val="22"/>
        </w:rPr>
        <w:t>Public Safety and Homeland Security Bureau</w:t>
      </w:r>
    </w:p>
    <w:p w:rsidR="00C87F1C" w:rsidP="00C2117C" w14:paraId="5A3D7473" w14:textId="77777777">
      <w:pPr>
        <w:pStyle w:val="ParaNum"/>
        <w:widowControl/>
        <w:numPr>
          <w:ilvl w:val="0"/>
          <w:numId w:val="0"/>
        </w:numPr>
        <w:ind w:left="720"/>
      </w:pPr>
    </w:p>
    <w:p w:rsidR="00C87F1C" w:rsidRPr="00A45FF2" w:rsidP="00C2117C" w14:paraId="02A945FC" w14:textId="77777777">
      <w:pPr>
        <w:widowControl/>
        <w:jc w:val="center"/>
        <w:rPr>
          <w:b/>
          <w:szCs w:val="22"/>
        </w:rPr>
      </w:pPr>
      <w:r>
        <w:br w:type="page"/>
      </w:r>
      <w:r w:rsidRPr="00A45FF2">
        <w:rPr>
          <w:b/>
          <w:szCs w:val="22"/>
        </w:rPr>
        <w:t>Appendix A</w:t>
      </w:r>
    </w:p>
    <w:p w:rsidR="00C87F1C" w:rsidRPr="00A45FF2" w:rsidP="00C2117C" w14:paraId="32EE7EBC" w14:textId="77777777">
      <w:pPr>
        <w:widowControl/>
        <w:jc w:val="center"/>
        <w:rPr>
          <w:b/>
          <w:szCs w:val="22"/>
        </w:rPr>
      </w:pPr>
    </w:p>
    <w:p w:rsidR="00C87F1C" w:rsidRPr="00257960" w:rsidP="00C2117C" w14:paraId="0280AFE5" w14:textId="138491EA">
      <w:pPr>
        <w:widowControl/>
        <w:jc w:val="center"/>
        <w:rPr>
          <w:b/>
        </w:rPr>
      </w:pPr>
      <w:r w:rsidRPr="00257960">
        <w:rPr>
          <w:b/>
        </w:rPr>
        <w:t>Part 90</w:t>
      </w:r>
      <w:r w:rsidRPr="00257960" w:rsidR="009E68F9">
        <w:rPr>
          <w:b/>
        </w:rPr>
        <w:t xml:space="preserve"> </w:t>
      </w:r>
      <w:r w:rsidRPr="006E1513" w:rsidR="00244312">
        <w:rPr>
          <w:b/>
        </w:rPr>
        <w:t xml:space="preserve">VHF </w:t>
      </w:r>
      <w:r w:rsidRPr="00257960">
        <w:rPr>
          <w:b/>
        </w:rPr>
        <w:t>Public Safety Callsigns</w:t>
      </w:r>
      <w:r w:rsidRPr="004C6170" w:rsidR="00665395">
        <w:rPr>
          <w:b/>
        </w:rPr>
        <w:t xml:space="preserve"> and Frequencies</w:t>
      </w:r>
      <w:r w:rsidRPr="004C6170" w:rsidR="009E68F9">
        <w:rPr>
          <w:rStyle w:val="CommentReference"/>
        </w:rPr>
        <w:t xml:space="preserve"> </w:t>
      </w:r>
    </w:p>
    <w:p w:rsidR="00C87F1C" w:rsidRPr="00257960" w:rsidP="00C2117C" w14:paraId="1DE89426" w14:textId="77777777">
      <w:pPr>
        <w:widowControl/>
        <w:jc w:val="center"/>
      </w:pPr>
    </w:p>
    <w:p w:rsidR="00C87F1C" w:rsidRPr="001C479B" w:rsidP="00C2117C" w14:paraId="7E8832DF" w14:textId="58AB44A2">
      <w:pPr>
        <w:widowControl/>
        <w:rPr>
          <w:szCs w:val="22"/>
        </w:rPr>
      </w:pPr>
      <w:r w:rsidRPr="00257960">
        <w:tab/>
        <w:t xml:space="preserve">List of </w:t>
      </w:r>
      <w:r w:rsidRPr="006E1513" w:rsidR="004C6170">
        <w:rPr>
          <w:szCs w:val="22"/>
        </w:rPr>
        <w:t xml:space="preserve">approved Commonwealth of Pennsylvania </w:t>
      </w:r>
      <w:r w:rsidRPr="006E1513" w:rsidR="00244312">
        <w:rPr>
          <w:szCs w:val="22"/>
        </w:rPr>
        <w:t>p</w:t>
      </w:r>
      <w:r w:rsidRPr="00942596">
        <w:rPr>
          <w:szCs w:val="22"/>
        </w:rPr>
        <w:t>art</w:t>
      </w:r>
      <w:r w:rsidRPr="00257960">
        <w:t xml:space="preserve"> 90</w:t>
      </w:r>
      <w:r w:rsidRPr="00257960" w:rsidR="009E68F9">
        <w:t xml:space="preserve"> </w:t>
      </w:r>
      <w:r w:rsidRPr="006E1513" w:rsidR="00244312">
        <w:rPr>
          <w:szCs w:val="22"/>
        </w:rPr>
        <w:t xml:space="preserve">VHF </w:t>
      </w:r>
      <w:r w:rsidRPr="00257960">
        <w:t>public safety pool call signs</w:t>
      </w:r>
      <w:r w:rsidRPr="00257960" w:rsidR="00665395">
        <w:t xml:space="preserve"> </w:t>
      </w:r>
      <w:r w:rsidRPr="006E1513" w:rsidR="00665395">
        <w:rPr>
          <w:szCs w:val="22"/>
        </w:rPr>
        <w:t>and frequencies</w:t>
      </w:r>
      <w:r w:rsidRPr="00942596">
        <w:rPr>
          <w:szCs w:val="22"/>
        </w:rPr>
        <w:t xml:space="preserve"> </w:t>
      </w:r>
      <w:r w:rsidRPr="00257960">
        <w:t xml:space="preserve">approved for </w:t>
      </w:r>
      <w:r w:rsidRPr="006E1513" w:rsidR="004C6170">
        <w:rPr>
          <w:szCs w:val="22"/>
        </w:rPr>
        <w:t>sharing with FirstEnergy</w:t>
      </w:r>
      <w:r w:rsidRPr="00942596" w:rsidR="004C6170">
        <w:rPr>
          <w:szCs w:val="22"/>
        </w:rPr>
        <w:t xml:space="preserve"> </w:t>
      </w:r>
      <w:r w:rsidRPr="00257960">
        <w:t>by the Bureau</w:t>
      </w:r>
      <w:r w:rsidRPr="00942596" w:rsidR="00256FBA">
        <w:rPr>
          <w:szCs w:val="22"/>
        </w:rPr>
        <w:t xml:space="preserve"> by this </w:t>
      </w:r>
      <w:r w:rsidRPr="006E1513" w:rsidR="00256FBA">
        <w:rPr>
          <w:i/>
          <w:iCs/>
          <w:szCs w:val="22"/>
        </w:rPr>
        <w:t>Order</w:t>
      </w:r>
      <w:r w:rsidRPr="00257960">
        <w:t>:</w:t>
      </w:r>
      <w:r w:rsidRPr="001C479B">
        <w:rPr>
          <w:szCs w:val="22"/>
        </w:rPr>
        <w:t xml:space="preserve"> </w:t>
      </w:r>
    </w:p>
    <w:p w:rsidR="00C87F1C" w:rsidRPr="001C479B" w:rsidP="00C2117C" w14:paraId="4A148747" w14:textId="77777777">
      <w:pPr>
        <w:widowControl/>
        <w:jc w:val="center"/>
        <w:rPr>
          <w:szCs w:val="22"/>
        </w:rPr>
      </w:pPr>
    </w:p>
    <w:p w:rsidR="00AB0C9F" w:rsidRPr="00942596" w:rsidP="00C2117C" w14:paraId="508D4048" w14:textId="77777777">
      <w:pPr>
        <w:widowControl/>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tbl>
      <w:tblPr>
        <w:tblW w:w="2760" w:type="dxa"/>
        <w:tblInd w:w="113" w:type="dxa"/>
        <w:tblLook w:val="04A0"/>
      </w:tblPr>
      <w:tblGrid>
        <w:gridCol w:w="1420"/>
        <w:gridCol w:w="1340"/>
      </w:tblGrid>
      <w:tr w14:paraId="11DE23B5" w14:textId="77777777" w:rsidTr="00257960">
        <w:tblPrEx>
          <w:tblW w:w="2760" w:type="dxa"/>
          <w:tblInd w:w="113" w:type="dxa"/>
          <w:tblLook w:val="04A0"/>
        </w:tblPrEx>
        <w:trPr>
          <w:cantSplit/>
          <w:trHeight w:val="692"/>
          <w:tblHead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170" w:rsidRPr="00257960" w:rsidP="00C2117C" w14:paraId="12A9B94F" w14:textId="3D74D0CB">
            <w:pPr>
              <w:widowControl/>
              <w:jc w:val="center"/>
              <w:rPr>
                <w:b/>
                <w:color w:val="000000"/>
                <w:kern w:val="0"/>
              </w:rPr>
            </w:pPr>
            <w:r w:rsidRPr="006E1513">
              <w:rPr>
                <w:b/>
                <w:bCs/>
                <w:snapToGrid/>
                <w:color w:val="000000"/>
                <w:kern w:val="0"/>
                <w:szCs w:val="22"/>
              </w:rPr>
              <w:t>Call Sign</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C6170" w:rsidRPr="006E1513" w:rsidP="00C2117C" w14:paraId="1436B583" w14:textId="2CEBCE55">
            <w:pPr>
              <w:widowControl/>
              <w:jc w:val="center"/>
              <w:rPr>
                <w:b/>
                <w:bCs/>
                <w:snapToGrid/>
                <w:color w:val="000000"/>
                <w:kern w:val="0"/>
                <w:szCs w:val="22"/>
              </w:rPr>
            </w:pPr>
            <w:r w:rsidRPr="006E1513">
              <w:rPr>
                <w:b/>
                <w:bCs/>
                <w:snapToGrid/>
                <w:color w:val="000000"/>
                <w:kern w:val="0"/>
                <w:szCs w:val="22"/>
              </w:rPr>
              <w:t>Frequency (MHz)</w:t>
            </w:r>
          </w:p>
        </w:tc>
      </w:tr>
      <w:tr w14:paraId="5361C0BE"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25EE7F80" w14:textId="77777777">
            <w:pPr>
              <w:widowControl/>
              <w:jc w:val="center"/>
              <w:rPr>
                <w:color w:val="000000"/>
                <w:kern w:val="0"/>
              </w:rPr>
            </w:pPr>
            <w:r w:rsidRPr="00257960">
              <w:rPr>
                <w:color w:val="000000"/>
                <w:kern w:val="0"/>
              </w:rPr>
              <w:t>WQUZ231</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499E2798" w14:textId="77777777">
            <w:pPr>
              <w:widowControl/>
              <w:jc w:val="center"/>
              <w:rPr>
                <w:color w:val="000000"/>
                <w:kern w:val="0"/>
              </w:rPr>
            </w:pPr>
            <w:r w:rsidRPr="006E1513">
              <w:rPr>
                <w:snapToGrid/>
                <w:color w:val="000000"/>
                <w:kern w:val="0"/>
                <w:szCs w:val="22"/>
              </w:rPr>
              <w:t>159.21</w:t>
            </w:r>
          </w:p>
        </w:tc>
      </w:tr>
      <w:tr w14:paraId="2C910103"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3FBFC50A" w14:textId="77777777">
            <w:pPr>
              <w:widowControl/>
              <w:jc w:val="center"/>
              <w:rPr>
                <w:color w:val="000000"/>
                <w:kern w:val="0"/>
              </w:rPr>
            </w:pPr>
            <w:r w:rsidRPr="00257960">
              <w:rPr>
                <w:color w:val="000000"/>
                <w:kern w:val="0"/>
              </w:rPr>
              <w:t>WQVL664</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3AF6E3E1" w14:textId="77777777">
            <w:pPr>
              <w:widowControl/>
              <w:jc w:val="center"/>
              <w:rPr>
                <w:color w:val="000000"/>
                <w:kern w:val="0"/>
              </w:rPr>
            </w:pPr>
            <w:r w:rsidRPr="006E1513">
              <w:rPr>
                <w:snapToGrid/>
                <w:color w:val="000000"/>
                <w:kern w:val="0"/>
                <w:szCs w:val="22"/>
              </w:rPr>
              <w:t>154.935</w:t>
            </w:r>
          </w:p>
        </w:tc>
      </w:tr>
      <w:tr w14:paraId="707862C3"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25F1BE73" w14:textId="77777777">
            <w:pPr>
              <w:widowControl/>
              <w:jc w:val="center"/>
              <w:rPr>
                <w:color w:val="000000"/>
                <w:kern w:val="0"/>
              </w:rPr>
            </w:pPr>
            <w:r w:rsidRPr="006E1513">
              <w:rPr>
                <w:snapToGrid/>
                <w:color w:val="000000"/>
                <w:kern w:val="0"/>
                <w:szCs w:val="22"/>
              </w:rPr>
              <w:t>WQVL664</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46240FA1" w14:textId="77777777">
            <w:pPr>
              <w:widowControl/>
              <w:jc w:val="center"/>
              <w:rPr>
                <w:color w:val="000000"/>
                <w:kern w:val="0"/>
              </w:rPr>
            </w:pPr>
            <w:r w:rsidRPr="006E1513">
              <w:rPr>
                <w:snapToGrid/>
                <w:color w:val="000000"/>
                <w:kern w:val="0"/>
                <w:szCs w:val="22"/>
              </w:rPr>
              <w:t>154.92</w:t>
            </w:r>
          </w:p>
        </w:tc>
      </w:tr>
      <w:tr w14:paraId="1B715E8E"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1518BE09" w14:textId="77777777">
            <w:pPr>
              <w:widowControl/>
              <w:jc w:val="center"/>
              <w:rPr>
                <w:color w:val="000000"/>
                <w:kern w:val="0"/>
              </w:rPr>
            </w:pPr>
            <w:r w:rsidRPr="00257960">
              <w:rPr>
                <w:color w:val="000000"/>
                <w:kern w:val="0"/>
              </w:rPr>
              <w:t>WQUX679</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713F10B8" w14:textId="77777777">
            <w:pPr>
              <w:widowControl/>
              <w:jc w:val="center"/>
              <w:rPr>
                <w:color w:val="000000"/>
                <w:kern w:val="0"/>
              </w:rPr>
            </w:pPr>
            <w:r w:rsidRPr="006E1513">
              <w:rPr>
                <w:snapToGrid/>
                <w:color w:val="000000"/>
                <w:kern w:val="0"/>
                <w:szCs w:val="22"/>
              </w:rPr>
              <w:t>151.3475</w:t>
            </w:r>
          </w:p>
        </w:tc>
      </w:tr>
      <w:tr w14:paraId="71E0C2D8"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03448121" w14:textId="77777777">
            <w:pPr>
              <w:widowControl/>
              <w:jc w:val="center"/>
              <w:rPr>
                <w:color w:val="000000"/>
                <w:kern w:val="0"/>
              </w:rPr>
            </w:pPr>
            <w:r w:rsidRPr="006E1513">
              <w:rPr>
                <w:snapToGrid/>
                <w:color w:val="000000"/>
                <w:kern w:val="0"/>
                <w:szCs w:val="22"/>
              </w:rPr>
              <w:t>WQUX679</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761A8156" w14:textId="77777777">
            <w:pPr>
              <w:widowControl/>
              <w:jc w:val="center"/>
              <w:rPr>
                <w:color w:val="000000"/>
                <w:kern w:val="0"/>
              </w:rPr>
            </w:pPr>
            <w:r w:rsidRPr="006E1513">
              <w:rPr>
                <w:snapToGrid/>
                <w:color w:val="000000"/>
                <w:kern w:val="0"/>
                <w:szCs w:val="22"/>
              </w:rPr>
              <w:t>151.1525</w:t>
            </w:r>
          </w:p>
        </w:tc>
      </w:tr>
      <w:tr w14:paraId="5DA45DBA"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439EA49A" w14:textId="77777777">
            <w:pPr>
              <w:widowControl/>
              <w:jc w:val="center"/>
              <w:rPr>
                <w:color w:val="000000"/>
                <w:kern w:val="0"/>
              </w:rPr>
            </w:pPr>
            <w:r w:rsidRPr="006E1513">
              <w:rPr>
                <w:snapToGrid/>
                <w:color w:val="000000"/>
                <w:kern w:val="0"/>
                <w:szCs w:val="22"/>
              </w:rPr>
              <w:t>WQUX679</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381D787E" w14:textId="77777777">
            <w:pPr>
              <w:widowControl/>
              <w:jc w:val="center"/>
              <w:rPr>
                <w:color w:val="000000"/>
                <w:kern w:val="0"/>
              </w:rPr>
            </w:pPr>
            <w:r w:rsidRPr="006E1513">
              <w:rPr>
                <w:snapToGrid/>
                <w:color w:val="000000"/>
                <w:kern w:val="0"/>
                <w:szCs w:val="22"/>
              </w:rPr>
              <w:t>151.295</w:t>
            </w:r>
          </w:p>
        </w:tc>
      </w:tr>
      <w:tr w14:paraId="00B28A61"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21BB2F82" w14:textId="77777777">
            <w:pPr>
              <w:widowControl/>
              <w:jc w:val="center"/>
              <w:rPr>
                <w:color w:val="000000"/>
                <w:kern w:val="0"/>
              </w:rPr>
            </w:pPr>
            <w:r w:rsidRPr="006E1513">
              <w:rPr>
                <w:snapToGrid/>
                <w:color w:val="000000"/>
                <w:kern w:val="0"/>
                <w:szCs w:val="22"/>
              </w:rPr>
              <w:t>WQUX679</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251A6572" w14:textId="77777777">
            <w:pPr>
              <w:widowControl/>
              <w:jc w:val="center"/>
              <w:rPr>
                <w:color w:val="000000"/>
                <w:kern w:val="0"/>
              </w:rPr>
            </w:pPr>
            <w:r w:rsidRPr="006E1513">
              <w:rPr>
                <w:snapToGrid/>
                <w:color w:val="000000"/>
                <w:kern w:val="0"/>
                <w:szCs w:val="22"/>
              </w:rPr>
              <w:t>154.95</w:t>
            </w:r>
          </w:p>
        </w:tc>
      </w:tr>
      <w:tr w14:paraId="16825780"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541462CB" w14:textId="77777777">
            <w:pPr>
              <w:widowControl/>
              <w:jc w:val="center"/>
              <w:rPr>
                <w:color w:val="000000"/>
                <w:kern w:val="0"/>
              </w:rPr>
            </w:pPr>
            <w:r w:rsidRPr="006E1513">
              <w:rPr>
                <w:snapToGrid/>
                <w:color w:val="000000"/>
                <w:kern w:val="0"/>
                <w:szCs w:val="22"/>
              </w:rPr>
              <w:t>WQUX679</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2D1EED4C" w14:textId="77777777">
            <w:pPr>
              <w:widowControl/>
              <w:jc w:val="center"/>
              <w:rPr>
                <w:color w:val="000000"/>
                <w:kern w:val="0"/>
              </w:rPr>
            </w:pPr>
            <w:r w:rsidRPr="006E1513">
              <w:rPr>
                <w:snapToGrid/>
                <w:color w:val="000000"/>
                <w:kern w:val="0"/>
                <w:szCs w:val="22"/>
              </w:rPr>
              <w:t>156.0075</w:t>
            </w:r>
          </w:p>
        </w:tc>
      </w:tr>
      <w:tr w14:paraId="3CB1923F"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4565F37E" w14:textId="77777777">
            <w:pPr>
              <w:widowControl/>
              <w:jc w:val="center"/>
              <w:rPr>
                <w:color w:val="000000"/>
                <w:kern w:val="0"/>
              </w:rPr>
            </w:pPr>
            <w:r w:rsidRPr="006E1513">
              <w:rPr>
                <w:snapToGrid/>
                <w:color w:val="000000"/>
                <w:kern w:val="0"/>
                <w:szCs w:val="22"/>
              </w:rPr>
              <w:t>WQUX679</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733B156B" w14:textId="77777777">
            <w:pPr>
              <w:widowControl/>
              <w:jc w:val="center"/>
              <w:rPr>
                <w:color w:val="000000"/>
                <w:kern w:val="0"/>
              </w:rPr>
            </w:pPr>
            <w:r w:rsidRPr="006E1513">
              <w:rPr>
                <w:snapToGrid/>
                <w:color w:val="000000"/>
                <w:kern w:val="0"/>
                <w:szCs w:val="22"/>
              </w:rPr>
              <w:t>156.15</w:t>
            </w:r>
          </w:p>
        </w:tc>
      </w:tr>
      <w:tr w14:paraId="1B3637A4"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318D39E2" w14:textId="77777777">
            <w:pPr>
              <w:widowControl/>
              <w:jc w:val="center"/>
              <w:rPr>
                <w:color w:val="000000"/>
                <w:kern w:val="0"/>
              </w:rPr>
            </w:pPr>
            <w:r w:rsidRPr="00257960">
              <w:rPr>
                <w:color w:val="000000"/>
                <w:kern w:val="0"/>
              </w:rPr>
              <w:t>WQUE282</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11F265C0" w14:textId="77777777">
            <w:pPr>
              <w:widowControl/>
              <w:jc w:val="center"/>
              <w:rPr>
                <w:color w:val="000000"/>
                <w:kern w:val="0"/>
              </w:rPr>
            </w:pPr>
            <w:r w:rsidRPr="006E1513">
              <w:rPr>
                <w:snapToGrid/>
                <w:color w:val="000000"/>
                <w:kern w:val="0"/>
                <w:szCs w:val="22"/>
              </w:rPr>
              <w:t>158.73</w:t>
            </w:r>
          </w:p>
        </w:tc>
      </w:tr>
      <w:tr w14:paraId="47231695"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19AC4EC4" w14:textId="77777777">
            <w:pPr>
              <w:widowControl/>
              <w:jc w:val="center"/>
              <w:rPr>
                <w:color w:val="000000"/>
                <w:kern w:val="0"/>
              </w:rPr>
            </w:pPr>
            <w:r w:rsidRPr="006E1513">
              <w:rPr>
                <w:snapToGrid/>
                <w:color w:val="000000"/>
                <w:kern w:val="0"/>
                <w:szCs w:val="22"/>
              </w:rPr>
              <w:t>WQUE282</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02566310" w14:textId="77777777">
            <w:pPr>
              <w:widowControl/>
              <w:jc w:val="center"/>
              <w:rPr>
                <w:color w:val="000000"/>
                <w:kern w:val="0"/>
              </w:rPr>
            </w:pPr>
            <w:r w:rsidRPr="006E1513">
              <w:rPr>
                <w:snapToGrid/>
                <w:color w:val="000000"/>
                <w:kern w:val="0"/>
                <w:szCs w:val="22"/>
              </w:rPr>
              <w:t>159.1275</w:t>
            </w:r>
          </w:p>
        </w:tc>
      </w:tr>
      <w:tr w14:paraId="7BFF3524"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4E207C3A" w14:textId="77777777">
            <w:pPr>
              <w:widowControl/>
              <w:jc w:val="center"/>
              <w:rPr>
                <w:color w:val="000000"/>
                <w:kern w:val="0"/>
              </w:rPr>
            </w:pPr>
            <w:r w:rsidRPr="006E1513">
              <w:rPr>
                <w:snapToGrid/>
                <w:color w:val="000000"/>
                <w:kern w:val="0"/>
                <w:szCs w:val="22"/>
              </w:rPr>
              <w:t>WQUE282</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4F4A99E8" w14:textId="77777777">
            <w:pPr>
              <w:widowControl/>
              <w:jc w:val="center"/>
              <w:rPr>
                <w:color w:val="000000"/>
                <w:kern w:val="0"/>
              </w:rPr>
            </w:pPr>
            <w:r w:rsidRPr="006E1513">
              <w:rPr>
                <w:snapToGrid/>
                <w:color w:val="000000"/>
                <w:kern w:val="0"/>
                <w:szCs w:val="22"/>
              </w:rPr>
              <w:t>159.375</w:t>
            </w:r>
          </w:p>
        </w:tc>
      </w:tr>
      <w:tr w14:paraId="169FCBE4"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53D85A44" w14:textId="77777777">
            <w:pPr>
              <w:widowControl/>
              <w:jc w:val="center"/>
              <w:rPr>
                <w:color w:val="000000"/>
                <w:kern w:val="0"/>
              </w:rPr>
            </w:pPr>
            <w:r w:rsidRPr="006E1513">
              <w:rPr>
                <w:snapToGrid/>
                <w:color w:val="000000"/>
                <w:kern w:val="0"/>
                <w:szCs w:val="22"/>
              </w:rPr>
              <w:t>WQUE282</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2E0BD2B9" w14:textId="77777777">
            <w:pPr>
              <w:widowControl/>
              <w:jc w:val="center"/>
              <w:rPr>
                <w:color w:val="000000"/>
                <w:kern w:val="0"/>
              </w:rPr>
            </w:pPr>
            <w:r w:rsidRPr="006E1513">
              <w:rPr>
                <w:snapToGrid/>
                <w:color w:val="000000"/>
                <w:kern w:val="0"/>
                <w:szCs w:val="22"/>
              </w:rPr>
              <w:t>154.7175</w:t>
            </w:r>
          </w:p>
        </w:tc>
      </w:tr>
      <w:tr w14:paraId="09535F76"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1CB48B77" w14:textId="77777777">
            <w:pPr>
              <w:widowControl/>
              <w:jc w:val="center"/>
              <w:rPr>
                <w:color w:val="000000"/>
                <w:kern w:val="0"/>
              </w:rPr>
            </w:pPr>
            <w:r w:rsidRPr="006E1513">
              <w:rPr>
                <w:snapToGrid/>
                <w:color w:val="000000"/>
                <w:kern w:val="0"/>
                <w:szCs w:val="22"/>
              </w:rPr>
              <w:t>WQUE282</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5557187D" w14:textId="77777777">
            <w:pPr>
              <w:widowControl/>
              <w:jc w:val="center"/>
              <w:rPr>
                <w:color w:val="000000"/>
                <w:kern w:val="0"/>
              </w:rPr>
            </w:pPr>
            <w:r w:rsidRPr="006E1513">
              <w:rPr>
                <w:snapToGrid/>
                <w:color w:val="000000"/>
                <w:kern w:val="0"/>
                <w:szCs w:val="22"/>
              </w:rPr>
              <w:t>156.0375</w:t>
            </w:r>
          </w:p>
        </w:tc>
      </w:tr>
      <w:tr w14:paraId="046C377B" w14:textId="77777777" w:rsidTr="00DC6C6F">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257960" w:rsidRPr="00257960" w:rsidP="00C2117C" w14:paraId="0AA80E3B" w14:textId="77777777">
            <w:pPr>
              <w:widowControl/>
              <w:jc w:val="center"/>
              <w:rPr>
                <w:color w:val="000000"/>
                <w:kern w:val="0"/>
              </w:rPr>
            </w:pPr>
            <w:r w:rsidRPr="006E1513">
              <w:rPr>
                <w:snapToGrid/>
                <w:color w:val="000000"/>
                <w:kern w:val="0"/>
                <w:szCs w:val="22"/>
              </w:rPr>
              <w:t>WQUE282</w:t>
            </w:r>
          </w:p>
        </w:tc>
        <w:tc>
          <w:tcPr>
            <w:tcW w:w="1340" w:type="dxa"/>
            <w:tcBorders>
              <w:top w:val="nil"/>
              <w:left w:val="nil"/>
              <w:bottom w:val="single" w:sz="4" w:space="0" w:color="auto"/>
              <w:right w:val="single" w:sz="4" w:space="0" w:color="auto"/>
            </w:tcBorders>
            <w:shd w:val="clear" w:color="auto" w:fill="auto"/>
            <w:noWrap/>
            <w:hideMark/>
          </w:tcPr>
          <w:p w:rsidR="00257960" w:rsidRPr="00257960" w:rsidP="00C2117C" w14:paraId="6C36912C" w14:textId="77777777">
            <w:pPr>
              <w:widowControl/>
              <w:jc w:val="center"/>
              <w:rPr>
                <w:color w:val="000000"/>
                <w:kern w:val="0"/>
              </w:rPr>
            </w:pPr>
            <w:r w:rsidRPr="006E1513">
              <w:rPr>
                <w:snapToGrid/>
                <w:color w:val="000000"/>
                <w:kern w:val="0"/>
                <w:szCs w:val="22"/>
              </w:rPr>
              <w:t>156.0825</w:t>
            </w:r>
          </w:p>
        </w:tc>
      </w:tr>
      <w:tr w14:paraId="1F8A234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BCC9A04" w14:textId="77777777">
            <w:pPr>
              <w:widowControl/>
              <w:jc w:val="center"/>
              <w:rPr>
                <w:snapToGrid/>
                <w:color w:val="000000"/>
                <w:kern w:val="0"/>
                <w:szCs w:val="22"/>
              </w:rPr>
            </w:pPr>
            <w:r w:rsidRPr="006E1513">
              <w:rPr>
                <w:snapToGrid/>
                <w:color w:val="000000"/>
                <w:kern w:val="0"/>
                <w:szCs w:val="22"/>
              </w:rPr>
              <w:t>WQUC589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33D3E41" w14:textId="77777777">
            <w:pPr>
              <w:widowControl/>
              <w:jc w:val="center"/>
              <w:rPr>
                <w:snapToGrid/>
                <w:color w:val="000000"/>
                <w:kern w:val="0"/>
                <w:szCs w:val="22"/>
              </w:rPr>
            </w:pPr>
            <w:r w:rsidRPr="006E1513">
              <w:rPr>
                <w:snapToGrid/>
                <w:color w:val="000000"/>
                <w:kern w:val="0"/>
                <w:szCs w:val="22"/>
              </w:rPr>
              <w:t>151.235</w:t>
            </w:r>
          </w:p>
        </w:tc>
      </w:tr>
      <w:tr w14:paraId="12BEDEA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178F2BA" w14:textId="77777777">
            <w:pPr>
              <w:widowControl/>
              <w:jc w:val="center"/>
              <w:rPr>
                <w:snapToGrid/>
                <w:color w:val="000000"/>
                <w:kern w:val="0"/>
                <w:szCs w:val="22"/>
              </w:rPr>
            </w:pPr>
            <w:r w:rsidRPr="006E1513">
              <w:rPr>
                <w:snapToGrid/>
                <w:color w:val="000000"/>
                <w:kern w:val="0"/>
                <w:szCs w:val="22"/>
              </w:rPr>
              <w:t>WQUC589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804946C" w14:textId="77777777">
            <w:pPr>
              <w:widowControl/>
              <w:jc w:val="center"/>
              <w:rPr>
                <w:snapToGrid/>
                <w:color w:val="000000"/>
                <w:kern w:val="0"/>
                <w:szCs w:val="22"/>
              </w:rPr>
            </w:pPr>
            <w:r w:rsidRPr="006E1513">
              <w:rPr>
                <w:snapToGrid/>
                <w:color w:val="000000"/>
                <w:kern w:val="0"/>
                <w:szCs w:val="22"/>
              </w:rPr>
              <w:t>159.33</w:t>
            </w:r>
          </w:p>
        </w:tc>
      </w:tr>
      <w:tr w14:paraId="35D4B49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F71A52F" w14:textId="77777777">
            <w:pPr>
              <w:widowControl/>
              <w:jc w:val="center"/>
              <w:rPr>
                <w:snapToGrid/>
                <w:color w:val="000000"/>
                <w:kern w:val="0"/>
                <w:szCs w:val="22"/>
              </w:rPr>
            </w:pPr>
            <w:r w:rsidRPr="006E1513">
              <w:rPr>
                <w:snapToGrid/>
                <w:color w:val="000000"/>
                <w:kern w:val="0"/>
                <w:szCs w:val="22"/>
              </w:rPr>
              <w:t>WQUC589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5DACC1A" w14:textId="77777777">
            <w:pPr>
              <w:widowControl/>
              <w:jc w:val="center"/>
              <w:rPr>
                <w:snapToGrid/>
                <w:color w:val="000000"/>
                <w:kern w:val="0"/>
                <w:szCs w:val="22"/>
              </w:rPr>
            </w:pPr>
            <w:r w:rsidRPr="006E1513">
              <w:rPr>
                <w:snapToGrid/>
                <w:color w:val="000000"/>
                <w:kern w:val="0"/>
                <w:szCs w:val="22"/>
              </w:rPr>
              <w:t>151.475</w:t>
            </w:r>
          </w:p>
        </w:tc>
      </w:tr>
      <w:tr w14:paraId="31FFE36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C2213ED" w14:textId="77777777">
            <w:pPr>
              <w:widowControl/>
              <w:jc w:val="center"/>
              <w:rPr>
                <w:snapToGrid/>
                <w:color w:val="000000"/>
                <w:kern w:val="0"/>
                <w:szCs w:val="22"/>
              </w:rPr>
            </w:pPr>
            <w:r w:rsidRPr="006E1513">
              <w:rPr>
                <w:snapToGrid/>
                <w:color w:val="000000"/>
                <w:kern w:val="0"/>
                <w:szCs w:val="22"/>
              </w:rPr>
              <w:t>WQUC589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2632E9D" w14:textId="77777777">
            <w:pPr>
              <w:widowControl/>
              <w:jc w:val="center"/>
              <w:rPr>
                <w:snapToGrid/>
                <w:color w:val="000000"/>
                <w:kern w:val="0"/>
                <w:szCs w:val="22"/>
              </w:rPr>
            </w:pPr>
            <w:r w:rsidRPr="006E1513">
              <w:rPr>
                <w:snapToGrid/>
                <w:color w:val="000000"/>
                <w:kern w:val="0"/>
                <w:szCs w:val="22"/>
              </w:rPr>
              <w:t>153.95</w:t>
            </w:r>
          </w:p>
        </w:tc>
      </w:tr>
      <w:tr w14:paraId="6653EAF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0C399E5" w14:textId="77777777">
            <w:pPr>
              <w:widowControl/>
              <w:jc w:val="center"/>
              <w:rPr>
                <w:snapToGrid/>
                <w:color w:val="000000"/>
                <w:kern w:val="0"/>
                <w:szCs w:val="22"/>
              </w:rPr>
            </w:pPr>
            <w:r w:rsidRPr="006E1513">
              <w:rPr>
                <w:snapToGrid/>
                <w:color w:val="000000"/>
                <w:kern w:val="0"/>
                <w:szCs w:val="22"/>
              </w:rPr>
              <w:t>WQUC589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AF3CEDE" w14:textId="77777777">
            <w:pPr>
              <w:widowControl/>
              <w:jc w:val="center"/>
              <w:rPr>
                <w:snapToGrid/>
                <w:color w:val="000000"/>
                <w:kern w:val="0"/>
                <w:szCs w:val="22"/>
              </w:rPr>
            </w:pPr>
            <w:r w:rsidRPr="006E1513">
              <w:rPr>
                <w:snapToGrid/>
                <w:color w:val="000000"/>
                <w:kern w:val="0"/>
                <w:szCs w:val="22"/>
              </w:rPr>
              <w:t>155.985</w:t>
            </w:r>
          </w:p>
        </w:tc>
      </w:tr>
      <w:tr w14:paraId="28FDE04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C6A2182" w14:textId="77777777">
            <w:pPr>
              <w:widowControl/>
              <w:jc w:val="center"/>
              <w:rPr>
                <w:snapToGrid/>
                <w:color w:val="000000"/>
                <w:kern w:val="0"/>
                <w:szCs w:val="22"/>
              </w:rPr>
            </w:pPr>
            <w:r w:rsidRPr="006E1513">
              <w:rPr>
                <w:snapToGrid/>
                <w:color w:val="000000"/>
                <w:kern w:val="0"/>
                <w:szCs w:val="22"/>
              </w:rPr>
              <w:t>WQUC589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E9443E7" w14:textId="77777777">
            <w:pPr>
              <w:widowControl/>
              <w:jc w:val="center"/>
              <w:rPr>
                <w:snapToGrid/>
                <w:color w:val="000000"/>
                <w:kern w:val="0"/>
                <w:szCs w:val="22"/>
              </w:rPr>
            </w:pPr>
            <w:r w:rsidRPr="006E1513">
              <w:rPr>
                <w:snapToGrid/>
                <w:color w:val="000000"/>
                <w:kern w:val="0"/>
                <w:szCs w:val="22"/>
              </w:rPr>
              <w:t>156.03</w:t>
            </w:r>
          </w:p>
        </w:tc>
      </w:tr>
      <w:tr w14:paraId="725124D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E925BE3" w14:textId="77777777">
            <w:pPr>
              <w:widowControl/>
              <w:jc w:val="center"/>
              <w:rPr>
                <w:snapToGrid/>
                <w:color w:val="000000"/>
                <w:kern w:val="0"/>
                <w:szCs w:val="22"/>
              </w:rPr>
            </w:pPr>
            <w:r w:rsidRPr="006E1513">
              <w:rPr>
                <w:snapToGrid/>
                <w:color w:val="000000"/>
                <w:kern w:val="0"/>
                <w:szCs w:val="22"/>
              </w:rPr>
              <w:t>WQUX677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FDBE79C" w14:textId="77777777">
            <w:pPr>
              <w:widowControl/>
              <w:jc w:val="center"/>
              <w:rPr>
                <w:snapToGrid/>
                <w:color w:val="000000"/>
                <w:kern w:val="0"/>
                <w:szCs w:val="22"/>
              </w:rPr>
            </w:pPr>
            <w:r w:rsidRPr="006E1513">
              <w:rPr>
                <w:snapToGrid/>
                <w:color w:val="000000"/>
                <w:kern w:val="0"/>
                <w:szCs w:val="22"/>
              </w:rPr>
              <w:t>151.115</w:t>
            </w:r>
          </w:p>
        </w:tc>
      </w:tr>
      <w:tr w14:paraId="685E5D3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DFF056D" w14:textId="77777777">
            <w:pPr>
              <w:widowControl/>
              <w:jc w:val="center"/>
              <w:rPr>
                <w:snapToGrid/>
                <w:color w:val="000000"/>
                <w:kern w:val="0"/>
                <w:szCs w:val="22"/>
              </w:rPr>
            </w:pPr>
            <w:r w:rsidRPr="006E1513">
              <w:rPr>
                <w:snapToGrid/>
                <w:color w:val="000000"/>
                <w:kern w:val="0"/>
                <w:szCs w:val="22"/>
              </w:rPr>
              <w:t>WQUX677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B7FFECA" w14:textId="77777777">
            <w:pPr>
              <w:widowControl/>
              <w:jc w:val="center"/>
              <w:rPr>
                <w:snapToGrid/>
                <w:color w:val="000000"/>
                <w:kern w:val="0"/>
                <w:szCs w:val="22"/>
              </w:rPr>
            </w:pPr>
            <w:r w:rsidRPr="006E1513">
              <w:rPr>
                <w:snapToGrid/>
                <w:color w:val="000000"/>
                <w:kern w:val="0"/>
                <w:szCs w:val="22"/>
              </w:rPr>
              <w:t>151.22</w:t>
            </w:r>
          </w:p>
        </w:tc>
      </w:tr>
      <w:tr w14:paraId="582F380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72A7B38" w14:textId="77777777">
            <w:pPr>
              <w:widowControl/>
              <w:jc w:val="center"/>
              <w:rPr>
                <w:snapToGrid/>
                <w:color w:val="000000"/>
                <w:kern w:val="0"/>
                <w:szCs w:val="22"/>
              </w:rPr>
            </w:pPr>
            <w:r w:rsidRPr="006E1513">
              <w:rPr>
                <w:snapToGrid/>
                <w:color w:val="000000"/>
                <w:kern w:val="0"/>
                <w:szCs w:val="22"/>
              </w:rPr>
              <w:t>WQUX677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3C5D955" w14:textId="77777777">
            <w:pPr>
              <w:widowControl/>
              <w:jc w:val="center"/>
              <w:rPr>
                <w:snapToGrid/>
                <w:color w:val="000000"/>
                <w:kern w:val="0"/>
                <w:szCs w:val="22"/>
              </w:rPr>
            </w:pPr>
            <w:r w:rsidRPr="006E1513">
              <w:rPr>
                <w:snapToGrid/>
                <w:color w:val="000000"/>
                <w:kern w:val="0"/>
                <w:szCs w:val="22"/>
              </w:rPr>
              <w:t>151.415</w:t>
            </w:r>
          </w:p>
        </w:tc>
      </w:tr>
      <w:tr w14:paraId="2039EA4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684DCC1" w14:textId="77777777">
            <w:pPr>
              <w:widowControl/>
              <w:jc w:val="center"/>
              <w:rPr>
                <w:snapToGrid/>
                <w:color w:val="000000"/>
                <w:kern w:val="0"/>
                <w:szCs w:val="22"/>
              </w:rPr>
            </w:pPr>
            <w:r w:rsidRPr="006E1513">
              <w:rPr>
                <w:snapToGrid/>
                <w:color w:val="000000"/>
                <w:kern w:val="0"/>
                <w:szCs w:val="22"/>
              </w:rPr>
              <w:t>WQUX677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2158FC9" w14:textId="77777777">
            <w:pPr>
              <w:widowControl/>
              <w:jc w:val="center"/>
              <w:rPr>
                <w:snapToGrid/>
                <w:color w:val="000000"/>
                <w:kern w:val="0"/>
                <w:szCs w:val="22"/>
              </w:rPr>
            </w:pPr>
            <w:r w:rsidRPr="006E1513">
              <w:rPr>
                <w:snapToGrid/>
                <w:color w:val="000000"/>
                <w:kern w:val="0"/>
                <w:szCs w:val="22"/>
              </w:rPr>
              <w:t>154.95</w:t>
            </w:r>
          </w:p>
        </w:tc>
      </w:tr>
      <w:tr w14:paraId="28A422A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8DDCB4F" w14:textId="77777777">
            <w:pPr>
              <w:widowControl/>
              <w:jc w:val="center"/>
              <w:rPr>
                <w:snapToGrid/>
                <w:color w:val="000000"/>
                <w:kern w:val="0"/>
                <w:szCs w:val="22"/>
              </w:rPr>
            </w:pPr>
            <w:r w:rsidRPr="006E1513">
              <w:rPr>
                <w:snapToGrid/>
                <w:color w:val="000000"/>
                <w:kern w:val="0"/>
                <w:szCs w:val="22"/>
              </w:rPr>
              <w:t>WQUX677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FCD78E8" w14:textId="77777777">
            <w:pPr>
              <w:widowControl/>
              <w:jc w:val="center"/>
              <w:rPr>
                <w:snapToGrid/>
                <w:color w:val="000000"/>
                <w:kern w:val="0"/>
                <w:szCs w:val="22"/>
              </w:rPr>
            </w:pPr>
            <w:r w:rsidRPr="006E1513">
              <w:rPr>
                <w:snapToGrid/>
                <w:color w:val="000000"/>
                <w:kern w:val="0"/>
                <w:szCs w:val="22"/>
              </w:rPr>
              <w:t>155.91</w:t>
            </w:r>
          </w:p>
        </w:tc>
      </w:tr>
      <w:tr w14:paraId="21B60D7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BD1B68F" w14:textId="77777777">
            <w:pPr>
              <w:widowControl/>
              <w:jc w:val="center"/>
              <w:rPr>
                <w:snapToGrid/>
                <w:color w:val="000000"/>
                <w:kern w:val="0"/>
                <w:szCs w:val="22"/>
              </w:rPr>
            </w:pPr>
            <w:r w:rsidRPr="006E1513">
              <w:rPr>
                <w:snapToGrid/>
                <w:color w:val="000000"/>
                <w:kern w:val="0"/>
                <w:szCs w:val="22"/>
              </w:rPr>
              <w:t>WQUX677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75562A3" w14:textId="77777777">
            <w:pPr>
              <w:widowControl/>
              <w:jc w:val="center"/>
              <w:rPr>
                <w:snapToGrid/>
                <w:color w:val="000000"/>
                <w:kern w:val="0"/>
                <w:szCs w:val="22"/>
              </w:rPr>
            </w:pPr>
            <w:r w:rsidRPr="006E1513">
              <w:rPr>
                <w:snapToGrid/>
                <w:color w:val="000000"/>
                <w:kern w:val="0"/>
                <w:szCs w:val="22"/>
              </w:rPr>
              <w:t>156.0375</w:t>
            </w:r>
          </w:p>
        </w:tc>
      </w:tr>
      <w:tr w14:paraId="60DD591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0303B11" w14:textId="77777777">
            <w:pPr>
              <w:widowControl/>
              <w:jc w:val="center"/>
              <w:rPr>
                <w:snapToGrid/>
                <w:color w:val="000000"/>
                <w:kern w:val="0"/>
                <w:szCs w:val="22"/>
              </w:rPr>
            </w:pPr>
            <w:r w:rsidRPr="006E1513">
              <w:rPr>
                <w:snapToGrid/>
                <w:color w:val="000000"/>
                <w:kern w:val="0"/>
                <w:szCs w:val="22"/>
              </w:rPr>
              <w:t>WQVB532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556E008" w14:textId="77777777">
            <w:pPr>
              <w:widowControl/>
              <w:jc w:val="center"/>
              <w:rPr>
                <w:snapToGrid/>
                <w:color w:val="000000"/>
                <w:kern w:val="0"/>
                <w:szCs w:val="22"/>
              </w:rPr>
            </w:pPr>
            <w:r w:rsidRPr="006E1513">
              <w:rPr>
                <w:snapToGrid/>
                <w:color w:val="000000"/>
                <w:kern w:val="0"/>
                <w:szCs w:val="22"/>
              </w:rPr>
              <w:t>151.4675</w:t>
            </w:r>
          </w:p>
        </w:tc>
      </w:tr>
      <w:tr w14:paraId="6CC87E3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6B08EF2" w14:textId="77777777">
            <w:pPr>
              <w:widowControl/>
              <w:jc w:val="center"/>
              <w:rPr>
                <w:snapToGrid/>
                <w:color w:val="000000"/>
                <w:kern w:val="0"/>
                <w:szCs w:val="22"/>
              </w:rPr>
            </w:pPr>
            <w:r w:rsidRPr="006E1513">
              <w:rPr>
                <w:snapToGrid/>
                <w:color w:val="000000"/>
                <w:kern w:val="0"/>
                <w:szCs w:val="22"/>
              </w:rPr>
              <w:t>WQVB532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E68927C" w14:textId="77777777">
            <w:pPr>
              <w:widowControl/>
              <w:jc w:val="center"/>
              <w:rPr>
                <w:snapToGrid/>
                <w:color w:val="000000"/>
                <w:kern w:val="0"/>
                <w:szCs w:val="22"/>
              </w:rPr>
            </w:pPr>
            <w:r w:rsidRPr="006E1513">
              <w:rPr>
                <w:snapToGrid/>
                <w:color w:val="000000"/>
                <w:kern w:val="0"/>
                <w:szCs w:val="22"/>
              </w:rPr>
              <w:t>155.5275</w:t>
            </w:r>
          </w:p>
        </w:tc>
      </w:tr>
      <w:tr w14:paraId="45CF0E4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29E84F4" w14:textId="77777777">
            <w:pPr>
              <w:widowControl/>
              <w:jc w:val="center"/>
              <w:rPr>
                <w:snapToGrid/>
                <w:color w:val="000000"/>
                <w:kern w:val="0"/>
                <w:szCs w:val="22"/>
              </w:rPr>
            </w:pPr>
            <w:r w:rsidRPr="006E1513">
              <w:rPr>
                <w:snapToGrid/>
                <w:color w:val="000000"/>
                <w:kern w:val="0"/>
                <w:szCs w:val="22"/>
              </w:rPr>
              <w:t>WQVB532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65F6C6A" w14:textId="77777777">
            <w:pPr>
              <w:widowControl/>
              <w:jc w:val="center"/>
              <w:rPr>
                <w:snapToGrid/>
                <w:color w:val="000000"/>
                <w:kern w:val="0"/>
                <w:szCs w:val="22"/>
              </w:rPr>
            </w:pPr>
            <w:r w:rsidRPr="006E1513">
              <w:rPr>
                <w:snapToGrid/>
                <w:color w:val="000000"/>
                <w:kern w:val="0"/>
                <w:szCs w:val="22"/>
              </w:rPr>
              <w:t>156.1275</w:t>
            </w:r>
          </w:p>
        </w:tc>
      </w:tr>
      <w:tr w14:paraId="08F068C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647A1D" w14:textId="77777777">
            <w:pPr>
              <w:widowControl/>
              <w:jc w:val="center"/>
              <w:rPr>
                <w:snapToGrid/>
                <w:color w:val="000000"/>
                <w:kern w:val="0"/>
                <w:szCs w:val="22"/>
              </w:rPr>
            </w:pPr>
            <w:r w:rsidRPr="006E1513">
              <w:rPr>
                <w:snapToGrid/>
                <w:color w:val="000000"/>
                <w:kern w:val="0"/>
                <w:szCs w:val="22"/>
              </w:rPr>
              <w:t>WQVB532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0AD71B8" w14:textId="77777777">
            <w:pPr>
              <w:widowControl/>
              <w:jc w:val="center"/>
              <w:rPr>
                <w:snapToGrid/>
                <w:color w:val="000000"/>
                <w:kern w:val="0"/>
                <w:szCs w:val="22"/>
              </w:rPr>
            </w:pPr>
            <w:r w:rsidRPr="006E1513">
              <w:rPr>
                <w:snapToGrid/>
                <w:color w:val="000000"/>
                <w:kern w:val="0"/>
                <w:szCs w:val="22"/>
              </w:rPr>
              <w:t>153.7475</w:t>
            </w:r>
          </w:p>
        </w:tc>
      </w:tr>
      <w:tr w14:paraId="77CE863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9EF5D7A" w14:textId="77777777">
            <w:pPr>
              <w:widowControl/>
              <w:jc w:val="center"/>
              <w:rPr>
                <w:snapToGrid/>
                <w:color w:val="000000"/>
                <w:kern w:val="0"/>
                <w:szCs w:val="22"/>
              </w:rPr>
            </w:pPr>
            <w:r w:rsidRPr="006E1513">
              <w:rPr>
                <w:snapToGrid/>
                <w:color w:val="000000"/>
                <w:kern w:val="0"/>
                <w:szCs w:val="22"/>
              </w:rPr>
              <w:t>WQVB532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EE1CEFD" w14:textId="77777777">
            <w:pPr>
              <w:widowControl/>
              <w:jc w:val="center"/>
              <w:rPr>
                <w:snapToGrid/>
                <w:color w:val="000000"/>
                <w:kern w:val="0"/>
                <w:szCs w:val="22"/>
              </w:rPr>
            </w:pPr>
            <w:r w:rsidRPr="006E1513">
              <w:rPr>
                <w:snapToGrid/>
                <w:color w:val="000000"/>
                <w:kern w:val="0"/>
                <w:szCs w:val="22"/>
              </w:rPr>
              <w:t>153.8975</w:t>
            </w:r>
          </w:p>
        </w:tc>
      </w:tr>
      <w:tr w14:paraId="71C9574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8FEEE2D" w14:textId="77777777">
            <w:pPr>
              <w:widowControl/>
              <w:jc w:val="center"/>
              <w:rPr>
                <w:snapToGrid/>
                <w:color w:val="000000"/>
                <w:kern w:val="0"/>
                <w:szCs w:val="22"/>
              </w:rPr>
            </w:pPr>
            <w:r w:rsidRPr="006E1513">
              <w:rPr>
                <w:snapToGrid/>
                <w:color w:val="000000"/>
                <w:kern w:val="0"/>
                <w:szCs w:val="22"/>
              </w:rPr>
              <w:t>WQVB532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7040F3C" w14:textId="77777777">
            <w:pPr>
              <w:widowControl/>
              <w:jc w:val="center"/>
              <w:rPr>
                <w:snapToGrid/>
                <w:color w:val="000000"/>
                <w:kern w:val="0"/>
                <w:szCs w:val="22"/>
              </w:rPr>
            </w:pPr>
            <w:r w:rsidRPr="006E1513">
              <w:rPr>
                <w:snapToGrid/>
                <w:color w:val="000000"/>
                <w:kern w:val="0"/>
                <w:szCs w:val="22"/>
              </w:rPr>
              <w:t>153.9575</w:t>
            </w:r>
          </w:p>
        </w:tc>
      </w:tr>
      <w:tr w14:paraId="2727DAE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426EB08" w14:textId="77777777">
            <w:pPr>
              <w:widowControl/>
              <w:jc w:val="center"/>
              <w:rPr>
                <w:snapToGrid/>
                <w:color w:val="000000"/>
                <w:kern w:val="0"/>
                <w:szCs w:val="22"/>
              </w:rPr>
            </w:pPr>
            <w:r w:rsidRPr="006E1513">
              <w:rPr>
                <w:snapToGrid/>
                <w:color w:val="000000"/>
                <w:kern w:val="0"/>
                <w:szCs w:val="22"/>
              </w:rPr>
              <w:t>WQVV847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4136573" w14:textId="77777777">
            <w:pPr>
              <w:widowControl/>
              <w:jc w:val="center"/>
              <w:rPr>
                <w:snapToGrid/>
                <w:color w:val="000000"/>
                <w:kern w:val="0"/>
                <w:szCs w:val="22"/>
              </w:rPr>
            </w:pPr>
            <w:r w:rsidRPr="006E1513">
              <w:rPr>
                <w:snapToGrid/>
                <w:color w:val="000000"/>
                <w:kern w:val="0"/>
                <w:szCs w:val="22"/>
              </w:rPr>
              <w:t>155.73</w:t>
            </w:r>
          </w:p>
        </w:tc>
      </w:tr>
      <w:tr w14:paraId="23AF476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F066A2C" w14:textId="77777777">
            <w:pPr>
              <w:widowControl/>
              <w:jc w:val="center"/>
              <w:rPr>
                <w:snapToGrid/>
                <w:color w:val="000000"/>
                <w:kern w:val="0"/>
                <w:szCs w:val="22"/>
              </w:rPr>
            </w:pPr>
            <w:r w:rsidRPr="006E1513">
              <w:rPr>
                <w:snapToGrid/>
                <w:color w:val="000000"/>
                <w:kern w:val="0"/>
                <w:szCs w:val="22"/>
              </w:rPr>
              <w:t>WQVV847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423FD09" w14:textId="77777777">
            <w:pPr>
              <w:widowControl/>
              <w:jc w:val="center"/>
              <w:rPr>
                <w:snapToGrid/>
                <w:color w:val="000000"/>
                <w:kern w:val="0"/>
                <w:szCs w:val="22"/>
              </w:rPr>
            </w:pPr>
            <w:r w:rsidRPr="006E1513">
              <w:rPr>
                <w:snapToGrid/>
                <w:color w:val="000000"/>
                <w:kern w:val="0"/>
                <w:szCs w:val="22"/>
              </w:rPr>
              <w:t>159.1425</w:t>
            </w:r>
          </w:p>
        </w:tc>
      </w:tr>
      <w:tr w14:paraId="3236273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653A52C" w14:textId="77777777">
            <w:pPr>
              <w:widowControl/>
              <w:jc w:val="center"/>
              <w:rPr>
                <w:snapToGrid/>
                <w:color w:val="000000"/>
                <w:kern w:val="0"/>
                <w:szCs w:val="22"/>
              </w:rPr>
            </w:pPr>
            <w:r w:rsidRPr="006E1513">
              <w:rPr>
                <w:snapToGrid/>
                <w:color w:val="000000"/>
                <w:kern w:val="0"/>
                <w:szCs w:val="22"/>
              </w:rPr>
              <w:t>WQVV847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1F43F89" w14:textId="77777777">
            <w:pPr>
              <w:widowControl/>
              <w:jc w:val="center"/>
              <w:rPr>
                <w:snapToGrid/>
                <w:color w:val="000000"/>
                <w:kern w:val="0"/>
                <w:szCs w:val="22"/>
              </w:rPr>
            </w:pPr>
            <w:r w:rsidRPr="006E1513">
              <w:rPr>
                <w:snapToGrid/>
                <w:color w:val="000000"/>
                <w:kern w:val="0"/>
                <w:szCs w:val="22"/>
              </w:rPr>
              <w:t>159.3225</w:t>
            </w:r>
          </w:p>
        </w:tc>
      </w:tr>
      <w:tr w14:paraId="068FA32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28C190A" w14:textId="77777777">
            <w:pPr>
              <w:widowControl/>
              <w:jc w:val="center"/>
              <w:rPr>
                <w:snapToGrid/>
                <w:color w:val="000000"/>
                <w:kern w:val="0"/>
                <w:szCs w:val="22"/>
              </w:rPr>
            </w:pPr>
            <w:r w:rsidRPr="006E1513">
              <w:rPr>
                <w:snapToGrid/>
                <w:color w:val="000000"/>
                <w:kern w:val="0"/>
                <w:szCs w:val="22"/>
              </w:rPr>
              <w:t>WQVV847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3A97238" w14:textId="77777777">
            <w:pPr>
              <w:widowControl/>
              <w:jc w:val="center"/>
              <w:rPr>
                <w:snapToGrid/>
                <w:color w:val="000000"/>
                <w:kern w:val="0"/>
                <w:szCs w:val="22"/>
              </w:rPr>
            </w:pPr>
            <w:r w:rsidRPr="006E1513">
              <w:rPr>
                <w:snapToGrid/>
                <w:color w:val="000000"/>
                <w:kern w:val="0"/>
                <w:szCs w:val="22"/>
              </w:rPr>
              <w:t>153.8075</w:t>
            </w:r>
          </w:p>
        </w:tc>
      </w:tr>
      <w:tr w14:paraId="28243EE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F734D69" w14:textId="77777777">
            <w:pPr>
              <w:widowControl/>
              <w:jc w:val="center"/>
              <w:rPr>
                <w:snapToGrid/>
                <w:color w:val="000000"/>
                <w:kern w:val="0"/>
                <w:szCs w:val="22"/>
              </w:rPr>
            </w:pPr>
            <w:r w:rsidRPr="006E1513">
              <w:rPr>
                <w:snapToGrid/>
                <w:color w:val="000000"/>
                <w:kern w:val="0"/>
                <w:szCs w:val="22"/>
              </w:rPr>
              <w:t>WQVV847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56D961B" w14:textId="77777777">
            <w:pPr>
              <w:widowControl/>
              <w:jc w:val="center"/>
              <w:rPr>
                <w:snapToGrid/>
                <w:color w:val="000000"/>
                <w:kern w:val="0"/>
                <w:szCs w:val="22"/>
              </w:rPr>
            </w:pPr>
            <w:r w:rsidRPr="006E1513">
              <w:rPr>
                <w:snapToGrid/>
                <w:color w:val="000000"/>
                <w:kern w:val="0"/>
                <w:szCs w:val="22"/>
              </w:rPr>
              <w:t>153.8825</w:t>
            </w:r>
          </w:p>
        </w:tc>
      </w:tr>
      <w:tr w14:paraId="267D5A7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18F2859" w14:textId="77777777">
            <w:pPr>
              <w:widowControl/>
              <w:jc w:val="center"/>
              <w:rPr>
                <w:snapToGrid/>
                <w:color w:val="000000"/>
                <w:kern w:val="0"/>
                <w:szCs w:val="22"/>
              </w:rPr>
            </w:pPr>
            <w:r w:rsidRPr="006E1513">
              <w:rPr>
                <w:snapToGrid/>
                <w:color w:val="000000"/>
                <w:kern w:val="0"/>
                <w:szCs w:val="22"/>
              </w:rPr>
              <w:t>WQVV847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C0BA9C9" w14:textId="77777777">
            <w:pPr>
              <w:widowControl/>
              <w:jc w:val="center"/>
              <w:rPr>
                <w:snapToGrid/>
                <w:color w:val="000000"/>
                <w:kern w:val="0"/>
                <w:szCs w:val="22"/>
              </w:rPr>
            </w:pPr>
            <w:r w:rsidRPr="006E1513">
              <w:rPr>
                <w:snapToGrid/>
                <w:color w:val="000000"/>
                <w:kern w:val="0"/>
                <w:szCs w:val="22"/>
              </w:rPr>
              <w:t>154.0025</w:t>
            </w:r>
          </w:p>
        </w:tc>
      </w:tr>
      <w:tr w14:paraId="1FDDD7C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205386A" w14:textId="77777777">
            <w:pPr>
              <w:widowControl/>
              <w:jc w:val="center"/>
              <w:rPr>
                <w:snapToGrid/>
                <w:color w:val="000000"/>
                <w:kern w:val="0"/>
                <w:szCs w:val="22"/>
              </w:rPr>
            </w:pPr>
            <w:r w:rsidRPr="006E1513">
              <w:rPr>
                <w:snapToGrid/>
                <w:color w:val="000000"/>
                <w:kern w:val="0"/>
                <w:szCs w:val="22"/>
              </w:rPr>
              <w:t>WQVF450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D520D88" w14:textId="77777777">
            <w:pPr>
              <w:widowControl/>
              <w:jc w:val="center"/>
              <w:rPr>
                <w:snapToGrid/>
                <w:color w:val="000000"/>
                <w:kern w:val="0"/>
                <w:szCs w:val="22"/>
              </w:rPr>
            </w:pPr>
            <w:r w:rsidRPr="006E1513">
              <w:rPr>
                <w:snapToGrid/>
                <w:color w:val="000000"/>
                <w:kern w:val="0"/>
                <w:szCs w:val="22"/>
              </w:rPr>
              <w:t>151.01</w:t>
            </w:r>
          </w:p>
        </w:tc>
      </w:tr>
      <w:tr w14:paraId="3AFA2BC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CAB97B4" w14:textId="77777777">
            <w:pPr>
              <w:widowControl/>
              <w:jc w:val="center"/>
              <w:rPr>
                <w:snapToGrid/>
                <w:color w:val="000000"/>
                <w:kern w:val="0"/>
                <w:szCs w:val="22"/>
              </w:rPr>
            </w:pPr>
            <w:r w:rsidRPr="006E1513">
              <w:rPr>
                <w:snapToGrid/>
                <w:color w:val="000000"/>
                <w:kern w:val="0"/>
                <w:szCs w:val="22"/>
              </w:rPr>
              <w:t>WQVF450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DE7A6E2" w14:textId="77777777">
            <w:pPr>
              <w:widowControl/>
              <w:jc w:val="center"/>
              <w:rPr>
                <w:snapToGrid/>
                <w:color w:val="000000"/>
                <w:kern w:val="0"/>
                <w:szCs w:val="22"/>
              </w:rPr>
            </w:pPr>
            <w:r w:rsidRPr="006E1513">
              <w:rPr>
                <w:snapToGrid/>
                <w:color w:val="000000"/>
                <w:kern w:val="0"/>
                <w:szCs w:val="22"/>
              </w:rPr>
              <w:t>154.0625</w:t>
            </w:r>
          </w:p>
        </w:tc>
      </w:tr>
      <w:tr w14:paraId="04E0D7B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A6E5EEA" w14:textId="77777777">
            <w:pPr>
              <w:widowControl/>
              <w:jc w:val="center"/>
              <w:rPr>
                <w:snapToGrid/>
                <w:color w:val="000000"/>
                <w:kern w:val="0"/>
                <w:szCs w:val="22"/>
              </w:rPr>
            </w:pPr>
            <w:r w:rsidRPr="006E1513">
              <w:rPr>
                <w:snapToGrid/>
                <w:color w:val="000000"/>
                <w:kern w:val="0"/>
                <w:szCs w:val="22"/>
              </w:rPr>
              <w:t>WQVF450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73C06E1" w14:textId="77777777">
            <w:pPr>
              <w:widowControl/>
              <w:jc w:val="center"/>
              <w:rPr>
                <w:snapToGrid/>
                <w:color w:val="000000"/>
                <w:kern w:val="0"/>
                <w:szCs w:val="22"/>
              </w:rPr>
            </w:pPr>
            <w:r w:rsidRPr="006E1513">
              <w:rPr>
                <w:snapToGrid/>
                <w:color w:val="000000"/>
                <w:kern w:val="0"/>
                <w:szCs w:val="22"/>
              </w:rPr>
              <w:t>159.1275</w:t>
            </w:r>
          </w:p>
        </w:tc>
      </w:tr>
      <w:tr w14:paraId="01357AC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0BFF8CB" w14:textId="77777777">
            <w:pPr>
              <w:widowControl/>
              <w:jc w:val="center"/>
              <w:rPr>
                <w:snapToGrid/>
                <w:color w:val="000000"/>
                <w:kern w:val="0"/>
                <w:szCs w:val="22"/>
              </w:rPr>
            </w:pPr>
            <w:r w:rsidRPr="006E1513">
              <w:rPr>
                <w:snapToGrid/>
                <w:color w:val="000000"/>
                <w:kern w:val="0"/>
                <w:szCs w:val="22"/>
              </w:rPr>
              <w:t>WQVF450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FB86CDF" w14:textId="77777777">
            <w:pPr>
              <w:widowControl/>
              <w:jc w:val="center"/>
              <w:rPr>
                <w:snapToGrid/>
                <w:color w:val="000000"/>
                <w:kern w:val="0"/>
                <w:szCs w:val="22"/>
              </w:rPr>
            </w:pPr>
            <w:r w:rsidRPr="006E1513">
              <w:rPr>
                <w:snapToGrid/>
                <w:color w:val="000000"/>
                <w:kern w:val="0"/>
                <w:szCs w:val="22"/>
              </w:rPr>
              <w:t>155.5275</w:t>
            </w:r>
          </w:p>
        </w:tc>
      </w:tr>
      <w:tr w14:paraId="096BBAF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BB42757" w14:textId="77777777">
            <w:pPr>
              <w:widowControl/>
              <w:jc w:val="center"/>
              <w:rPr>
                <w:snapToGrid/>
                <w:color w:val="000000"/>
                <w:kern w:val="0"/>
                <w:szCs w:val="22"/>
              </w:rPr>
            </w:pPr>
            <w:r w:rsidRPr="006E1513">
              <w:rPr>
                <w:snapToGrid/>
                <w:color w:val="000000"/>
                <w:kern w:val="0"/>
                <w:szCs w:val="22"/>
              </w:rPr>
              <w:t>WQVF450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95628E5" w14:textId="77777777">
            <w:pPr>
              <w:widowControl/>
              <w:jc w:val="center"/>
              <w:rPr>
                <w:snapToGrid/>
                <w:color w:val="000000"/>
                <w:kern w:val="0"/>
                <w:szCs w:val="22"/>
              </w:rPr>
            </w:pPr>
            <w:r w:rsidRPr="006E1513">
              <w:rPr>
                <w:snapToGrid/>
                <w:color w:val="000000"/>
                <w:kern w:val="0"/>
                <w:szCs w:val="22"/>
              </w:rPr>
              <w:t>155.6325</w:t>
            </w:r>
          </w:p>
        </w:tc>
      </w:tr>
      <w:tr w14:paraId="7657303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4F0BDE0" w14:textId="77777777">
            <w:pPr>
              <w:widowControl/>
              <w:jc w:val="center"/>
              <w:rPr>
                <w:snapToGrid/>
                <w:color w:val="000000"/>
                <w:kern w:val="0"/>
                <w:szCs w:val="22"/>
              </w:rPr>
            </w:pPr>
            <w:r w:rsidRPr="006E1513">
              <w:rPr>
                <w:snapToGrid/>
                <w:color w:val="000000"/>
                <w:kern w:val="0"/>
                <w:szCs w:val="22"/>
              </w:rPr>
              <w:t>WQVF450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2B0DE91" w14:textId="77777777">
            <w:pPr>
              <w:widowControl/>
              <w:jc w:val="center"/>
              <w:rPr>
                <w:snapToGrid/>
                <w:color w:val="000000"/>
                <w:kern w:val="0"/>
                <w:szCs w:val="22"/>
              </w:rPr>
            </w:pPr>
            <w:r w:rsidRPr="006E1513">
              <w:rPr>
                <w:snapToGrid/>
                <w:color w:val="000000"/>
                <w:kern w:val="0"/>
                <w:szCs w:val="22"/>
              </w:rPr>
              <w:t>156.045</w:t>
            </w:r>
          </w:p>
        </w:tc>
      </w:tr>
      <w:tr w14:paraId="7290744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9E2DD59"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F524791" w14:textId="77777777">
            <w:pPr>
              <w:widowControl/>
              <w:jc w:val="center"/>
              <w:rPr>
                <w:snapToGrid/>
                <w:color w:val="000000"/>
                <w:kern w:val="0"/>
                <w:szCs w:val="22"/>
              </w:rPr>
            </w:pPr>
            <w:r w:rsidRPr="006E1513">
              <w:rPr>
                <w:snapToGrid/>
                <w:color w:val="000000"/>
                <w:kern w:val="0"/>
                <w:szCs w:val="22"/>
              </w:rPr>
              <w:t>151.175</w:t>
            </w:r>
          </w:p>
        </w:tc>
      </w:tr>
      <w:tr w14:paraId="58FFE13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AC958CE"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960934F" w14:textId="77777777">
            <w:pPr>
              <w:widowControl/>
              <w:jc w:val="center"/>
              <w:rPr>
                <w:snapToGrid/>
                <w:color w:val="000000"/>
                <w:kern w:val="0"/>
                <w:szCs w:val="22"/>
              </w:rPr>
            </w:pPr>
            <w:r w:rsidRPr="006E1513">
              <w:rPr>
                <w:snapToGrid/>
                <w:color w:val="000000"/>
                <w:kern w:val="0"/>
                <w:szCs w:val="22"/>
              </w:rPr>
              <w:t>151.295</w:t>
            </w:r>
          </w:p>
        </w:tc>
      </w:tr>
      <w:tr w14:paraId="2D305E4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B6FD890"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CD4077F" w14:textId="77777777">
            <w:pPr>
              <w:widowControl/>
              <w:jc w:val="center"/>
              <w:rPr>
                <w:snapToGrid/>
                <w:color w:val="000000"/>
                <w:kern w:val="0"/>
                <w:szCs w:val="22"/>
              </w:rPr>
            </w:pPr>
            <w:r w:rsidRPr="006E1513">
              <w:rPr>
                <w:snapToGrid/>
                <w:color w:val="000000"/>
                <w:kern w:val="0"/>
                <w:szCs w:val="22"/>
              </w:rPr>
              <w:t>151.385</w:t>
            </w:r>
          </w:p>
        </w:tc>
      </w:tr>
      <w:tr w14:paraId="10E344B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9E1DD7"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3EB9C98" w14:textId="77777777">
            <w:pPr>
              <w:widowControl/>
              <w:jc w:val="center"/>
              <w:rPr>
                <w:snapToGrid/>
                <w:color w:val="000000"/>
                <w:kern w:val="0"/>
                <w:szCs w:val="22"/>
              </w:rPr>
            </w:pPr>
            <w:r w:rsidRPr="006E1513">
              <w:rPr>
                <w:snapToGrid/>
                <w:color w:val="000000"/>
                <w:kern w:val="0"/>
                <w:szCs w:val="22"/>
              </w:rPr>
              <w:t>151.4</w:t>
            </w:r>
          </w:p>
        </w:tc>
      </w:tr>
      <w:tr w14:paraId="0817AE8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9D0F879"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0D936C9" w14:textId="77777777">
            <w:pPr>
              <w:widowControl/>
              <w:jc w:val="center"/>
              <w:rPr>
                <w:snapToGrid/>
                <w:color w:val="000000"/>
                <w:kern w:val="0"/>
                <w:szCs w:val="22"/>
              </w:rPr>
            </w:pPr>
            <w:r w:rsidRPr="006E1513">
              <w:rPr>
                <w:snapToGrid/>
                <w:color w:val="000000"/>
                <w:kern w:val="0"/>
                <w:szCs w:val="22"/>
              </w:rPr>
              <w:t>154.905</w:t>
            </w:r>
          </w:p>
        </w:tc>
      </w:tr>
      <w:tr w14:paraId="26060DF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F8F9EBB"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3C92110" w14:textId="77777777">
            <w:pPr>
              <w:widowControl/>
              <w:jc w:val="center"/>
              <w:rPr>
                <w:snapToGrid/>
                <w:color w:val="000000"/>
                <w:kern w:val="0"/>
                <w:szCs w:val="22"/>
              </w:rPr>
            </w:pPr>
            <w:r w:rsidRPr="006E1513">
              <w:rPr>
                <w:snapToGrid/>
                <w:color w:val="000000"/>
                <w:kern w:val="0"/>
                <w:szCs w:val="22"/>
              </w:rPr>
              <w:t>154.92</w:t>
            </w:r>
          </w:p>
        </w:tc>
      </w:tr>
      <w:tr w14:paraId="3E9CB48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152D4E9"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1BEC51C" w14:textId="77777777">
            <w:pPr>
              <w:widowControl/>
              <w:jc w:val="center"/>
              <w:rPr>
                <w:snapToGrid/>
                <w:color w:val="000000"/>
                <w:kern w:val="0"/>
                <w:szCs w:val="22"/>
              </w:rPr>
            </w:pPr>
            <w:r w:rsidRPr="006E1513">
              <w:rPr>
                <w:snapToGrid/>
                <w:color w:val="000000"/>
                <w:kern w:val="0"/>
                <w:szCs w:val="22"/>
              </w:rPr>
              <w:t>155.505</w:t>
            </w:r>
          </w:p>
        </w:tc>
      </w:tr>
      <w:tr w14:paraId="71406E3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CC6E53B"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554CCC5" w14:textId="77777777">
            <w:pPr>
              <w:widowControl/>
              <w:jc w:val="center"/>
              <w:rPr>
                <w:snapToGrid/>
                <w:color w:val="000000"/>
                <w:kern w:val="0"/>
                <w:szCs w:val="22"/>
              </w:rPr>
            </w:pPr>
            <w:r w:rsidRPr="006E1513">
              <w:rPr>
                <w:snapToGrid/>
                <w:color w:val="000000"/>
                <w:kern w:val="0"/>
                <w:szCs w:val="22"/>
              </w:rPr>
              <w:t>155.58</w:t>
            </w:r>
          </w:p>
        </w:tc>
      </w:tr>
      <w:tr w14:paraId="3F1F80B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FD12D37" w14:textId="77777777">
            <w:pPr>
              <w:widowControl/>
              <w:jc w:val="center"/>
              <w:rPr>
                <w:snapToGrid/>
                <w:color w:val="000000"/>
                <w:kern w:val="0"/>
                <w:szCs w:val="22"/>
              </w:rPr>
            </w:pPr>
            <w:r w:rsidRPr="006E1513">
              <w:rPr>
                <w:snapToGrid/>
                <w:color w:val="000000"/>
                <w:kern w:val="0"/>
                <w:szCs w:val="22"/>
              </w:rPr>
              <w:t>WQLT327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6C06CED" w14:textId="77777777">
            <w:pPr>
              <w:widowControl/>
              <w:jc w:val="center"/>
              <w:rPr>
                <w:snapToGrid/>
                <w:color w:val="000000"/>
                <w:kern w:val="0"/>
                <w:szCs w:val="22"/>
              </w:rPr>
            </w:pPr>
            <w:r w:rsidRPr="006E1513">
              <w:rPr>
                <w:snapToGrid/>
                <w:color w:val="000000"/>
                <w:kern w:val="0"/>
                <w:szCs w:val="22"/>
              </w:rPr>
              <w:t>154.755</w:t>
            </w:r>
          </w:p>
        </w:tc>
      </w:tr>
      <w:tr w14:paraId="0B6928F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698A971" w14:textId="77777777">
            <w:pPr>
              <w:widowControl/>
              <w:jc w:val="center"/>
              <w:rPr>
                <w:snapToGrid/>
                <w:color w:val="000000"/>
                <w:kern w:val="0"/>
                <w:szCs w:val="22"/>
              </w:rPr>
            </w:pPr>
            <w:r w:rsidRPr="006E1513">
              <w:rPr>
                <w:snapToGrid/>
                <w:color w:val="000000"/>
                <w:kern w:val="0"/>
                <w:szCs w:val="22"/>
              </w:rPr>
              <w:t>WQUY910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9A93529" w14:textId="77777777">
            <w:pPr>
              <w:widowControl/>
              <w:jc w:val="center"/>
              <w:rPr>
                <w:snapToGrid/>
                <w:color w:val="000000"/>
                <w:kern w:val="0"/>
                <w:szCs w:val="22"/>
              </w:rPr>
            </w:pPr>
            <w:r w:rsidRPr="006E1513">
              <w:rPr>
                <w:snapToGrid/>
                <w:color w:val="000000"/>
                <w:kern w:val="0"/>
                <w:szCs w:val="22"/>
              </w:rPr>
              <w:t>159.1875</w:t>
            </w:r>
          </w:p>
        </w:tc>
      </w:tr>
      <w:tr w14:paraId="365B1CA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C550848" w14:textId="77777777">
            <w:pPr>
              <w:widowControl/>
              <w:jc w:val="center"/>
              <w:rPr>
                <w:snapToGrid/>
                <w:color w:val="000000"/>
                <w:kern w:val="0"/>
                <w:szCs w:val="22"/>
              </w:rPr>
            </w:pPr>
            <w:r w:rsidRPr="006E1513">
              <w:rPr>
                <w:snapToGrid/>
                <w:color w:val="000000"/>
                <w:kern w:val="0"/>
                <w:szCs w:val="22"/>
              </w:rPr>
              <w:t>WQUY910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52BA4B9" w14:textId="77777777">
            <w:pPr>
              <w:widowControl/>
              <w:jc w:val="center"/>
              <w:rPr>
                <w:snapToGrid/>
                <w:color w:val="000000"/>
                <w:kern w:val="0"/>
                <w:szCs w:val="22"/>
              </w:rPr>
            </w:pPr>
            <w:r w:rsidRPr="006E1513">
              <w:rPr>
                <w:snapToGrid/>
                <w:color w:val="000000"/>
                <w:kern w:val="0"/>
                <w:szCs w:val="22"/>
              </w:rPr>
              <w:t>154.83</w:t>
            </w:r>
          </w:p>
        </w:tc>
      </w:tr>
      <w:tr w14:paraId="10EAD2A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0663B01" w14:textId="77777777">
            <w:pPr>
              <w:widowControl/>
              <w:jc w:val="center"/>
              <w:rPr>
                <w:snapToGrid/>
                <w:color w:val="000000"/>
                <w:kern w:val="0"/>
                <w:szCs w:val="22"/>
              </w:rPr>
            </w:pPr>
            <w:r w:rsidRPr="006E1513">
              <w:rPr>
                <w:snapToGrid/>
                <w:color w:val="000000"/>
                <w:kern w:val="0"/>
                <w:szCs w:val="22"/>
              </w:rPr>
              <w:t>WQUY910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CF2927E" w14:textId="77777777">
            <w:pPr>
              <w:widowControl/>
              <w:jc w:val="center"/>
              <w:rPr>
                <w:snapToGrid/>
                <w:color w:val="000000"/>
                <w:kern w:val="0"/>
                <w:szCs w:val="22"/>
              </w:rPr>
            </w:pPr>
            <w:r w:rsidRPr="006E1513">
              <w:rPr>
                <w:snapToGrid/>
                <w:color w:val="000000"/>
                <w:kern w:val="0"/>
                <w:szCs w:val="22"/>
              </w:rPr>
              <w:t>155.85</w:t>
            </w:r>
          </w:p>
        </w:tc>
      </w:tr>
      <w:tr w14:paraId="0F6B42F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BA01335" w14:textId="77777777">
            <w:pPr>
              <w:widowControl/>
              <w:jc w:val="center"/>
              <w:rPr>
                <w:snapToGrid/>
                <w:color w:val="000000"/>
                <w:kern w:val="0"/>
                <w:szCs w:val="22"/>
              </w:rPr>
            </w:pPr>
            <w:r w:rsidRPr="006E1513">
              <w:rPr>
                <w:snapToGrid/>
                <w:color w:val="000000"/>
                <w:kern w:val="0"/>
                <w:szCs w:val="22"/>
              </w:rPr>
              <w:t>WQVR897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70D971E" w14:textId="77777777">
            <w:pPr>
              <w:widowControl/>
              <w:jc w:val="center"/>
              <w:rPr>
                <w:snapToGrid/>
                <w:color w:val="000000"/>
                <w:kern w:val="0"/>
                <w:szCs w:val="22"/>
              </w:rPr>
            </w:pPr>
            <w:r w:rsidRPr="006E1513">
              <w:rPr>
                <w:snapToGrid/>
                <w:color w:val="000000"/>
                <w:kern w:val="0"/>
                <w:szCs w:val="22"/>
              </w:rPr>
              <w:t>151.1975</w:t>
            </w:r>
          </w:p>
        </w:tc>
      </w:tr>
      <w:tr w14:paraId="01FB7F7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0F43115" w14:textId="77777777">
            <w:pPr>
              <w:widowControl/>
              <w:jc w:val="center"/>
              <w:rPr>
                <w:snapToGrid/>
                <w:color w:val="000000"/>
                <w:kern w:val="0"/>
                <w:szCs w:val="22"/>
              </w:rPr>
            </w:pPr>
            <w:r w:rsidRPr="006E1513">
              <w:rPr>
                <w:snapToGrid/>
                <w:color w:val="000000"/>
                <w:kern w:val="0"/>
                <w:szCs w:val="22"/>
              </w:rPr>
              <w:t>WQVR897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30BAD12" w14:textId="77777777">
            <w:pPr>
              <w:widowControl/>
              <w:jc w:val="center"/>
              <w:rPr>
                <w:snapToGrid/>
                <w:color w:val="000000"/>
                <w:kern w:val="0"/>
                <w:szCs w:val="22"/>
              </w:rPr>
            </w:pPr>
            <w:r w:rsidRPr="006E1513">
              <w:rPr>
                <w:snapToGrid/>
                <w:color w:val="000000"/>
                <w:kern w:val="0"/>
                <w:szCs w:val="22"/>
              </w:rPr>
              <w:t>155.3025</w:t>
            </w:r>
          </w:p>
        </w:tc>
      </w:tr>
      <w:tr w14:paraId="5DFA1C0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8555EE8" w14:textId="77777777">
            <w:pPr>
              <w:widowControl/>
              <w:jc w:val="center"/>
              <w:rPr>
                <w:snapToGrid/>
                <w:color w:val="000000"/>
                <w:kern w:val="0"/>
                <w:szCs w:val="22"/>
              </w:rPr>
            </w:pPr>
            <w:r w:rsidRPr="006E1513">
              <w:rPr>
                <w:snapToGrid/>
                <w:color w:val="000000"/>
                <w:kern w:val="0"/>
                <w:szCs w:val="22"/>
              </w:rPr>
              <w:t>WQVR897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E26B4FC" w14:textId="77777777">
            <w:pPr>
              <w:widowControl/>
              <w:jc w:val="center"/>
              <w:rPr>
                <w:snapToGrid/>
                <w:color w:val="000000"/>
                <w:kern w:val="0"/>
                <w:szCs w:val="22"/>
              </w:rPr>
            </w:pPr>
            <w:r w:rsidRPr="006E1513">
              <w:rPr>
                <w:snapToGrid/>
                <w:color w:val="000000"/>
                <w:kern w:val="0"/>
                <w:szCs w:val="22"/>
              </w:rPr>
              <w:t>155.5425</w:t>
            </w:r>
          </w:p>
        </w:tc>
      </w:tr>
      <w:tr w14:paraId="4A238C9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F1356AC" w14:textId="77777777">
            <w:pPr>
              <w:widowControl/>
              <w:jc w:val="center"/>
              <w:rPr>
                <w:snapToGrid/>
                <w:color w:val="000000"/>
                <w:kern w:val="0"/>
                <w:szCs w:val="22"/>
              </w:rPr>
            </w:pPr>
            <w:r w:rsidRPr="006E1513">
              <w:rPr>
                <w:snapToGrid/>
                <w:color w:val="000000"/>
                <w:kern w:val="0"/>
                <w:szCs w:val="22"/>
              </w:rPr>
              <w:t>WQVR897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3F0DB8E" w14:textId="77777777">
            <w:pPr>
              <w:widowControl/>
              <w:jc w:val="center"/>
              <w:rPr>
                <w:snapToGrid/>
                <w:color w:val="000000"/>
                <w:kern w:val="0"/>
                <w:szCs w:val="22"/>
              </w:rPr>
            </w:pPr>
            <w:r w:rsidRPr="006E1513">
              <w:rPr>
                <w:snapToGrid/>
                <w:color w:val="000000"/>
                <w:kern w:val="0"/>
                <w:szCs w:val="22"/>
              </w:rPr>
              <w:t>153.7475</w:t>
            </w:r>
          </w:p>
        </w:tc>
      </w:tr>
      <w:tr w14:paraId="080E14C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0D61516" w14:textId="77777777">
            <w:pPr>
              <w:widowControl/>
              <w:jc w:val="center"/>
              <w:rPr>
                <w:snapToGrid/>
                <w:color w:val="000000"/>
                <w:kern w:val="0"/>
                <w:szCs w:val="22"/>
              </w:rPr>
            </w:pPr>
            <w:r w:rsidRPr="006E1513">
              <w:rPr>
                <w:snapToGrid/>
                <w:color w:val="000000"/>
                <w:kern w:val="0"/>
                <w:szCs w:val="22"/>
              </w:rPr>
              <w:t>WQVR897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FF3D3B8" w14:textId="77777777">
            <w:pPr>
              <w:widowControl/>
              <w:jc w:val="center"/>
              <w:rPr>
                <w:snapToGrid/>
                <w:color w:val="000000"/>
                <w:kern w:val="0"/>
                <w:szCs w:val="22"/>
              </w:rPr>
            </w:pPr>
            <w:r w:rsidRPr="006E1513">
              <w:rPr>
                <w:snapToGrid/>
                <w:color w:val="000000"/>
                <w:kern w:val="0"/>
                <w:szCs w:val="22"/>
              </w:rPr>
              <w:t>153.8375</w:t>
            </w:r>
          </w:p>
        </w:tc>
      </w:tr>
      <w:tr w14:paraId="1C8A091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F41104F" w14:textId="77777777">
            <w:pPr>
              <w:widowControl/>
              <w:jc w:val="center"/>
              <w:rPr>
                <w:snapToGrid/>
                <w:color w:val="000000"/>
                <w:kern w:val="0"/>
                <w:szCs w:val="22"/>
              </w:rPr>
            </w:pPr>
            <w:r w:rsidRPr="006E1513">
              <w:rPr>
                <w:snapToGrid/>
                <w:color w:val="000000"/>
                <w:kern w:val="0"/>
                <w:szCs w:val="22"/>
              </w:rPr>
              <w:t>WQVR897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E1B68A3" w14:textId="77777777">
            <w:pPr>
              <w:widowControl/>
              <w:jc w:val="center"/>
              <w:rPr>
                <w:snapToGrid/>
                <w:color w:val="000000"/>
                <w:kern w:val="0"/>
                <w:szCs w:val="22"/>
              </w:rPr>
            </w:pPr>
            <w:r w:rsidRPr="006E1513">
              <w:rPr>
                <w:snapToGrid/>
                <w:color w:val="000000"/>
                <w:kern w:val="0"/>
                <w:szCs w:val="22"/>
              </w:rPr>
              <w:t>154.0175</w:t>
            </w:r>
          </w:p>
        </w:tc>
      </w:tr>
      <w:tr w14:paraId="495366B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68A681A" w14:textId="77777777">
            <w:pPr>
              <w:widowControl/>
              <w:jc w:val="center"/>
              <w:rPr>
                <w:snapToGrid/>
                <w:color w:val="000000"/>
                <w:kern w:val="0"/>
                <w:szCs w:val="22"/>
              </w:rPr>
            </w:pPr>
            <w:r w:rsidRPr="006E1513">
              <w:rPr>
                <w:snapToGrid/>
                <w:color w:val="000000"/>
                <w:kern w:val="0"/>
                <w:szCs w:val="22"/>
              </w:rPr>
              <w:t>WQVT983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6C89D9D" w14:textId="77777777">
            <w:pPr>
              <w:widowControl/>
              <w:jc w:val="center"/>
              <w:rPr>
                <w:snapToGrid/>
                <w:color w:val="000000"/>
                <w:kern w:val="0"/>
                <w:szCs w:val="22"/>
              </w:rPr>
            </w:pPr>
            <w:r w:rsidRPr="006E1513">
              <w:rPr>
                <w:snapToGrid/>
                <w:color w:val="000000"/>
                <w:kern w:val="0"/>
                <w:szCs w:val="22"/>
              </w:rPr>
              <w:t>151.0325</w:t>
            </w:r>
          </w:p>
        </w:tc>
      </w:tr>
      <w:tr w14:paraId="28A0247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F98CD7B" w14:textId="77777777">
            <w:pPr>
              <w:widowControl/>
              <w:jc w:val="center"/>
              <w:rPr>
                <w:snapToGrid/>
                <w:color w:val="000000"/>
                <w:kern w:val="0"/>
                <w:szCs w:val="22"/>
              </w:rPr>
            </w:pPr>
            <w:r w:rsidRPr="006E1513">
              <w:rPr>
                <w:snapToGrid/>
                <w:color w:val="000000"/>
                <w:kern w:val="0"/>
                <w:szCs w:val="22"/>
              </w:rPr>
              <w:t>WQVT983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40FAE57" w14:textId="77777777">
            <w:pPr>
              <w:widowControl/>
              <w:jc w:val="center"/>
              <w:rPr>
                <w:snapToGrid/>
                <w:color w:val="000000"/>
                <w:kern w:val="0"/>
                <w:szCs w:val="22"/>
              </w:rPr>
            </w:pPr>
            <w:r w:rsidRPr="006E1513">
              <w:rPr>
                <w:snapToGrid/>
                <w:color w:val="000000"/>
                <w:kern w:val="0"/>
                <w:szCs w:val="22"/>
              </w:rPr>
              <w:t>159.405</w:t>
            </w:r>
          </w:p>
        </w:tc>
      </w:tr>
      <w:tr w14:paraId="6AF6D8A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2A38914" w14:textId="77777777">
            <w:pPr>
              <w:widowControl/>
              <w:jc w:val="center"/>
              <w:rPr>
                <w:snapToGrid/>
                <w:color w:val="000000"/>
                <w:kern w:val="0"/>
                <w:szCs w:val="22"/>
              </w:rPr>
            </w:pPr>
            <w:r w:rsidRPr="006E1513">
              <w:rPr>
                <w:snapToGrid/>
                <w:color w:val="000000"/>
                <w:kern w:val="0"/>
                <w:szCs w:val="22"/>
              </w:rPr>
              <w:t>WQVT983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6CE7F4E" w14:textId="77777777">
            <w:pPr>
              <w:widowControl/>
              <w:jc w:val="center"/>
              <w:rPr>
                <w:snapToGrid/>
                <w:color w:val="000000"/>
                <w:kern w:val="0"/>
                <w:szCs w:val="22"/>
              </w:rPr>
            </w:pPr>
            <w:r w:rsidRPr="006E1513">
              <w:rPr>
                <w:snapToGrid/>
                <w:color w:val="000000"/>
                <w:kern w:val="0"/>
                <w:szCs w:val="22"/>
              </w:rPr>
              <w:t>154.71</w:t>
            </w:r>
          </w:p>
        </w:tc>
      </w:tr>
      <w:tr w14:paraId="638FC4D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AE19E17" w14:textId="77777777">
            <w:pPr>
              <w:widowControl/>
              <w:jc w:val="center"/>
              <w:rPr>
                <w:snapToGrid/>
                <w:color w:val="000000"/>
                <w:kern w:val="0"/>
                <w:szCs w:val="22"/>
              </w:rPr>
            </w:pPr>
            <w:r w:rsidRPr="006E1513">
              <w:rPr>
                <w:snapToGrid/>
                <w:color w:val="000000"/>
                <w:kern w:val="0"/>
                <w:szCs w:val="22"/>
              </w:rPr>
              <w:t>WQVT983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C7A86BC" w14:textId="77777777">
            <w:pPr>
              <w:widowControl/>
              <w:jc w:val="center"/>
              <w:rPr>
                <w:snapToGrid/>
                <w:color w:val="000000"/>
                <w:kern w:val="0"/>
                <w:szCs w:val="22"/>
              </w:rPr>
            </w:pPr>
            <w:r w:rsidRPr="006E1513">
              <w:rPr>
                <w:snapToGrid/>
                <w:color w:val="000000"/>
                <w:kern w:val="0"/>
                <w:szCs w:val="22"/>
              </w:rPr>
              <w:t>155.91</w:t>
            </w:r>
          </w:p>
        </w:tc>
      </w:tr>
      <w:tr w14:paraId="0909F58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D7F778D" w14:textId="77777777">
            <w:pPr>
              <w:widowControl/>
              <w:jc w:val="center"/>
              <w:rPr>
                <w:snapToGrid/>
                <w:color w:val="000000"/>
                <w:kern w:val="0"/>
                <w:szCs w:val="22"/>
              </w:rPr>
            </w:pPr>
            <w:r w:rsidRPr="006E1513">
              <w:rPr>
                <w:snapToGrid/>
                <w:color w:val="000000"/>
                <w:kern w:val="0"/>
                <w:szCs w:val="22"/>
              </w:rPr>
              <w:t>WQUE287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E1A10F9" w14:textId="77777777">
            <w:pPr>
              <w:widowControl/>
              <w:jc w:val="center"/>
              <w:rPr>
                <w:snapToGrid/>
                <w:color w:val="000000"/>
                <w:kern w:val="0"/>
                <w:szCs w:val="22"/>
              </w:rPr>
            </w:pPr>
            <w:r w:rsidRPr="006E1513">
              <w:rPr>
                <w:snapToGrid/>
                <w:color w:val="000000"/>
                <w:kern w:val="0"/>
                <w:szCs w:val="22"/>
              </w:rPr>
              <w:t>158.8125</w:t>
            </w:r>
          </w:p>
        </w:tc>
      </w:tr>
      <w:tr w14:paraId="587A721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E1C0F8E" w14:textId="77777777">
            <w:pPr>
              <w:widowControl/>
              <w:jc w:val="center"/>
              <w:rPr>
                <w:snapToGrid/>
                <w:color w:val="000000"/>
                <w:kern w:val="0"/>
                <w:szCs w:val="22"/>
              </w:rPr>
            </w:pPr>
            <w:r w:rsidRPr="006E1513">
              <w:rPr>
                <w:snapToGrid/>
                <w:color w:val="000000"/>
                <w:kern w:val="0"/>
                <w:szCs w:val="22"/>
              </w:rPr>
              <w:t>WQUE287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58DB58A" w14:textId="77777777">
            <w:pPr>
              <w:widowControl/>
              <w:jc w:val="center"/>
              <w:rPr>
                <w:snapToGrid/>
                <w:color w:val="000000"/>
                <w:kern w:val="0"/>
                <w:szCs w:val="22"/>
              </w:rPr>
            </w:pPr>
            <w:r w:rsidRPr="006E1513">
              <w:rPr>
                <w:snapToGrid/>
                <w:color w:val="000000"/>
                <w:kern w:val="0"/>
                <w:szCs w:val="22"/>
              </w:rPr>
              <w:t>159.105</w:t>
            </w:r>
          </w:p>
        </w:tc>
      </w:tr>
      <w:tr w14:paraId="7D762FE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C786320" w14:textId="77777777">
            <w:pPr>
              <w:widowControl/>
              <w:jc w:val="center"/>
              <w:rPr>
                <w:snapToGrid/>
                <w:color w:val="000000"/>
                <w:kern w:val="0"/>
                <w:szCs w:val="22"/>
              </w:rPr>
            </w:pPr>
            <w:r w:rsidRPr="006E1513">
              <w:rPr>
                <w:snapToGrid/>
                <w:color w:val="000000"/>
                <w:kern w:val="0"/>
                <w:szCs w:val="22"/>
              </w:rPr>
              <w:t>WQUE287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17FC35A" w14:textId="77777777">
            <w:pPr>
              <w:widowControl/>
              <w:jc w:val="center"/>
              <w:rPr>
                <w:snapToGrid/>
                <w:color w:val="000000"/>
                <w:kern w:val="0"/>
                <w:szCs w:val="22"/>
              </w:rPr>
            </w:pPr>
            <w:r w:rsidRPr="006E1513">
              <w:rPr>
                <w:snapToGrid/>
                <w:color w:val="000000"/>
                <w:kern w:val="0"/>
                <w:szCs w:val="22"/>
              </w:rPr>
              <w:t>159.24</w:t>
            </w:r>
          </w:p>
        </w:tc>
      </w:tr>
      <w:tr w14:paraId="7A89ED8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A19AE4E" w14:textId="77777777">
            <w:pPr>
              <w:widowControl/>
              <w:jc w:val="center"/>
              <w:rPr>
                <w:snapToGrid/>
                <w:color w:val="000000"/>
                <w:kern w:val="0"/>
                <w:szCs w:val="22"/>
              </w:rPr>
            </w:pPr>
            <w:r w:rsidRPr="006E1513">
              <w:rPr>
                <w:snapToGrid/>
                <w:color w:val="000000"/>
                <w:kern w:val="0"/>
                <w:szCs w:val="22"/>
              </w:rPr>
              <w:t>WQUE287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640AF18" w14:textId="77777777">
            <w:pPr>
              <w:widowControl/>
              <w:jc w:val="center"/>
              <w:rPr>
                <w:snapToGrid/>
                <w:color w:val="000000"/>
                <w:kern w:val="0"/>
                <w:szCs w:val="22"/>
              </w:rPr>
            </w:pPr>
            <w:r w:rsidRPr="006E1513">
              <w:rPr>
                <w:snapToGrid/>
                <w:color w:val="000000"/>
                <w:kern w:val="0"/>
                <w:szCs w:val="22"/>
              </w:rPr>
              <w:t>153.9425</w:t>
            </w:r>
          </w:p>
        </w:tc>
      </w:tr>
      <w:tr w14:paraId="35665E2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8695A23" w14:textId="77777777">
            <w:pPr>
              <w:widowControl/>
              <w:jc w:val="center"/>
              <w:rPr>
                <w:snapToGrid/>
                <w:color w:val="000000"/>
                <w:kern w:val="0"/>
                <w:szCs w:val="22"/>
              </w:rPr>
            </w:pPr>
            <w:r w:rsidRPr="006E1513">
              <w:rPr>
                <w:snapToGrid/>
                <w:color w:val="000000"/>
                <w:kern w:val="0"/>
                <w:szCs w:val="22"/>
              </w:rPr>
              <w:t>WQUE287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CB3B653" w14:textId="77777777">
            <w:pPr>
              <w:widowControl/>
              <w:jc w:val="center"/>
              <w:rPr>
                <w:snapToGrid/>
                <w:color w:val="000000"/>
                <w:kern w:val="0"/>
                <w:szCs w:val="22"/>
              </w:rPr>
            </w:pPr>
            <w:r w:rsidRPr="006E1513">
              <w:rPr>
                <w:snapToGrid/>
                <w:color w:val="000000"/>
                <w:kern w:val="0"/>
                <w:szCs w:val="22"/>
              </w:rPr>
              <w:t>154.65</w:t>
            </w:r>
          </w:p>
        </w:tc>
      </w:tr>
      <w:tr w14:paraId="50B8A8F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37BDE3" w14:textId="77777777">
            <w:pPr>
              <w:widowControl/>
              <w:jc w:val="center"/>
              <w:rPr>
                <w:snapToGrid/>
                <w:color w:val="000000"/>
                <w:kern w:val="0"/>
                <w:szCs w:val="22"/>
              </w:rPr>
            </w:pPr>
            <w:r w:rsidRPr="006E1513">
              <w:rPr>
                <w:snapToGrid/>
                <w:color w:val="000000"/>
                <w:kern w:val="0"/>
                <w:szCs w:val="22"/>
              </w:rPr>
              <w:t>WQUE287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C7C89A0" w14:textId="77777777">
            <w:pPr>
              <w:widowControl/>
              <w:jc w:val="center"/>
              <w:rPr>
                <w:snapToGrid/>
                <w:color w:val="000000"/>
                <w:kern w:val="0"/>
                <w:szCs w:val="22"/>
              </w:rPr>
            </w:pPr>
            <w:r w:rsidRPr="006E1513">
              <w:rPr>
                <w:snapToGrid/>
                <w:color w:val="000000"/>
                <w:kern w:val="0"/>
                <w:szCs w:val="22"/>
              </w:rPr>
              <w:t>156.0675</w:t>
            </w:r>
          </w:p>
        </w:tc>
      </w:tr>
      <w:tr w14:paraId="78EFA5B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73831CD" w14:textId="77777777">
            <w:pPr>
              <w:widowControl/>
              <w:jc w:val="center"/>
              <w:rPr>
                <w:snapToGrid/>
                <w:color w:val="000000"/>
                <w:kern w:val="0"/>
                <w:szCs w:val="22"/>
              </w:rPr>
            </w:pPr>
            <w:r w:rsidRPr="006E1513">
              <w:rPr>
                <w:snapToGrid/>
                <w:color w:val="000000"/>
                <w:kern w:val="0"/>
                <w:szCs w:val="22"/>
              </w:rPr>
              <w:t>WQUX222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1DB6648" w14:textId="77777777">
            <w:pPr>
              <w:widowControl/>
              <w:jc w:val="center"/>
              <w:rPr>
                <w:snapToGrid/>
                <w:color w:val="000000"/>
                <w:kern w:val="0"/>
                <w:szCs w:val="22"/>
              </w:rPr>
            </w:pPr>
            <w:r w:rsidRPr="006E1513">
              <w:rPr>
                <w:snapToGrid/>
                <w:color w:val="000000"/>
                <w:kern w:val="0"/>
                <w:szCs w:val="22"/>
              </w:rPr>
              <w:t>155.67</w:t>
            </w:r>
          </w:p>
        </w:tc>
      </w:tr>
      <w:tr w14:paraId="023A4C1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CB4EA85" w14:textId="77777777">
            <w:pPr>
              <w:widowControl/>
              <w:jc w:val="center"/>
              <w:rPr>
                <w:snapToGrid/>
                <w:color w:val="000000"/>
                <w:kern w:val="0"/>
                <w:szCs w:val="22"/>
              </w:rPr>
            </w:pPr>
            <w:r w:rsidRPr="006E1513">
              <w:rPr>
                <w:snapToGrid/>
                <w:color w:val="000000"/>
                <w:kern w:val="0"/>
                <w:szCs w:val="22"/>
              </w:rPr>
              <w:t>WQUX222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395BB2B" w14:textId="77777777">
            <w:pPr>
              <w:widowControl/>
              <w:jc w:val="center"/>
              <w:rPr>
                <w:snapToGrid/>
                <w:color w:val="000000"/>
                <w:kern w:val="0"/>
                <w:szCs w:val="22"/>
              </w:rPr>
            </w:pPr>
            <w:r w:rsidRPr="006E1513">
              <w:rPr>
                <w:snapToGrid/>
                <w:color w:val="000000"/>
                <w:kern w:val="0"/>
                <w:szCs w:val="22"/>
              </w:rPr>
              <w:t>154.68</w:t>
            </w:r>
          </w:p>
        </w:tc>
      </w:tr>
      <w:tr w14:paraId="1D4C468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1851427" w14:textId="77777777">
            <w:pPr>
              <w:widowControl/>
              <w:jc w:val="center"/>
              <w:rPr>
                <w:snapToGrid/>
                <w:color w:val="000000"/>
                <w:kern w:val="0"/>
                <w:szCs w:val="22"/>
              </w:rPr>
            </w:pPr>
            <w:r w:rsidRPr="006E1513">
              <w:rPr>
                <w:snapToGrid/>
                <w:color w:val="000000"/>
                <w:kern w:val="0"/>
                <w:szCs w:val="22"/>
              </w:rPr>
              <w:t>WQUX222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962C5D5" w14:textId="77777777">
            <w:pPr>
              <w:widowControl/>
              <w:jc w:val="center"/>
              <w:rPr>
                <w:snapToGrid/>
                <w:color w:val="000000"/>
                <w:kern w:val="0"/>
                <w:szCs w:val="22"/>
              </w:rPr>
            </w:pPr>
            <w:r w:rsidRPr="006E1513">
              <w:rPr>
                <w:snapToGrid/>
                <w:color w:val="000000"/>
                <w:kern w:val="0"/>
                <w:szCs w:val="22"/>
              </w:rPr>
              <w:t>154.8525</w:t>
            </w:r>
          </w:p>
        </w:tc>
      </w:tr>
      <w:tr w14:paraId="0AE1305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23BAF0C" w14:textId="77777777">
            <w:pPr>
              <w:widowControl/>
              <w:jc w:val="center"/>
              <w:rPr>
                <w:snapToGrid/>
                <w:color w:val="000000"/>
                <w:kern w:val="0"/>
                <w:szCs w:val="22"/>
              </w:rPr>
            </w:pPr>
            <w:r w:rsidRPr="006E1513">
              <w:rPr>
                <w:snapToGrid/>
                <w:color w:val="000000"/>
                <w:kern w:val="0"/>
                <w:szCs w:val="22"/>
              </w:rPr>
              <w:t>WQUX222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6B723B2" w14:textId="77777777">
            <w:pPr>
              <w:widowControl/>
              <w:jc w:val="center"/>
              <w:rPr>
                <w:snapToGrid/>
                <w:color w:val="000000"/>
                <w:kern w:val="0"/>
                <w:szCs w:val="22"/>
              </w:rPr>
            </w:pPr>
            <w:r w:rsidRPr="006E1513">
              <w:rPr>
                <w:snapToGrid/>
                <w:color w:val="000000"/>
                <w:kern w:val="0"/>
                <w:szCs w:val="22"/>
              </w:rPr>
              <w:t>159.3</w:t>
            </w:r>
          </w:p>
        </w:tc>
      </w:tr>
      <w:tr w14:paraId="7D7C138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C07664B" w14:textId="77777777">
            <w:pPr>
              <w:widowControl/>
              <w:jc w:val="center"/>
              <w:rPr>
                <w:snapToGrid/>
                <w:color w:val="000000"/>
                <w:kern w:val="0"/>
                <w:szCs w:val="22"/>
              </w:rPr>
            </w:pPr>
            <w:r w:rsidRPr="006E1513">
              <w:rPr>
                <w:snapToGrid/>
                <w:color w:val="000000"/>
                <w:kern w:val="0"/>
                <w:szCs w:val="22"/>
              </w:rPr>
              <w:t>WQUX222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2EC4767" w14:textId="77777777">
            <w:pPr>
              <w:widowControl/>
              <w:jc w:val="center"/>
              <w:rPr>
                <w:snapToGrid/>
                <w:color w:val="000000"/>
                <w:kern w:val="0"/>
                <w:szCs w:val="22"/>
              </w:rPr>
            </w:pPr>
            <w:r w:rsidRPr="006E1513">
              <w:rPr>
                <w:snapToGrid/>
                <w:color w:val="000000"/>
                <w:kern w:val="0"/>
                <w:szCs w:val="22"/>
              </w:rPr>
              <w:t>159.4125</w:t>
            </w:r>
          </w:p>
        </w:tc>
      </w:tr>
      <w:tr w14:paraId="62D80ED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C053AF2" w14:textId="77777777">
            <w:pPr>
              <w:widowControl/>
              <w:jc w:val="center"/>
              <w:rPr>
                <w:snapToGrid/>
                <w:color w:val="000000"/>
                <w:kern w:val="0"/>
                <w:szCs w:val="22"/>
              </w:rPr>
            </w:pPr>
            <w:r w:rsidRPr="006E1513">
              <w:rPr>
                <w:snapToGrid/>
                <w:color w:val="000000"/>
                <w:kern w:val="0"/>
                <w:szCs w:val="22"/>
              </w:rPr>
              <w:t>WQUX222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FB30BCA" w14:textId="77777777">
            <w:pPr>
              <w:widowControl/>
              <w:jc w:val="center"/>
              <w:rPr>
                <w:snapToGrid/>
                <w:color w:val="000000"/>
                <w:kern w:val="0"/>
                <w:szCs w:val="22"/>
              </w:rPr>
            </w:pPr>
            <w:r w:rsidRPr="006E1513">
              <w:rPr>
                <w:snapToGrid/>
                <w:color w:val="000000"/>
                <w:kern w:val="0"/>
                <w:szCs w:val="22"/>
              </w:rPr>
              <w:t>158.985</w:t>
            </w:r>
          </w:p>
        </w:tc>
      </w:tr>
      <w:tr w14:paraId="0CE1212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5BEFCE5" w14:textId="77777777">
            <w:pPr>
              <w:widowControl/>
              <w:jc w:val="center"/>
              <w:rPr>
                <w:snapToGrid/>
                <w:color w:val="000000"/>
                <w:kern w:val="0"/>
                <w:szCs w:val="22"/>
              </w:rPr>
            </w:pPr>
            <w:r w:rsidRPr="006E1513">
              <w:rPr>
                <w:snapToGrid/>
                <w:color w:val="000000"/>
                <w:kern w:val="0"/>
                <w:szCs w:val="22"/>
              </w:rPr>
              <w:t>WQVG226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AF8910A" w14:textId="77777777">
            <w:pPr>
              <w:widowControl/>
              <w:jc w:val="center"/>
              <w:rPr>
                <w:snapToGrid/>
                <w:color w:val="000000"/>
                <w:kern w:val="0"/>
                <w:szCs w:val="22"/>
              </w:rPr>
            </w:pPr>
            <w:r w:rsidRPr="006E1513">
              <w:rPr>
                <w:snapToGrid/>
                <w:color w:val="000000"/>
                <w:kern w:val="0"/>
                <w:szCs w:val="22"/>
              </w:rPr>
              <w:t>155.58</w:t>
            </w:r>
          </w:p>
        </w:tc>
      </w:tr>
      <w:tr w14:paraId="7B7B6C2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C17397" w14:textId="77777777">
            <w:pPr>
              <w:widowControl/>
              <w:jc w:val="center"/>
              <w:rPr>
                <w:snapToGrid/>
                <w:color w:val="000000"/>
                <w:kern w:val="0"/>
                <w:szCs w:val="22"/>
              </w:rPr>
            </w:pPr>
            <w:r w:rsidRPr="006E1513">
              <w:rPr>
                <w:snapToGrid/>
                <w:color w:val="000000"/>
                <w:kern w:val="0"/>
                <w:szCs w:val="22"/>
              </w:rPr>
              <w:t>WQVG226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F7C37F5" w14:textId="77777777">
            <w:pPr>
              <w:widowControl/>
              <w:jc w:val="center"/>
              <w:rPr>
                <w:snapToGrid/>
                <w:color w:val="000000"/>
                <w:kern w:val="0"/>
                <w:szCs w:val="22"/>
              </w:rPr>
            </w:pPr>
            <w:r w:rsidRPr="006E1513">
              <w:rPr>
                <w:snapToGrid/>
                <w:color w:val="000000"/>
                <w:kern w:val="0"/>
                <w:szCs w:val="22"/>
              </w:rPr>
              <w:t>154.905</w:t>
            </w:r>
          </w:p>
        </w:tc>
      </w:tr>
      <w:tr w14:paraId="34CA10E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8F0C5D8" w14:textId="77777777">
            <w:pPr>
              <w:widowControl/>
              <w:jc w:val="center"/>
              <w:rPr>
                <w:snapToGrid/>
                <w:color w:val="000000"/>
                <w:kern w:val="0"/>
                <w:szCs w:val="22"/>
              </w:rPr>
            </w:pPr>
            <w:r w:rsidRPr="006E1513">
              <w:rPr>
                <w:snapToGrid/>
                <w:color w:val="000000"/>
                <w:kern w:val="0"/>
                <w:szCs w:val="22"/>
              </w:rPr>
              <w:t>WQVG226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7E2D9CA" w14:textId="77777777">
            <w:pPr>
              <w:widowControl/>
              <w:jc w:val="center"/>
              <w:rPr>
                <w:snapToGrid/>
                <w:color w:val="000000"/>
                <w:kern w:val="0"/>
                <w:szCs w:val="22"/>
              </w:rPr>
            </w:pPr>
            <w:r w:rsidRPr="006E1513">
              <w:rPr>
                <w:snapToGrid/>
                <w:color w:val="000000"/>
                <w:kern w:val="0"/>
                <w:szCs w:val="22"/>
              </w:rPr>
              <w:t>151.385</w:t>
            </w:r>
          </w:p>
        </w:tc>
      </w:tr>
      <w:tr w14:paraId="0B12866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6F7EED9" w14:textId="77777777">
            <w:pPr>
              <w:widowControl/>
              <w:jc w:val="center"/>
              <w:rPr>
                <w:snapToGrid/>
                <w:color w:val="000000"/>
                <w:kern w:val="0"/>
                <w:szCs w:val="22"/>
              </w:rPr>
            </w:pPr>
            <w:r w:rsidRPr="006E1513">
              <w:rPr>
                <w:snapToGrid/>
                <w:color w:val="000000"/>
                <w:kern w:val="0"/>
                <w:szCs w:val="22"/>
              </w:rPr>
              <w:t>WQVG226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092CEC1" w14:textId="77777777">
            <w:pPr>
              <w:widowControl/>
              <w:jc w:val="center"/>
              <w:rPr>
                <w:snapToGrid/>
                <w:color w:val="000000"/>
                <w:kern w:val="0"/>
                <w:szCs w:val="22"/>
              </w:rPr>
            </w:pPr>
            <w:r w:rsidRPr="006E1513">
              <w:rPr>
                <w:snapToGrid/>
                <w:color w:val="000000"/>
                <w:kern w:val="0"/>
                <w:szCs w:val="22"/>
              </w:rPr>
              <w:t>159.4275</w:t>
            </w:r>
          </w:p>
        </w:tc>
      </w:tr>
      <w:tr w14:paraId="5BA2ACF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0B9D68F" w14:textId="77777777">
            <w:pPr>
              <w:widowControl/>
              <w:jc w:val="center"/>
              <w:rPr>
                <w:snapToGrid/>
                <w:color w:val="000000"/>
                <w:kern w:val="0"/>
                <w:szCs w:val="22"/>
              </w:rPr>
            </w:pPr>
            <w:r w:rsidRPr="006E1513">
              <w:rPr>
                <w:snapToGrid/>
                <w:color w:val="000000"/>
                <w:kern w:val="0"/>
                <w:szCs w:val="22"/>
              </w:rPr>
              <w:t>WQVG226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46902F1" w14:textId="77777777">
            <w:pPr>
              <w:widowControl/>
              <w:jc w:val="center"/>
              <w:rPr>
                <w:snapToGrid/>
                <w:color w:val="000000"/>
                <w:kern w:val="0"/>
                <w:szCs w:val="22"/>
              </w:rPr>
            </w:pPr>
            <w:r w:rsidRPr="006E1513">
              <w:rPr>
                <w:snapToGrid/>
                <w:color w:val="000000"/>
                <w:kern w:val="0"/>
                <w:szCs w:val="22"/>
              </w:rPr>
              <w:t>159.3525</w:t>
            </w:r>
          </w:p>
        </w:tc>
      </w:tr>
      <w:tr w14:paraId="5DC6569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AD282A2" w14:textId="77777777">
            <w:pPr>
              <w:widowControl/>
              <w:jc w:val="center"/>
              <w:rPr>
                <w:snapToGrid/>
                <w:color w:val="000000"/>
                <w:kern w:val="0"/>
                <w:szCs w:val="22"/>
              </w:rPr>
            </w:pPr>
            <w:r w:rsidRPr="006E1513">
              <w:rPr>
                <w:snapToGrid/>
                <w:color w:val="000000"/>
                <w:kern w:val="0"/>
                <w:szCs w:val="22"/>
              </w:rPr>
              <w:t>WQVG226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8EA40D7" w14:textId="77777777">
            <w:pPr>
              <w:widowControl/>
              <w:jc w:val="center"/>
              <w:rPr>
                <w:snapToGrid/>
                <w:color w:val="000000"/>
                <w:kern w:val="0"/>
                <w:szCs w:val="22"/>
              </w:rPr>
            </w:pPr>
            <w:r w:rsidRPr="006E1513">
              <w:rPr>
                <w:snapToGrid/>
                <w:color w:val="000000"/>
                <w:kern w:val="0"/>
                <w:szCs w:val="22"/>
              </w:rPr>
              <w:t>159.255</w:t>
            </w:r>
          </w:p>
        </w:tc>
      </w:tr>
      <w:tr w14:paraId="4A0351E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CF4BA92" w14:textId="77777777">
            <w:pPr>
              <w:widowControl/>
              <w:jc w:val="center"/>
              <w:rPr>
                <w:snapToGrid/>
                <w:color w:val="000000"/>
                <w:kern w:val="0"/>
                <w:szCs w:val="22"/>
              </w:rPr>
            </w:pPr>
            <w:r w:rsidRPr="006E1513">
              <w:rPr>
                <w:snapToGrid/>
                <w:color w:val="000000"/>
                <w:kern w:val="0"/>
                <w:szCs w:val="22"/>
              </w:rPr>
              <w:t>WQUV758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3A6331A" w14:textId="77777777">
            <w:pPr>
              <w:widowControl/>
              <w:jc w:val="center"/>
              <w:rPr>
                <w:snapToGrid/>
                <w:color w:val="000000"/>
                <w:kern w:val="0"/>
                <w:szCs w:val="22"/>
              </w:rPr>
            </w:pPr>
            <w:r w:rsidRPr="006E1513">
              <w:rPr>
                <w:snapToGrid/>
                <w:color w:val="000000"/>
                <w:kern w:val="0"/>
                <w:szCs w:val="22"/>
              </w:rPr>
              <w:t>151.2275</w:t>
            </w:r>
          </w:p>
        </w:tc>
      </w:tr>
      <w:tr w14:paraId="0D13066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C69BC4B" w14:textId="77777777">
            <w:pPr>
              <w:widowControl/>
              <w:jc w:val="center"/>
              <w:rPr>
                <w:snapToGrid/>
                <w:color w:val="000000"/>
                <w:kern w:val="0"/>
                <w:szCs w:val="22"/>
              </w:rPr>
            </w:pPr>
            <w:r w:rsidRPr="006E1513">
              <w:rPr>
                <w:snapToGrid/>
                <w:color w:val="000000"/>
                <w:kern w:val="0"/>
                <w:szCs w:val="22"/>
              </w:rPr>
              <w:t>WQUV758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F697DFB" w14:textId="77777777">
            <w:pPr>
              <w:widowControl/>
              <w:jc w:val="center"/>
              <w:rPr>
                <w:snapToGrid/>
                <w:color w:val="000000"/>
                <w:kern w:val="0"/>
                <w:szCs w:val="22"/>
              </w:rPr>
            </w:pPr>
            <w:r w:rsidRPr="006E1513">
              <w:rPr>
                <w:snapToGrid/>
                <w:color w:val="000000"/>
                <w:kern w:val="0"/>
                <w:szCs w:val="22"/>
              </w:rPr>
              <w:t>155.52</w:t>
            </w:r>
          </w:p>
        </w:tc>
      </w:tr>
      <w:tr w14:paraId="4A691D6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DE8D5B7" w14:textId="77777777">
            <w:pPr>
              <w:widowControl/>
              <w:jc w:val="center"/>
              <w:rPr>
                <w:snapToGrid/>
                <w:color w:val="000000"/>
                <w:kern w:val="0"/>
                <w:szCs w:val="22"/>
              </w:rPr>
            </w:pPr>
            <w:r w:rsidRPr="006E1513">
              <w:rPr>
                <w:snapToGrid/>
                <w:color w:val="000000"/>
                <w:kern w:val="0"/>
                <w:szCs w:val="22"/>
              </w:rPr>
              <w:t>WQUV758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85B8779" w14:textId="77777777">
            <w:pPr>
              <w:widowControl/>
              <w:jc w:val="center"/>
              <w:rPr>
                <w:snapToGrid/>
                <w:color w:val="000000"/>
                <w:kern w:val="0"/>
                <w:szCs w:val="22"/>
              </w:rPr>
            </w:pPr>
            <w:r w:rsidRPr="006E1513">
              <w:rPr>
                <w:snapToGrid/>
                <w:color w:val="000000"/>
                <w:kern w:val="0"/>
                <w:szCs w:val="22"/>
              </w:rPr>
              <w:t>156.21</w:t>
            </w:r>
          </w:p>
        </w:tc>
      </w:tr>
      <w:tr w14:paraId="65B45AD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D9AAABA" w14:textId="77777777">
            <w:pPr>
              <w:widowControl/>
              <w:jc w:val="center"/>
              <w:rPr>
                <w:snapToGrid/>
                <w:color w:val="000000"/>
                <w:kern w:val="0"/>
                <w:szCs w:val="22"/>
              </w:rPr>
            </w:pPr>
            <w:r w:rsidRPr="006E1513">
              <w:rPr>
                <w:snapToGrid/>
                <w:color w:val="000000"/>
                <w:kern w:val="0"/>
                <w:szCs w:val="22"/>
              </w:rPr>
              <w:t>WQUV758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1946A06" w14:textId="77777777">
            <w:pPr>
              <w:widowControl/>
              <w:jc w:val="center"/>
              <w:rPr>
                <w:snapToGrid/>
                <w:color w:val="000000"/>
                <w:kern w:val="0"/>
                <w:szCs w:val="22"/>
              </w:rPr>
            </w:pPr>
            <w:r w:rsidRPr="006E1513">
              <w:rPr>
                <w:snapToGrid/>
                <w:color w:val="000000"/>
                <w:kern w:val="0"/>
                <w:szCs w:val="22"/>
              </w:rPr>
              <w:t>158.9025</w:t>
            </w:r>
          </w:p>
        </w:tc>
      </w:tr>
      <w:tr w14:paraId="6C9DF49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30D00D5" w14:textId="77777777">
            <w:pPr>
              <w:widowControl/>
              <w:jc w:val="center"/>
              <w:rPr>
                <w:snapToGrid/>
                <w:color w:val="000000"/>
                <w:kern w:val="0"/>
                <w:szCs w:val="22"/>
              </w:rPr>
            </w:pPr>
            <w:r w:rsidRPr="006E1513">
              <w:rPr>
                <w:snapToGrid/>
                <w:color w:val="000000"/>
                <w:kern w:val="0"/>
                <w:szCs w:val="22"/>
              </w:rPr>
              <w:t>WQUV758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4E5BD5A" w14:textId="77777777">
            <w:pPr>
              <w:widowControl/>
              <w:jc w:val="center"/>
              <w:rPr>
                <w:snapToGrid/>
                <w:color w:val="000000"/>
                <w:kern w:val="0"/>
                <w:szCs w:val="22"/>
              </w:rPr>
            </w:pPr>
            <w:r w:rsidRPr="006E1513">
              <w:rPr>
                <w:snapToGrid/>
                <w:color w:val="000000"/>
                <w:kern w:val="0"/>
                <w:szCs w:val="22"/>
              </w:rPr>
              <w:t>158.9625</w:t>
            </w:r>
          </w:p>
        </w:tc>
      </w:tr>
      <w:tr w14:paraId="0D4B83A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2BD4F54" w14:textId="77777777">
            <w:pPr>
              <w:widowControl/>
              <w:jc w:val="center"/>
              <w:rPr>
                <w:snapToGrid/>
                <w:color w:val="000000"/>
                <w:kern w:val="0"/>
                <w:szCs w:val="22"/>
              </w:rPr>
            </w:pPr>
            <w:r w:rsidRPr="006E1513">
              <w:rPr>
                <w:snapToGrid/>
                <w:color w:val="000000"/>
                <w:kern w:val="0"/>
                <w:szCs w:val="22"/>
              </w:rPr>
              <w:t>WQUV758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398F068" w14:textId="77777777">
            <w:pPr>
              <w:widowControl/>
              <w:jc w:val="center"/>
              <w:rPr>
                <w:snapToGrid/>
                <w:color w:val="000000"/>
                <w:kern w:val="0"/>
                <w:szCs w:val="22"/>
              </w:rPr>
            </w:pPr>
            <w:r w:rsidRPr="006E1513">
              <w:rPr>
                <w:snapToGrid/>
                <w:color w:val="000000"/>
                <w:kern w:val="0"/>
                <w:szCs w:val="22"/>
              </w:rPr>
              <w:t>159.03</w:t>
            </w:r>
          </w:p>
        </w:tc>
      </w:tr>
      <w:tr w14:paraId="21A8B28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5074FAD" w14:textId="77777777">
            <w:pPr>
              <w:widowControl/>
              <w:jc w:val="center"/>
              <w:rPr>
                <w:snapToGrid/>
                <w:color w:val="000000"/>
                <w:kern w:val="0"/>
                <w:szCs w:val="22"/>
              </w:rPr>
            </w:pPr>
            <w:r w:rsidRPr="006E1513">
              <w:rPr>
                <w:snapToGrid/>
                <w:color w:val="000000"/>
                <w:kern w:val="0"/>
                <w:szCs w:val="22"/>
              </w:rPr>
              <w:t>WQUY467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48872CC" w14:textId="77777777">
            <w:pPr>
              <w:widowControl/>
              <w:jc w:val="center"/>
              <w:rPr>
                <w:snapToGrid/>
                <w:color w:val="000000"/>
                <w:kern w:val="0"/>
                <w:szCs w:val="22"/>
              </w:rPr>
            </w:pPr>
            <w:r w:rsidRPr="006E1513">
              <w:rPr>
                <w:snapToGrid/>
                <w:color w:val="000000"/>
                <w:kern w:val="0"/>
                <w:szCs w:val="22"/>
              </w:rPr>
              <w:t>154.1675</w:t>
            </w:r>
          </w:p>
        </w:tc>
      </w:tr>
      <w:tr w14:paraId="08E8117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FD4FA1E" w14:textId="77777777">
            <w:pPr>
              <w:widowControl/>
              <w:jc w:val="center"/>
              <w:rPr>
                <w:snapToGrid/>
                <w:color w:val="000000"/>
                <w:kern w:val="0"/>
                <w:szCs w:val="22"/>
              </w:rPr>
            </w:pPr>
            <w:r w:rsidRPr="006E1513">
              <w:rPr>
                <w:snapToGrid/>
                <w:color w:val="000000"/>
                <w:kern w:val="0"/>
                <w:szCs w:val="22"/>
              </w:rPr>
              <w:t>WQUY467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88C4963" w14:textId="77777777">
            <w:pPr>
              <w:widowControl/>
              <w:jc w:val="center"/>
              <w:rPr>
                <w:snapToGrid/>
                <w:color w:val="000000"/>
                <w:kern w:val="0"/>
                <w:szCs w:val="22"/>
              </w:rPr>
            </w:pPr>
            <w:r w:rsidRPr="006E1513">
              <w:rPr>
                <w:snapToGrid/>
                <w:color w:val="000000"/>
                <w:kern w:val="0"/>
                <w:szCs w:val="22"/>
              </w:rPr>
              <w:t>154.905</w:t>
            </w:r>
          </w:p>
        </w:tc>
      </w:tr>
      <w:tr w14:paraId="050D53E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9F1D18D" w14:textId="77777777">
            <w:pPr>
              <w:widowControl/>
              <w:jc w:val="center"/>
              <w:rPr>
                <w:snapToGrid/>
                <w:color w:val="000000"/>
                <w:kern w:val="0"/>
                <w:szCs w:val="22"/>
              </w:rPr>
            </w:pPr>
            <w:r w:rsidRPr="006E1513">
              <w:rPr>
                <w:snapToGrid/>
                <w:color w:val="000000"/>
                <w:kern w:val="0"/>
                <w:szCs w:val="22"/>
              </w:rPr>
              <w:t>WQUY467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D00DC39" w14:textId="77777777">
            <w:pPr>
              <w:widowControl/>
              <w:jc w:val="center"/>
              <w:rPr>
                <w:snapToGrid/>
                <w:color w:val="000000"/>
                <w:kern w:val="0"/>
                <w:szCs w:val="22"/>
              </w:rPr>
            </w:pPr>
            <w:r w:rsidRPr="006E1513">
              <w:rPr>
                <w:snapToGrid/>
                <w:color w:val="000000"/>
                <w:kern w:val="0"/>
                <w:szCs w:val="22"/>
              </w:rPr>
              <w:t>155.46</w:t>
            </w:r>
          </w:p>
        </w:tc>
      </w:tr>
      <w:tr w14:paraId="5E2B479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B5936B6" w14:textId="77777777">
            <w:pPr>
              <w:widowControl/>
              <w:jc w:val="center"/>
              <w:rPr>
                <w:snapToGrid/>
                <w:color w:val="000000"/>
                <w:kern w:val="0"/>
                <w:szCs w:val="22"/>
              </w:rPr>
            </w:pPr>
            <w:r w:rsidRPr="006E1513">
              <w:rPr>
                <w:snapToGrid/>
                <w:color w:val="000000"/>
                <w:kern w:val="0"/>
                <w:szCs w:val="22"/>
              </w:rPr>
              <w:t>WQUY467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894C3E0" w14:textId="77777777">
            <w:pPr>
              <w:widowControl/>
              <w:jc w:val="center"/>
              <w:rPr>
                <w:snapToGrid/>
                <w:color w:val="000000"/>
                <w:kern w:val="0"/>
                <w:szCs w:val="22"/>
              </w:rPr>
            </w:pPr>
            <w:r w:rsidRPr="006E1513">
              <w:rPr>
                <w:snapToGrid/>
                <w:color w:val="000000"/>
                <w:kern w:val="0"/>
                <w:szCs w:val="22"/>
              </w:rPr>
              <w:t>150.805</w:t>
            </w:r>
          </w:p>
        </w:tc>
      </w:tr>
      <w:tr w14:paraId="0D8C0D4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D670057" w14:textId="77777777">
            <w:pPr>
              <w:widowControl/>
              <w:jc w:val="center"/>
              <w:rPr>
                <w:snapToGrid/>
                <w:color w:val="000000"/>
                <w:kern w:val="0"/>
                <w:szCs w:val="22"/>
              </w:rPr>
            </w:pPr>
            <w:r w:rsidRPr="006E1513">
              <w:rPr>
                <w:snapToGrid/>
                <w:color w:val="000000"/>
                <w:kern w:val="0"/>
                <w:szCs w:val="22"/>
              </w:rPr>
              <w:t>WQUY467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384ED30" w14:textId="77777777">
            <w:pPr>
              <w:widowControl/>
              <w:jc w:val="center"/>
              <w:rPr>
                <w:snapToGrid/>
                <w:color w:val="000000"/>
                <w:kern w:val="0"/>
                <w:szCs w:val="22"/>
              </w:rPr>
            </w:pPr>
            <w:r w:rsidRPr="006E1513">
              <w:rPr>
                <w:snapToGrid/>
                <w:color w:val="000000"/>
                <w:kern w:val="0"/>
                <w:szCs w:val="22"/>
              </w:rPr>
              <w:t>159.2025</w:t>
            </w:r>
          </w:p>
        </w:tc>
      </w:tr>
      <w:tr w14:paraId="5C423AB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0E6112B" w14:textId="77777777">
            <w:pPr>
              <w:widowControl/>
              <w:jc w:val="center"/>
              <w:rPr>
                <w:snapToGrid/>
                <w:color w:val="000000"/>
                <w:kern w:val="0"/>
                <w:szCs w:val="22"/>
              </w:rPr>
            </w:pPr>
            <w:r w:rsidRPr="006E1513">
              <w:rPr>
                <w:snapToGrid/>
                <w:color w:val="000000"/>
                <w:kern w:val="0"/>
                <w:szCs w:val="22"/>
              </w:rPr>
              <w:t>WQUY467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52D7730" w14:textId="77777777">
            <w:pPr>
              <w:widowControl/>
              <w:jc w:val="center"/>
              <w:rPr>
                <w:snapToGrid/>
                <w:color w:val="000000"/>
                <w:kern w:val="0"/>
                <w:szCs w:val="22"/>
              </w:rPr>
            </w:pPr>
            <w:r w:rsidRPr="006E1513">
              <w:rPr>
                <w:snapToGrid/>
                <w:color w:val="000000"/>
                <w:kern w:val="0"/>
                <w:szCs w:val="22"/>
              </w:rPr>
              <w:t>159.3975</w:t>
            </w:r>
          </w:p>
        </w:tc>
      </w:tr>
      <w:tr w14:paraId="2EFCD3D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3D43761" w14:textId="77777777">
            <w:pPr>
              <w:widowControl/>
              <w:jc w:val="center"/>
              <w:rPr>
                <w:snapToGrid/>
                <w:color w:val="000000"/>
                <w:kern w:val="0"/>
                <w:szCs w:val="22"/>
              </w:rPr>
            </w:pPr>
            <w:r w:rsidRPr="006E1513">
              <w:rPr>
                <w:snapToGrid/>
                <w:color w:val="000000"/>
                <w:kern w:val="0"/>
                <w:szCs w:val="22"/>
              </w:rPr>
              <w:t>WQUY816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F5D7276" w14:textId="77777777">
            <w:pPr>
              <w:widowControl/>
              <w:jc w:val="center"/>
              <w:rPr>
                <w:snapToGrid/>
                <w:color w:val="000000"/>
                <w:kern w:val="0"/>
                <w:szCs w:val="22"/>
              </w:rPr>
            </w:pPr>
            <w:r w:rsidRPr="006E1513">
              <w:rPr>
                <w:snapToGrid/>
                <w:color w:val="000000"/>
                <w:kern w:val="0"/>
                <w:szCs w:val="22"/>
              </w:rPr>
              <w:t>154.13</w:t>
            </w:r>
          </w:p>
        </w:tc>
      </w:tr>
      <w:tr w14:paraId="17194D9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45790B6" w14:textId="77777777">
            <w:pPr>
              <w:widowControl/>
              <w:jc w:val="center"/>
              <w:rPr>
                <w:snapToGrid/>
                <w:color w:val="000000"/>
                <w:kern w:val="0"/>
                <w:szCs w:val="22"/>
              </w:rPr>
            </w:pPr>
            <w:r w:rsidRPr="006E1513">
              <w:rPr>
                <w:snapToGrid/>
                <w:color w:val="000000"/>
                <w:kern w:val="0"/>
                <w:szCs w:val="22"/>
              </w:rPr>
              <w:t>WQUY816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E575309" w14:textId="77777777">
            <w:pPr>
              <w:widowControl/>
              <w:jc w:val="center"/>
              <w:rPr>
                <w:snapToGrid/>
                <w:color w:val="000000"/>
                <w:kern w:val="0"/>
                <w:szCs w:val="22"/>
              </w:rPr>
            </w:pPr>
            <w:r w:rsidRPr="006E1513">
              <w:rPr>
                <w:snapToGrid/>
                <w:color w:val="000000"/>
                <w:kern w:val="0"/>
                <w:szCs w:val="22"/>
              </w:rPr>
              <w:t>154.4225</w:t>
            </w:r>
          </w:p>
        </w:tc>
      </w:tr>
      <w:tr w14:paraId="065D8C4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0C2AB71" w14:textId="77777777">
            <w:pPr>
              <w:widowControl/>
              <w:jc w:val="center"/>
              <w:rPr>
                <w:snapToGrid/>
                <w:color w:val="000000"/>
                <w:kern w:val="0"/>
                <w:szCs w:val="22"/>
              </w:rPr>
            </w:pPr>
            <w:r w:rsidRPr="006E1513">
              <w:rPr>
                <w:snapToGrid/>
                <w:color w:val="000000"/>
                <w:kern w:val="0"/>
                <w:szCs w:val="22"/>
              </w:rPr>
              <w:t>WQUY816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737E51F" w14:textId="77777777">
            <w:pPr>
              <w:widowControl/>
              <w:jc w:val="center"/>
              <w:rPr>
                <w:snapToGrid/>
                <w:color w:val="000000"/>
                <w:kern w:val="0"/>
                <w:szCs w:val="22"/>
              </w:rPr>
            </w:pPr>
            <w:r w:rsidRPr="006E1513">
              <w:rPr>
                <w:snapToGrid/>
                <w:color w:val="000000"/>
                <w:kern w:val="0"/>
                <w:szCs w:val="22"/>
              </w:rPr>
              <w:t>154.9725</w:t>
            </w:r>
          </w:p>
        </w:tc>
      </w:tr>
      <w:tr w14:paraId="5C863B2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DDBA4EF" w14:textId="77777777">
            <w:pPr>
              <w:widowControl/>
              <w:jc w:val="center"/>
              <w:rPr>
                <w:snapToGrid/>
                <w:color w:val="000000"/>
                <w:kern w:val="0"/>
                <w:szCs w:val="22"/>
              </w:rPr>
            </w:pPr>
            <w:r w:rsidRPr="006E1513">
              <w:rPr>
                <w:snapToGrid/>
                <w:color w:val="000000"/>
                <w:kern w:val="0"/>
                <w:szCs w:val="22"/>
              </w:rPr>
              <w:t>WQUY816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E534B8C" w14:textId="77777777">
            <w:pPr>
              <w:widowControl/>
              <w:jc w:val="center"/>
              <w:rPr>
                <w:snapToGrid/>
                <w:color w:val="000000"/>
                <w:kern w:val="0"/>
                <w:szCs w:val="22"/>
              </w:rPr>
            </w:pPr>
            <w:r w:rsidRPr="006E1513">
              <w:rPr>
                <w:snapToGrid/>
                <w:color w:val="000000"/>
                <w:kern w:val="0"/>
                <w:szCs w:val="22"/>
              </w:rPr>
              <w:t>158.7825</w:t>
            </w:r>
          </w:p>
        </w:tc>
      </w:tr>
      <w:tr w14:paraId="2B5E64B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49967B2" w14:textId="77777777">
            <w:pPr>
              <w:widowControl/>
              <w:jc w:val="center"/>
              <w:rPr>
                <w:snapToGrid/>
                <w:color w:val="000000"/>
                <w:kern w:val="0"/>
                <w:szCs w:val="22"/>
              </w:rPr>
            </w:pPr>
            <w:r w:rsidRPr="006E1513">
              <w:rPr>
                <w:snapToGrid/>
                <w:color w:val="000000"/>
                <w:kern w:val="0"/>
                <w:szCs w:val="22"/>
              </w:rPr>
              <w:t>WQUY816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C2BE78A" w14:textId="77777777">
            <w:pPr>
              <w:widowControl/>
              <w:jc w:val="center"/>
              <w:rPr>
                <w:snapToGrid/>
                <w:color w:val="000000"/>
                <w:kern w:val="0"/>
                <w:szCs w:val="22"/>
              </w:rPr>
            </w:pPr>
            <w:r w:rsidRPr="006E1513">
              <w:rPr>
                <w:snapToGrid/>
                <w:color w:val="000000"/>
                <w:kern w:val="0"/>
                <w:szCs w:val="22"/>
              </w:rPr>
              <w:t>151.025</w:t>
            </w:r>
          </w:p>
        </w:tc>
      </w:tr>
      <w:tr w14:paraId="756F7BE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F4B64B3" w14:textId="77777777">
            <w:pPr>
              <w:widowControl/>
              <w:jc w:val="center"/>
              <w:rPr>
                <w:snapToGrid/>
                <w:color w:val="000000"/>
                <w:kern w:val="0"/>
                <w:szCs w:val="22"/>
              </w:rPr>
            </w:pPr>
            <w:r w:rsidRPr="006E1513">
              <w:rPr>
                <w:snapToGrid/>
                <w:color w:val="000000"/>
                <w:kern w:val="0"/>
                <w:szCs w:val="22"/>
              </w:rPr>
              <w:t>WQUY816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A631026" w14:textId="77777777">
            <w:pPr>
              <w:widowControl/>
              <w:jc w:val="center"/>
              <w:rPr>
                <w:snapToGrid/>
                <w:color w:val="000000"/>
                <w:kern w:val="0"/>
                <w:szCs w:val="22"/>
              </w:rPr>
            </w:pPr>
            <w:r w:rsidRPr="006E1513">
              <w:rPr>
                <w:snapToGrid/>
                <w:color w:val="000000"/>
                <w:kern w:val="0"/>
                <w:szCs w:val="22"/>
              </w:rPr>
              <w:t>151.13</w:t>
            </w:r>
          </w:p>
        </w:tc>
      </w:tr>
      <w:tr w14:paraId="736FD51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0F282E0" w14:textId="77777777">
            <w:pPr>
              <w:widowControl/>
              <w:jc w:val="center"/>
              <w:rPr>
                <w:snapToGrid/>
                <w:color w:val="000000"/>
                <w:kern w:val="0"/>
                <w:szCs w:val="22"/>
              </w:rPr>
            </w:pPr>
            <w:r w:rsidRPr="006E1513">
              <w:rPr>
                <w:snapToGrid/>
                <w:color w:val="000000"/>
                <w:kern w:val="0"/>
                <w:szCs w:val="22"/>
              </w:rPr>
              <w:t>WQRJ856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2939961" w14:textId="77777777">
            <w:pPr>
              <w:widowControl/>
              <w:jc w:val="center"/>
              <w:rPr>
                <w:snapToGrid/>
                <w:color w:val="000000"/>
                <w:kern w:val="0"/>
                <w:szCs w:val="22"/>
              </w:rPr>
            </w:pPr>
            <w:r w:rsidRPr="006E1513">
              <w:rPr>
                <w:snapToGrid/>
                <w:color w:val="000000"/>
                <w:kern w:val="0"/>
                <w:szCs w:val="22"/>
              </w:rPr>
              <w:t>154.665</w:t>
            </w:r>
          </w:p>
        </w:tc>
      </w:tr>
      <w:tr w14:paraId="78E4DD9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44E8556" w14:textId="77777777">
            <w:pPr>
              <w:widowControl/>
              <w:jc w:val="center"/>
              <w:rPr>
                <w:snapToGrid/>
                <w:color w:val="000000"/>
                <w:kern w:val="0"/>
                <w:szCs w:val="22"/>
              </w:rPr>
            </w:pPr>
            <w:r w:rsidRPr="006E1513">
              <w:rPr>
                <w:snapToGrid/>
                <w:color w:val="000000"/>
                <w:kern w:val="0"/>
                <w:szCs w:val="22"/>
              </w:rPr>
              <w:t>WQRJ856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35E04A3" w14:textId="77777777">
            <w:pPr>
              <w:widowControl/>
              <w:jc w:val="center"/>
              <w:rPr>
                <w:snapToGrid/>
                <w:color w:val="000000"/>
                <w:kern w:val="0"/>
                <w:szCs w:val="22"/>
              </w:rPr>
            </w:pPr>
            <w:r w:rsidRPr="006E1513">
              <w:rPr>
                <w:snapToGrid/>
                <w:color w:val="000000"/>
                <w:kern w:val="0"/>
                <w:szCs w:val="22"/>
              </w:rPr>
              <w:t>154.755</w:t>
            </w:r>
          </w:p>
        </w:tc>
      </w:tr>
      <w:tr w14:paraId="29C1204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F15FE23" w14:textId="77777777">
            <w:pPr>
              <w:widowControl/>
              <w:jc w:val="center"/>
              <w:rPr>
                <w:snapToGrid/>
                <w:color w:val="000000"/>
                <w:kern w:val="0"/>
                <w:szCs w:val="22"/>
              </w:rPr>
            </w:pPr>
            <w:r w:rsidRPr="006E1513">
              <w:rPr>
                <w:snapToGrid/>
                <w:color w:val="000000"/>
                <w:kern w:val="0"/>
                <w:szCs w:val="22"/>
              </w:rPr>
              <w:t>WQRJ856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9C3708A" w14:textId="77777777">
            <w:pPr>
              <w:widowControl/>
              <w:jc w:val="center"/>
              <w:rPr>
                <w:snapToGrid/>
                <w:color w:val="000000"/>
                <w:kern w:val="0"/>
                <w:szCs w:val="22"/>
              </w:rPr>
            </w:pPr>
            <w:r w:rsidRPr="006E1513">
              <w:rPr>
                <w:snapToGrid/>
                <w:color w:val="000000"/>
                <w:kern w:val="0"/>
                <w:szCs w:val="22"/>
              </w:rPr>
              <w:t>154.92</w:t>
            </w:r>
          </w:p>
        </w:tc>
      </w:tr>
      <w:tr w14:paraId="56B5DB7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100C5FE" w14:textId="77777777">
            <w:pPr>
              <w:widowControl/>
              <w:jc w:val="center"/>
              <w:rPr>
                <w:snapToGrid/>
                <w:color w:val="000000"/>
                <w:kern w:val="0"/>
                <w:szCs w:val="22"/>
              </w:rPr>
            </w:pPr>
            <w:r w:rsidRPr="006E1513">
              <w:rPr>
                <w:snapToGrid/>
                <w:color w:val="000000"/>
                <w:kern w:val="0"/>
                <w:szCs w:val="22"/>
              </w:rPr>
              <w:t>WQRJ856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5B89EEE" w14:textId="77777777">
            <w:pPr>
              <w:widowControl/>
              <w:jc w:val="center"/>
              <w:rPr>
                <w:snapToGrid/>
                <w:color w:val="000000"/>
                <w:kern w:val="0"/>
                <w:szCs w:val="22"/>
              </w:rPr>
            </w:pPr>
            <w:r w:rsidRPr="006E1513">
              <w:rPr>
                <w:snapToGrid/>
                <w:color w:val="000000"/>
                <w:kern w:val="0"/>
                <w:szCs w:val="22"/>
              </w:rPr>
              <w:t>155.445</w:t>
            </w:r>
          </w:p>
        </w:tc>
      </w:tr>
      <w:tr w14:paraId="5337EEF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9B13741" w14:textId="77777777">
            <w:pPr>
              <w:widowControl/>
              <w:jc w:val="center"/>
              <w:rPr>
                <w:snapToGrid/>
                <w:color w:val="000000"/>
                <w:kern w:val="0"/>
                <w:szCs w:val="22"/>
              </w:rPr>
            </w:pPr>
            <w:r w:rsidRPr="006E1513">
              <w:rPr>
                <w:snapToGrid/>
                <w:color w:val="000000"/>
                <w:kern w:val="0"/>
                <w:szCs w:val="22"/>
              </w:rPr>
              <w:t>WQRJ856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EA175FB" w14:textId="77777777">
            <w:pPr>
              <w:widowControl/>
              <w:jc w:val="center"/>
              <w:rPr>
                <w:snapToGrid/>
                <w:color w:val="000000"/>
                <w:kern w:val="0"/>
                <w:szCs w:val="22"/>
              </w:rPr>
            </w:pPr>
            <w:r w:rsidRPr="006E1513">
              <w:rPr>
                <w:snapToGrid/>
                <w:color w:val="000000"/>
                <w:kern w:val="0"/>
                <w:szCs w:val="22"/>
              </w:rPr>
              <w:t>158.7525</w:t>
            </w:r>
          </w:p>
        </w:tc>
      </w:tr>
      <w:tr w14:paraId="55E9DB2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3D6FF81" w14:textId="77777777">
            <w:pPr>
              <w:widowControl/>
              <w:jc w:val="center"/>
              <w:rPr>
                <w:snapToGrid/>
                <w:color w:val="000000"/>
                <w:kern w:val="0"/>
                <w:szCs w:val="22"/>
              </w:rPr>
            </w:pPr>
            <w:r w:rsidRPr="006E1513">
              <w:rPr>
                <w:snapToGrid/>
                <w:color w:val="000000"/>
                <w:kern w:val="0"/>
                <w:szCs w:val="22"/>
              </w:rPr>
              <w:t>WQRJ856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A14AAD1" w14:textId="77777777">
            <w:pPr>
              <w:widowControl/>
              <w:jc w:val="center"/>
              <w:rPr>
                <w:snapToGrid/>
                <w:color w:val="000000"/>
                <w:kern w:val="0"/>
                <w:szCs w:val="22"/>
              </w:rPr>
            </w:pPr>
            <w:r w:rsidRPr="006E1513">
              <w:rPr>
                <w:snapToGrid/>
                <w:color w:val="000000"/>
                <w:kern w:val="0"/>
                <w:szCs w:val="22"/>
              </w:rPr>
              <w:t>158.91</w:t>
            </w:r>
          </w:p>
        </w:tc>
      </w:tr>
      <w:tr w14:paraId="3C1E4E2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78A69F4" w14:textId="77777777">
            <w:pPr>
              <w:widowControl/>
              <w:jc w:val="center"/>
              <w:rPr>
                <w:snapToGrid/>
                <w:color w:val="000000"/>
                <w:kern w:val="0"/>
                <w:szCs w:val="22"/>
              </w:rPr>
            </w:pPr>
            <w:r w:rsidRPr="006E1513">
              <w:rPr>
                <w:snapToGrid/>
                <w:color w:val="000000"/>
                <w:kern w:val="0"/>
                <w:szCs w:val="22"/>
              </w:rPr>
              <w:t>WQRJ856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40F5AE1" w14:textId="77777777">
            <w:pPr>
              <w:widowControl/>
              <w:jc w:val="center"/>
              <w:rPr>
                <w:snapToGrid/>
                <w:color w:val="000000"/>
                <w:kern w:val="0"/>
                <w:szCs w:val="22"/>
              </w:rPr>
            </w:pPr>
            <w:r w:rsidRPr="006E1513">
              <w:rPr>
                <w:snapToGrid/>
                <w:color w:val="000000"/>
                <w:kern w:val="0"/>
                <w:szCs w:val="22"/>
              </w:rPr>
              <w:t>158.955</w:t>
            </w:r>
          </w:p>
        </w:tc>
      </w:tr>
      <w:tr w14:paraId="1B945A3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1A8A433" w14:textId="77777777">
            <w:pPr>
              <w:widowControl/>
              <w:jc w:val="center"/>
              <w:rPr>
                <w:snapToGrid/>
                <w:color w:val="000000"/>
                <w:kern w:val="0"/>
                <w:szCs w:val="22"/>
              </w:rPr>
            </w:pPr>
            <w:r w:rsidRPr="006E1513">
              <w:rPr>
                <w:snapToGrid/>
                <w:color w:val="000000"/>
                <w:kern w:val="0"/>
                <w:szCs w:val="22"/>
              </w:rPr>
              <w:t>WQRJ856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DB032A8" w14:textId="77777777">
            <w:pPr>
              <w:widowControl/>
              <w:jc w:val="center"/>
              <w:rPr>
                <w:snapToGrid/>
                <w:color w:val="000000"/>
                <w:kern w:val="0"/>
                <w:szCs w:val="22"/>
              </w:rPr>
            </w:pPr>
            <w:r w:rsidRPr="006E1513">
              <w:rPr>
                <w:snapToGrid/>
                <w:color w:val="000000"/>
                <w:kern w:val="0"/>
                <w:szCs w:val="22"/>
              </w:rPr>
              <w:t>159.1275</w:t>
            </w:r>
          </w:p>
        </w:tc>
      </w:tr>
      <w:tr w14:paraId="6CE0C1C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556655F" w14:textId="77777777">
            <w:pPr>
              <w:widowControl/>
              <w:jc w:val="center"/>
              <w:rPr>
                <w:snapToGrid/>
                <w:color w:val="000000"/>
                <w:kern w:val="0"/>
                <w:szCs w:val="22"/>
              </w:rPr>
            </w:pPr>
            <w:r w:rsidRPr="006E1513">
              <w:rPr>
                <w:snapToGrid/>
                <w:color w:val="000000"/>
                <w:kern w:val="0"/>
                <w:szCs w:val="22"/>
              </w:rPr>
              <w:t>WQWG501</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E7BC27A" w14:textId="77777777">
            <w:pPr>
              <w:widowControl/>
              <w:jc w:val="center"/>
              <w:rPr>
                <w:snapToGrid/>
                <w:color w:val="000000"/>
                <w:kern w:val="0"/>
                <w:szCs w:val="22"/>
              </w:rPr>
            </w:pPr>
            <w:r w:rsidRPr="006E1513">
              <w:rPr>
                <w:snapToGrid/>
                <w:color w:val="000000"/>
                <w:kern w:val="0"/>
                <w:szCs w:val="22"/>
              </w:rPr>
              <w:t>158.7975</w:t>
            </w:r>
          </w:p>
        </w:tc>
      </w:tr>
      <w:tr w14:paraId="7849DFF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576A1B9" w14:textId="77777777">
            <w:pPr>
              <w:widowControl/>
              <w:jc w:val="center"/>
              <w:rPr>
                <w:snapToGrid/>
                <w:color w:val="000000"/>
                <w:kern w:val="0"/>
                <w:szCs w:val="22"/>
              </w:rPr>
            </w:pPr>
            <w:r w:rsidRPr="006E1513">
              <w:rPr>
                <w:snapToGrid/>
                <w:color w:val="000000"/>
                <w:kern w:val="0"/>
                <w:szCs w:val="22"/>
              </w:rPr>
              <w:t>WQWG501</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326F320" w14:textId="77777777">
            <w:pPr>
              <w:widowControl/>
              <w:jc w:val="center"/>
              <w:rPr>
                <w:snapToGrid/>
                <w:color w:val="000000"/>
                <w:kern w:val="0"/>
                <w:szCs w:val="22"/>
              </w:rPr>
            </w:pPr>
            <w:r w:rsidRPr="006E1513">
              <w:rPr>
                <w:snapToGrid/>
                <w:color w:val="000000"/>
                <w:kern w:val="0"/>
                <w:szCs w:val="22"/>
              </w:rPr>
              <w:t>159.2175</w:t>
            </w:r>
          </w:p>
        </w:tc>
      </w:tr>
      <w:tr w14:paraId="43AB5FE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5215880" w14:textId="77777777">
            <w:pPr>
              <w:widowControl/>
              <w:jc w:val="center"/>
              <w:rPr>
                <w:snapToGrid/>
                <w:color w:val="000000"/>
                <w:kern w:val="0"/>
                <w:szCs w:val="22"/>
              </w:rPr>
            </w:pPr>
            <w:r w:rsidRPr="006E1513">
              <w:rPr>
                <w:snapToGrid/>
                <w:color w:val="000000"/>
                <w:kern w:val="0"/>
                <w:szCs w:val="22"/>
              </w:rPr>
              <w:t>WQWG501</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B4CFDA5" w14:textId="77777777">
            <w:pPr>
              <w:widowControl/>
              <w:jc w:val="center"/>
              <w:rPr>
                <w:snapToGrid/>
                <w:color w:val="000000"/>
                <w:kern w:val="0"/>
                <w:szCs w:val="22"/>
              </w:rPr>
            </w:pPr>
            <w:r w:rsidRPr="006E1513">
              <w:rPr>
                <w:snapToGrid/>
                <w:color w:val="000000"/>
                <w:kern w:val="0"/>
                <w:szCs w:val="22"/>
              </w:rPr>
              <w:t>159.2325</w:t>
            </w:r>
          </w:p>
        </w:tc>
      </w:tr>
      <w:tr w14:paraId="65164D7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08C281F" w14:textId="77777777">
            <w:pPr>
              <w:widowControl/>
              <w:jc w:val="center"/>
              <w:rPr>
                <w:snapToGrid/>
                <w:color w:val="000000"/>
                <w:kern w:val="0"/>
                <w:szCs w:val="22"/>
              </w:rPr>
            </w:pPr>
            <w:r w:rsidRPr="006E1513">
              <w:rPr>
                <w:snapToGrid/>
                <w:color w:val="000000"/>
                <w:kern w:val="0"/>
                <w:szCs w:val="22"/>
              </w:rPr>
              <w:t>WQWG501</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BEBEE00" w14:textId="77777777">
            <w:pPr>
              <w:widowControl/>
              <w:jc w:val="center"/>
              <w:rPr>
                <w:snapToGrid/>
                <w:color w:val="000000"/>
                <w:kern w:val="0"/>
                <w:szCs w:val="22"/>
              </w:rPr>
            </w:pPr>
            <w:r w:rsidRPr="006E1513">
              <w:rPr>
                <w:snapToGrid/>
                <w:color w:val="000000"/>
                <w:kern w:val="0"/>
                <w:szCs w:val="22"/>
              </w:rPr>
              <w:t>151.2425</w:t>
            </w:r>
          </w:p>
        </w:tc>
      </w:tr>
      <w:tr w14:paraId="36A7BC5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3A5C0EB" w14:textId="77777777">
            <w:pPr>
              <w:widowControl/>
              <w:jc w:val="center"/>
              <w:rPr>
                <w:snapToGrid/>
                <w:color w:val="000000"/>
                <w:kern w:val="0"/>
                <w:szCs w:val="22"/>
              </w:rPr>
            </w:pPr>
            <w:r w:rsidRPr="006E1513">
              <w:rPr>
                <w:snapToGrid/>
                <w:color w:val="000000"/>
                <w:kern w:val="0"/>
                <w:szCs w:val="22"/>
              </w:rPr>
              <w:t>WQWG501</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8E6BB2F" w14:textId="77777777">
            <w:pPr>
              <w:widowControl/>
              <w:jc w:val="center"/>
              <w:rPr>
                <w:snapToGrid/>
                <w:color w:val="000000"/>
                <w:kern w:val="0"/>
                <w:szCs w:val="22"/>
              </w:rPr>
            </w:pPr>
            <w:r w:rsidRPr="006E1513">
              <w:rPr>
                <w:snapToGrid/>
                <w:color w:val="000000"/>
                <w:kern w:val="0"/>
                <w:szCs w:val="22"/>
              </w:rPr>
              <w:t>154.4375</w:t>
            </w:r>
          </w:p>
        </w:tc>
      </w:tr>
      <w:tr w14:paraId="17FA7F4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BF0126A" w14:textId="77777777">
            <w:pPr>
              <w:widowControl/>
              <w:jc w:val="center"/>
              <w:rPr>
                <w:snapToGrid/>
                <w:color w:val="000000"/>
                <w:kern w:val="0"/>
                <w:szCs w:val="22"/>
              </w:rPr>
            </w:pPr>
            <w:r w:rsidRPr="006E1513">
              <w:rPr>
                <w:snapToGrid/>
                <w:color w:val="000000"/>
                <w:kern w:val="0"/>
                <w:szCs w:val="22"/>
              </w:rPr>
              <w:t>WQWG501</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3FF660B" w14:textId="77777777">
            <w:pPr>
              <w:widowControl/>
              <w:jc w:val="center"/>
              <w:rPr>
                <w:snapToGrid/>
                <w:color w:val="000000"/>
                <w:kern w:val="0"/>
                <w:szCs w:val="22"/>
              </w:rPr>
            </w:pPr>
            <w:r w:rsidRPr="006E1513">
              <w:rPr>
                <w:snapToGrid/>
                <w:color w:val="000000"/>
                <w:kern w:val="0"/>
                <w:szCs w:val="22"/>
              </w:rPr>
              <w:t>156.0375</w:t>
            </w:r>
          </w:p>
        </w:tc>
      </w:tr>
      <w:tr w14:paraId="7C6E698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FF27580" w14:textId="77777777">
            <w:pPr>
              <w:widowControl/>
              <w:jc w:val="center"/>
              <w:rPr>
                <w:snapToGrid/>
                <w:color w:val="000000"/>
                <w:kern w:val="0"/>
                <w:szCs w:val="22"/>
              </w:rPr>
            </w:pPr>
            <w:r w:rsidRPr="006E1513">
              <w:rPr>
                <w:snapToGrid/>
                <w:color w:val="000000"/>
                <w:kern w:val="0"/>
                <w:szCs w:val="22"/>
              </w:rPr>
              <w:t>WQVL665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392A91D" w14:textId="77777777">
            <w:pPr>
              <w:widowControl/>
              <w:jc w:val="center"/>
              <w:rPr>
                <w:snapToGrid/>
                <w:color w:val="000000"/>
                <w:kern w:val="0"/>
                <w:szCs w:val="22"/>
              </w:rPr>
            </w:pPr>
            <w:r w:rsidRPr="006E1513">
              <w:rPr>
                <w:snapToGrid/>
                <w:color w:val="000000"/>
                <w:kern w:val="0"/>
                <w:szCs w:val="22"/>
              </w:rPr>
              <w:t>154.9425</w:t>
            </w:r>
          </w:p>
        </w:tc>
      </w:tr>
      <w:tr w14:paraId="0C4F342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2D2DEB2" w14:textId="77777777">
            <w:pPr>
              <w:widowControl/>
              <w:jc w:val="center"/>
              <w:rPr>
                <w:snapToGrid/>
                <w:color w:val="000000"/>
                <w:kern w:val="0"/>
                <w:szCs w:val="22"/>
              </w:rPr>
            </w:pPr>
            <w:r w:rsidRPr="006E1513">
              <w:rPr>
                <w:snapToGrid/>
                <w:color w:val="000000"/>
                <w:kern w:val="0"/>
                <w:szCs w:val="22"/>
              </w:rPr>
              <w:t>WQVL665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EB62250" w14:textId="77777777">
            <w:pPr>
              <w:widowControl/>
              <w:jc w:val="center"/>
              <w:rPr>
                <w:snapToGrid/>
                <w:color w:val="000000"/>
                <w:kern w:val="0"/>
                <w:szCs w:val="22"/>
              </w:rPr>
            </w:pPr>
            <w:r w:rsidRPr="006E1513">
              <w:rPr>
                <w:snapToGrid/>
                <w:color w:val="000000"/>
                <w:kern w:val="0"/>
                <w:szCs w:val="22"/>
              </w:rPr>
              <w:t>155.4675</w:t>
            </w:r>
          </w:p>
        </w:tc>
      </w:tr>
      <w:tr w14:paraId="222420D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58F7A07" w14:textId="77777777">
            <w:pPr>
              <w:widowControl/>
              <w:jc w:val="center"/>
              <w:rPr>
                <w:snapToGrid/>
                <w:color w:val="000000"/>
                <w:kern w:val="0"/>
                <w:szCs w:val="22"/>
              </w:rPr>
            </w:pPr>
            <w:r w:rsidRPr="006E1513">
              <w:rPr>
                <w:snapToGrid/>
                <w:color w:val="000000"/>
                <w:kern w:val="0"/>
                <w:szCs w:val="22"/>
              </w:rPr>
              <w:t>WQVL665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C49468A" w14:textId="77777777">
            <w:pPr>
              <w:widowControl/>
              <w:jc w:val="center"/>
              <w:rPr>
                <w:snapToGrid/>
                <w:color w:val="000000"/>
                <w:kern w:val="0"/>
                <w:szCs w:val="22"/>
              </w:rPr>
            </w:pPr>
            <w:r w:rsidRPr="006E1513">
              <w:rPr>
                <w:snapToGrid/>
                <w:color w:val="000000"/>
                <w:kern w:val="0"/>
                <w:szCs w:val="22"/>
              </w:rPr>
              <w:t>155.505</w:t>
            </w:r>
          </w:p>
        </w:tc>
      </w:tr>
      <w:tr w14:paraId="4E102F5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F0C593A" w14:textId="77777777">
            <w:pPr>
              <w:widowControl/>
              <w:jc w:val="center"/>
              <w:rPr>
                <w:snapToGrid/>
                <w:color w:val="000000"/>
                <w:kern w:val="0"/>
                <w:szCs w:val="22"/>
              </w:rPr>
            </w:pPr>
            <w:r w:rsidRPr="006E1513">
              <w:rPr>
                <w:snapToGrid/>
                <w:color w:val="000000"/>
                <w:kern w:val="0"/>
                <w:szCs w:val="22"/>
              </w:rPr>
              <w:t>WQVL665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7C7FBB4" w14:textId="77777777">
            <w:pPr>
              <w:widowControl/>
              <w:jc w:val="center"/>
              <w:rPr>
                <w:snapToGrid/>
                <w:color w:val="000000"/>
                <w:kern w:val="0"/>
                <w:szCs w:val="22"/>
              </w:rPr>
            </w:pPr>
            <w:r w:rsidRPr="006E1513">
              <w:rPr>
                <w:snapToGrid/>
                <w:color w:val="000000"/>
                <w:kern w:val="0"/>
                <w:szCs w:val="22"/>
              </w:rPr>
              <w:t>159.345</w:t>
            </w:r>
          </w:p>
        </w:tc>
      </w:tr>
      <w:tr w14:paraId="289762B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DF4D553" w14:textId="77777777">
            <w:pPr>
              <w:widowControl/>
              <w:jc w:val="center"/>
              <w:rPr>
                <w:snapToGrid/>
                <w:color w:val="000000"/>
                <w:kern w:val="0"/>
                <w:szCs w:val="22"/>
              </w:rPr>
            </w:pPr>
            <w:r w:rsidRPr="006E1513">
              <w:rPr>
                <w:snapToGrid/>
                <w:color w:val="000000"/>
                <w:kern w:val="0"/>
                <w:szCs w:val="22"/>
              </w:rPr>
              <w:t>WQVL665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4A8BE40" w14:textId="77777777">
            <w:pPr>
              <w:widowControl/>
              <w:jc w:val="center"/>
              <w:rPr>
                <w:snapToGrid/>
                <w:color w:val="000000"/>
                <w:kern w:val="0"/>
                <w:szCs w:val="22"/>
              </w:rPr>
            </w:pPr>
            <w:r w:rsidRPr="006E1513">
              <w:rPr>
                <w:snapToGrid/>
                <w:color w:val="000000"/>
                <w:kern w:val="0"/>
                <w:szCs w:val="22"/>
              </w:rPr>
              <w:t>151.4</w:t>
            </w:r>
          </w:p>
        </w:tc>
      </w:tr>
      <w:tr w14:paraId="310C4FE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2B2A234" w14:textId="77777777">
            <w:pPr>
              <w:widowControl/>
              <w:jc w:val="center"/>
              <w:rPr>
                <w:snapToGrid/>
                <w:color w:val="000000"/>
                <w:kern w:val="0"/>
                <w:szCs w:val="22"/>
              </w:rPr>
            </w:pPr>
            <w:r w:rsidRPr="006E1513">
              <w:rPr>
                <w:snapToGrid/>
                <w:color w:val="000000"/>
                <w:kern w:val="0"/>
                <w:szCs w:val="22"/>
              </w:rPr>
              <w:t>WQVL665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A0586AC" w14:textId="77777777">
            <w:pPr>
              <w:widowControl/>
              <w:jc w:val="center"/>
              <w:rPr>
                <w:snapToGrid/>
                <w:color w:val="000000"/>
                <w:kern w:val="0"/>
                <w:szCs w:val="22"/>
              </w:rPr>
            </w:pPr>
            <w:r w:rsidRPr="006E1513">
              <w:rPr>
                <w:snapToGrid/>
                <w:color w:val="000000"/>
                <w:kern w:val="0"/>
                <w:szCs w:val="22"/>
              </w:rPr>
              <w:t>159.42</w:t>
            </w:r>
          </w:p>
        </w:tc>
      </w:tr>
      <w:tr w14:paraId="20472F7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061F51C" w14:textId="77777777">
            <w:pPr>
              <w:widowControl/>
              <w:jc w:val="center"/>
              <w:rPr>
                <w:snapToGrid/>
                <w:color w:val="000000"/>
                <w:kern w:val="0"/>
                <w:szCs w:val="22"/>
              </w:rPr>
            </w:pPr>
            <w:r w:rsidRPr="006E1513">
              <w:rPr>
                <w:snapToGrid/>
                <w:color w:val="000000"/>
                <w:kern w:val="0"/>
                <w:szCs w:val="22"/>
              </w:rPr>
              <w:t>WQWE404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90502C0" w14:textId="77777777">
            <w:pPr>
              <w:widowControl/>
              <w:jc w:val="center"/>
              <w:rPr>
                <w:snapToGrid/>
                <w:color w:val="000000"/>
                <w:kern w:val="0"/>
                <w:szCs w:val="22"/>
              </w:rPr>
            </w:pPr>
            <w:r w:rsidRPr="006E1513">
              <w:rPr>
                <w:snapToGrid/>
                <w:color w:val="000000"/>
                <w:kern w:val="0"/>
                <w:szCs w:val="22"/>
              </w:rPr>
              <w:t>151.085</w:t>
            </w:r>
          </w:p>
        </w:tc>
      </w:tr>
      <w:tr w14:paraId="637CE19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5F55035" w14:textId="77777777">
            <w:pPr>
              <w:widowControl/>
              <w:jc w:val="center"/>
              <w:rPr>
                <w:snapToGrid/>
                <w:color w:val="000000"/>
                <w:kern w:val="0"/>
                <w:szCs w:val="22"/>
              </w:rPr>
            </w:pPr>
            <w:r w:rsidRPr="006E1513">
              <w:rPr>
                <w:snapToGrid/>
                <w:color w:val="000000"/>
                <w:kern w:val="0"/>
                <w:szCs w:val="22"/>
              </w:rPr>
              <w:t>WQWE404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F12E8E2" w14:textId="77777777">
            <w:pPr>
              <w:widowControl/>
              <w:jc w:val="center"/>
              <w:rPr>
                <w:snapToGrid/>
                <w:color w:val="000000"/>
                <w:kern w:val="0"/>
                <w:szCs w:val="22"/>
              </w:rPr>
            </w:pPr>
            <w:r w:rsidRPr="006E1513">
              <w:rPr>
                <w:snapToGrid/>
                <w:color w:val="000000"/>
                <w:kern w:val="0"/>
                <w:szCs w:val="22"/>
              </w:rPr>
              <w:t>151.4825</w:t>
            </w:r>
          </w:p>
        </w:tc>
      </w:tr>
      <w:tr w14:paraId="777AA12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8E76699" w14:textId="77777777">
            <w:pPr>
              <w:widowControl/>
              <w:jc w:val="center"/>
              <w:rPr>
                <w:snapToGrid/>
                <w:color w:val="000000"/>
                <w:kern w:val="0"/>
                <w:szCs w:val="22"/>
              </w:rPr>
            </w:pPr>
            <w:r w:rsidRPr="006E1513">
              <w:rPr>
                <w:snapToGrid/>
                <w:color w:val="000000"/>
                <w:kern w:val="0"/>
                <w:szCs w:val="22"/>
              </w:rPr>
              <w:t>WQWE404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057E860" w14:textId="77777777">
            <w:pPr>
              <w:widowControl/>
              <w:jc w:val="center"/>
              <w:rPr>
                <w:snapToGrid/>
                <w:color w:val="000000"/>
                <w:kern w:val="0"/>
                <w:szCs w:val="22"/>
              </w:rPr>
            </w:pPr>
            <w:r w:rsidRPr="006E1513">
              <w:rPr>
                <w:snapToGrid/>
                <w:color w:val="000000"/>
                <w:kern w:val="0"/>
                <w:szCs w:val="22"/>
              </w:rPr>
              <w:t>154.1375</w:t>
            </w:r>
          </w:p>
        </w:tc>
      </w:tr>
      <w:tr w14:paraId="2DA621F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6868116" w14:textId="77777777">
            <w:pPr>
              <w:widowControl/>
              <w:jc w:val="center"/>
              <w:rPr>
                <w:snapToGrid/>
                <w:color w:val="000000"/>
                <w:kern w:val="0"/>
                <w:szCs w:val="22"/>
              </w:rPr>
            </w:pPr>
            <w:r w:rsidRPr="006E1513">
              <w:rPr>
                <w:snapToGrid/>
                <w:color w:val="000000"/>
                <w:kern w:val="0"/>
                <w:szCs w:val="22"/>
              </w:rPr>
              <w:t>WQWE404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112E9F4" w14:textId="77777777">
            <w:pPr>
              <w:widowControl/>
              <w:jc w:val="center"/>
              <w:rPr>
                <w:snapToGrid/>
                <w:color w:val="000000"/>
                <w:kern w:val="0"/>
                <w:szCs w:val="22"/>
              </w:rPr>
            </w:pPr>
            <w:r w:rsidRPr="006E1513">
              <w:rPr>
                <w:snapToGrid/>
                <w:color w:val="000000"/>
                <w:kern w:val="0"/>
                <w:szCs w:val="22"/>
              </w:rPr>
              <w:t>155.85</w:t>
            </w:r>
          </w:p>
        </w:tc>
      </w:tr>
      <w:tr w14:paraId="2B86031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972B369" w14:textId="77777777">
            <w:pPr>
              <w:widowControl/>
              <w:jc w:val="center"/>
              <w:rPr>
                <w:snapToGrid/>
                <w:color w:val="000000"/>
                <w:kern w:val="0"/>
                <w:szCs w:val="22"/>
              </w:rPr>
            </w:pPr>
            <w:r w:rsidRPr="006E1513">
              <w:rPr>
                <w:snapToGrid/>
                <w:color w:val="000000"/>
                <w:kern w:val="0"/>
                <w:szCs w:val="22"/>
              </w:rPr>
              <w:t>WQWE404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059AE72" w14:textId="77777777">
            <w:pPr>
              <w:widowControl/>
              <w:jc w:val="center"/>
              <w:rPr>
                <w:snapToGrid/>
                <w:color w:val="000000"/>
                <w:kern w:val="0"/>
                <w:szCs w:val="22"/>
              </w:rPr>
            </w:pPr>
            <w:r w:rsidRPr="006E1513">
              <w:rPr>
                <w:snapToGrid/>
                <w:color w:val="000000"/>
                <w:kern w:val="0"/>
                <w:szCs w:val="22"/>
              </w:rPr>
              <w:t>155.985</w:t>
            </w:r>
          </w:p>
        </w:tc>
      </w:tr>
      <w:tr w14:paraId="5D8AE16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F313B42" w14:textId="77777777">
            <w:pPr>
              <w:widowControl/>
              <w:jc w:val="center"/>
              <w:rPr>
                <w:snapToGrid/>
                <w:color w:val="000000"/>
                <w:kern w:val="0"/>
                <w:szCs w:val="22"/>
              </w:rPr>
            </w:pPr>
            <w:r w:rsidRPr="006E1513">
              <w:rPr>
                <w:snapToGrid/>
                <w:color w:val="000000"/>
                <w:kern w:val="0"/>
                <w:szCs w:val="22"/>
              </w:rPr>
              <w:t>WQWE404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EBB2BC5" w14:textId="77777777">
            <w:pPr>
              <w:widowControl/>
              <w:jc w:val="center"/>
              <w:rPr>
                <w:snapToGrid/>
                <w:color w:val="000000"/>
                <w:kern w:val="0"/>
                <w:szCs w:val="22"/>
              </w:rPr>
            </w:pPr>
            <w:r w:rsidRPr="006E1513">
              <w:rPr>
                <w:snapToGrid/>
                <w:color w:val="000000"/>
                <w:kern w:val="0"/>
                <w:szCs w:val="22"/>
              </w:rPr>
              <w:t>158.985</w:t>
            </w:r>
          </w:p>
        </w:tc>
      </w:tr>
      <w:tr w14:paraId="5400352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F63F81" w14:textId="77777777">
            <w:pPr>
              <w:widowControl/>
              <w:jc w:val="center"/>
              <w:rPr>
                <w:snapToGrid/>
                <w:color w:val="000000"/>
                <w:kern w:val="0"/>
                <w:szCs w:val="22"/>
              </w:rPr>
            </w:pPr>
            <w:r w:rsidRPr="006E1513">
              <w:rPr>
                <w:snapToGrid/>
                <w:color w:val="000000"/>
                <w:kern w:val="0"/>
                <w:szCs w:val="22"/>
              </w:rPr>
              <w:t>WQVA509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8EF00D9" w14:textId="77777777">
            <w:pPr>
              <w:widowControl/>
              <w:jc w:val="center"/>
              <w:rPr>
                <w:snapToGrid/>
                <w:color w:val="000000"/>
                <w:kern w:val="0"/>
                <w:szCs w:val="22"/>
              </w:rPr>
            </w:pPr>
            <w:r w:rsidRPr="006E1513">
              <w:rPr>
                <w:snapToGrid/>
                <w:color w:val="000000"/>
                <w:kern w:val="0"/>
                <w:szCs w:val="22"/>
              </w:rPr>
              <w:t>151.385</w:t>
            </w:r>
          </w:p>
        </w:tc>
      </w:tr>
      <w:tr w14:paraId="38C3E4A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70445CE" w14:textId="77777777">
            <w:pPr>
              <w:widowControl/>
              <w:jc w:val="center"/>
              <w:rPr>
                <w:snapToGrid/>
                <w:color w:val="000000"/>
                <w:kern w:val="0"/>
                <w:szCs w:val="22"/>
              </w:rPr>
            </w:pPr>
            <w:r w:rsidRPr="006E1513">
              <w:rPr>
                <w:snapToGrid/>
                <w:color w:val="000000"/>
                <w:kern w:val="0"/>
                <w:szCs w:val="22"/>
              </w:rPr>
              <w:t>WQVA509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9F6B67E" w14:textId="77777777">
            <w:pPr>
              <w:widowControl/>
              <w:jc w:val="center"/>
              <w:rPr>
                <w:snapToGrid/>
                <w:color w:val="000000"/>
                <w:kern w:val="0"/>
                <w:szCs w:val="22"/>
              </w:rPr>
            </w:pPr>
            <w:r w:rsidRPr="006E1513">
              <w:rPr>
                <w:snapToGrid/>
                <w:color w:val="000000"/>
                <w:kern w:val="0"/>
                <w:szCs w:val="22"/>
              </w:rPr>
              <w:t>151.1825</w:t>
            </w:r>
          </w:p>
        </w:tc>
      </w:tr>
      <w:tr w14:paraId="113C317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E26BAB2" w14:textId="77777777">
            <w:pPr>
              <w:widowControl/>
              <w:jc w:val="center"/>
              <w:rPr>
                <w:snapToGrid/>
                <w:color w:val="000000"/>
                <w:kern w:val="0"/>
                <w:szCs w:val="22"/>
              </w:rPr>
            </w:pPr>
            <w:r w:rsidRPr="006E1513">
              <w:rPr>
                <w:snapToGrid/>
                <w:color w:val="000000"/>
                <w:kern w:val="0"/>
                <w:szCs w:val="22"/>
              </w:rPr>
              <w:t>WQVA509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ED52012" w14:textId="77777777">
            <w:pPr>
              <w:widowControl/>
              <w:jc w:val="center"/>
              <w:rPr>
                <w:snapToGrid/>
                <w:color w:val="000000"/>
                <w:kern w:val="0"/>
                <w:szCs w:val="22"/>
              </w:rPr>
            </w:pPr>
            <w:r w:rsidRPr="006E1513">
              <w:rPr>
                <w:snapToGrid/>
                <w:color w:val="000000"/>
                <w:kern w:val="0"/>
                <w:szCs w:val="22"/>
              </w:rPr>
              <w:t>155.2425</w:t>
            </w:r>
          </w:p>
        </w:tc>
      </w:tr>
      <w:tr w14:paraId="2F3E2F4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D42CE1E" w14:textId="77777777">
            <w:pPr>
              <w:widowControl/>
              <w:jc w:val="center"/>
              <w:rPr>
                <w:snapToGrid/>
                <w:color w:val="000000"/>
                <w:kern w:val="0"/>
                <w:szCs w:val="22"/>
              </w:rPr>
            </w:pPr>
            <w:r w:rsidRPr="006E1513">
              <w:rPr>
                <w:snapToGrid/>
                <w:color w:val="000000"/>
                <w:kern w:val="0"/>
                <w:szCs w:val="22"/>
              </w:rPr>
              <w:t>WQVA509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6EA229A" w14:textId="77777777">
            <w:pPr>
              <w:widowControl/>
              <w:jc w:val="center"/>
              <w:rPr>
                <w:snapToGrid/>
                <w:color w:val="000000"/>
                <w:kern w:val="0"/>
                <w:szCs w:val="22"/>
              </w:rPr>
            </w:pPr>
            <w:r w:rsidRPr="006E1513">
              <w:rPr>
                <w:snapToGrid/>
                <w:color w:val="000000"/>
                <w:kern w:val="0"/>
                <w:szCs w:val="22"/>
              </w:rPr>
              <w:t>158.865</w:t>
            </w:r>
          </w:p>
        </w:tc>
      </w:tr>
      <w:tr w14:paraId="4AAA385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FA8C5FA" w14:textId="77777777">
            <w:pPr>
              <w:widowControl/>
              <w:jc w:val="center"/>
              <w:rPr>
                <w:snapToGrid/>
                <w:color w:val="000000"/>
                <w:kern w:val="0"/>
                <w:szCs w:val="22"/>
              </w:rPr>
            </w:pPr>
            <w:r w:rsidRPr="006E1513">
              <w:rPr>
                <w:snapToGrid/>
                <w:color w:val="000000"/>
                <w:kern w:val="0"/>
                <w:szCs w:val="22"/>
              </w:rPr>
              <w:t>WQVA509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8C00C72" w14:textId="77777777">
            <w:pPr>
              <w:widowControl/>
              <w:jc w:val="center"/>
              <w:rPr>
                <w:snapToGrid/>
                <w:color w:val="000000"/>
                <w:kern w:val="0"/>
                <w:szCs w:val="22"/>
              </w:rPr>
            </w:pPr>
            <w:r w:rsidRPr="006E1513">
              <w:rPr>
                <w:snapToGrid/>
                <w:color w:val="000000"/>
                <w:kern w:val="0"/>
                <w:szCs w:val="22"/>
              </w:rPr>
              <w:t>158.9475</w:t>
            </w:r>
          </w:p>
        </w:tc>
      </w:tr>
      <w:tr w14:paraId="29BF88D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F416EDF" w14:textId="77777777">
            <w:pPr>
              <w:widowControl/>
              <w:jc w:val="center"/>
              <w:rPr>
                <w:snapToGrid/>
                <w:color w:val="000000"/>
                <w:kern w:val="0"/>
                <w:szCs w:val="22"/>
              </w:rPr>
            </w:pPr>
            <w:r w:rsidRPr="006E1513">
              <w:rPr>
                <w:snapToGrid/>
                <w:color w:val="000000"/>
                <w:kern w:val="0"/>
                <w:szCs w:val="22"/>
              </w:rPr>
              <w:t>WQVA509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C476377" w14:textId="77777777">
            <w:pPr>
              <w:widowControl/>
              <w:jc w:val="center"/>
              <w:rPr>
                <w:snapToGrid/>
                <w:color w:val="000000"/>
                <w:kern w:val="0"/>
                <w:szCs w:val="22"/>
              </w:rPr>
            </w:pPr>
            <w:r w:rsidRPr="006E1513">
              <w:rPr>
                <w:snapToGrid/>
                <w:color w:val="000000"/>
                <w:kern w:val="0"/>
                <w:szCs w:val="22"/>
              </w:rPr>
              <w:t>159.0225</w:t>
            </w:r>
          </w:p>
        </w:tc>
      </w:tr>
      <w:tr w14:paraId="133D5AE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F1C4A6" w14:textId="77777777">
            <w:pPr>
              <w:widowControl/>
              <w:jc w:val="center"/>
              <w:rPr>
                <w:snapToGrid/>
                <w:color w:val="000000"/>
                <w:kern w:val="0"/>
                <w:szCs w:val="22"/>
              </w:rPr>
            </w:pPr>
            <w:r w:rsidRPr="006E1513">
              <w:rPr>
                <w:snapToGrid/>
                <w:color w:val="000000"/>
                <w:kern w:val="0"/>
                <w:szCs w:val="22"/>
              </w:rPr>
              <w:t>WQUX676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D11E9A6" w14:textId="77777777">
            <w:pPr>
              <w:widowControl/>
              <w:jc w:val="center"/>
              <w:rPr>
                <w:snapToGrid/>
                <w:color w:val="000000"/>
                <w:kern w:val="0"/>
                <w:szCs w:val="22"/>
              </w:rPr>
            </w:pPr>
            <w:r w:rsidRPr="006E1513">
              <w:rPr>
                <w:snapToGrid/>
                <w:color w:val="000000"/>
                <w:kern w:val="0"/>
                <w:szCs w:val="22"/>
              </w:rPr>
              <w:t>158.8425</w:t>
            </w:r>
          </w:p>
        </w:tc>
      </w:tr>
      <w:tr w14:paraId="143623C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D4077C" w14:textId="77777777">
            <w:pPr>
              <w:widowControl/>
              <w:jc w:val="center"/>
              <w:rPr>
                <w:snapToGrid/>
                <w:color w:val="000000"/>
                <w:kern w:val="0"/>
                <w:szCs w:val="22"/>
              </w:rPr>
            </w:pPr>
            <w:r w:rsidRPr="006E1513">
              <w:rPr>
                <w:snapToGrid/>
                <w:color w:val="000000"/>
                <w:kern w:val="0"/>
                <w:szCs w:val="22"/>
              </w:rPr>
              <w:t>WQUX676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82FFE28" w14:textId="77777777">
            <w:pPr>
              <w:widowControl/>
              <w:jc w:val="center"/>
              <w:rPr>
                <w:snapToGrid/>
                <w:color w:val="000000"/>
                <w:kern w:val="0"/>
                <w:szCs w:val="22"/>
              </w:rPr>
            </w:pPr>
            <w:r w:rsidRPr="006E1513">
              <w:rPr>
                <w:snapToGrid/>
                <w:color w:val="000000"/>
                <w:kern w:val="0"/>
                <w:szCs w:val="22"/>
              </w:rPr>
              <w:t>159.09</w:t>
            </w:r>
          </w:p>
        </w:tc>
      </w:tr>
      <w:tr w14:paraId="6CB99A2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C06EADE" w14:textId="77777777">
            <w:pPr>
              <w:widowControl/>
              <w:jc w:val="center"/>
              <w:rPr>
                <w:snapToGrid/>
                <w:color w:val="000000"/>
                <w:kern w:val="0"/>
                <w:szCs w:val="22"/>
              </w:rPr>
            </w:pPr>
            <w:r w:rsidRPr="006E1513">
              <w:rPr>
                <w:snapToGrid/>
                <w:color w:val="000000"/>
                <w:kern w:val="0"/>
                <w:szCs w:val="22"/>
              </w:rPr>
              <w:t>WQUX676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06D5098" w14:textId="77777777">
            <w:pPr>
              <w:widowControl/>
              <w:jc w:val="center"/>
              <w:rPr>
                <w:snapToGrid/>
                <w:color w:val="000000"/>
                <w:kern w:val="0"/>
                <w:szCs w:val="22"/>
              </w:rPr>
            </w:pPr>
            <w:r w:rsidRPr="006E1513">
              <w:rPr>
                <w:snapToGrid/>
                <w:color w:val="000000"/>
                <w:kern w:val="0"/>
                <w:szCs w:val="22"/>
              </w:rPr>
              <w:t>159.1875</w:t>
            </w:r>
          </w:p>
        </w:tc>
      </w:tr>
      <w:tr w14:paraId="3A468AD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75AC5B2" w14:textId="77777777">
            <w:pPr>
              <w:widowControl/>
              <w:jc w:val="center"/>
              <w:rPr>
                <w:snapToGrid/>
                <w:color w:val="000000"/>
                <w:kern w:val="0"/>
                <w:szCs w:val="22"/>
              </w:rPr>
            </w:pPr>
            <w:r w:rsidRPr="006E1513">
              <w:rPr>
                <w:snapToGrid/>
                <w:color w:val="000000"/>
                <w:kern w:val="0"/>
                <w:szCs w:val="22"/>
              </w:rPr>
              <w:t>WQUX676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05F121B" w14:textId="77777777">
            <w:pPr>
              <w:widowControl/>
              <w:jc w:val="center"/>
              <w:rPr>
                <w:snapToGrid/>
                <w:color w:val="000000"/>
                <w:kern w:val="0"/>
                <w:szCs w:val="22"/>
              </w:rPr>
            </w:pPr>
            <w:r w:rsidRPr="006E1513">
              <w:rPr>
                <w:snapToGrid/>
                <w:color w:val="000000"/>
                <w:kern w:val="0"/>
                <w:szCs w:val="22"/>
              </w:rPr>
              <w:t>153.8</w:t>
            </w:r>
          </w:p>
        </w:tc>
      </w:tr>
      <w:tr w14:paraId="7BCED37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F497608" w14:textId="77777777">
            <w:pPr>
              <w:widowControl/>
              <w:jc w:val="center"/>
              <w:rPr>
                <w:snapToGrid/>
                <w:color w:val="000000"/>
                <w:kern w:val="0"/>
                <w:szCs w:val="22"/>
              </w:rPr>
            </w:pPr>
            <w:r w:rsidRPr="006E1513">
              <w:rPr>
                <w:snapToGrid/>
                <w:color w:val="000000"/>
                <w:kern w:val="0"/>
                <w:szCs w:val="22"/>
              </w:rPr>
              <w:t>WQUX676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041EA86" w14:textId="77777777">
            <w:pPr>
              <w:widowControl/>
              <w:jc w:val="center"/>
              <w:rPr>
                <w:snapToGrid/>
                <w:color w:val="000000"/>
                <w:kern w:val="0"/>
                <w:szCs w:val="22"/>
              </w:rPr>
            </w:pPr>
            <w:r w:rsidRPr="006E1513">
              <w:rPr>
                <w:snapToGrid/>
                <w:color w:val="000000"/>
                <w:kern w:val="0"/>
                <w:szCs w:val="22"/>
              </w:rPr>
              <w:t>154.89</w:t>
            </w:r>
          </w:p>
        </w:tc>
      </w:tr>
      <w:tr w14:paraId="693D2EB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892A22B" w14:textId="77777777">
            <w:pPr>
              <w:widowControl/>
              <w:jc w:val="center"/>
              <w:rPr>
                <w:snapToGrid/>
                <w:color w:val="000000"/>
                <w:kern w:val="0"/>
                <w:szCs w:val="22"/>
              </w:rPr>
            </w:pPr>
            <w:r w:rsidRPr="006E1513">
              <w:rPr>
                <w:snapToGrid/>
                <w:color w:val="000000"/>
                <w:kern w:val="0"/>
                <w:szCs w:val="22"/>
              </w:rPr>
              <w:t>WQUX676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C64271C" w14:textId="77777777">
            <w:pPr>
              <w:widowControl/>
              <w:jc w:val="center"/>
              <w:rPr>
                <w:snapToGrid/>
                <w:color w:val="000000"/>
                <w:kern w:val="0"/>
                <w:szCs w:val="22"/>
              </w:rPr>
            </w:pPr>
            <w:r w:rsidRPr="006E1513">
              <w:rPr>
                <w:snapToGrid/>
                <w:color w:val="000000"/>
                <w:kern w:val="0"/>
                <w:szCs w:val="22"/>
              </w:rPr>
              <w:t>154.95</w:t>
            </w:r>
          </w:p>
        </w:tc>
      </w:tr>
      <w:tr w14:paraId="44BBE04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B352E1D" w14:textId="77777777">
            <w:pPr>
              <w:widowControl/>
              <w:jc w:val="center"/>
              <w:rPr>
                <w:snapToGrid/>
                <w:color w:val="000000"/>
                <w:kern w:val="0"/>
                <w:szCs w:val="22"/>
              </w:rPr>
            </w:pPr>
            <w:r w:rsidRPr="006E1513">
              <w:rPr>
                <w:snapToGrid/>
                <w:color w:val="000000"/>
                <w:kern w:val="0"/>
                <w:szCs w:val="22"/>
              </w:rPr>
              <w:t>WQVG945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2370B5D" w14:textId="77777777">
            <w:pPr>
              <w:widowControl/>
              <w:jc w:val="center"/>
              <w:rPr>
                <w:snapToGrid/>
                <w:color w:val="000000"/>
                <w:kern w:val="0"/>
                <w:szCs w:val="22"/>
              </w:rPr>
            </w:pPr>
            <w:r w:rsidRPr="006E1513">
              <w:rPr>
                <w:snapToGrid/>
                <w:color w:val="000000"/>
                <w:kern w:val="0"/>
                <w:szCs w:val="22"/>
              </w:rPr>
              <w:t>154.4075</w:t>
            </w:r>
          </w:p>
        </w:tc>
      </w:tr>
      <w:tr w14:paraId="3EEE90D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698CB00" w14:textId="77777777">
            <w:pPr>
              <w:widowControl/>
              <w:jc w:val="center"/>
              <w:rPr>
                <w:snapToGrid/>
                <w:color w:val="000000"/>
                <w:kern w:val="0"/>
                <w:szCs w:val="22"/>
              </w:rPr>
            </w:pPr>
            <w:r w:rsidRPr="006E1513">
              <w:rPr>
                <w:snapToGrid/>
                <w:color w:val="000000"/>
                <w:kern w:val="0"/>
                <w:szCs w:val="22"/>
              </w:rPr>
              <w:t>WQVG945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EB0C7D1" w14:textId="77777777">
            <w:pPr>
              <w:widowControl/>
              <w:jc w:val="center"/>
              <w:rPr>
                <w:snapToGrid/>
                <w:color w:val="000000"/>
                <w:kern w:val="0"/>
                <w:szCs w:val="22"/>
              </w:rPr>
            </w:pPr>
            <w:r w:rsidRPr="006E1513">
              <w:rPr>
                <w:snapToGrid/>
                <w:color w:val="000000"/>
                <w:kern w:val="0"/>
                <w:szCs w:val="22"/>
              </w:rPr>
              <w:t>159.27</w:t>
            </w:r>
          </w:p>
        </w:tc>
      </w:tr>
      <w:tr w14:paraId="6CE7B3F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13761DE" w14:textId="77777777">
            <w:pPr>
              <w:widowControl/>
              <w:jc w:val="center"/>
              <w:rPr>
                <w:snapToGrid/>
                <w:color w:val="000000"/>
                <w:kern w:val="0"/>
                <w:szCs w:val="22"/>
              </w:rPr>
            </w:pPr>
            <w:r w:rsidRPr="006E1513">
              <w:rPr>
                <w:snapToGrid/>
                <w:color w:val="000000"/>
                <w:kern w:val="0"/>
                <w:szCs w:val="22"/>
              </w:rPr>
              <w:t>WQVG945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4B272B8" w14:textId="77777777">
            <w:pPr>
              <w:widowControl/>
              <w:jc w:val="center"/>
              <w:rPr>
                <w:snapToGrid/>
                <w:color w:val="000000"/>
                <w:kern w:val="0"/>
                <w:szCs w:val="22"/>
              </w:rPr>
            </w:pPr>
            <w:r w:rsidRPr="006E1513">
              <w:rPr>
                <w:snapToGrid/>
                <w:color w:val="000000"/>
                <w:kern w:val="0"/>
                <w:szCs w:val="22"/>
              </w:rPr>
              <w:t>158.7825</w:t>
            </w:r>
          </w:p>
        </w:tc>
      </w:tr>
      <w:tr w14:paraId="45A7F70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FF0E521" w14:textId="77777777">
            <w:pPr>
              <w:widowControl/>
              <w:jc w:val="center"/>
              <w:rPr>
                <w:snapToGrid/>
                <w:color w:val="000000"/>
                <w:kern w:val="0"/>
                <w:szCs w:val="22"/>
              </w:rPr>
            </w:pPr>
            <w:r w:rsidRPr="006E1513">
              <w:rPr>
                <w:snapToGrid/>
                <w:color w:val="000000"/>
                <w:kern w:val="0"/>
                <w:szCs w:val="22"/>
              </w:rPr>
              <w:t>WQVG945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792CBFA" w14:textId="77777777">
            <w:pPr>
              <w:widowControl/>
              <w:jc w:val="center"/>
              <w:rPr>
                <w:snapToGrid/>
                <w:color w:val="000000"/>
                <w:kern w:val="0"/>
                <w:szCs w:val="22"/>
              </w:rPr>
            </w:pPr>
            <w:r w:rsidRPr="006E1513">
              <w:rPr>
                <w:snapToGrid/>
                <w:color w:val="000000"/>
                <w:kern w:val="0"/>
                <w:szCs w:val="22"/>
              </w:rPr>
              <w:t>158.85</w:t>
            </w:r>
          </w:p>
        </w:tc>
      </w:tr>
      <w:tr w14:paraId="15E97F3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7BBE29D" w14:textId="77777777">
            <w:pPr>
              <w:widowControl/>
              <w:jc w:val="center"/>
              <w:rPr>
                <w:snapToGrid/>
                <w:color w:val="000000"/>
                <w:kern w:val="0"/>
                <w:szCs w:val="22"/>
              </w:rPr>
            </w:pPr>
            <w:r w:rsidRPr="006E1513">
              <w:rPr>
                <w:snapToGrid/>
                <w:color w:val="000000"/>
                <w:kern w:val="0"/>
                <w:szCs w:val="22"/>
              </w:rPr>
              <w:t>WQVQ416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DF18789" w14:textId="77777777">
            <w:pPr>
              <w:widowControl/>
              <w:jc w:val="center"/>
              <w:rPr>
                <w:snapToGrid/>
                <w:color w:val="000000"/>
                <w:kern w:val="0"/>
                <w:szCs w:val="22"/>
              </w:rPr>
            </w:pPr>
            <w:r w:rsidRPr="006E1513">
              <w:rPr>
                <w:snapToGrid/>
                <w:color w:val="000000"/>
                <w:kern w:val="0"/>
                <w:szCs w:val="22"/>
              </w:rPr>
              <w:t>155.55</w:t>
            </w:r>
          </w:p>
        </w:tc>
      </w:tr>
      <w:tr w14:paraId="2717ECE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9C14E46" w14:textId="77777777">
            <w:pPr>
              <w:widowControl/>
              <w:jc w:val="center"/>
              <w:rPr>
                <w:snapToGrid/>
                <w:color w:val="000000"/>
                <w:kern w:val="0"/>
                <w:szCs w:val="22"/>
              </w:rPr>
            </w:pPr>
            <w:r w:rsidRPr="006E1513">
              <w:rPr>
                <w:snapToGrid/>
                <w:color w:val="000000"/>
                <w:kern w:val="0"/>
                <w:szCs w:val="22"/>
              </w:rPr>
              <w:t>WQVQ416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7E4943E" w14:textId="77777777">
            <w:pPr>
              <w:widowControl/>
              <w:jc w:val="center"/>
              <w:rPr>
                <w:snapToGrid/>
                <w:color w:val="000000"/>
                <w:kern w:val="0"/>
                <w:szCs w:val="22"/>
              </w:rPr>
            </w:pPr>
            <w:r w:rsidRPr="006E1513">
              <w:rPr>
                <w:snapToGrid/>
                <w:color w:val="000000"/>
                <w:kern w:val="0"/>
                <w:szCs w:val="22"/>
              </w:rPr>
              <w:t>156.1125</w:t>
            </w:r>
          </w:p>
        </w:tc>
      </w:tr>
      <w:tr w14:paraId="710389C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BE96191" w14:textId="77777777">
            <w:pPr>
              <w:widowControl/>
              <w:jc w:val="center"/>
              <w:rPr>
                <w:snapToGrid/>
                <w:color w:val="000000"/>
                <w:kern w:val="0"/>
                <w:szCs w:val="22"/>
              </w:rPr>
            </w:pPr>
            <w:r w:rsidRPr="006E1513">
              <w:rPr>
                <w:snapToGrid/>
                <w:color w:val="000000"/>
                <w:kern w:val="0"/>
                <w:szCs w:val="22"/>
              </w:rPr>
              <w:t>WQVQ416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350E23A" w14:textId="77777777">
            <w:pPr>
              <w:widowControl/>
              <w:jc w:val="center"/>
              <w:rPr>
                <w:snapToGrid/>
                <w:color w:val="000000"/>
                <w:kern w:val="0"/>
                <w:szCs w:val="22"/>
              </w:rPr>
            </w:pPr>
            <w:r w:rsidRPr="006E1513">
              <w:rPr>
                <w:snapToGrid/>
                <w:color w:val="000000"/>
                <w:kern w:val="0"/>
                <w:szCs w:val="22"/>
              </w:rPr>
              <w:t>155.445</w:t>
            </w:r>
          </w:p>
        </w:tc>
      </w:tr>
      <w:tr w14:paraId="123712C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FC9BF22" w14:textId="77777777">
            <w:pPr>
              <w:widowControl/>
              <w:jc w:val="center"/>
              <w:rPr>
                <w:snapToGrid/>
                <w:color w:val="000000"/>
                <w:kern w:val="0"/>
                <w:szCs w:val="22"/>
              </w:rPr>
            </w:pPr>
            <w:r w:rsidRPr="006E1513">
              <w:rPr>
                <w:snapToGrid/>
                <w:color w:val="000000"/>
                <w:kern w:val="0"/>
                <w:szCs w:val="22"/>
              </w:rPr>
              <w:t>WQVQ416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9B65065" w14:textId="77777777">
            <w:pPr>
              <w:widowControl/>
              <w:jc w:val="center"/>
              <w:rPr>
                <w:snapToGrid/>
                <w:color w:val="000000"/>
                <w:kern w:val="0"/>
                <w:szCs w:val="22"/>
              </w:rPr>
            </w:pPr>
            <w:r w:rsidRPr="006E1513">
              <w:rPr>
                <w:snapToGrid/>
                <w:color w:val="000000"/>
                <w:kern w:val="0"/>
                <w:szCs w:val="22"/>
              </w:rPr>
              <w:t>153.74</w:t>
            </w:r>
          </w:p>
        </w:tc>
      </w:tr>
      <w:tr w14:paraId="78E0BB1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5D72458" w14:textId="77777777">
            <w:pPr>
              <w:widowControl/>
              <w:jc w:val="center"/>
              <w:rPr>
                <w:snapToGrid/>
                <w:color w:val="000000"/>
                <w:kern w:val="0"/>
                <w:szCs w:val="22"/>
              </w:rPr>
            </w:pPr>
            <w:r w:rsidRPr="006E1513">
              <w:rPr>
                <w:snapToGrid/>
                <w:color w:val="000000"/>
                <w:kern w:val="0"/>
                <w:szCs w:val="22"/>
              </w:rPr>
              <w:t>WQVQ416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99A2095" w14:textId="77777777">
            <w:pPr>
              <w:widowControl/>
              <w:jc w:val="center"/>
              <w:rPr>
                <w:snapToGrid/>
                <w:color w:val="000000"/>
                <w:kern w:val="0"/>
                <w:szCs w:val="22"/>
              </w:rPr>
            </w:pPr>
            <w:r w:rsidRPr="006E1513">
              <w:rPr>
                <w:snapToGrid/>
                <w:color w:val="000000"/>
                <w:kern w:val="0"/>
                <w:szCs w:val="22"/>
              </w:rPr>
              <w:t>151.16</w:t>
            </w:r>
          </w:p>
        </w:tc>
      </w:tr>
      <w:tr w14:paraId="77C9CE1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076155B" w14:textId="77777777">
            <w:pPr>
              <w:widowControl/>
              <w:jc w:val="center"/>
              <w:rPr>
                <w:snapToGrid/>
                <w:color w:val="000000"/>
                <w:kern w:val="0"/>
                <w:szCs w:val="22"/>
              </w:rPr>
            </w:pPr>
            <w:r w:rsidRPr="006E1513">
              <w:rPr>
                <w:snapToGrid/>
                <w:color w:val="000000"/>
                <w:kern w:val="0"/>
                <w:szCs w:val="22"/>
              </w:rPr>
              <w:t>WQVQ416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D1E204C" w14:textId="77777777">
            <w:pPr>
              <w:widowControl/>
              <w:jc w:val="center"/>
              <w:rPr>
                <w:snapToGrid/>
                <w:color w:val="000000"/>
                <w:kern w:val="0"/>
                <w:szCs w:val="22"/>
              </w:rPr>
            </w:pPr>
            <w:r w:rsidRPr="006E1513">
              <w:rPr>
                <w:snapToGrid/>
                <w:color w:val="000000"/>
                <w:kern w:val="0"/>
                <w:szCs w:val="22"/>
              </w:rPr>
              <w:t>153.92</w:t>
            </w:r>
          </w:p>
        </w:tc>
      </w:tr>
      <w:tr w14:paraId="27D00D2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3F410F7" w14:textId="77777777">
            <w:pPr>
              <w:widowControl/>
              <w:jc w:val="center"/>
              <w:rPr>
                <w:snapToGrid/>
                <w:color w:val="000000"/>
                <w:kern w:val="0"/>
                <w:szCs w:val="22"/>
              </w:rPr>
            </w:pPr>
            <w:r w:rsidRPr="006E1513">
              <w:rPr>
                <w:snapToGrid/>
                <w:color w:val="000000"/>
                <w:kern w:val="0"/>
                <w:szCs w:val="22"/>
              </w:rPr>
              <w:t>WRCM947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53B87A9" w14:textId="77777777">
            <w:pPr>
              <w:widowControl/>
              <w:jc w:val="center"/>
              <w:rPr>
                <w:snapToGrid/>
                <w:color w:val="000000"/>
                <w:kern w:val="0"/>
                <w:szCs w:val="22"/>
              </w:rPr>
            </w:pPr>
            <w:r w:rsidRPr="006E1513">
              <w:rPr>
                <w:snapToGrid/>
                <w:color w:val="000000"/>
                <w:kern w:val="0"/>
                <w:szCs w:val="22"/>
              </w:rPr>
              <w:t>151.1675</w:t>
            </w:r>
          </w:p>
        </w:tc>
      </w:tr>
      <w:tr w14:paraId="0A39105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39551D4" w14:textId="77777777">
            <w:pPr>
              <w:widowControl/>
              <w:jc w:val="center"/>
              <w:rPr>
                <w:snapToGrid/>
                <w:color w:val="000000"/>
                <w:kern w:val="0"/>
                <w:szCs w:val="22"/>
              </w:rPr>
            </w:pPr>
            <w:r w:rsidRPr="006E1513">
              <w:rPr>
                <w:snapToGrid/>
                <w:color w:val="000000"/>
                <w:kern w:val="0"/>
                <w:szCs w:val="22"/>
              </w:rPr>
              <w:t>WRCM947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27128DA" w14:textId="77777777">
            <w:pPr>
              <w:widowControl/>
              <w:jc w:val="center"/>
              <w:rPr>
                <w:snapToGrid/>
                <w:color w:val="000000"/>
                <w:kern w:val="0"/>
                <w:szCs w:val="22"/>
              </w:rPr>
            </w:pPr>
            <w:r w:rsidRPr="006E1513">
              <w:rPr>
                <w:snapToGrid/>
                <w:color w:val="000000"/>
                <w:kern w:val="0"/>
                <w:szCs w:val="22"/>
              </w:rPr>
              <w:t>151.3925</w:t>
            </w:r>
          </w:p>
        </w:tc>
      </w:tr>
      <w:tr w14:paraId="57024DB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A345E40" w14:textId="77777777">
            <w:pPr>
              <w:widowControl/>
              <w:jc w:val="center"/>
              <w:rPr>
                <w:snapToGrid/>
                <w:color w:val="000000"/>
                <w:kern w:val="0"/>
                <w:szCs w:val="22"/>
              </w:rPr>
            </w:pPr>
            <w:r w:rsidRPr="006E1513">
              <w:rPr>
                <w:snapToGrid/>
                <w:color w:val="000000"/>
                <w:kern w:val="0"/>
                <w:szCs w:val="22"/>
              </w:rPr>
              <w:t>WRCM947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610A121" w14:textId="77777777">
            <w:pPr>
              <w:widowControl/>
              <w:jc w:val="center"/>
              <w:rPr>
                <w:snapToGrid/>
                <w:color w:val="000000"/>
                <w:kern w:val="0"/>
                <w:szCs w:val="22"/>
              </w:rPr>
            </w:pPr>
            <w:r w:rsidRPr="006E1513">
              <w:rPr>
                <w:snapToGrid/>
                <w:color w:val="000000"/>
                <w:kern w:val="0"/>
                <w:szCs w:val="22"/>
              </w:rPr>
              <w:t>151.445</w:t>
            </w:r>
          </w:p>
        </w:tc>
      </w:tr>
      <w:tr w14:paraId="1F3AA4E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E6B9649" w14:textId="77777777">
            <w:pPr>
              <w:widowControl/>
              <w:jc w:val="center"/>
              <w:rPr>
                <w:snapToGrid/>
                <w:color w:val="000000"/>
                <w:kern w:val="0"/>
                <w:szCs w:val="22"/>
              </w:rPr>
            </w:pPr>
            <w:r w:rsidRPr="006E1513">
              <w:rPr>
                <w:snapToGrid/>
                <w:color w:val="000000"/>
                <w:kern w:val="0"/>
                <w:szCs w:val="22"/>
              </w:rPr>
              <w:t>WRCM947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0712238" w14:textId="77777777">
            <w:pPr>
              <w:widowControl/>
              <w:jc w:val="center"/>
              <w:rPr>
                <w:snapToGrid/>
                <w:color w:val="000000"/>
                <w:kern w:val="0"/>
                <w:szCs w:val="22"/>
              </w:rPr>
            </w:pPr>
            <w:r w:rsidRPr="006E1513">
              <w:rPr>
                <w:snapToGrid/>
                <w:color w:val="000000"/>
                <w:kern w:val="0"/>
                <w:szCs w:val="22"/>
              </w:rPr>
              <w:t>154.01</w:t>
            </w:r>
          </w:p>
        </w:tc>
      </w:tr>
      <w:tr w14:paraId="0CA12EF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7D5BEC3" w14:textId="77777777">
            <w:pPr>
              <w:widowControl/>
              <w:jc w:val="center"/>
              <w:rPr>
                <w:snapToGrid/>
                <w:color w:val="000000"/>
                <w:kern w:val="0"/>
                <w:szCs w:val="22"/>
              </w:rPr>
            </w:pPr>
            <w:r w:rsidRPr="006E1513">
              <w:rPr>
                <w:snapToGrid/>
                <w:color w:val="000000"/>
                <w:kern w:val="0"/>
                <w:szCs w:val="22"/>
              </w:rPr>
              <w:t>WRCM947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E040E30" w14:textId="77777777">
            <w:pPr>
              <w:widowControl/>
              <w:jc w:val="center"/>
              <w:rPr>
                <w:snapToGrid/>
                <w:color w:val="000000"/>
                <w:kern w:val="0"/>
                <w:szCs w:val="22"/>
              </w:rPr>
            </w:pPr>
            <w:r w:rsidRPr="006E1513">
              <w:rPr>
                <w:snapToGrid/>
                <w:color w:val="000000"/>
                <w:kern w:val="0"/>
                <w:szCs w:val="22"/>
              </w:rPr>
              <w:t>159.42</w:t>
            </w:r>
          </w:p>
        </w:tc>
      </w:tr>
      <w:tr w14:paraId="1464AF1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E947ACD" w14:textId="77777777">
            <w:pPr>
              <w:widowControl/>
              <w:jc w:val="center"/>
              <w:rPr>
                <w:snapToGrid/>
                <w:color w:val="000000"/>
                <w:kern w:val="0"/>
                <w:szCs w:val="22"/>
              </w:rPr>
            </w:pPr>
            <w:r w:rsidRPr="006E1513">
              <w:rPr>
                <w:snapToGrid/>
                <w:color w:val="000000"/>
                <w:kern w:val="0"/>
                <w:szCs w:val="22"/>
              </w:rPr>
              <w:t>WRCM947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137CA9D" w14:textId="77777777">
            <w:pPr>
              <w:widowControl/>
              <w:jc w:val="center"/>
              <w:rPr>
                <w:snapToGrid/>
                <w:color w:val="000000"/>
                <w:kern w:val="0"/>
                <w:szCs w:val="22"/>
              </w:rPr>
            </w:pPr>
            <w:r w:rsidRPr="006E1513">
              <w:rPr>
                <w:snapToGrid/>
                <w:color w:val="000000"/>
                <w:kern w:val="0"/>
                <w:szCs w:val="22"/>
              </w:rPr>
              <w:t>155.9775</w:t>
            </w:r>
          </w:p>
        </w:tc>
      </w:tr>
      <w:tr w14:paraId="2C51548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59DFF30" w14:textId="77777777">
            <w:pPr>
              <w:widowControl/>
              <w:jc w:val="center"/>
              <w:rPr>
                <w:snapToGrid/>
                <w:color w:val="000000"/>
                <w:kern w:val="0"/>
                <w:szCs w:val="22"/>
              </w:rPr>
            </w:pPr>
            <w:r w:rsidRPr="006E1513">
              <w:rPr>
                <w:snapToGrid/>
                <w:color w:val="000000"/>
                <w:kern w:val="0"/>
                <w:szCs w:val="22"/>
              </w:rPr>
              <w:t>WQVR394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953BB9D" w14:textId="77777777">
            <w:pPr>
              <w:widowControl/>
              <w:jc w:val="center"/>
              <w:rPr>
                <w:snapToGrid/>
                <w:color w:val="000000"/>
                <w:kern w:val="0"/>
                <w:szCs w:val="22"/>
              </w:rPr>
            </w:pPr>
            <w:r w:rsidRPr="006E1513">
              <w:rPr>
                <w:snapToGrid/>
                <w:color w:val="000000"/>
                <w:kern w:val="0"/>
                <w:szCs w:val="22"/>
              </w:rPr>
              <w:t>159.465</w:t>
            </w:r>
          </w:p>
        </w:tc>
      </w:tr>
      <w:tr w14:paraId="5C46378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7244E07" w14:textId="77777777">
            <w:pPr>
              <w:widowControl/>
              <w:jc w:val="center"/>
              <w:rPr>
                <w:snapToGrid/>
                <w:color w:val="000000"/>
                <w:kern w:val="0"/>
                <w:szCs w:val="22"/>
              </w:rPr>
            </w:pPr>
            <w:r w:rsidRPr="006E1513">
              <w:rPr>
                <w:snapToGrid/>
                <w:color w:val="000000"/>
                <w:kern w:val="0"/>
                <w:szCs w:val="22"/>
              </w:rPr>
              <w:t>WQVR394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6D248F8" w14:textId="77777777">
            <w:pPr>
              <w:widowControl/>
              <w:jc w:val="center"/>
              <w:rPr>
                <w:snapToGrid/>
                <w:color w:val="000000"/>
                <w:kern w:val="0"/>
                <w:szCs w:val="22"/>
              </w:rPr>
            </w:pPr>
            <w:r w:rsidRPr="006E1513">
              <w:rPr>
                <w:snapToGrid/>
                <w:color w:val="000000"/>
                <w:kern w:val="0"/>
                <w:szCs w:val="22"/>
              </w:rPr>
              <w:t>159.1275</w:t>
            </w:r>
          </w:p>
        </w:tc>
      </w:tr>
      <w:tr w14:paraId="5F105EB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CCDCD74" w14:textId="77777777">
            <w:pPr>
              <w:widowControl/>
              <w:jc w:val="center"/>
              <w:rPr>
                <w:snapToGrid/>
                <w:color w:val="000000"/>
                <w:kern w:val="0"/>
                <w:szCs w:val="22"/>
              </w:rPr>
            </w:pPr>
            <w:r w:rsidRPr="006E1513">
              <w:rPr>
                <w:snapToGrid/>
                <w:color w:val="000000"/>
                <w:kern w:val="0"/>
                <w:szCs w:val="22"/>
              </w:rPr>
              <w:t>WQVR394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E4F9B94" w14:textId="77777777">
            <w:pPr>
              <w:widowControl/>
              <w:jc w:val="center"/>
              <w:rPr>
                <w:snapToGrid/>
                <w:color w:val="000000"/>
                <w:kern w:val="0"/>
                <w:szCs w:val="22"/>
              </w:rPr>
            </w:pPr>
            <w:r w:rsidRPr="006E1513">
              <w:rPr>
                <w:snapToGrid/>
                <w:color w:val="000000"/>
                <w:kern w:val="0"/>
                <w:szCs w:val="22"/>
              </w:rPr>
              <w:t>159.315</w:t>
            </w:r>
          </w:p>
        </w:tc>
      </w:tr>
      <w:tr w14:paraId="7F1ADA8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20DBC04" w14:textId="77777777">
            <w:pPr>
              <w:widowControl/>
              <w:jc w:val="center"/>
              <w:rPr>
                <w:snapToGrid/>
                <w:color w:val="000000"/>
                <w:kern w:val="0"/>
                <w:szCs w:val="22"/>
              </w:rPr>
            </w:pPr>
            <w:r w:rsidRPr="006E1513">
              <w:rPr>
                <w:snapToGrid/>
                <w:color w:val="000000"/>
                <w:kern w:val="0"/>
                <w:szCs w:val="22"/>
              </w:rPr>
              <w:t>WQVR394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3F2A7C4" w14:textId="77777777">
            <w:pPr>
              <w:widowControl/>
              <w:jc w:val="center"/>
              <w:rPr>
                <w:snapToGrid/>
                <w:color w:val="000000"/>
                <w:kern w:val="0"/>
                <w:szCs w:val="22"/>
              </w:rPr>
            </w:pPr>
            <w:r w:rsidRPr="006E1513">
              <w:rPr>
                <w:snapToGrid/>
                <w:color w:val="000000"/>
                <w:kern w:val="0"/>
                <w:szCs w:val="22"/>
              </w:rPr>
              <w:t>154.01</w:t>
            </w:r>
          </w:p>
        </w:tc>
      </w:tr>
      <w:tr w14:paraId="2A145DF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43E3C18" w14:textId="77777777">
            <w:pPr>
              <w:widowControl/>
              <w:jc w:val="center"/>
              <w:rPr>
                <w:snapToGrid/>
                <w:color w:val="000000"/>
                <w:kern w:val="0"/>
                <w:szCs w:val="22"/>
              </w:rPr>
            </w:pPr>
            <w:r w:rsidRPr="006E1513">
              <w:rPr>
                <w:snapToGrid/>
                <w:color w:val="000000"/>
                <w:kern w:val="0"/>
                <w:szCs w:val="22"/>
              </w:rPr>
              <w:t>WQVR394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2943079" w14:textId="77777777">
            <w:pPr>
              <w:widowControl/>
              <w:jc w:val="center"/>
              <w:rPr>
                <w:snapToGrid/>
                <w:color w:val="000000"/>
                <w:kern w:val="0"/>
                <w:szCs w:val="22"/>
              </w:rPr>
            </w:pPr>
            <w:r w:rsidRPr="006E1513">
              <w:rPr>
                <w:snapToGrid/>
                <w:color w:val="000000"/>
                <w:kern w:val="0"/>
                <w:szCs w:val="22"/>
              </w:rPr>
              <w:t>154.77</w:t>
            </w:r>
          </w:p>
        </w:tc>
      </w:tr>
      <w:tr w14:paraId="23C8C11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A647AB4" w14:textId="77777777">
            <w:pPr>
              <w:widowControl/>
              <w:jc w:val="center"/>
              <w:rPr>
                <w:snapToGrid/>
                <w:color w:val="000000"/>
                <w:kern w:val="0"/>
                <w:szCs w:val="22"/>
              </w:rPr>
            </w:pPr>
            <w:r w:rsidRPr="006E1513">
              <w:rPr>
                <w:snapToGrid/>
                <w:color w:val="000000"/>
                <w:kern w:val="0"/>
                <w:szCs w:val="22"/>
              </w:rPr>
              <w:t>WQVR394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BC44646" w14:textId="77777777">
            <w:pPr>
              <w:widowControl/>
              <w:jc w:val="center"/>
              <w:rPr>
                <w:snapToGrid/>
                <w:color w:val="000000"/>
                <w:kern w:val="0"/>
                <w:szCs w:val="22"/>
              </w:rPr>
            </w:pPr>
            <w:r w:rsidRPr="006E1513">
              <w:rPr>
                <w:snapToGrid/>
                <w:color w:val="000000"/>
                <w:kern w:val="0"/>
                <w:szCs w:val="22"/>
              </w:rPr>
              <w:t>154.83</w:t>
            </w:r>
          </w:p>
        </w:tc>
      </w:tr>
      <w:tr w14:paraId="7E64729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7A3C0FA"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02F372D" w14:textId="77777777">
            <w:pPr>
              <w:widowControl/>
              <w:jc w:val="center"/>
              <w:rPr>
                <w:snapToGrid/>
                <w:color w:val="000000"/>
                <w:kern w:val="0"/>
                <w:szCs w:val="22"/>
              </w:rPr>
            </w:pPr>
            <w:r w:rsidRPr="006E1513">
              <w:rPr>
                <w:snapToGrid/>
                <w:color w:val="000000"/>
                <w:kern w:val="0"/>
                <w:szCs w:val="22"/>
              </w:rPr>
              <w:t>151.205</w:t>
            </w:r>
          </w:p>
        </w:tc>
      </w:tr>
      <w:tr w14:paraId="5708334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E8D025D"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2A09F33" w14:textId="77777777">
            <w:pPr>
              <w:widowControl/>
              <w:jc w:val="center"/>
              <w:rPr>
                <w:snapToGrid/>
                <w:color w:val="000000"/>
                <w:kern w:val="0"/>
                <w:szCs w:val="22"/>
              </w:rPr>
            </w:pPr>
            <w:r w:rsidRPr="006E1513">
              <w:rPr>
                <w:snapToGrid/>
                <w:color w:val="000000"/>
                <w:kern w:val="0"/>
                <w:szCs w:val="22"/>
              </w:rPr>
              <w:t>151.34</w:t>
            </w:r>
          </w:p>
        </w:tc>
      </w:tr>
      <w:tr w14:paraId="58D70C6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0A41D22"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2FE823B" w14:textId="77777777">
            <w:pPr>
              <w:widowControl/>
              <w:jc w:val="center"/>
              <w:rPr>
                <w:snapToGrid/>
                <w:color w:val="000000"/>
                <w:kern w:val="0"/>
                <w:szCs w:val="22"/>
              </w:rPr>
            </w:pPr>
            <w:r w:rsidRPr="006E1513">
              <w:rPr>
                <w:snapToGrid/>
                <w:color w:val="000000"/>
                <w:kern w:val="0"/>
                <w:szCs w:val="22"/>
              </w:rPr>
              <w:t>151.4675</w:t>
            </w:r>
          </w:p>
        </w:tc>
      </w:tr>
      <w:tr w14:paraId="5EA2FD9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D0334F0"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F12C883" w14:textId="77777777">
            <w:pPr>
              <w:widowControl/>
              <w:jc w:val="center"/>
              <w:rPr>
                <w:snapToGrid/>
                <w:color w:val="000000"/>
                <w:kern w:val="0"/>
                <w:szCs w:val="22"/>
              </w:rPr>
            </w:pPr>
            <w:r w:rsidRPr="006E1513">
              <w:rPr>
                <w:snapToGrid/>
                <w:color w:val="000000"/>
                <w:kern w:val="0"/>
                <w:szCs w:val="22"/>
              </w:rPr>
              <w:t>153.95</w:t>
            </w:r>
          </w:p>
        </w:tc>
      </w:tr>
      <w:tr w14:paraId="7D2AA65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DE765F2"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13EB175" w14:textId="77777777">
            <w:pPr>
              <w:widowControl/>
              <w:jc w:val="center"/>
              <w:rPr>
                <w:snapToGrid/>
                <w:color w:val="000000"/>
                <w:kern w:val="0"/>
                <w:szCs w:val="22"/>
              </w:rPr>
            </w:pPr>
            <w:r w:rsidRPr="006E1513">
              <w:rPr>
                <w:snapToGrid/>
                <w:color w:val="000000"/>
                <w:kern w:val="0"/>
                <w:szCs w:val="22"/>
              </w:rPr>
              <w:t>155.85</w:t>
            </w:r>
          </w:p>
        </w:tc>
      </w:tr>
      <w:tr w14:paraId="3AC78FB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83CA428"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9728E3C" w14:textId="77777777">
            <w:pPr>
              <w:widowControl/>
              <w:jc w:val="center"/>
              <w:rPr>
                <w:snapToGrid/>
                <w:color w:val="000000"/>
                <w:kern w:val="0"/>
                <w:szCs w:val="22"/>
              </w:rPr>
            </w:pPr>
            <w:r w:rsidRPr="006E1513">
              <w:rPr>
                <w:snapToGrid/>
                <w:color w:val="000000"/>
                <w:kern w:val="0"/>
                <w:szCs w:val="22"/>
              </w:rPr>
              <w:t>158.865</w:t>
            </w:r>
          </w:p>
        </w:tc>
      </w:tr>
      <w:tr w14:paraId="044217D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4E1BD32"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323ECD9" w14:textId="77777777">
            <w:pPr>
              <w:widowControl/>
              <w:jc w:val="center"/>
              <w:rPr>
                <w:snapToGrid/>
                <w:color w:val="000000"/>
                <w:kern w:val="0"/>
                <w:szCs w:val="22"/>
              </w:rPr>
            </w:pPr>
            <w:r w:rsidRPr="006E1513">
              <w:rPr>
                <w:snapToGrid/>
                <w:color w:val="000000"/>
                <w:kern w:val="0"/>
                <w:szCs w:val="22"/>
              </w:rPr>
              <w:t>154.2575</w:t>
            </w:r>
          </w:p>
        </w:tc>
      </w:tr>
      <w:tr w14:paraId="1EBE395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698CF11"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F4CC213" w14:textId="77777777">
            <w:pPr>
              <w:widowControl/>
              <w:jc w:val="center"/>
              <w:rPr>
                <w:snapToGrid/>
                <w:color w:val="000000"/>
                <w:kern w:val="0"/>
                <w:szCs w:val="22"/>
              </w:rPr>
            </w:pPr>
            <w:r w:rsidRPr="006E1513">
              <w:rPr>
                <w:snapToGrid/>
                <w:color w:val="000000"/>
                <w:kern w:val="0"/>
                <w:szCs w:val="22"/>
              </w:rPr>
              <w:t>154.8525</w:t>
            </w:r>
          </w:p>
        </w:tc>
      </w:tr>
      <w:tr w14:paraId="75872D6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2AA30F9"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62571AF" w14:textId="77777777">
            <w:pPr>
              <w:widowControl/>
              <w:jc w:val="center"/>
              <w:rPr>
                <w:snapToGrid/>
                <w:color w:val="000000"/>
                <w:kern w:val="0"/>
                <w:szCs w:val="22"/>
              </w:rPr>
            </w:pPr>
            <w:r w:rsidRPr="006E1513">
              <w:rPr>
                <w:snapToGrid/>
                <w:color w:val="000000"/>
                <w:kern w:val="0"/>
                <w:szCs w:val="22"/>
              </w:rPr>
              <w:t>155.1375</w:t>
            </w:r>
          </w:p>
        </w:tc>
      </w:tr>
      <w:tr w14:paraId="5B8A9CE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DE4B4CF"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9F949A2" w14:textId="77777777">
            <w:pPr>
              <w:widowControl/>
              <w:jc w:val="center"/>
              <w:rPr>
                <w:snapToGrid/>
                <w:color w:val="000000"/>
                <w:kern w:val="0"/>
                <w:szCs w:val="22"/>
              </w:rPr>
            </w:pPr>
            <w:r w:rsidRPr="006E1513">
              <w:rPr>
                <w:snapToGrid/>
                <w:color w:val="000000"/>
                <w:kern w:val="0"/>
                <w:szCs w:val="22"/>
              </w:rPr>
              <w:t>158.9175</w:t>
            </w:r>
          </w:p>
        </w:tc>
      </w:tr>
      <w:tr w14:paraId="4C57185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FB2F81A"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FE4ECA4" w14:textId="77777777">
            <w:pPr>
              <w:widowControl/>
              <w:jc w:val="center"/>
              <w:rPr>
                <w:snapToGrid/>
                <w:color w:val="000000"/>
                <w:kern w:val="0"/>
                <w:szCs w:val="22"/>
              </w:rPr>
            </w:pPr>
            <w:r w:rsidRPr="006E1513">
              <w:rPr>
                <w:snapToGrid/>
                <w:color w:val="000000"/>
                <w:kern w:val="0"/>
                <w:szCs w:val="22"/>
              </w:rPr>
              <w:t>159.045</w:t>
            </w:r>
          </w:p>
        </w:tc>
      </w:tr>
      <w:tr w14:paraId="2376347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44D5D07" w14:textId="77777777">
            <w:pPr>
              <w:widowControl/>
              <w:jc w:val="center"/>
              <w:rPr>
                <w:snapToGrid/>
                <w:color w:val="000000"/>
                <w:kern w:val="0"/>
                <w:szCs w:val="22"/>
              </w:rPr>
            </w:pPr>
            <w:r w:rsidRPr="006E1513">
              <w:rPr>
                <w:snapToGrid/>
                <w:color w:val="000000"/>
                <w:kern w:val="0"/>
                <w:szCs w:val="22"/>
              </w:rPr>
              <w:t>WQUU666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6F6C1D0" w14:textId="77777777">
            <w:pPr>
              <w:widowControl/>
              <w:jc w:val="center"/>
              <w:rPr>
                <w:snapToGrid/>
                <w:color w:val="000000"/>
                <w:kern w:val="0"/>
                <w:szCs w:val="22"/>
              </w:rPr>
            </w:pPr>
            <w:r w:rsidRPr="006E1513">
              <w:rPr>
                <w:snapToGrid/>
                <w:color w:val="000000"/>
                <w:kern w:val="0"/>
                <w:szCs w:val="22"/>
              </w:rPr>
              <w:t>156.165</w:t>
            </w:r>
          </w:p>
        </w:tc>
      </w:tr>
      <w:tr w14:paraId="1C18E07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8C75BED" w14:textId="77777777">
            <w:pPr>
              <w:widowControl/>
              <w:jc w:val="center"/>
              <w:rPr>
                <w:snapToGrid/>
                <w:color w:val="000000"/>
                <w:kern w:val="0"/>
                <w:szCs w:val="22"/>
              </w:rPr>
            </w:pPr>
            <w:r w:rsidRPr="006E1513">
              <w:rPr>
                <w:snapToGrid/>
                <w:color w:val="000000"/>
                <w:kern w:val="0"/>
                <w:szCs w:val="22"/>
              </w:rPr>
              <w:t>WQVR895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31E4A65" w14:textId="77777777">
            <w:pPr>
              <w:widowControl/>
              <w:jc w:val="center"/>
              <w:rPr>
                <w:snapToGrid/>
                <w:color w:val="000000"/>
                <w:kern w:val="0"/>
                <w:szCs w:val="22"/>
              </w:rPr>
            </w:pPr>
            <w:r w:rsidRPr="006E1513">
              <w:rPr>
                <w:snapToGrid/>
                <w:color w:val="000000"/>
                <w:kern w:val="0"/>
                <w:szCs w:val="22"/>
              </w:rPr>
              <w:t>158.76</w:t>
            </w:r>
          </w:p>
        </w:tc>
      </w:tr>
      <w:tr w14:paraId="705BF98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16895B8" w14:textId="77777777">
            <w:pPr>
              <w:widowControl/>
              <w:jc w:val="center"/>
              <w:rPr>
                <w:snapToGrid/>
                <w:color w:val="000000"/>
                <w:kern w:val="0"/>
                <w:szCs w:val="22"/>
              </w:rPr>
            </w:pPr>
            <w:r w:rsidRPr="006E1513">
              <w:rPr>
                <w:snapToGrid/>
                <w:color w:val="000000"/>
                <w:kern w:val="0"/>
                <w:szCs w:val="22"/>
              </w:rPr>
              <w:t>WQVR895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4446ED0" w14:textId="77777777">
            <w:pPr>
              <w:widowControl/>
              <w:jc w:val="center"/>
              <w:rPr>
                <w:snapToGrid/>
                <w:color w:val="000000"/>
                <w:kern w:val="0"/>
                <w:szCs w:val="22"/>
              </w:rPr>
            </w:pPr>
            <w:r w:rsidRPr="006E1513">
              <w:rPr>
                <w:snapToGrid/>
                <w:color w:val="000000"/>
                <w:kern w:val="0"/>
                <w:szCs w:val="22"/>
              </w:rPr>
              <w:t>159.1125</w:t>
            </w:r>
          </w:p>
        </w:tc>
      </w:tr>
      <w:tr w14:paraId="3B0F959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3809ED4" w14:textId="77777777">
            <w:pPr>
              <w:widowControl/>
              <w:jc w:val="center"/>
              <w:rPr>
                <w:snapToGrid/>
                <w:color w:val="000000"/>
                <w:kern w:val="0"/>
                <w:szCs w:val="22"/>
              </w:rPr>
            </w:pPr>
            <w:r w:rsidRPr="006E1513">
              <w:rPr>
                <w:snapToGrid/>
                <w:color w:val="000000"/>
                <w:kern w:val="0"/>
                <w:szCs w:val="22"/>
              </w:rPr>
              <w:t>WQVR895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859E0BD" w14:textId="77777777">
            <w:pPr>
              <w:widowControl/>
              <w:jc w:val="center"/>
              <w:rPr>
                <w:snapToGrid/>
                <w:color w:val="000000"/>
                <w:kern w:val="0"/>
                <w:szCs w:val="22"/>
              </w:rPr>
            </w:pPr>
            <w:r w:rsidRPr="006E1513">
              <w:rPr>
                <w:snapToGrid/>
                <w:color w:val="000000"/>
                <w:kern w:val="0"/>
                <w:szCs w:val="22"/>
              </w:rPr>
              <w:t>159.39</w:t>
            </w:r>
          </w:p>
        </w:tc>
      </w:tr>
      <w:tr w14:paraId="7FD0E2A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FE9AC86" w14:textId="77777777">
            <w:pPr>
              <w:widowControl/>
              <w:jc w:val="center"/>
              <w:rPr>
                <w:snapToGrid/>
                <w:color w:val="000000"/>
                <w:kern w:val="0"/>
                <w:szCs w:val="22"/>
              </w:rPr>
            </w:pPr>
            <w:r w:rsidRPr="006E1513">
              <w:rPr>
                <w:snapToGrid/>
                <w:color w:val="000000"/>
                <w:kern w:val="0"/>
                <w:szCs w:val="22"/>
              </w:rPr>
              <w:t>WQLN571</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28C6A25" w14:textId="77777777">
            <w:pPr>
              <w:widowControl/>
              <w:jc w:val="center"/>
              <w:rPr>
                <w:snapToGrid/>
                <w:color w:val="000000"/>
                <w:kern w:val="0"/>
                <w:szCs w:val="22"/>
              </w:rPr>
            </w:pPr>
            <w:r w:rsidRPr="006E1513">
              <w:rPr>
                <w:snapToGrid/>
                <w:color w:val="000000"/>
                <w:kern w:val="0"/>
                <w:szCs w:val="22"/>
              </w:rPr>
              <w:t>158.8275</w:t>
            </w:r>
          </w:p>
        </w:tc>
      </w:tr>
      <w:tr w14:paraId="3DCE936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B934EDA" w14:textId="77777777">
            <w:pPr>
              <w:widowControl/>
              <w:jc w:val="center"/>
              <w:rPr>
                <w:snapToGrid/>
                <w:color w:val="000000"/>
                <w:kern w:val="0"/>
                <w:szCs w:val="22"/>
              </w:rPr>
            </w:pPr>
            <w:r w:rsidRPr="006E1513">
              <w:rPr>
                <w:snapToGrid/>
                <w:color w:val="000000"/>
                <w:kern w:val="0"/>
                <w:szCs w:val="22"/>
              </w:rPr>
              <w:t>WQVR895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D44A72F" w14:textId="77777777">
            <w:pPr>
              <w:widowControl/>
              <w:jc w:val="center"/>
              <w:rPr>
                <w:snapToGrid/>
                <w:color w:val="000000"/>
                <w:kern w:val="0"/>
                <w:szCs w:val="22"/>
              </w:rPr>
            </w:pPr>
            <w:r w:rsidRPr="006E1513">
              <w:rPr>
                <w:snapToGrid/>
                <w:color w:val="000000"/>
                <w:kern w:val="0"/>
                <w:szCs w:val="22"/>
              </w:rPr>
              <w:t>154.8375</w:t>
            </w:r>
          </w:p>
        </w:tc>
      </w:tr>
      <w:tr w14:paraId="1C8594B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8FAEF9A" w14:textId="77777777">
            <w:pPr>
              <w:widowControl/>
              <w:jc w:val="center"/>
              <w:rPr>
                <w:snapToGrid/>
                <w:color w:val="000000"/>
                <w:kern w:val="0"/>
                <w:szCs w:val="22"/>
              </w:rPr>
            </w:pPr>
            <w:r w:rsidRPr="006E1513">
              <w:rPr>
                <w:snapToGrid/>
                <w:color w:val="000000"/>
                <w:kern w:val="0"/>
                <w:szCs w:val="22"/>
              </w:rPr>
              <w:t>WQVR895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DC6BE77" w14:textId="77777777">
            <w:pPr>
              <w:widowControl/>
              <w:jc w:val="center"/>
              <w:rPr>
                <w:snapToGrid/>
                <w:color w:val="000000"/>
                <w:kern w:val="0"/>
                <w:szCs w:val="22"/>
              </w:rPr>
            </w:pPr>
            <w:r w:rsidRPr="006E1513">
              <w:rPr>
                <w:snapToGrid/>
                <w:color w:val="000000"/>
                <w:kern w:val="0"/>
                <w:szCs w:val="22"/>
              </w:rPr>
              <w:t>155.9925</w:t>
            </w:r>
          </w:p>
        </w:tc>
      </w:tr>
      <w:tr w14:paraId="5F4E7D5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BA67D14" w14:textId="77777777">
            <w:pPr>
              <w:widowControl/>
              <w:jc w:val="center"/>
              <w:rPr>
                <w:snapToGrid/>
                <w:color w:val="000000"/>
                <w:kern w:val="0"/>
                <w:szCs w:val="22"/>
              </w:rPr>
            </w:pPr>
            <w:r w:rsidRPr="006E1513">
              <w:rPr>
                <w:snapToGrid/>
                <w:color w:val="000000"/>
                <w:kern w:val="0"/>
                <w:szCs w:val="22"/>
              </w:rPr>
              <w:t>WQVR895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D19513D" w14:textId="77777777">
            <w:pPr>
              <w:widowControl/>
              <w:jc w:val="center"/>
              <w:rPr>
                <w:snapToGrid/>
                <w:color w:val="000000"/>
                <w:kern w:val="0"/>
                <w:szCs w:val="22"/>
              </w:rPr>
            </w:pPr>
            <w:r w:rsidRPr="006E1513">
              <w:rPr>
                <w:snapToGrid/>
                <w:color w:val="000000"/>
                <w:kern w:val="0"/>
                <w:szCs w:val="22"/>
              </w:rPr>
              <w:t>151.3475</w:t>
            </w:r>
          </w:p>
        </w:tc>
      </w:tr>
      <w:tr w14:paraId="4F56144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12BF0FC" w14:textId="77777777">
            <w:pPr>
              <w:widowControl/>
              <w:jc w:val="center"/>
              <w:rPr>
                <w:snapToGrid/>
                <w:color w:val="000000"/>
                <w:kern w:val="0"/>
                <w:szCs w:val="22"/>
              </w:rPr>
            </w:pPr>
            <w:r w:rsidRPr="006E1513">
              <w:rPr>
                <w:snapToGrid/>
                <w:color w:val="000000"/>
                <w:kern w:val="0"/>
                <w:szCs w:val="22"/>
              </w:rPr>
              <w:t>WQVR895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DC8E715" w14:textId="77777777">
            <w:pPr>
              <w:widowControl/>
              <w:jc w:val="center"/>
              <w:rPr>
                <w:snapToGrid/>
                <w:color w:val="000000"/>
                <w:kern w:val="0"/>
                <w:szCs w:val="22"/>
              </w:rPr>
            </w:pPr>
            <w:r w:rsidRPr="006E1513">
              <w:rPr>
                <w:snapToGrid/>
                <w:color w:val="000000"/>
                <w:kern w:val="0"/>
                <w:szCs w:val="22"/>
              </w:rPr>
              <w:t>151.295</w:t>
            </w:r>
          </w:p>
        </w:tc>
      </w:tr>
      <w:tr w14:paraId="018DCAF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454C72D" w14:textId="77777777">
            <w:pPr>
              <w:widowControl/>
              <w:jc w:val="center"/>
              <w:rPr>
                <w:snapToGrid/>
                <w:color w:val="000000"/>
                <w:kern w:val="0"/>
                <w:szCs w:val="22"/>
              </w:rPr>
            </w:pPr>
            <w:r w:rsidRPr="006E1513">
              <w:rPr>
                <w:snapToGrid/>
                <w:color w:val="000000"/>
                <w:kern w:val="0"/>
                <w:szCs w:val="22"/>
              </w:rPr>
              <w:t>WQUY802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369EBF4" w14:textId="77777777">
            <w:pPr>
              <w:widowControl/>
              <w:jc w:val="center"/>
              <w:rPr>
                <w:snapToGrid/>
                <w:color w:val="000000"/>
                <w:kern w:val="0"/>
                <w:szCs w:val="22"/>
              </w:rPr>
            </w:pPr>
            <w:r w:rsidRPr="006E1513">
              <w:rPr>
                <w:snapToGrid/>
                <w:color w:val="000000"/>
                <w:kern w:val="0"/>
                <w:szCs w:val="22"/>
              </w:rPr>
              <w:t>151.445</w:t>
            </w:r>
          </w:p>
        </w:tc>
      </w:tr>
      <w:tr w14:paraId="39B1928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7B0C2C5" w14:textId="77777777">
            <w:pPr>
              <w:widowControl/>
              <w:jc w:val="center"/>
              <w:rPr>
                <w:snapToGrid/>
                <w:color w:val="000000"/>
                <w:kern w:val="0"/>
                <w:szCs w:val="22"/>
              </w:rPr>
            </w:pPr>
            <w:r w:rsidRPr="006E1513">
              <w:rPr>
                <w:snapToGrid/>
                <w:color w:val="000000"/>
                <w:kern w:val="0"/>
                <w:szCs w:val="22"/>
              </w:rPr>
              <w:t>WQUY802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32CD344" w14:textId="77777777">
            <w:pPr>
              <w:widowControl/>
              <w:jc w:val="center"/>
              <w:rPr>
                <w:snapToGrid/>
                <w:color w:val="000000"/>
                <w:kern w:val="0"/>
                <w:szCs w:val="22"/>
              </w:rPr>
            </w:pPr>
            <w:r w:rsidRPr="006E1513">
              <w:rPr>
                <w:snapToGrid/>
                <w:color w:val="000000"/>
                <w:kern w:val="0"/>
                <w:szCs w:val="22"/>
              </w:rPr>
              <w:t>151.2725</w:t>
            </w:r>
          </w:p>
        </w:tc>
      </w:tr>
      <w:tr w14:paraId="4D81977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C4EE8B5" w14:textId="77777777">
            <w:pPr>
              <w:widowControl/>
              <w:jc w:val="center"/>
              <w:rPr>
                <w:snapToGrid/>
                <w:color w:val="000000"/>
                <w:kern w:val="0"/>
                <w:szCs w:val="22"/>
              </w:rPr>
            </w:pPr>
            <w:r w:rsidRPr="006E1513">
              <w:rPr>
                <w:snapToGrid/>
                <w:color w:val="000000"/>
                <w:kern w:val="0"/>
                <w:szCs w:val="22"/>
              </w:rPr>
              <w:t>WQUY802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A425347" w14:textId="77777777">
            <w:pPr>
              <w:widowControl/>
              <w:jc w:val="center"/>
              <w:rPr>
                <w:snapToGrid/>
                <w:color w:val="000000"/>
                <w:kern w:val="0"/>
                <w:szCs w:val="22"/>
              </w:rPr>
            </w:pPr>
            <w:r w:rsidRPr="006E1513">
              <w:rPr>
                <w:snapToGrid/>
                <w:color w:val="000000"/>
                <w:kern w:val="0"/>
                <w:szCs w:val="22"/>
              </w:rPr>
              <w:t>151.4</w:t>
            </w:r>
          </w:p>
        </w:tc>
      </w:tr>
      <w:tr w14:paraId="2762DF2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F9BC348" w14:textId="77777777">
            <w:pPr>
              <w:widowControl/>
              <w:jc w:val="center"/>
              <w:rPr>
                <w:snapToGrid/>
                <w:color w:val="000000"/>
                <w:kern w:val="0"/>
                <w:szCs w:val="22"/>
              </w:rPr>
            </w:pPr>
            <w:r w:rsidRPr="006E1513">
              <w:rPr>
                <w:snapToGrid/>
                <w:color w:val="000000"/>
                <w:kern w:val="0"/>
                <w:szCs w:val="22"/>
              </w:rPr>
              <w:t>WQUY802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59F9D51" w14:textId="77777777">
            <w:pPr>
              <w:widowControl/>
              <w:jc w:val="center"/>
              <w:rPr>
                <w:snapToGrid/>
                <w:color w:val="000000"/>
                <w:kern w:val="0"/>
                <w:szCs w:val="22"/>
              </w:rPr>
            </w:pPr>
            <w:r w:rsidRPr="006E1513">
              <w:rPr>
                <w:snapToGrid/>
                <w:color w:val="000000"/>
                <w:kern w:val="0"/>
                <w:szCs w:val="22"/>
              </w:rPr>
              <w:t>154.65</w:t>
            </w:r>
          </w:p>
        </w:tc>
      </w:tr>
      <w:tr w14:paraId="1871F11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717B3E3" w14:textId="77777777">
            <w:pPr>
              <w:widowControl/>
              <w:jc w:val="center"/>
              <w:rPr>
                <w:snapToGrid/>
                <w:color w:val="000000"/>
                <w:kern w:val="0"/>
                <w:szCs w:val="22"/>
              </w:rPr>
            </w:pPr>
            <w:r w:rsidRPr="006E1513">
              <w:rPr>
                <w:snapToGrid/>
                <w:color w:val="000000"/>
                <w:kern w:val="0"/>
                <w:szCs w:val="22"/>
              </w:rPr>
              <w:t>WQUY802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35CC158" w14:textId="77777777">
            <w:pPr>
              <w:widowControl/>
              <w:jc w:val="center"/>
              <w:rPr>
                <w:snapToGrid/>
                <w:color w:val="000000"/>
                <w:kern w:val="0"/>
                <w:szCs w:val="22"/>
              </w:rPr>
            </w:pPr>
            <w:r w:rsidRPr="006E1513">
              <w:rPr>
                <w:snapToGrid/>
                <w:color w:val="000000"/>
                <w:kern w:val="0"/>
                <w:szCs w:val="22"/>
              </w:rPr>
              <w:t>155.97</w:t>
            </w:r>
          </w:p>
        </w:tc>
      </w:tr>
      <w:tr w14:paraId="729A144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63AA198" w14:textId="77777777">
            <w:pPr>
              <w:widowControl/>
              <w:jc w:val="center"/>
              <w:rPr>
                <w:snapToGrid/>
                <w:color w:val="000000"/>
                <w:kern w:val="0"/>
                <w:szCs w:val="22"/>
              </w:rPr>
            </w:pPr>
            <w:r w:rsidRPr="006E1513">
              <w:rPr>
                <w:snapToGrid/>
                <w:color w:val="000000"/>
                <w:kern w:val="0"/>
                <w:szCs w:val="22"/>
              </w:rPr>
              <w:t>WQUY802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25644CB" w14:textId="77777777">
            <w:pPr>
              <w:widowControl/>
              <w:jc w:val="center"/>
              <w:rPr>
                <w:snapToGrid/>
                <w:color w:val="000000"/>
                <w:kern w:val="0"/>
                <w:szCs w:val="22"/>
              </w:rPr>
            </w:pPr>
            <w:r w:rsidRPr="006E1513">
              <w:rPr>
                <w:snapToGrid/>
                <w:color w:val="000000"/>
                <w:kern w:val="0"/>
                <w:szCs w:val="22"/>
              </w:rPr>
              <w:t>156.0525</w:t>
            </w:r>
          </w:p>
        </w:tc>
      </w:tr>
      <w:tr w14:paraId="21371D7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C081334" w14:textId="77777777">
            <w:pPr>
              <w:widowControl/>
              <w:jc w:val="center"/>
              <w:rPr>
                <w:snapToGrid/>
                <w:color w:val="000000"/>
                <w:kern w:val="0"/>
                <w:szCs w:val="22"/>
              </w:rPr>
            </w:pPr>
            <w:r w:rsidRPr="006E1513">
              <w:rPr>
                <w:snapToGrid/>
                <w:color w:val="000000"/>
                <w:kern w:val="0"/>
                <w:szCs w:val="22"/>
              </w:rPr>
              <w:t>WQWL877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CD562AA" w14:textId="77777777">
            <w:pPr>
              <w:widowControl/>
              <w:jc w:val="center"/>
              <w:rPr>
                <w:snapToGrid/>
                <w:color w:val="000000"/>
                <w:kern w:val="0"/>
                <w:szCs w:val="22"/>
              </w:rPr>
            </w:pPr>
            <w:r w:rsidRPr="006E1513">
              <w:rPr>
                <w:snapToGrid/>
                <w:color w:val="000000"/>
                <w:kern w:val="0"/>
                <w:szCs w:val="22"/>
              </w:rPr>
              <w:t>159.09</w:t>
            </w:r>
          </w:p>
        </w:tc>
      </w:tr>
      <w:tr w14:paraId="7F036CE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A72A5C3" w14:textId="77777777">
            <w:pPr>
              <w:widowControl/>
              <w:jc w:val="center"/>
              <w:rPr>
                <w:snapToGrid/>
                <w:color w:val="000000"/>
                <w:kern w:val="0"/>
                <w:szCs w:val="22"/>
              </w:rPr>
            </w:pPr>
            <w:r w:rsidRPr="006E1513">
              <w:rPr>
                <w:snapToGrid/>
                <w:color w:val="000000"/>
                <w:kern w:val="0"/>
                <w:szCs w:val="22"/>
              </w:rPr>
              <w:t>WQWL877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B4E1EE0" w14:textId="77777777">
            <w:pPr>
              <w:widowControl/>
              <w:jc w:val="center"/>
              <w:rPr>
                <w:snapToGrid/>
                <w:color w:val="000000"/>
                <w:kern w:val="0"/>
                <w:szCs w:val="22"/>
              </w:rPr>
            </w:pPr>
            <w:r w:rsidRPr="006E1513">
              <w:rPr>
                <w:snapToGrid/>
                <w:color w:val="000000"/>
                <w:kern w:val="0"/>
                <w:szCs w:val="22"/>
              </w:rPr>
              <w:t>159.3375</w:t>
            </w:r>
          </w:p>
        </w:tc>
      </w:tr>
      <w:tr w14:paraId="1F9AFE7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1770CE0" w14:textId="77777777">
            <w:pPr>
              <w:widowControl/>
              <w:jc w:val="center"/>
              <w:rPr>
                <w:snapToGrid/>
                <w:color w:val="000000"/>
                <w:kern w:val="0"/>
                <w:szCs w:val="22"/>
              </w:rPr>
            </w:pPr>
            <w:r w:rsidRPr="006E1513">
              <w:rPr>
                <w:snapToGrid/>
                <w:color w:val="000000"/>
                <w:kern w:val="0"/>
                <w:szCs w:val="22"/>
              </w:rPr>
              <w:t>WQWL877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F35D78D" w14:textId="77777777">
            <w:pPr>
              <w:widowControl/>
              <w:jc w:val="center"/>
              <w:rPr>
                <w:snapToGrid/>
                <w:color w:val="000000"/>
                <w:kern w:val="0"/>
                <w:szCs w:val="22"/>
              </w:rPr>
            </w:pPr>
            <w:r w:rsidRPr="006E1513">
              <w:rPr>
                <w:snapToGrid/>
                <w:color w:val="000000"/>
                <w:kern w:val="0"/>
                <w:szCs w:val="22"/>
              </w:rPr>
              <w:t>159.3825</w:t>
            </w:r>
          </w:p>
        </w:tc>
      </w:tr>
      <w:tr w14:paraId="7DBA7A0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820BE3A" w14:textId="77777777">
            <w:pPr>
              <w:widowControl/>
              <w:jc w:val="center"/>
              <w:rPr>
                <w:snapToGrid/>
                <w:color w:val="000000"/>
                <w:kern w:val="0"/>
                <w:szCs w:val="22"/>
              </w:rPr>
            </w:pPr>
            <w:r w:rsidRPr="006E1513">
              <w:rPr>
                <w:snapToGrid/>
                <w:color w:val="000000"/>
                <w:kern w:val="0"/>
                <w:szCs w:val="22"/>
              </w:rPr>
              <w:t>WQWL877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B2E63E1" w14:textId="77777777">
            <w:pPr>
              <w:widowControl/>
              <w:jc w:val="center"/>
              <w:rPr>
                <w:snapToGrid/>
                <w:color w:val="000000"/>
                <w:kern w:val="0"/>
                <w:szCs w:val="22"/>
              </w:rPr>
            </w:pPr>
            <w:r w:rsidRPr="006E1513">
              <w:rPr>
                <w:snapToGrid/>
                <w:color w:val="000000"/>
                <w:kern w:val="0"/>
                <w:szCs w:val="22"/>
              </w:rPr>
              <w:t>153.755</w:t>
            </w:r>
          </w:p>
        </w:tc>
      </w:tr>
      <w:tr w14:paraId="07ACBF3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5E8C086" w14:textId="77777777">
            <w:pPr>
              <w:widowControl/>
              <w:jc w:val="center"/>
              <w:rPr>
                <w:snapToGrid/>
                <w:color w:val="000000"/>
                <w:kern w:val="0"/>
                <w:szCs w:val="22"/>
              </w:rPr>
            </w:pPr>
            <w:r w:rsidRPr="006E1513">
              <w:rPr>
                <w:snapToGrid/>
                <w:color w:val="000000"/>
                <w:kern w:val="0"/>
                <w:szCs w:val="22"/>
              </w:rPr>
              <w:t>WQWL877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D2ECE49" w14:textId="77777777">
            <w:pPr>
              <w:widowControl/>
              <w:jc w:val="center"/>
              <w:rPr>
                <w:snapToGrid/>
                <w:color w:val="000000"/>
                <w:kern w:val="0"/>
                <w:szCs w:val="22"/>
              </w:rPr>
            </w:pPr>
            <w:r w:rsidRPr="006E1513">
              <w:rPr>
                <w:snapToGrid/>
                <w:color w:val="000000"/>
                <w:kern w:val="0"/>
                <w:szCs w:val="22"/>
              </w:rPr>
              <w:t>154.01</w:t>
            </w:r>
          </w:p>
        </w:tc>
      </w:tr>
      <w:tr w14:paraId="12BFBAD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93105E4" w14:textId="77777777">
            <w:pPr>
              <w:widowControl/>
              <w:jc w:val="center"/>
              <w:rPr>
                <w:snapToGrid/>
                <w:color w:val="000000"/>
                <w:kern w:val="0"/>
                <w:szCs w:val="22"/>
              </w:rPr>
            </w:pPr>
            <w:r w:rsidRPr="006E1513">
              <w:rPr>
                <w:snapToGrid/>
                <w:color w:val="000000"/>
                <w:kern w:val="0"/>
                <w:szCs w:val="22"/>
              </w:rPr>
              <w:t>WQWL877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8BBABEF" w14:textId="77777777">
            <w:pPr>
              <w:widowControl/>
              <w:jc w:val="center"/>
              <w:rPr>
                <w:snapToGrid/>
                <w:color w:val="000000"/>
                <w:kern w:val="0"/>
                <w:szCs w:val="22"/>
              </w:rPr>
            </w:pPr>
            <w:r w:rsidRPr="006E1513">
              <w:rPr>
                <w:snapToGrid/>
                <w:color w:val="000000"/>
                <w:kern w:val="0"/>
                <w:szCs w:val="22"/>
              </w:rPr>
              <w:t>155.985</w:t>
            </w:r>
          </w:p>
        </w:tc>
      </w:tr>
      <w:tr w14:paraId="2B90F3C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06F2A09" w14:textId="77777777">
            <w:pPr>
              <w:widowControl/>
              <w:jc w:val="center"/>
              <w:rPr>
                <w:snapToGrid/>
                <w:color w:val="000000"/>
                <w:kern w:val="0"/>
                <w:szCs w:val="22"/>
              </w:rPr>
            </w:pPr>
            <w:r w:rsidRPr="006E1513">
              <w:rPr>
                <w:snapToGrid/>
                <w:color w:val="000000"/>
                <w:kern w:val="0"/>
                <w:szCs w:val="22"/>
              </w:rPr>
              <w:t>WQWX943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3AC7F00" w14:textId="77777777">
            <w:pPr>
              <w:widowControl/>
              <w:jc w:val="center"/>
              <w:rPr>
                <w:snapToGrid/>
                <w:color w:val="000000"/>
                <w:kern w:val="0"/>
                <w:szCs w:val="22"/>
              </w:rPr>
            </w:pPr>
            <w:r w:rsidRPr="006E1513">
              <w:rPr>
                <w:snapToGrid/>
                <w:color w:val="000000"/>
                <w:kern w:val="0"/>
                <w:szCs w:val="22"/>
              </w:rPr>
              <w:t>151.3025</w:t>
            </w:r>
          </w:p>
        </w:tc>
      </w:tr>
      <w:tr w14:paraId="5FAD3B4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2E4C56C" w14:textId="77777777">
            <w:pPr>
              <w:widowControl/>
              <w:jc w:val="center"/>
              <w:rPr>
                <w:snapToGrid/>
                <w:color w:val="000000"/>
                <w:kern w:val="0"/>
                <w:szCs w:val="22"/>
              </w:rPr>
            </w:pPr>
            <w:r w:rsidRPr="006E1513">
              <w:rPr>
                <w:snapToGrid/>
                <w:color w:val="000000"/>
                <w:kern w:val="0"/>
                <w:szCs w:val="22"/>
              </w:rPr>
              <w:t>WQWX943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D76BFE9" w14:textId="77777777">
            <w:pPr>
              <w:widowControl/>
              <w:jc w:val="center"/>
              <w:rPr>
                <w:snapToGrid/>
                <w:color w:val="000000"/>
                <w:kern w:val="0"/>
                <w:szCs w:val="22"/>
              </w:rPr>
            </w:pPr>
            <w:r w:rsidRPr="006E1513">
              <w:rPr>
                <w:snapToGrid/>
                <w:color w:val="000000"/>
                <w:kern w:val="0"/>
                <w:szCs w:val="22"/>
              </w:rPr>
              <w:t>151.3175</w:t>
            </w:r>
          </w:p>
        </w:tc>
      </w:tr>
      <w:tr w14:paraId="3D4E968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3C76F94" w14:textId="77777777">
            <w:pPr>
              <w:widowControl/>
              <w:jc w:val="center"/>
              <w:rPr>
                <w:snapToGrid/>
                <w:color w:val="000000"/>
                <w:kern w:val="0"/>
                <w:szCs w:val="22"/>
              </w:rPr>
            </w:pPr>
            <w:r w:rsidRPr="006E1513">
              <w:rPr>
                <w:snapToGrid/>
                <w:color w:val="000000"/>
                <w:kern w:val="0"/>
                <w:szCs w:val="22"/>
              </w:rPr>
              <w:t>WQWX943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5104C5E" w14:textId="77777777">
            <w:pPr>
              <w:widowControl/>
              <w:jc w:val="center"/>
              <w:rPr>
                <w:snapToGrid/>
                <w:color w:val="000000"/>
                <w:kern w:val="0"/>
                <w:szCs w:val="22"/>
              </w:rPr>
            </w:pPr>
            <w:r w:rsidRPr="006E1513">
              <w:rPr>
                <w:snapToGrid/>
                <w:color w:val="000000"/>
                <w:kern w:val="0"/>
                <w:szCs w:val="22"/>
              </w:rPr>
              <w:t>151.3475</w:t>
            </w:r>
          </w:p>
        </w:tc>
      </w:tr>
      <w:tr w14:paraId="74A2CC2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AF2885A" w14:textId="77777777">
            <w:pPr>
              <w:widowControl/>
              <w:jc w:val="center"/>
              <w:rPr>
                <w:snapToGrid/>
                <w:color w:val="000000"/>
                <w:kern w:val="0"/>
                <w:szCs w:val="22"/>
              </w:rPr>
            </w:pPr>
            <w:r w:rsidRPr="006E1513">
              <w:rPr>
                <w:snapToGrid/>
                <w:color w:val="000000"/>
                <w:kern w:val="0"/>
                <w:szCs w:val="22"/>
              </w:rPr>
              <w:t>WQWX943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565921B" w14:textId="77777777">
            <w:pPr>
              <w:widowControl/>
              <w:jc w:val="center"/>
              <w:rPr>
                <w:snapToGrid/>
                <w:color w:val="000000"/>
                <w:kern w:val="0"/>
                <w:szCs w:val="22"/>
              </w:rPr>
            </w:pPr>
            <w:r w:rsidRPr="006E1513">
              <w:rPr>
                <w:snapToGrid/>
                <w:color w:val="000000"/>
                <w:kern w:val="0"/>
                <w:szCs w:val="22"/>
              </w:rPr>
              <w:t>151.415</w:t>
            </w:r>
          </w:p>
        </w:tc>
      </w:tr>
      <w:tr w14:paraId="1B1B19B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47E0247" w14:textId="77777777">
            <w:pPr>
              <w:widowControl/>
              <w:jc w:val="center"/>
              <w:rPr>
                <w:snapToGrid/>
                <w:color w:val="000000"/>
                <w:kern w:val="0"/>
                <w:szCs w:val="22"/>
              </w:rPr>
            </w:pPr>
            <w:r w:rsidRPr="006E1513">
              <w:rPr>
                <w:snapToGrid/>
                <w:color w:val="000000"/>
                <w:kern w:val="0"/>
                <w:szCs w:val="22"/>
              </w:rPr>
              <w:t>WQWX943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12A340A" w14:textId="77777777">
            <w:pPr>
              <w:widowControl/>
              <w:jc w:val="center"/>
              <w:rPr>
                <w:snapToGrid/>
                <w:color w:val="000000"/>
                <w:kern w:val="0"/>
                <w:szCs w:val="22"/>
              </w:rPr>
            </w:pPr>
            <w:r w:rsidRPr="006E1513">
              <w:rPr>
                <w:snapToGrid/>
                <w:color w:val="000000"/>
                <w:kern w:val="0"/>
                <w:szCs w:val="22"/>
              </w:rPr>
              <w:t>154.83</w:t>
            </w:r>
          </w:p>
        </w:tc>
      </w:tr>
      <w:tr w14:paraId="5745863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9B6FA50" w14:textId="77777777">
            <w:pPr>
              <w:widowControl/>
              <w:jc w:val="center"/>
              <w:rPr>
                <w:snapToGrid/>
                <w:color w:val="000000"/>
                <w:kern w:val="0"/>
                <w:szCs w:val="22"/>
              </w:rPr>
            </w:pPr>
            <w:r w:rsidRPr="006E1513">
              <w:rPr>
                <w:snapToGrid/>
                <w:color w:val="000000"/>
                <w:kern w:val="0"/>
                <w:szCs w:val="22"/>
              </w:rPr>
              <w:t>WQWX943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BADD807" w14:textId="77777777">
            <w:pPr>
              <w:widowControl/>
              <w:jc w:val="center"/>
              <w:rPr>
                <w:snapToGrid/>
                <w:color w:val="000000"/>
                <w:kern w:val="0"/>
                <w:szCs w:val="22"/>
              </w:rPr>
            </w:pPr>
            <w:r w:rsidRPr="006E1513">
              <w:rPr>
                <w:snapToGrid/>
                <w:color w:val="000000"/>
                <w:kern w:val="0"/>
                <w:szCs w:val="22"/>
              </w:rPr>
              <w:t>158.91</w:t>
            </w:r>
          </w:p>
        </w:tc>
      </w:tr>
      <w:tr w14:paraId="67E7B94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13BE28D" w14:textId="77777777">
            <w:pPr>
              <w:widowControl/>
              <w:jc w:val="center"/>
              <w:rPr>
                <w:snapToGrid/>
                <w:color w:val="000000"/>
                <w:kern w:val="0"/>
                <w:szCs w:val="22"/>
              </w:rPr>
            </w:pPr>
            <w:r w:rsidRPr="006E1513">
              <w:rPr>
                <w:snapToGrid/>
                <w:color w:val="000000"/>
                <w:kern w:val="0"/>
                <w:szCs w:val="22"/>
              </w:rPr>
              <w:t>WQWX943</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16EEF87" w14:textId="77777777">
            <w:pPr>
              <w:widowControl/>
              <w:jc w:val="center"/>
              <w:rPr>
                <w:snapToGrid/>
                <w:color w:val="000000"/>
                <w:kern w:val="0"/>
                <w:szCs w:val="22"/>
              </w:rPr>
            </w:pPr>
            <w:r w:rsidRPr="006E1513">
              <w:rPr>
                <w:snapToGrid/>
                <w:color w:val="000000"/>
                <w:kern w:val="0"/>
                <w:szCs w:val="22"/>
              </w:rPr>
              <w:t>159</w:t>
            </w:r>
          </w:p>
        </w:tc>
      </w:tr>
      <w:tr w14:paraId="3EB874E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FBBAB37" w14:textId="77777777">
            <w:pPr>
              <w:widowControl/>
              <w:jc w:val="center"/>
              <w:rPr>
                <w:snapToGrid/>
                <w:color w:val="000000"/>
                <w:kern w:val="0"/>
                <w:szCs w:val="22"/>
              </w:rPr>
            </w:pPr>
            <w:r w:rsidRPr="006E1513">
              <w:rPr>
                <w:snapToGrid/>
                <w:color w:val="000000"/>
                <w:kern w:val="0"/>
                <w:szCs w:val="22"/>
              </w:rPr>
              <w:t>WQWA746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DA42F54" w14:textId="77777777">
            <w:pPr>
              <w:widowControl/>
              <w:jc w:val="center"/>
              <w:rPr>
                <w:snapToGrid/>
                <w:color w:val="000000"/>
                <w:kern w:val="0"/>
                <w:szCs w:val="22"/>
              </w:rPr>
            </w:pPr>
            <w:r w:rsidRPr="006E1513">
              <w:rPr>
                <w:snapToGrid/>
                <w:color w:val="000000"/>
                <w:kern w:val="0"/>
                <w:szCs w:val="22"/>
              </w:rPr>
              <w:t>151.415</w:t>
            </w:r>
          </w:p>
        </w:tc>
      </w:tr>
      <w:tr w14:paraId="41DF6D3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56944B1" w14:textId="77777777">
            <w:pPr>
              <w:widowControl/>
              <w:jc w:val="center"/>
              <w:rPr>
                <w:snapToGrid/>
                <w:color w:val="000000"/>
                <w:kern w:val="0"/>
                <w:szCs w:val="22"/>
              </w:rPr>
            </w:pPr>
            <w:r w:rsidRPr="006E1513">
              <w:rPr>
                <w:snapToGrid/>
                <w:color w:val="000000"/>
                <w:kern w:val="0"/>
                <w:szCs w:val="22"/>
              </w:rPr>
              <w:t>WQWA746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27D096C" w14:textId="77777777">
            <w:pPr>
              <w:widowControl/>
              <w:jc w:val="center"/>
              <w:rPr>
                <w:snapToGrid/>
                <w:color w:val="000000"/>
                <w:kern w:val="0"/>
                <w:szCs w:val="22"/>
              </w:rPr>
            </w:pPr>
            <w:r w:rsidRPr="006E1513">
              <w:rPr>
                <w:snapToGrid/>
                <w:color w:val="000000"/>
                <w:kern w:val="0"/>
                <w:szCs w:val="22"/>
              </w:rPr>
              <w:t>159.3675</w:t>
            </w:r>
          </w:p>
        </w:tc>
      </w:tr>
      <w:tr w14:paraId="1C7A583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6ECADA" w14:textId="77777777">
            <w:pPr>
              <w:widowControl/>
              <w:jc w:val="center"/>
              <w:rPr>
                <w:snapToGrid/>
                <w:color w:val="000000"/>
                <w:kern w:val="0"/>
                <w:szCs w:val="22"/>
              </w:rPr>
            </w:pPr>
            <w:r w:rsidRPr="006E1513">
              <w:rPr>
                <w:snapToGrid/>
                <w:color w:val="000000"/>
                <w:kern w:val="0"/>
                <w:szCs w:val="22"/>
              </w:rPr>
              <w:t>WQWA746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C68D32E" w14:textId="77777777">
            <w:pPr>
              <w:widowControl/>
              <w:jc w:val="center"/>
              <w:rPr>
                <w:snapToGrid/>
                <w:color w:val="000000"/>
                <w:kern w:val="0"/>
                <w:szCs w:val="22"/>
              </w:rPr>
            </w:pPr>
            <w:r w:rsidRPr="006E1513">
              <w:rPr>
                <w:snapToGrid/>
                <w:color w:val="000000"/>
                <w:kern w:val="0"/>
                <w:szCs w:val="22"/>
              </w:rPr>
              <w:t>159.12</w:t>
            </w:r>
          </w:p>
        </w:tc>
      </w:tr>
      <w:tr w14:paraId="080E9B4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C96FAEB" w14:textId="77777777">
            <w:pPr>
              <w:widowControl/>
              <w:jc w:val="center"/>
              <w:rPr>
                <w:snapToGrid/>
                <w:color w:val="000000"/>
                <w:kern w:val="0"/>
                <w:szCs w:val="22"/>
              </w:rPr>
            </w:pPr>
            <w:r w:rsidRPr="006E1513">
              <w:rPr>
                <w:snapToGrid/>
                <w:color w:val="000000"/>
                <w:kern w:val="0"/>
                <w:szCs w:val="22"/>
              </w:rPr>
              <w:t>WQWA746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724C10A" w14:textId="77777777">
            <w:pPr>
              <w:widowControl/>
              <w:jc w:val="center"/>
              <w:rPr>
                <w:snapToGrid/>
                <w:color w:val="000000"/>
                <w:kern w:val="0"/>
                <w:szCs w:val="22"/>
              </w:rPr>
            </w:pPr>
            <w:r w:rsidRPr="006E1513">
              <w:rPr>
                <w:snapToGrid/>
                <w:color w:val="000000"/>
                <w:kern w:val="0"/>
                <w:szCs w:val="22"/>
              </w:rPr>
              <w:t>154.89</w:t>
            </w:r>
          </w:p>
        </w:tc>
      </w:tr>
      <w:tr w14:paraId="701CE78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673222" w14:textId="77777777">
            <w:pPr>
              <w:widowControl/>
              <w:jc w:val="center"/>
              <w:rPr>
                <w:snapToGrid/>
                <w:color w:val="000000"/>
                <w:kern w:val="0"/>
                <w:szCs w:val="22"/>
              </w:rPr>
            </w:pPr>
            <w:r w:rsidRPr="006E1513">
              <w:rPr>
                <w:snapToGrid/>
                <w:color w:val="000000"/>
                <w:kern w:val="0"/>
                <w:szCs w:val="22"/>
              </w:rPr>
              <w:t>WQWA746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8FAFF32" w14:textId="77777777">
            <w:pPr>
              <w:widowControl/>
              <w:jc w:val="center"/>
              <w:rPr>
                <w:snapToGrid/>
                <w:color w:val="000000"/>
                <w:kern w:val="0"/>
                <w:szCs w:val="22"/>
              </w:rPr>
            </w:pPr>
            <w:r w:rsidRPr="006E1513">
              <w:rPr>
                <w:snapToGrid/>
                <w:color w:val="000000"/>
                <w:kern w:val="0"/>
                <w:szCs w:val="22"/>
              </w:rPr>
              <w:t>155.97</w:t>
            </w:r>
          </w:p>
        </w:tc>
      </w:tr>
      <w:tr w14:paraId="3F2E35A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FEAC8AA" w14:textId="77777777">
            <w:pPr>
              <w:widowControl/>
              <w:jc w:val="center"/>
              <w:rPr>
                <w:snapToGrid/>
                <w:color w:val="000000"/>
                <w:kern w:val="0"/>
                <w:szCs w:val="22"/>
              </w:rPr>
            </w:pPr>
            <w:r w:rsidRPr="006E1513">
              <w:rPr>
                <w:snapToGrid/>
                <w:color w:val="000000"/>
                <w:kern w:val="0"/>
                <w:szCs w:val="22"/>
              </w:rPr>
              <w:t>WQWA746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D20D23D" w14:textId="77777777">
            <w:pPr>
              <w:widowControl/>
              <w:jc w:val="center"/>
              <w:rPr>
                <w:snapToGrid/>
                <w:color w:val="000000"/>
                <w:kern w:val="0"/>
                <w:szCs w:val="22"/>
              </w:rPr>
            </w:pPr>
            <w:r w:rsidRPr="006E1513">
              <w:rPr>
                <w:snapToGrid/>
                <w:color w:val="000000"/>
                <w:kern w:val="0"/>
                <w:szCs w:val="22"/>
              </w:rPr>
              <w:t>155.58</w:t>
            </w:r>
          </w:p>
        </w:tc>
      </w:tr>
      <w:tr w14:paraId="6A4BE1E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ACCB95B" w14:textId="77777777">
            <w:pPr>
              <w:widowControl/>
              <w:jc w:val="center"/>
              <w:rPr>
                <w:snapToGrid/>
                <w:color w:val="000000"/>
                <w:kern w:val="0"/>
                <w:szCs w:val="22"/>
              </w:rPr>
            </w:pPr>
            <w:r w:rsidRPr="006E1513">
              <w:rPr>
                <w:snapToGrid/>
                <w:color w:val="000000"/>
                <w:kern w:val="0"/>
                <w:szCs w:val="22"/>
              </w:rPr>
              <w:t>WQWA746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AEFBDA9" w14:textId="77777777">
            <w:pPr>
              <w:widowControl/>
              <w:jc w:val="center"/>
              <w:rPr>
                <w:snapToGrid/>
                <w:color w:val="000000"/>
                <w:kern w:val="0"/>
                <w:szCs w:val="22"/>
              </w:rPr>
            </w:pPr>
            <w:r w:rsidRPr="006E1513">
              <w:rPr>
                <w:snapToGrid/>
                <w:color w:val="000000"/>
                <w:kern w:val="0"/>
                <w:szCs w:val="22"/>
              </w:rPr>
              <w:t>155.46</w:t>
            </w:r>
          </w:p>
        </w:tc>
      </w:tr>
      <w:tr w14:paraId="0EFC2A7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C26F94A" w14:textId="77777777">
            <w:pPr>
              <w:widowControl/>
              <w:jc w:val="center"/>
              <w:rPr>
                <w:snapToGrid/>
                <w:color w:val="000000"/>
                <w:kern w:val="0"/>
                <w:szCs w:val="22"/>
              </w:rPr>
            </w:pPr>
            <w:r w:rsidRPr="006E1513">
              <w:rPr>
                <w:snapToGrid/>
                <w:color w:val="000000"/>
                <w:kern w:val="0"/>
                <w:szCs w:val="22"/>
              </w:rPr>
              <w:t>WQVG590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E3694EC" w14:textId="77777777">
            <w:pPr>
              <w:widowControl/>
              <w:jc w:val="center"/>
              <w:rPr>
                <w:snapToGrid/>
                <w:color w:val="000000"/>
                <w:kern w:val="0"/>
                <w:szCs w:val="22"/>
              </w:rPr>
            </w:pPr>
            <w:r w:rsidRPr="006E1513">
              <w:rPr>
                <w:snapToGrid/>
                <w:color w:val="000000"/>
                <w:kern w:val="0"/>
                <w:szCs w:val="22"/>
              </w:rPr>
              <w:t>151.145</w:t>
            </w:r>
          </w:p>
        </w:tc>
      </w:tr>
      <w:tr w14:paraId="3AAF864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AF67730" w14:textId="77777777">
            <w:pPr>
              <w:widowControl/>
              <w:jc w:val="center"/>
              <w:rPr>
                <w:snapToGrid/>
                <w:color w:val="000000"/>
                <w:kern w:val="0"/>
                <w:szCs w:val="22"/>
              </w:rPr>
            </w:pPr>
            <w:r w:rsidRPr="006E1513">
              <w:rPr>
                <w:snapToGrid/>
                <w:color w:val="000000"/>
                <w:kern w:val="0"/>
                <w:szCs w:val="22"/>
              </w:rPr>
              <w:t>WQVG590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C4769B7" w14:textId="77777777">
            <w:pPr>
              <w:widowControl/>
              <w:jc w:val="center"/>
              <w:rPr>
                <w:snapToGrid/>
                <w:color w:val="000000"/>
                <w:kern w:val="0"/>
                <w:szCs w:val="22"/>
              </w:rPr>
            </w:pPr>
            <w:r w:rsidRPr="006E1513">
              <w:rPr>
                <w:snapToGrid/>
                <w:color w:val="000000"/>
                <w:kern w:val="0"/>
                <w:szCs w:val="22"/>
              </w:rPr>
              <w:t>151.25</w:t>
            </w:r>
          </w:p>
        </w:tc>
      </w:tr>
      <w:tr w14:paraId="77592D4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ABFCBE6" w14:textId="77777777">
            <w:pPr>
              <w:widowControl/>
              <w:jc w:val="center"/>
              <w:rPr>
                <w:snapToGrid/>
                <w:color w:val="000000"/>
                <w:kern w:val="0"/>
                <w:szCs w:val="22"/>
              </w:rPr>
            </w:pPr>
            <w:r w:rsidRPr="006E1513">
              <w:rPr>
                <w:snapToGrid/>
                <w:color w:val="000000"/>
                <w:kern w:val="0"/>
                <w:szCs w:val="22"/>
              </w:rPr>
              <w:t>WQVG590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AFE42E6" w14:textId="77777777">
            <w:pPr>
              <w:widowControl/>
              <w:jc w:val="center"/>
              <w:rPr>
                <w:snapToGrid/>
                <w:color w:val="000000"/>
                <w:kern w:val="0"/>
                <w:szCs w:val="22"/>
              </w:rPr>
            </w:pPr>
            <w:r w:rsidRPr="006E1513">
              <w:rPr>
                <w:snapToGrid/>
                <w:color w:val="000000"/>
                <w:kern w:val="0"/>
                <w:szCs w:val="22"/>
              </w:rPr>
              <w:t>151.01</w:t>
            </w:r>
          </w:p>
        </w:tc>
      </w:tr>
      <w:tr w14:paraId="203BAB1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2AA75A" w14:textId="77777777">
            <w:pPr>
              <w:widowControl/>
              <w:jc w:val="center"/>
              <w:rPr>
                <w:snapToGrid/>
                <w:color w:val="000000"/>
                <w:kern w:val="0"/>
                <w:szCs w:val="22"/>
              </w:rPr>
            </w:pPr>
            <w:r w:rsidRPr="006E1513">
              <w:rPr>
                <w:snapToGrid/>
                <w:color w:val="000000"/>
                <w:kern w:val="0"/>
                <w:szCs w:val="22"/>
              </w:rPr>
              <w:t>WQVG590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6630822" w14:textId="77777777">
            <w:pPr>
              <w:widowControl/>
              <w:jc w:val="center"/>
              <w:rPr>
                <w:snapToGrid/>
                <w:color w:val="000000"/>
                <w:kern w:val="0"/>
                <w:szCs w:val="22"/>
              </w:rPr>
            </w:pPr>
            <w:r w:rsidRPr="006E1513">
              <w:rPr>
                <w:snapToGrid/>
                <w:color w:val="000000"/>
                <w:kern w:val="0"/>
                <w:szCs w:val="22"/>
              </w:rPr>
              <w:t>153.995</w:t>
            </w:r>
          </w:p>
        </w:tc>
      </w:tr>
      <w:tr w14:paraId="41B0B70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C1E4CD2" w14:textId="77777777">
            <w:pPr>
              <w:widowControl/>
              <w:jc w:val="center"/>
              <w:rPr>
                <w:snapToGrid/>
                <w:color w:val="000000"/>
                <w:kern w:val="0"/>
                <w:szCs w:val="22"/>
              </w:rPr>
            </w:pPr>
            <w:r w:rsidRPr="006E1513">
              <w:rPr>
                <w:snapToGrid/>
                <w:color w:val="000000"/>
                <w:kern w:val="0"/>
                <w:szCs w:val="22"/>
              </w:rPr>
              <w:t>WQVG590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175DD1F" w14:textId="77777777">
            <w:pPr>
              <w:widowControl/>
              <w:jc w:val="center"/>
              <w:rPr>
                <w:snapToGrid/>
                <w:color w:val="000000"/>
                <w:kern w:val="0"/>
                <w:szCs w:val="22"/>
              </w:rPr>
            </w:pPr>
            <w:r w:rsidRPr="006E1513">
              <w:rPr>
                <w:snapToGrid/>
                <w:color w:val="000000"/>
                <w:kern w:val="0"/>
                <w:szCs w:val="22"/>
              </w:rPr>
              <w:t>155.3175</w:t>
            </w:r>
          </w:p>
        </w:tc>
      </w:tr>
      <w:tr w14:paraId="706C05E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369FC9B" w14:textId="77777777">
            <w:pPr>
              <w:widowControl/>
              <w:jc w:val="center"/>
              <w:rPr>
                <w:snapToGrid/>
                <w:color w:val="000000"/>
                <w:kern w:val="0"/>
                <w:szCs w:val="22"/>
              </w:rPr>
            </w:pPr>
            <w:r w:rsidRPr="006E1513">
              <w:rPr>
                <w:snapToGrid/>
                <w:color w:val="000000"/>
                <w:kern w:val="0"/>
                <w:szCs w:val="22"/>
              </w:rPr>
              <w:t>WQVG590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40C8C38" w14:textId="77777777">
            <w:pPr>
              <w:widowControl/>
              <w:jc w:val="center"/>
              <w:rPr>
                <w:snapToGrid/>
                <w:color w:val="000000"/>
                <w:kern w:val="0"/>
                <w:szCs w:val="22"/>
              </w:rPr>
            </w:pPr>
            <w:r w:rsidRPr="006E1513">
              <w:rPr>
                <w:snapToGrid/>
                <w:color w:val="000000"/>
                <w:kern w:val="0"/>
                <w:szCs w:val="22"/>
              </w:rPr>
              <w:t>158.8875</w:t>
            </w:r>
          </w:p>
        </w:tc>
      </w:tr>
      <w:tr w14:paraId="47B56F8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B2A51CA" w14:textId="77777777">
            <w:pPr>
              <w:widowControl/>
              <w:jc w:val="center"/>
              <w:rPr>
                <w:snapToGrid/>
                <w:color w:val="000000"/>
                <w:kern w:val="0"/>
                <w:szCs w:val="22"/>
              </w:rPr>
            </w:pPr>
            <w:r w:rsidRPr="006E1513">
              <w:rPr>
                <w:snapToGrid/>
                <w:color w:val="000000"/>
                <w:kern w:val="0"/>
                <w:szCs w:val="22"/>
              </w:rPr>
              <w:t>WQVL662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190B67C" w14:textId="77777777">
            <w:pPr>
              <w:widowControl/>
              <w:jc w:val="center"/>
              <w:rPr>
                <w:snapToGrid/>
                <w:color w:val="000000"/>
                <w:kern w:val="0"/>
                <w:szCs w:val="22"/>
              </w:rPr>
            </w:pPr>
            <w:r w:rsidRPr="006E1513">
              <w:rPr>
                <w:snapToGrid/>
                <w:color w:val="000000"/>
                <w:kern w:val="0"/>
                <w:szCs w:val="22"/>
              </w:rPr>
              <w:t>154.205</w:t>
            </w:r>
          </w:p>
        </w:tc>
      </w:tr>
      <w:tr w14:paraId="4908848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683E4D6" w14:textId="77777777">
            <w:pPr>
              <w:widowControl/>
              <w:jc w:val="center"/>
              <w:rPr>
                <w:snapToGrid/>
                <w:color w:val="000000"/>
                <w:kern w:val="0"/>
                <w:szCs w:val="22"/>
              </w:rPr>
            </w:pPr>
            <w:r w:rsidRPr="006E1513">
              <w:rPr>
                <w:snapToGrid/>
                <w:color w:val="000000"/>
                <w:kern w:val="0"/>
                <w:szCs w:val="22"/>
              </w:rPr>
              <w:t>WQVL662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CEE9CF7" w14:textId="77777777">
            <w:pPr>
              <w:widowControl/>
              <w:jc w:val="center"/>
              <w:rPr>
                <w:snapToGrid/>
                <w:color w:val="000000"/>
                <w:kern w:val="0"/>
                <w:szCs w:val="22"/>
              </w:rPr>
            </w:pPr>
            <w:r w:rsidRPr="006E1513">
              <w:rPr>
                <w:snapToGrid/>
                <w:color w:val="000000"/>
                <w:kern w:val="0"/>
                <w:szCs w:val="22"/>
              </w:rPr>
              <w:t>154.325</w:t>
            </w:r>
          </w:p>
        </w:tc>
      </w:tr>
      <w:tr w14:paraId="4D2EFDD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6D1E060" w14:textId="77777777">
            <w:pPr>
              <w:widowControl/>
              <w:jc w:val="center"/>
              <w:rPr>
                <w:snapToGrid/>
                <w:color w:val="000000"/>
                <w:kern w:val="0"/>
                <w:szCs w:val="22"/>
              </w:rPr>
            </w:pPr>
            <w:r w:rsidRPr="006E1513">
              <w:rPr>
                <w:snapToGrid/>
                <w:color w:val="000000"/>
                <w:kern w:val="0"/>
                <w:szCs w:val="22"/>
              </w:rPr>
              <w:t>WQVL662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C99A3D6" w14:textId="77777777">
            <w:pPr>
              <w:widowControl/>
              <w:jc w:val="center"/>
              <w:rPr>
                <w:snapToGrid/>
                <w:color w:val="000000"/>
                <w:kern w:val="0"/>
                <w:szCs w:val="22"/>
              </w:rPr>
            </w:pPr>
            <w:r w:rsidRPr="006E1513">
              <w:rPr>
                <w:snapToGrid/>
                <w:color w:val="000000"/>
                <w:kern w:val="0"/>
                <w:szCs w:val="22"/>
              </w:rPr>
              <w:t>154.935</w:t>
            </w:r>
          </w:p>
        </w:tc>
      </w:tr>
      <w:tr w14:paraId="57DACD2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ECDFF2C" w14:textId="77777777">
            <w:pPr>
              <w:widowControl/>
              <w:jc w:val="center"/>
              <w:rPr>
                <w:snapToGrid/>
                <w:color w:val="000000"/>
                <w:kern w:val="0"/>
                <w:szCs w:val="22"/>
              </w:rPr>
            </w:pPr>
            <w:r w:rsidRPr="006E1513">
              <w:rPr>
                <w:snapToGrid/>
                <w:color w:val="000000"/>
                <w:kern w:val="0"/>
                <w:szCs w:val="22"/>
              </w:rPr>
              <w:t>WQVL662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FC30670" w14:textId="77777777">
            <w:pPr>
              <w:widowControl/>
              <w:jc w:val="center"/>
              <w:rPr>
                <w:snapToGrid/>
                <w:color w:val="000000"/>
                <w:kern w:val="0"/>
                <w:szCs w:val="22"/>
              </w:rPr>
            </w:pPr>
            <w:r w:rsidRPr="006E1513">
              <w:rPr>
                <w:snapToGrid/>
                <w:color w:val="000000"/>
                <w:kern w:val="0"/>
                <w:szCs w:val="22"/>
              </w:rPr>
              <w:t>156.0375</w:t>
            </w:r>
          </w:p>
        </w:tc>
      </w:tr>
      <w:tr w14:paraId="1F37AD1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FFD4288" w14:textId="77777777">
            <w:pPr>
              <w:widowControl/>
              <w:jc w:val="center"/>
              <w:rPr>
                <w:snapToGrid/>
                <w:color w:val="000000"/>
                <w:kern w:val="0"/>
                <w:szCs w:val="22"/>
              </w:rPr>
            </w:pPr>
            <w:r w:rsidRPr="006E1513">
              <w:rPr>
                <w:snapToGrid/>
                <w:color w:val="000000"/>
                <w:kern w:val="0"/>
                <w:szCs w:val="22"/>
              </w:rPr>
              <w:t>WQVL662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1EE54CB" w14:textId="77777777">
            <w:pPr>
              <w:widowControl/>
              <w:jc w:val="center"/>
              <w:rPr>
                <w:snapToGrid/>
                <w:color w:val="000000"/>
                <w:kern w:val="0"/>
                <w:szCs w:val="22"/>
              </w:rPr>
            </w:pPr>
            <w:r w:rsidRPr="006E1513">
              <w:rPr>
                <w:snapToGrid/>
                <w:color w:val="000000"/>
                <w:kern w:val="0"/>
                <w:szCs w:val="22"/>
              </w:rPr>
              <w:t>156.15</w:t>
            </w:r>
          </w:p>
        </w:tc>
      </w:tr>
      <w:tr w14:paraId="511C4E7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5F9024F" w14:textId="77777777">
            <w:pPr>
              <w:widowControl/>
              <w:jc w:val="center"/>
              <w:rPr>
                <w:snapToGrid/>
                <w:color w:val="000000"/>
                <w:kern w:val="0"/>
                <w:szCs w:val="22"/>
              </w:rPr>
            </w:pPr>
            <w:r w:rsidRPr="006E1513">
              <w:rPr>
                <w:snapToGrid/>
                <w:color w:val="000000"/>
                <w:kern w:val="0"/>
                <w:szCs w:val="22"/>
              </w:rPr>
              <w:t>WQVL662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CDA6332" w14:textId="77777777">
            <w:pPr>
              <w:widowControl/>
              <w:jc w:val="center"/>
              <w:rPr>
                <w:snapToGrid/>
                <w:color w:val="000000"/>
                <w:kern w:val="0"/>
                <w:szCs w:val="22"/>
              </w:rPr>
            </w:pPr>
            <w:r w:rsidRPr="006E1513">
              <w:rPr>
                <w:snapToGrid/>
                <w:color w:val="000000"/>
                <w:kern w:val="0"/>
                <w:szCs w:val="22"/>
              </w:rPr>
              <w:t>158.97</w:t>
            </w:r>
          </w:p>
        </w:tc>
      </w:tr>
      <w:tr w14:paraId="1C305D3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5FB8BF1" w14:textId="77777777">
            <w:pPr>
              <w:widowControl/>
              <w:jc w:val="center"/>
              <w:rPr>
                <w:snapToGrid/>
                <w:color w:val="000000"/>
                <w:kern w:val="0"/>
                <w:szCs w:val="22"/>
              </w:rPr>
            </w:pPr>
            <w:r w:rsidRPr="006E1513">
              <w:rPr>
                <w:snapToGrid/>
                <w:color w:val="000000"/>
                <w:kern w:val="0"/>
                <w:szCs w:val="22"/>
              </w:rPr>
              <w:t>WQUL240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E346C6C" w14:textId="77777777">
            <w:pPr>
              <w:widowControl/>
              <w:jc w:val="center"/>
              <w:rPr>
                <w:snapToGrid/>
                <w:color w:val="000000"/>
                <w:kern w:val="0"/>
                <w:szCs w:val="22"/>
              </w:rPr>
            </w:pPr>
            <w:r w:rsidRPr="006E1513">
              <w:rPr>
                <w:snapToGrid/>
                <w:color w:val="000000"/>
                <w:kern w:val="0"/>
                <w:szCs w:val="22"/>
              </w:rPr>
              <w:t>151.3475</w:t>
            </w:r>
          </w:p>
        </w:tc>
      </w:tr>
      <w:tr w14:paraId="11BB4E4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67451EF" w14:textId="77777777">
            <w:pPr>
              <w:widowControl/>
              <w:jc w:val="center"/>
              <w:rPr>
                <w:snapToGrid/>
                <w:color w:val="000000"/>
                <w:kern w:val="0"/>
                <w:szCs w:val="22"/>
              </w:rPr>
            </w:pPr>
            <w:r w:rsidRPr="006E1513">
              <w:rPr>
                <w:snapToGrid/>
                <w:color w:val="000000"/>
                <w:kern w:val="0"/>
                <w:szCs w:val="22"/>
              </w:rPr>
              <w:t>WQUL240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7780096" w14:textId="77777777">
            <w:pPr>
              <w:widowControl/>
              <w:jc w:val="center"/>
              <w:rPr>
                <w:snapToGrid/>
                <w:color w:val="000000"/>
                <w:kern w:val="0"/>
                <w:szCs w:val="22"/>
              </w:rPr>
            </w:pPr>
            <w:r w:rsidRPr="006E1513">
              <w:rPr>
                <w:snapToGrid/>
                <w:color w:val="000000"/>
                <w:kern w:val="0"/>
                <w:szCs w:val="22"/>
              </w:rPr>
              <w:t>159.12</w:t>
            </w:r>
          </w:p>
        </w:tc>
      </w:tr>
      <w:tr w14:paraId="7BA1E8D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9B63D06" w14:textId="77777777">
            <w:pPr>
              <w:widowControl/>
              <w:jc w:val="center"/>
              <w:rPr>
                <w:snapToGrid/>
                <w:color w:val="000000"/>
                <w:kern w:val="0"/>
                <w:szCs w:val="22"/>
              </w:rPr>
            </w:pPr>
            <w:r w:rsidRPr="006E1513">
              <w:rPr>
                <w:snapToGrid/>
                <w:color w:val="000000"/>
                <w:kern w:val="0"/>
                <w:szCs w:val="22"/>
              </w:rPr>
              <w:t>WQUL240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F500378" w14:textId="77777777">
            <w:pPr>
              <w:widowControl/>
              <w:jc w:val="center"/>
              <w:rPr>
                <w:snapToGrid/>
                <w:color w:val="000000"/>
                <w:kern w:val="0"/>
                <w:szCs w:val="22"/>
              </w:rPr>
            </w:pPr>
            <w:r w:rsidRPr="006E1513">
              <w:rPr>
                <w:snapToGrid/>
                <w:color w:val="000000"/>
                <w:kern w:val="0"/>
                <w:szCs w:val="22"/>
              </w:rPr>
              <w:t>159.39</w:t>
            </w:r>
          </w:p>
        </w:tc>
      </w:tr>
      <w:tr w14:paraId="364147C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D6E3635" w14:textId="77777777">
            <w:pPr>
              <w:widowControl/>
              <w:jc w:val="center"/>
              <w:rPr>
                <w:snapToGrid/>
                <w:color w:val="000000"/>
                <w:kern w:val="0"/>
                <w:szCs w:val="22"/>
              </w:rPr>
            </w:pPr>
            <w:r w:rsidRPr="006E1513">
              <w:rPr>
                <w:snapToGrid/>
                <w:color w:val="000000"/>
                <w:kern w:val="0"/>
                <w:szCs w:val="22"/>
              </w:rPr>
              <w:t>WQUL240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822486C" w14:textId="77777777">
            <w:pPr>
              <w:widowControl/>
              <w:jc w:val="center"/>
              <w:rPr>
                <w:snapToGrid/>
                <w:color w:val="000000"/>
                <w:kern w:val="0"/>
                <w:szCs w:val="22"/>
              </w:rPr>
            </w:pPr>
            <w:r w:rsidRPr="006E1513">
              <w:rPr>
                <w:snapToGrid/>
                <w:color w:val="000000"/>
                <w:kern w:val="0"/>
                <w:szCs w:val="22"/>
              </w:rPr>
              <w:t>153.74</w:t>
            </w:r>
          </w:p>
        </w:tc>
      </w:tr>
      <w:tr w14:paraId="11C5F66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16B7065" w14:textId="77777777">
            <w:pPr>
              <w:widowControl/>
              <w:jc w:val="center"/>
              <w:rPr>
                <w:snapToGrid/>
                <w:color w:val="000000"/>
                <w:kern w:val="0"/>
                <w:szCs w:val="22"/>
              </w:rPr>
            </w:pPr>
            <w:r w:rsidRPr="006E1513">
              <w:rPr>
                <w:snapToGrid/>
                <w:color w:val="000000"/>
                <w:kern w:val="0"/>
                <w:szCs w:val="22"/>
              </w:rPr>
              <w:t>WQUL240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1C370AA" w14:textId="77777777">
            <w:pPr>
              <w:widowControl/>
              <w:jc w:val="center"/>
              <w:rPr>
                <w:snapToGrid/>
                <w:color w:val="000000"/>
                <w:kern w:val="0"/>
                <w:szCs w:val="22"/>
              </w:rPr>
            </w:pPr>
            <w:r w:rsidRPr="006E1513">
              <w:rPr>
                <w:snapToGrid/>
                <w:color w:val="000000"/>
                <w:kern w:val="0"/>
                <w:szCs w:val="22"/>
              </w:rPr>
              <w:t>153.875</w:t>
            </w:r>
          </w:p>
        </w:tc>
      </w:tr>
      <w:tr w14:paraId="5FB7303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28AF884" w14:textId="77777777">
            <w:pPr>
              <w:widowControl/>
              <w:jc w:val="center"/>
              <w:rPr>
                <w:snapToGrid/>
                <w:color w:val="000000"/>
                <w:kern w:val="0"/>
                <w:szCs w:val="22"/>
              </w:rPr>
            </w:pPr>
            <w:r w:rsidRPr="006E1513">
              <w:rPr>
                <w:snapToGrid/>
                <w:color w:val="000000"/>
                <w:kern w:val="0"/>
                <w:szCs w:val="22"/>
              </w:rPr>
              <w:t>WQUL240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86CC465" w14:textId="77777777">
            <w:pPr>
              <w:widowControl/>
              <w:jc w:val="center"/>
              <w:rPr>
                <w:snapToGrid/>
                <w:color w:val="000000"/>
                <w:kern w:val="0"/>
                <w:szCs w:val="22"/>
              </w:rPr>
            </w:pPr>
            <w:r w:rsidRPr="006E1513">
              <w:rPr>
                <w:snapToGrid/>
                <w:color w:val="000000"/>
                <w:kern w:val="0"/>
                <w:szCs w:val="22"/>
              </w:rPr>
              <w:t>156</w:t>
            </w:r>
          </w:p>
        </w:tc>
      </w:tr>
      <w:tr w14:paraId="25922D7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1C22399" w14:textId="77777777">
            <w:pPr>
              <w:widowControl/>
              <w:jc w:val="center"/>
              <w:rPr>
                <w:snapToGrid/>
                <w:color w:val="000000"/>
                <w:kern w:val="0"/>
                <w:szCs w:val="22"/>
              </w:rPr>
            </w:pPr>
            <w:r w:rsidRPr="006E1513">
              <w:rPr>
                <w:snapToGrid/>
                <w:color w:val="000000"/>
                <w:kern w:val="0"/>
                <w:szCs w:val="22"/>
              </w:rPr>
              <w:t>WQUW994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FDC6817" w14:textId="77777777">
            <w:pPr>
              <w:widowControl/>
              <w:jc w:val="center"/>
              <w:rPr>
                <w:snapToGrid/>
                <w:color w:val="000000"/>
                <w:kern w:val="0"/>
                <w:szCs w:val="22"/>
              </w:rPr>
            </w:pPr>
            <w:r w:rsidRPr="006E1513">
              <w:rPr>
                <w:snapToGrid/>
                <w:color w:val="000000"/>
                <w:kern w:val="0"/>
                <w:szCs w:val="22"/>
              </w:rPr>
              <w:t>153.8825</w:t>
            </w:r>
          </w:p>
        </w:tc>
      </w:tr>
      <w:tr w14:paraId="067A451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3E64840" w14:textId="77777777">
            <w:pPr>
              <w:widowControl/>
              <w:jc w:val="center"/>
              <w:rPr>
                <w:snapToGrid/>
                <w:color w:val="000000"/>
                <w:kern w:val="0"/>
                <w:szCs w:val="22"/>
              </w:rPr>
            </w:pPr>
            <w:r w:rsidRPr="006E1513">
              <w:rPr>
                <w:snapToGrid/>
                <w:color w:val="000000"/>
                <w:kern w:val="0"/>
                <w:szCs w:val="22"/>
              </w:rPr>
              <w:t>WQUW994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46EB749" w14:textId="77777777">
            <w:pPr>
              <w:widowControl/>
              <w:jc w:val="center"/>
              <w:rPr>
                <w:snapToGrid/>
                <w:color w:val="000000"/>
                <w:kern w:val="0"/>
                <w:szCs w:val="22"/>
              </w:rPr>
            </w:pPr>
            <w:r w:rsidRPr="006E1513">
              <w:rPr>
                <w:snapToGrid/>
                <w:color w:val="000000"/>
                <w:kern w:val="0"/>
                <w:szCs w:val="22"/>
              </w:rPr>
              <w:t>156.0525</w:t>
            </w:r>
          </w:p>
        </w:tc>
      </w:tr>
      <w:tr w14:paraId="6A63359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BB82C9D" w14:textId="77777777">
            <w:pPr>
              <w:widowControl/>
              <w:jc w:val="center"/>
              <w:rPr>
                <w:snapToGrid/>
                <w:color w:val="000000"/>
                <w:kern w:val="0"/>
                <w:szCs w:val="22"/>
              </w:rPr>
            </w:pPr>
            <w:r w:rsidRPr="006E1513">
              <w:rPr>
                <w:snapToGrid/>
                <w:color w:val="000000"/>
                <w:kern w:val="0"/>
                <w:szCs w:val="22"/>
              </w:rPr>
              <w:t>WQUW994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394468D" w14:textId="77777777">
            <w:pPr>
              <w:widowControl/>
              <w:jc w:val="center"/>
              <w:rPr>
                <w:snapToGrid/>
                <w:color w:val="000000"/>
                <w:kern w:val="0"/>
                <w:szCs w:val="22"/>
              </w:rPr>
            </w:pPr>
            <w:r w:rsidRPr="006E1513">
              <w:rPr>
                <w:snapToGrid/>
                <w:color w:val="000000"/>
                <w:kern w:val="0"/>
                <w:szCs w:val="22"/>
              </w:rPr>
              <w:t>159.0525</w:t>
            </w:r>
          </w:p>
        </w:tc>
      </w:tr>
      <w:tr w14:paraId="12978DC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B0B9554" w14:textId="77777777">
            <w:pPr>
              <w:widowControl/>
              <w:jc w:val="center"/>
              <w:rPr>
                <w:snapToGrid/>
                <w:color w:val="000000"/>
                <w:kern w:val="0"/>
                <w:szCs w:val="22"/>
              </w:rPr>
            </w:pPr>
            <w:r w:rsidRPr="006E1513">
              <w:rPr>
                <w:snapToGrid/>
                <w:color w:val="000000"/>
                <w:kern w:val="0"/>
                <w:szCs w:val="22"/>
              </w:rPr>
              <w:t>WQUZ230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66CAF8E" w14:textId="77777777">
            <w:pPr>
              <w:widowControl/>
              <w:jc w:val="center"/>
              <w:rPr>
                <w:snapToGrid/>
                <w:color w:val="000000"/>
                <w:kern w:val="0"/>
                <w:szCs w:val="22"/>
              </w:rPr>
            </w:pPr>
            <w:r w:rsidRPr="006E1513">
              <w:rPr>
                <w:snapToGrid/>
                <w:color w:val="000000"/>
                <w:kern w:val="0"/>
                <w:szCs w:val="22"/>
              </w:rPr>
              <w:t>151.01</w:t>
            </w:r>
          </w:p>
        </w:tc>
      </w:tr>
      <w:tr w14:paraId="641E411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B264E00" w14:textId="77777777">
            <w:pPr>
              <w:widowControl/>
              <w:jc w:val="center"/>
              <w:rPr>
                <w:snapToGrid/>
                <w:color w:val="000000"/>
                <w:kern w:val="0"/>
                <w:szCs w:val="22"/>
              </w:rPr>
            </w:pPr>
            <w:r w:rsidRPr="006E1513">
              <w:rPr>
                <w:snapToGrid/>
                <w:color w:val="000000"/>
                <w:kern w:val="0"/>
                <w:szCs w:val="22"/>
              </w:rPr>
              <w:t>WQUZ230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78B3FDF" w14:textId="77777777">
            <w:pPr>
              <w:widowControl/>
              <w:jc w:val="center"/>
              <w:rPr>
                <w:snapToGrid/>
                <w:color w:val="000000"/>
                <w:kern w:val="0"/>
                <w:szCs w:val="22"/>
              </w:rPr>
            </w:pPr>
            <w:r w:rsidRPr="006E1513">
              <w:rPr>
                <w:snapToGrid/>
                <w:color w:val="000000"/>
                <w:kern w:val="0"/>
                <w:szCs w:val="22"/>
              </w:rPr>
              <w:t>151.31</w:t>
            </w:r>
          </w:p>
        </w:tc>
      </w:tr>
      <w:tr w14:paraId="4209E75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7B45C48" w14:textId="77777777">
            <w:pPr>
              <w:widowControl/>
              <w:jc w:val="center"/>
              <w:rPr>
                <w:snapToGrid/>
                <w:color w:val="000000"/>
                <w:kern w:val="0"/>
                <w:szCs w:val="22"/>
              </w:rPr>
            </w:pPr>
            <w:r w:rsidRPr="006E1513">
              <w:rPr>
                <w:snapToGrid/>
                <w:color w:val="000000"/>
                <w:kern w:val="0"/>
                <w:szCs w:val="22"/>
              </w:rPr>
              <w:t>WQUZ230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D452E31" w14:textId="77777777">
            <w:pPr>
              <w:widowControl/>
              <w:jc w:val="center"/>
              <w:rPr>
                <w:snapToGrid/>
                <w:color w:val="000000"/>
                <w:kern w:val="0"/>
                <w:szCs w:val="22"/>
              </w:rPr>
            </w:pPr>
            <w:r w:rsidRPr="006E1513">
              <w:rPr>
                <w:snapToGrid/>
                <w:color w:val="000000"/>
                <w:kern w:val="0"/>
                <w:szCs w:val="22"/>
              </w:rPr>
              <w:t>153.8975</w:t>
            </w:r>
          </w:p>
        </w:tc>
      </w:tr>
      <w:tr w14:paraId="6C51A0F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0FCD0C5" w14:textId="77777777">
            <w:pPr>
              <w:widowControl/>
              <w:jc w:val="center"/>
              <w:rPr>
                <w:snapToGrid/>
                <w:color w:val="000000"/>
                <w:kern w:val="0"/>
                <w:szCs w:val="22"/>
              </w:rPr>
            </w:pPr>
            <w:r w:rsidRPr="006E1513">
              <w:rPr>
                <w:snapToGrid/>
                <w:color w:val="000000"/>
                <w:kern w:val="0"/>
                <w:szCs w:val="22"/>
              </w:rPr>
              <w:t>WQUZ230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DE1D914" w14:textId="77777777">
            <w:pPr>
              <w:widowControl/>
              <w:jc w:val="center"/>
              <w:rPr>
                <w:snapToGrid/>
                <w:color w:val="000000"/>
                <w:kern w:val="0"/>
                <w:szCs w:val="22"/>
              </w:rPr>
            </w:pPr>
            <w:r w:rsidRPr="006E1513">
              <w:rPr>
                <w:snapToGrid/>
                <w:color w:val="000000"/>
                <w:kern w:val="0"/>
                <w:szCs w:val="22"/>
              </w:rPr>
              <w:t>156.075</w:t>
            </w:r>
          </w:p>
        </w:tc>
      </w:tr>
      <w:tr w14:paraId="46E3C68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29A0A1E" w14:textId="77777777">
            <w:pPr>
              <w:widowControl/>
              <w:jc w:val="center"/>
              <w:rPr>
                <w:snapToGrid/>
                <w:color w:val="000000"/>
                <w:kern w:val="0"/>
                <w:szCs w:val="22"/>
              </w:rPr>
            </w:pPr>
            <w:r w:rsidRPr="006E1513">
              <w:rPr>
                <w:snapToGrid/>
                <w:color w:val="000000"/>
                <w:kern w:val="0"/>
                <w:szCs w:val="22"/>
              </w:rPr>
              <w:t>WQUZ230</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A82CC48" w14:textId="77777777">
            <w:pPr>
              <w:widowControl/>
              <w:jc w:val="center"/>
              <w:rPr>
                <w:snapToGrid/>
                <w:color w:val="000000"/>
                <w:kern w:val="0"/>
                <w:szCs w:val="22"/>
              </w:rPr>
            </w:pPr>
            <w:r w:rsidRPr="006E1513">
              <w:rPr>
                <w:snapToGrid/>
                <w:color w:val="000000"/>
                <w:kern w:val="0"/>
                <w:szCs w:val="22"/>
              </w:rPr>
              <w:t>156.2025</w:t>
            </w:r>
          </w:p>
        </w:tc>
      </w:tr>
      <w:tr w14:paraId="78BB753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B43800F" w14:textId="77777777">
            <w:pPr>
              <w:widowControl/>
              <w:jc w:val="center"/>
              <w:rPr>
                <w:snapToGrid/>
                <w:color w:val="000000"/>
                <w:kern w:val="0"/>
                <w:szCs w:val="22"/>
              </w:rPr>
            </w:pPr>
            <w:r w:rsidRPr="006E1513">
              <w:rPr>
                <w:snapToGrid/>
                <w:color w:val="000000"/>
                <w:kern w:val="0"/>
                <w:szCs w:val="22"/>
              </w:rPr>
              <w:t>WQUX675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7948B93" w14:textId="77777777">
            <w:pPr>
              <w:widowControl/>
              <w:jc w:val="center"/>
              <w:rPr>
                <w:snapToGrid/>
                <w:color w:val="000000"/>
                <w:kern w:val="0"/>
                <w:szCs w:val="22"/>
              </w:rPr>
            </w:pPr>
            <w:r w:rsidRPr="006E1513">
              <w:rPr>
                <w:snapToGrid/>
                <w:color w:val="000000"/>
                <w:kern w:val="0"/>
                <w:szCs w:val="22"/>
              </w:rPr>
              <w:t>151.13</w:t>
            </w:r>
          </w:p>
        </w:tc>
      </w:tr>
      <w:tr w14:paraId="6B9E055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A8CD7FC" w14:textId="77777777">
            <w:pPr>
              <w:widowControl/>
              <w:jc w:val="center"/>
              <w:rPr>
                <w:snapToGrid/>
                <w:color w:val="000000"/>
                <w:kern w:val="0"/>
                <w:szCs w:val="22"/>
              </w:rPr>
            </w:pPr>
            <w:r w:rsidRPr="006E1513">
              <w:rPr>
                <w:snapToGrid/>
                <w:color w:val="000000"/>
                <w:kern w:val="0"/>
                <w:szCs w:val="22"/>
              </w:rPr>
              <w:t>WQUX675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846B518" w14:textId="77777777">
            <w:pPr>
              <w:widowControl/>
              <w:jc w:val="center"/>
              <w:rPr>
                <w:snapToGrid/>
                <w:color w:val="000000"/>
                <w:kern w:val="0"/>
                <w:szCs w:val="22"/>
              </w:rPr>
            </w:pPr>
            <w:r w:rsidRPr="006E1513">
              <w:rPr>
                <w:snapToGrid/>
                <w:color w:val="000000"/>
                <w:kern w:val="0"/>
                <w:szCs w:val="22"/>
              </w:rPr>
              <w:t>151.28</w:t>
            </w:r>
          </w:p>
        </w:tc>
      </w:tr>
      <w:tr w14:paraId="487E882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83F366B" w14:textId="77777777">
            <w:pPr>
              <w:widowControl/>
              <w:jc w:val="center"/>
              <w:rPr>
                <w:snapToGrid/>
                <w:color w:val="000000"/>
                <w:kern w:val="0"/>
                <w:szCs w:val="22"/>
              </w:rPr>
            </w:pPr>
            <w:r w:rsidRPr="006E1513">
              <w:rPr>
                <w:snapToGrid/>
                <w:color w:val="000000"/>
                <w:kern w:val="0"/>
                <w:szCs w:val="22"/>
              </w:rPr>
              <w:t>WQUX675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C1764B1" w14:textId="77777777">
            <w:pPr>
              <w:widowControl/>
              <w:jc w:val="center"/>
              <w:rPr>
                <w:snapToGrid/>
                <w:color w:val="000000"/>
                <w:kern w:val="0"/>
                <w:szCs w:val="22"/>
              </w:rPr>
            </w:pPr>
            <w:r w:rsidRPr="006E1513">
              <w:rPr>
                <w:snapToGrid/>
                <w:color w:val="000000"/>
                <w:kern w:val="0"/>
                <w:szCs w:val="22"/>
              </w:rPr>
              <w:t>151.4825</w:t>
            </w:r>
          </w:p>
        </w:tc>
      </w:tr>
      <w:tr w14:paraId="5712F94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93A46AA" w14:textId="77777777">
            <w:pPr>
              <w:widowControl/>
              <w:jc w:val="center"/>
              <w:rPr>
                <w:snapToGrid/>
                <w:color w:val="000000"/>
                <w:kern w:val="0"/>
                <w:szCs w:val="22"/>
              </w:rPr>
            </w:pPr>
            <w:r w:rsidRPr="006E1513">
              <w:rPr>
                <w:snapToGrid/>
                <w:color w:val="000000"/>
                <w:kern w:val="0"/>
                <w:szCs w:val="22"/>
              </w:rPr>
              <w:t>WQUX675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BB5C353" w14:textId="77777777">
            <w:pPr>
              <w:widowControl/>
              <w:jc w:val="center"/>
              <w:rPr>
                <w:snapToGrid/>
                <w:color w:val="000000"/>
                <w:kern w:val="0"/>
                <w:szCs w:val="22"/>
              </w:rPr>
            </w:pPr>
            <w:r w:rsidRPr="006E1513">
              <w:rPr>
                <w:snapToGrid/>
                <w:color w:val="000000"/>
                <w:kern w:val="0"/>
                <w:szCs w:val="22"/>
              </w:rPr>
              <w:t>153.935</w:t>
            </w:r>
          </w:p>
        </w:tc>
      </w:tr>
      <w:tr w14:paraId="40AF451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DF2067E" w14:textId="77777777">
            <w:pPr>
              <w:widowControl/>
              <w:jc w:val="center"/>
              <w:rPr>
                <w:snapToGrid/>
                <w:color w:val="000000"/>
                <w:kern w:val="0"/>
                <w:szCs w:val="22"/>
              </w:rPr>
            </w:pPr>
            <w:r w:rsidRPr="006E1513">
              <w:rPr>
                <w:snapToGrid/>
                <w:color w:val="000000"/>
                <w:kern w:val="0"/>
                <w:szCs w:val="22"/>
              </w:rPr>
              <w:t>WQUX675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8EFC041" w14:textId="77777777">
            <w:pPr>
              <w:widowControl/>
              <w:jc w:val="center"/>
              <w:rPr>
                <w:snapToGrid/>
                <w:color w:val="000000"/>
                <w:kern w:val="0"/>
                <w:szCs w:val="22"/>
              </w:rPr>
            </w:pPr>
            <w:r w:rsidRPr="006E1513">
              <w:rPr>
                <w:snapToGrid/>
                <w:color w:val="000000"/>
                <w:kern w:val="0"/>
                <w:szCs w:val="22"/>
              </w:rPr>
              <w:t>156.015</w:t>
            </w:r>
          </w:p>
        </w:tc>
      </w:tr>
      <w:tr w14:paraId="727FCF2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EFA8E80" w14:textId="77777777">
            <w:pPr>
              <w:widowControl/>
              <w:jc w:val="center"/>
              <w:rPr>
                <w:snapToGrid/>
                <w:color w:val="000000"/>
                <w:kern w:val="0"/>
                <w:szCs w:val="22"/>
              </w:rPr>
            </w:pPr>
            <w:r w:rsidRPr="006E1513">
              <w:rPr>
                <w:snapToGrid/>
                <w:color w:val="000000"/>
                <w:kern w:val="0"/>
                <w:szCs w:val="22"/>
              </w:rPr>
              <w:t>WQUX675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D3983BE" w14:textId="77777777">
            <w:pPr>
              <w:widowControl/>
              <w:jc w:val="center"/>
              <w:rPr>
                <w:snapToGrid/>
                <w:color w:val="000000"/>
                <w:kern w:val="0"/>
                <w:szCs w:val="22"/>
              </w:rPr>
            </w:pPr>
            <w:r w:rsidRPr="006E1513">
              <w:rPr>
                <w:snapToGrid/>
                <w:color w:val="000000"/>
                <w:kern w:val="0"/>
                <w:szCs w:val="22"/>
              </w:rPr>
              <w:t>156.06</w:t>
            </w:r>
          </w:p>
        </w:tc>
      </w:tr>
      <w:tr w14:paraId="086EAC7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C3C4300" w14:textId="77777777">
            <w:pPr>
              <w:widowControl/>
              <w:jc w:val="center"/>
              <w:rPr>
                <w:snapToGrid/>
                <w:color w:val="000000"/>
                <w:kern w:val="0"/>
                <w:szCs w:val="22"/>
              </w:rPr>
            </w:pPr>
            <w:r w:rsidRPr="006E1513">
              <w:rPr>
                <w:snapToGrid/>
                <w:color w:val="000000"/>
                <w:kern w:val="0"/>
                <w:szCs w:val="22"/>
              </w:rPr>
              <w:t>WQUE286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EE31378" w14:textId="77777777">
            <w:pPr>
              <w:widowControl/>
              <w:jc w:val="center"/>
              <w:rPr>
                <w:snapToGrid/>
                <w:color w:val="000000"/>
                <w:kern w:val="0"/>
                <w:szCs w:val="22"/>
              </w:rPr>
            </w:pPr>
            <w:r w:rsidRPr="006E1513">
              <w:rPr>
                <w:snapToGrid/>
                <w:color w:val="000000"/>
                <w:kern w:val="0"/>
                <w:szCs w:val="22"/>
              </w:rPr>
              <w:t>151.1225</w:t>
            </w:r>
          </w:p>
        </w:tc>
      </w:tr>
      <w:tr w14:paraId="488BE69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8DB7B8C" w14:textId="77777777">
            <w:pPr>
              <w:widowControl/>
              <w:jc w:val="center"/>
              <w:rPr>
                <w:snapToGrid/>
                <w:color w:val="000000"/>
                <w:kern w:val="0"/>
                <w:szCs w:val="22"/>
              </w:rPr>
            </w:pPr>
            <w:r w:rsidRPr="006E1513">
              <w:rPr>
                <w:snapToGrid/>
                <w:color w:val="000000"/>
                <w:kern w:val="0"/>
                <w:szCs w:val="22"/>
              </w:rPr>
              <w:t>WQUE286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71F5851" w14:textId="77777777">
            <w:pPr>
              <w:widowControl/>
              <w:jc w:val="center"/>
              <w:rPr>
                <w:snapToGrid/>
                <w:color w:val="000000"/>
                <w:kern w:val="0"/>
                <w:szCs w:val="22"/>
              </w:rPr>
            </w:pPr>
            <w:r w:rsidRPr="006E1513">
              <w:rPr>
                <w:snapToGrid/>
                <w:color w:val="000000"/>
                <w:kern w:val="0"/>
                <w:szCs w:val="22"/>
              </w:rPr>
              <w:t>151.2575</w:t>
            </w:r>
          </w:p>
        </w:tc>
      </w:tr>
      <w:tr w14:paraId="6924BE2F"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A199CB9" w14:textId="77777777">
            <w:pPr>
              <w:widowControl/>
              <w:jc w:val="center"/>
              <w:rPr>
                <w:snapToGrid/>
                <w:color w:val="000000"/>
                <w:kern w:val="0"/>
                <w:szCs w:val="22"/>
              </w:rPr>
            </w:pPr>
            <w:r w:rsidRPr="006E1513">
              <w:rPr>
                <w:snapToGrid/>
                <w:color w:val="000000"/>
                <w:kern w:val="0"/>
                <w:szCs w:val="22"/>
              </w:rPr>
              <w:t>WQUE286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39E40B3" w14:textId="77777777">
            <w:pPr>
              <w:widowControl/>
              <w:jc w:val="center"/>
              <w:rPr>
                <w:snapToGrid/>
                <w:color w:val="000000"/>
                <w:kern w:val="0"/>
                <w:szCs w:val="22"/>
              </w:rPr>
            </w:pPr>
            <w:r w:rsidRPr="006E1513">
              <w:rPr>
                <w:snapToGrid/>
                <w:color w:val="000000"/>
                <w:kern w:val="0"/>
                <w:szCs w:val="22"/>
              </w:rPr>
              <w:t>154.1975</w:t>
            </w:r>
          </w:p>
        </w:tc>
      </w:tr>
      <w:tr w14:paraId="59361D9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1A102E4" w14:textId="77777777">
            <w:pPr>
              <w:widowControl/>
              <w:jc w:val="center"/>
              <w:rPr>
                <w:snapToGrid/>
                <w:color w:val="000000"/>
                <w:kern w:val="0"/>
                <w:szCs w:val="22"/>
              </w:rPr>
            </w:pPr>
            <w:r w:rsidRPr="006E1513">
              <w:rPr>
                <w:snapToGrid/>
                <w:color w:val="000000"/>
                <w:kern w:val="0"/>
                <w:szCs w:val="22"/>
              </w:rPr>
              <w:t>WQUE286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8F8BB4B" w14:textId="77777777">
            <w:pPr>
              <w:widowControl/>
              <w:jc w:val="center"/>
              <w:rPr>
                <w:snapToGrid/>
                <w:color w:val="000000"/>
                <w:kern w:val="0"/>
                <w:szCs w:val="22"/>
              </w:rPr>
            </w:pPr>
            <w:r w:rsidRPr="006E1513">
              <w:rPr>
                <w:snapToGrid/>
                <w:color w:val="000000"/>
                <w:kern w:val="0"/>
                <w:szCs w:val="22"/>
              </w:rPr>
              <w:t>156.0225</w:t>
            </w:r>
          </w:p>
        </w:tc>
      </w:tr>
      <w:tr w14:paraId="60B8E9B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C1AE30F" w14:textId="77777777">
            <w:pPr>
              <w:widowControl/>
              <w:jc w:val="center"/>
              <w:rPr>
                <w:snapToGrid/>
                <w:color w:val="000000"/>
                <w:kern w:val="0"/>
                <w:szCs w:val="22"/>
              </w:rPr>
            </w:pPr>
            <w:r w:rsidRPr="006E1513">
              <w:rPr>
                <w:snapToGrid/>
                <w:color w:val="000000"/>
                <w:kern w:val="0"/>
                <w:szCs w:val="22"/>
              </w:rPr>
              <w:t>WQUE286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E8573D0" w14:textId="77777777">
            <w:pPr>
              <w:widowControl/>
              <w:jc w:val="center"/>
              <w:rPr>
                <w:snapToGrid/>
                <w:color w:val="000000"/>
                <w:kern w:val="0"/>
                <w:szCs w:val="22"/>
              </w:rPr>
            </w:pPr>
            <w:r w:rsidRPr="006E1513">
              <w:rPr>
                <w:snapToGrid/>
                <w:color w:val="000000"/>
                <w:kern w:val="0"/>
                <w:szCs w:val="22"/>
              </w:rPr>
              <w:t>156.1575</w:t>
            </w:r>
          </w:p>
        </w:tc>
      </w:tr>
      <w:tr w14:paraId="4C7A04A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0EA4AAD" w14:textId="77777777">
            <w:pPr>
              <w:widowControl/>
              <w:jc w:val="center"/>
              <w:rPr>
                <w:snapToGrid/>
                <w:color w:val="000000"/>
                <w:kern w:val="0"/>
                <w:szCs w:val="22"/>
              </w:rPr>
            </w:pPr>
            <w:r w:rsidRPr="006E1513">
              <w:rPr>
                <w:snapToGrid/>
                <w:color w:val="000000"/>
                <w:kern w:val="0"/>
                <w:szCs w:val="22"/>
              </w:rPr>
              <w:t>WQUE286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73F8FBD" w14:textId="77777777">
            <w:pPr>
              <w:widowControl/>
              <w:jc w:val="center"/>
              <w:rPr>
                <w:snapToGrid/>
                <w:color w:val="000000"/>
                <w:kern w:val="0"/>
                <w:szCs w:val="22"/>
              </w:rPr>
            </w:pPr>
            <w:r w:rsidRPr="006E1513">
              <w:rPr>
                <w:snapToGrid/>
                <w:color w:val="000000"/>
                <w:kern w:val="0"/>
                <w:szCs w:val="22"/>
              </w:rPr>
              <w:t>159.03</w:t>
            </w:r>
          </w:p>
        </w:tc>
      </w:tr>
      <w:tr w14:paraId="16F3B08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012317A" w14:textId="77777777">
            <w:pPr>
              <w:widowControl/>
              <w:jc w:val="center"/>
              <w:rPr>
                <w:snapToGrid/>
                <w:color w:val="000000"/>
                <w:kern w:val="0"/>
                <w:szCs w:val="22"/>
              </w:rPr>
            </w:pPr>
            <w:r w:rsidRPr="006E1513">
              <w:rPr>
                <w:snapToGrid/>
                <w:color w:val="000000"/>
                <w:kern w:val="0"/>
                <w:szCs w:val="22"/>
              </w:rPr>
              <w:t>WQUG547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500B384" w14:textId="77777777">
            <w:pPr>
              <w:widowControl/>
              <w:jc w:val="center"/>
              <w:rPr>
                <w:snapToGrid/>
                <w:color w:val="000000"/>
                <w:kern w:val="0"/>
                <w:szCs w:val="22"/>
              </w:rPr>
            </w:pPr>
            <w:r w:rsidRPr="006E1513">
              <w:rPr>
                <w:snapToGrid/>
                <w:color w:val="000000"/>
                <w:kern w:val="0"/>
                <w:szCs w:val="22"/>
              </w:rPr>
              <w:t>154.9425</w:t>
            </w:r>
          </w:p>
        </w:tc>
      </w:tr>
      <w:tr w14:paraId="01E2AC8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DC765BD" w14:textId="77777777">
            <w:pPr>
              <w:widowControl/>
              <w:jc w:val="center"/>
              <w:rPr>
                <w:snapToGrid/>
                <w:color w:val="000000"/>
                <w:kern w:val="0"/>
                <w:szCs w:val="22"/>
              </w:rPr>
            </w:pPr>
            <w:r w:rsidRPr="006E1513">
              <w:rPr>
                <w:snapToGrid/>
                <w:color w:val="000000"/>
                <w:kern w:val="0"/>
                <w:szCs w:val="22"/>
              </w:rPr>
              <w:t>WQUG547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596B677" w14:textId="77777777">
            <w:pPr>
              <w:widowControl/>
              <w:jc w:val="center"/>
              <w:rPr>
                <w:snapToGrid/>
                <w:color w:val="000000"/>
                <w:kern w:val="0"/>
                <w:szCs w:val="22"/>
              </w:rPr>
            </w:pPr>
            <w:r w:rsidRPr="006E1513">
              <w:rPr>
                <w:snapToGrid/>
                <w:color w:val="000000"/>
                <w:kern w:val="0"/>
                <w:szCs w:val="22"/>
              </w:rPr>
              <w:t>156.1125</w:t>
            </w:r>
          </w:p>
        </w:tc>
      </w:tr>
      <w:tr w14:paraId="56476BF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0027556" w14:textId="77777777">
            <w:pPr>
              <w:widowControl/>
              <w:jc w:val="center"/>
              <w:rPr>
                <w:snapToGrid/>
                <w:color w:val="000000"/>
                <w:kern w:val="0"/>
                <w:szCs w:val="22"/>
              </w:rPr>
            </w:pPr>
            <w:r w:rsidRPr="006E1513">
              <w:rPr>
                <w:snapToGrid/>
                <w:color w:val="000000"/>
                <w:kern w:val="0"/>
                <w:szCs w:val="22"/>
              </w:rPr>
              <w:t>WQUG547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95C5576" w14:textId="77777777">
            <w:pPr>
              <w:widowControl/>
              <w:jc w:val="center"/>
              <w:rPr>
                <w:snapToGrid/>
                <w:color w:val="000000"/>
                <w:kern w:val="0"/>
                <w:szCs w:val="22"/>
              </w:rPr>
            </w:pPr>
            <w:r w:rsidRPr="006E1513">
              <w:rPr>
                <w:snapToGrid/>
                <w:color w:val="000000"/>
                <w:kern w:val="0"/>
                <w:szCs w:val="22"/>
              </w:rPr>
              <w:t>156.225</w:t>
            </w:r>
          </w:p>
        </w:tc>
      </w:tr>
      <w:tr w14:paraId="4F481A3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D05528D" w14:textId="77777777">
            <w:pPr>
              <w:widowControl/>
              <w:jc w:val="center"/>
              <w:rPr>
                <w:snapToGrid/>
                <w:color w:val="000000"/>
                <w:kern w:val="0"/>
                <w:szCs w:val="22"/>
              </w:rPr>
            </w:pPr>
            <w:r w:rsidRPr="006E1513">
              <w:rPr>
                <w:snapToGrid/>
                <w:color w:val="000000"/>
                <w:kern w:val="0"/>
                <w:szCs w:val="22"/>
              </w:rPr>
              <w:t>WQUG547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03C95B6" w14:textId="77777777">
            <w:pPr>
              <w:widowControl/>
              <w:jc w:val="center"/>
              <w:rPr>
                <w:snapToGrid/>
                <w:color w:val="000000"/>
                <w:kern w:val="0"/>
                <w:szCs w:val="22"/>
              </w:rPr>
            </w:pPr>
            <w:r w:rsidRPr="006E1513">
              <w:rPr>
                <w:snapToGrid/>
                <w:color w:val="000000"/>
                <w:kern w:val="0"/>
                <w:szCs w:val="22"/>
              </w:rPr>
              <w:t>158.865</w:t>
            </w:r>
          </w:p>
        </w:tc>
      </w:tr>
      <w:tr w14:paraId="3226EF8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C22AB8A" w14:textId="77777777">
            <w:pPr>
              <w:widowControl/>
              <w:jc w:val="center"/>
              <w:rPr>
                <w:snapToGrid/>
                <w:color w:val="000000"/>
                <w:kern w:val="0"/>
                <w:szCs w:val="22"/>
              </w:rPr>
            </w:pPr>
            <w:r w:rsidRPr="006E1513">
              <w:rPr>
                <w:snapToGrid/>
                <w:color w:val="000000"/>
                <w:kern w:val="0"/>
                <w:szCs w:val="22"/>
              </w:rPr>
              <w:t>WQUG547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91B94C3" w14:textId="77777777">
            <w:pPr>
              <w:widowControl/>
              <w:jc w:val="center"/>
              <w:rPr>
                <w:snapToGrid/>
                <w:color w:val="000000"/>
                <w:kern w:val="0"/>
                <w:szCs w:val="22"/>
              </w:rPr>
            </w:pPr>
            <w:r w:rsidRPr="006E1513">
              <w:rPr>
                <w:snapToGrid/>
                <w:color w:val="000000"/>
                <w:kern w:val="0"/>
                <w:szCs w:val="22"/>
              </w:rPr>
              <w:t>158.91</w:t>
            </w:r>
          </w:p>
        </w:tc>
      </w:tr>
      <w:tr w14:paraId="774FCA3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AC0F806" w14:textId="77777777">
            <w:pPr>
              <w:widowControl/>
              <w:jc w:val="center"/>
              <w:rPr>
                <w:snapToGrid/>
                <w:color w:val="000000"/>
                <w:kern w:val="0"/>
                <w:szCs w:val="22"/>
              </w:rPr>
            </w:pPr>
            <w:r w:rsidRPr="006E1513">
              <w:rPr>
                <w:snapToGrid/>
                <w:color w:val="000000"/>
                <w:kern w:val="0"/>
                <w:szCs w:val="22"/>
              </w:rPr>
              <w:t>WQUG547</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7F7C50F" w14:textId="77777777">
            <w:pPr>
              <w:widowControl/>
              <w:jc w:val="center"/>
              <w:rPr>
                <w:snapToGrid/>
                <w:color w:val="000000"/>
                <w:kern w:val="0"/>
                <w:szCs w:val="22"/>
              </w:rPr>
            </w:pPr>
            <w:r w:rsidRPr="006E1513">
              <w:rPr>
                <w:snapToGrid/>
                <w:color w:val="000000"/>
                <w:kern w:val="0"/>
                <w:szCs w:val="22"/>
              </w:rPr>
              <w:t>159.0375</w:t>
            </w:r>
          </w:p>
        </w:tc>
      </w:tr>
      <w:tr w14:paraId="260A1F3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B0D3389" w14:textId="77777777">
            <w:pPr>
              <w:widowControl/>
              <w:jc w:val="center"/>
              <w:rPr>
                <w:snapToGrid/>
                <w:color w:val="000000"/>
                <w:kern w:val="0"/>
                <w:szCs w:val="22"/>
              </w:rPr>
            </w:pPr>
            <w:r w:rsidRPr="006E1513">
              <w:rPr>
                <w:snapToGrid/>
                <w:color w:val="000000"/>
                <w:kern w:val="0"/>
                <w:szCs w:val="22"/>
              </w:rPr>
              <w:t>WQVB974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47EF858" w14:textId="77777777">
            <w:pPr>
              <w:widowControl/>
              <w:jc w:val="center"/>
              <w:rPr>
                <w:snapToGrid/>
                <w:color w:val="000000"/>
                <w:kern w:val="0"/>
                <w:szCs w:val="22"/>
              </w:rPr>
            </w:pPr>
            <w:r w:rsidRPr="006E1513">
              <w:rPr>
                <w:snapToGrid/>
                <w:color w:val="000000"/>
                <w:kern w:val="0"/>
                <w:szCs w:val="22"/>
              </w:rPr>
              <w:t>151.0625</w:t>
            </w:r>
          </w:p>
        </w:tc>
      </w:tr>
      <w:tr w14:paraId="1CF7A5B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D5B3865" w14:textId="77777777">
            <w:pPr>
              <w:widowControl/>
              <w:jc w:val="center"/>
              <w:rPr>
                <w:snapToGrid/>
                <w:color w:val="000000"/>
                <w:kern w:val="0"/>
                <w:szCs w:val="22"/>
              </w:rPr>
            </w:pPr>
            <w:r w:rsidRPr="006E1513">
              <w:rPr>
                <w:snapToGrid/>
                <w:color w:val="000000"/>
                <w:kern w:val="0"/>
                <w:szCs w:val="22"/>
              </w:rPr>
              <w:t>WQVB974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F8F713A" w14:textId="77777777">
            <w:pPr>
              <w:widowControl/>
              <w:jc w:val="center"/>
              <w:rPr>
                <w:snapToGrid/>
                <w:color w:val="000000"/>
                <w:kern w:val="0"/>
                <w:szCs w:val="22"/>
              </w:rPr>
            </w:pPr>
            <w:r w:rsidRPr="006E1513">
              <w:rPr>
                <w:snapToGrid/>
                <w:color w:val="000000"/>
                <w:kern w:val="0"/>
                <w:szCs w:val="22"/>
              </w:rPr>
              <w:t>151.325</w:t>
            </w:r>
          </w:p>
        </w:tc>
      </w:tr>
      <w:tr w14:paraId="5595E07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39C7F85" w14:textId="77777777">
            <w:pPr>
              <w:widowControl/>
              <w:jc w:val="center"/>
              <w:rPr>
                <w:snapToGrid/>
                <w:color w:val="000000"/>
                <w:kern w:val="0"/>
                <w:szCs w:val="22"/>
              </w:rPr>
            </w:pPr>
            <w:r w:rsidRPr="006E1513">
              <w:rPr>
                <w:snapToGrid/>
                <w:color w:val="000000"/>
                <w:kern w:val="0"/>
                <w:szCs w:val="22"/>
              </w:rPr>
              <w:t>WQVB974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5D4F3B3" w14:textId="77777777">
            <w:pPr>
              <w:widowControl/>
              <w:jc w:val="center"/>
              <w:rPr>
                <w:snapToGrid/>
                <w:color w:val="000000"/>
                <w:kern w:val="0"/>
                <w:szCs w:val="22"/>
              </w:rPr>
            </w:pPr>
            <w:r w:rsidRPr="006E1513">
              <w:rPr>
                <w:snapToGrid/>
                <w:color w:val="000000"/>
                <w:kern w:val="0"/>
                <w:szCs w:val="22"/>
              </w:rPr>
              <w:t>151.4975</w:t>
            </w:r>
          </w:p>
        </w:tc>
      </w:tr>
      <w:tr w14:paraId="3A654A9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1D0DED0" w14:textId="77777777">
            <w:pPr>
              <w:widowControl/>
              <w:jc w:val="center"/>
              <w:rPr>
                <w:snapToGrid/>
                <w:color w:val="000000"/>
                <w:kern w:val="0"/>
                <w:szCs w:val="22"/>
              </w:rPr>
            </w:pPr>
            <w:r w:rsidRPr="006E1513">
              <w:rPr>
                <w:snapToGrid/>
                <w:color w:val="000000"/>
                <w:kern w:val="0"/>
                <w:szCs w:val="22"/>
              </w:rPr>
              <w:t>WQVB974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500CA7E" w14:textId="77777777">
            <w:pPr>
              <w:widowControl/>
              <w:jc w:val="center"/>
              <w:rPr>
                <w:snapToGrid/>
                <w:color w:val="000000"/>
                <w:kern w:val="0"/>
                <w:szCs w:val="22"/>
              </w:rPr>
            </w:pPr>
            <w:r w:rsidRPr="006E1513">
              <w:rPr>
                <w:snapToGrid/>
                <w:color w:val="000000"/>
                <w:kern w:val="0"/>
                <w:szCs w:val="22"/>
              </w:rPr>
              <w:t>153.8075</w:t>
            </w:r>
          </w:p>
        </w:tc>
      </w:tr>
      <w:tr w14:paraId="66D2DB3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AEA942F" w14:textId="77777777">
            <w:pPr>
              <w:widowControl/>
              <w:jc w:val="center"/>
              <w:rPr>
                <w:snapToGrid/>
                <w:color w:val="000000"/>
                <w:kern w:val="0"/>
                <w:szCs w:val="22"/>
              </w:rPr>
            </w:pPr>
            <w:r w:rsidRPr="006E1513">
              <w:rPr>
                <w:snapToGrid/>
                <w:color w:val="000000"/>
                <w:kern w:val="0"/>
                <w:szCs w:val="22"/>
              </w:rPr>
              <w:t>WQVB974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443C469" w14:textId="77777777">
            <w:pPr>
              <w:widowControl/>
              <w:jc w:val="center"/>
              <w:rPr>
                <w:snapToGrid/>
                <w:color w:val="000000"/>
                <w:kern w:val="0"/>
                <w:szCs w:val="22"/>
              </w:rPr>
            </w:pPr>
            <w:r w:rsidRPr="006E1513">
              <w:rPr>
                <w:snapToGrid/>
                <w:color w:val="000000"/>
                <w:kern w:val="0"/>
                <w:szCs w:val="22"/>
              </w:rPr>
              <w:t>153.9125</w:t>
            </w:r>
          </w:p>
        </w:tc>
      </w:tr>
      <w:tr w14:paraId="35A2860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230BC8D" w14:textId="77777777">
            <w:pPr>
              <w:widowControl/>
              <w:jc w:val="center"/>
              <w:rPr>
                <w:snapToGrid/>
                <w:color w:val="000000"/>
                <w:kern w:val="0"/>
                <w:szCs w:val="22"/>
              </w:rPr>
            </w:pPr>
            <w:r w:rsidRPr="006E1513">
              <w:rPr>
                <w:snapToGrid/>
                <w:color w:val="000000"/>
                <w:kern w:val="0"/>
                <w:szCs w:val="22"/>
              </w:rPr>
              <w:t>WQVB974</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2BE3274" w14:textId="77777777">
            <w:pPr>
              <w:widowControl/>
              <w:jc w:val="center"/>
              <w:rPr>
                <w:snapToGrid/>
                <w:color w:val="000000"/>
                <w:kern w:val="0"/>
                <w:szCs w:val="22"/>
              </w:rPr>
            </w:pPr>
            <w:r w:rsidRPr="006E1513">
              <w:rPr>
                <w:snapToGrid/>
                <w:color w:val="000000"/>
                <w:kern w:val="0"/>
                <w:szCs w:val="22"/>
              </w:rPr>
              <w:t>154.8975</w:t>
            </w:r>
          </w:p>
        </w:tc>
      </w:tr>
      <w:tr w14:paraId="177C684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6FD6881" w14:textId="77777777">
            <w:pPr>
              <w:widowControl/>
              <w:jc w:val="center"/>
              <w:rPr>
                <w:snapToGrid/>
                <w:color w:val="000000"/>
                <w:kern w:val="0"/>
                <w:szCs w:val="22"/>
              </w:rPr>
            </w:pPr>
            <w:r w:rsidRPr="006E1513">
              <w:rPr>
                <w:snapToGrid/>
                <w:color w:val="000000"/>
                <w:kern w:val="0"/>
                <w:szCs w:val="22"/>
              </w:rPr>
              <w:t>WQUG532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29EF727" w14:textId="77777777">
            <w:pPr>
              <w:widowControl/>
              <w:jc w:val="center"/>
              <w:rPr>
                <w:snapToGrid/>
                <w:color w:val="000000"/>
                <w:kern w:val="0"/>
                <w:szCs w:val="22"/>
              </w:rPr>
            </w:pPr>
            <w:r w:rsidRPr="006E1513">
              <w:rPr>
                <w:snapToGrid/>
                <w:color w:val="000000"/>
                <w:kern w:val="0"/>
                <w:szCs w:val="22"/>
              </w:rPr>
              <w:t>151.265</w:t>
            </w:r>
          </w:p>
        </w:tc>
      </w:tr>
      <w:tr w14:paraId="21A32FD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AB99F8C" w14:textId="77777777">
            <w:pPr>
              <w:widowControl/>
              <w:jc w:val="center"/>
              <w:rPr>
                <w:snapToGrid/>
                <w:color w:val="000000"/>
                <w:kern w:val="0"/>
                <w:szCs w:val="22"/>
              </w:rPr>
            </w:pPr>
            <w:r w:rsidRPr="006E1513">
              <w:rPr>
                <w:snapToGrid/>
                <w:color w:val="000000"/>
                <w:kern w:val="0"/>
                <w:szCs w:val="22"/>
              </w:rPr>
              <w:t>WQUG532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E2A8E55" w14:textId="77777777">
            <w:pPr>
              <w:widowControl/>
              <w:jc w:val="center"/>
              <w:rPr>
                <w:snapToGrid/>
                <w:color w:val="000000"/>
                <w:kern w:val="0"/>
                <w:szCs w:val="22"/>
              </w:rPr>
            </w:pPr>
            <w:r w:rsidRPr="006E1513">
              <w:rPr>
                <w:snapToGrid/>
                <w:color w:val="000000"/>
                <w:kern w:val="0"/>
                <w:szCs w:val="22"/>
              </w:rPr>
              <w:t>154.68</w:t>
            </w:r>
          </w:p>
        </w:tc>
      </w:tr>
      <w:tr w14:paraId="7F7A03B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C701B16" w14:textId="77777777">
            <w:pPr>
              <w:widowControl/>
              <w:jc w:val="center"/>
              <w:rPr>
                <w:snapToGrid/>
                <w:color w:val="000000"/>
                <w:kern w:val="0"/>
                <w:szCs w:val="22"/>
              </w:rPr>
            </w:pPr>
            <w:r w:rsidRPr="006E1513">
              <w:rPr>
                <w:snapToGrid/>
                <w:color w:val="000000"/>
                <w:kern w:val="0"/>
                <w:szCs w:val="22"/>
              </w:rPr>
              <w:t>WQUG532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3CBE0C0" w14:textId="77777777">
            <w:pPr>
              <w:widowControl/>
              <w:jc w:val="center"/>
              <w:rPr>
                <w:snapToGrid/>
                <w:color w:val="000000"/>
                <w:kern w:val="0"/>
                <w:szCs w:val="22"/>
              </w:rPr>
            </w:pPr>
            <w:r w:rsidRPr="006E1513">
              <w:rPr>
                <w:snapToGrid/>
                <w:color w:val="000000"/>
                <w:kern w:val="0"/>
                <w:szCs w:val="22"/>
              </w:rPr>
              <w:t>154.9425</w:t>
            </w:r>
          </w:p>
        </w:tc>
      </w:tr>
      <w:tr w14:paraId="161A4C9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6ED2E6B" w14:textId="77777777">
            <w:pPr>
              <w:widowControl/>
              <w:jc w:val="center"/>
              <w:rPr>
                <w:snapToGrid/>
                <w:color w:val="000000"/>
                <w:kern w:val="0"/>
                <w:szCs w:val="22"/>
              </w:rPr>
            </w:pPr>
            <w:r w:rsidRPr="006E1513">
              <w:rPr>
                <w:snapToGrid/>
                <w:color w:val="000000"/>
                <w:kern w:val="0"/>
                <w:szCs w:val="22"/>
              </w:rPr>
              <w:t>WQUG532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41A757E" w14:textId="77777777">
            <w:pPr>
              <w:widowControl/>
              <w:jc w:val="center"/>
              <w:rPr>
                <w:snapToGrid/>
                <w:color w:val="000000"/>
                <w:kern w:val="0"/>
                <w:szCs w:val="22"/>
              </w:rPr>
            </w:pPr>
            <w:r w:rsidRPr="006E1513">
              <w:rPr>
                <w:snapToGrid/>
                <w:color w:val="000000"/>
                <w:kern w:val="0"/>
                <w:szCs w:val="22"/>
              </w:rPr>
              <w:t>156.03</w:t>
            </w:r>
          </w:p>
        </w:tc>
      </w:tr>
      <w:tr w14:paraId="53F0CDD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9F8692A" w14:textId="77777777">
            <w:pPr>
              <w:widowControl/>
              <w:jc w:val="center"/>
              <w:rPr>
                <w:snapToGrid/>
                <w:color w:val="000000"/>
                <w:kern w:val="0"/>
                <w:szCs w:val="22"/>
              </w:rPr>
            </w:pPr>
            <w:r w:rsidRPr="006E1513">
              <w:rPr>
                <w:snapToGrid/>
                <w:color w:val="000000"/>
                <w:kern w:val="0"/>
                <w:szCs w:val="22"/>
              </w:rPr>
              <w:t>WQUG532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9E727DB" w14:textId="77777777">
            <w:pPr>
              <w:widowControl/>
              <w:jc w:val="center"/>
              <w:rPr>
                <w:snapToGrid/>
                <w:color w:val="000000"/>
                <w:kern w:val="0"/>
                <w:szCs w:val="22"/>
              </w:rPr>
            </w:pPr>
            <w:r w:rsidRPr="006E1513">
              <w:rPr>
                <w:snapToGrid/>
                <w:color w:val="000000"/>
                <w:kern w:val="0"/>
                <w:szCs w:val="22"/>
              </w:rPr>
              <w:t>158.955</w:t>
            </w:r>
          </w:p>
        </w:tc>
      </w:tr>
      <w:tr w14:paraId="2777647B"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8162778" w14:textId="77777777">
            <w:pPr>
              <w:widowControl/>
              <w:jc w:val="center"/>
              <w:rPr>
                <w:snapToGrid/>
                <w:color w:val="000000"/>
                <w:kern w:val="0"/>
                <w:szCs w:val="22"/>
              </w:rPr>
            </w:pPr>
            <w:r w:rsidRPr="006E1513">
              <w:rPr>
                <w:snapToGrid/>
                <w:color w:val="000000"/>
                <w:kern w:val="0"/>
                <w:szCs w:val="22"/>
              </w:rPr>
              <w:t>WQUG532</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4F5096C" w14:textId="77777777">
            <w:pPr>
              <w:widowControl/>
              <w:jc w:val="center"/>
              <w:rPr>
                <w:snapToGrid/>
                <w:color w:val="000000"/>
                <w:kern w:val="0"/>
                <w:szCs w:val="22"/>
              </w:rPr>
            </w:pPr>
            <w:r w:rsidRPr="006E1513">
              <w:rPr>
                <w:snapToGrid/>
                <w:color w:val="000000"/>
                <w:kern w:val="0"/>
                <w:szCs w:val="22"/>
              </w:rPr>
              <w:t>159.045</w:t>
            </w:r>
          </w:p>
        </w:tc>
      </w:tr>
      <w:tr w14:paraId="684B469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A5679E8" w14:textId="77777777">
            <w:pPr>
              <w:widowControl/>
              <w:jc w:val="center"/>
              <w:rPr>
                <w:snapToGrid/>
                <w:color w:val="000000"/>
                <w:kern w:val="0"/>
                <w:szCs w:val="22"/>
              </w:rPr>
            </w:pPr>
            <w:r w:rsidRPr="006E1513">
              <w:rPr>
                <w:snapToGrid/>
                <w:color w:val="000000"/>
                <w:kern w:val="0"/>
                <w:szCs w:val="22"/>
              </w:rPr>
              <w:t>WQVV846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28F8E19" w14:textId="77777777">
            <w:pPr>
              <w:widowControl/>
              <w:jc w:val="center"/>
              <w:rPr>
                <w:snapToGrid/>
                <w:color w:val="000000"/>
                <w:kern w:val="0"/>
                <w:szCs w:val="22"/>
              </w:rPr>
            </w:pPr>
            <w:r w:rsidRPr="006E1513">
              <w:rPr>
                <w:snapToGrid/>
                <w:color w:val="000000"/>
                <w:kern w:val="0"/>
                <w:szCs w:val="22"/>
              </w:rPr>
              <w:t>151.0625</w:t>
            </w:r>
          </w:p>
        </w:tc>
      </w:tr>
      <w:tr w14:paraId="6B04864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AE03C8A" w14:textId="77777777">
            <w:pPr>
              <w:widowControl/>
              <w:jc w:val="center"/>
              <w:rPr>
                <w:snapToGrid/>
                <w:color w:val="000000"/>
                <w:kern w:val="0"/>
                <w:szCs w:val="22"/>
              </w:rPr>
            </w:pPr>
            <w:r w:rsidRPr="006E1513">
              <w:rPr>
                <w:snapToGrid/>
                <w:color w:val="000000"/>
                <w:kern w:val="0"/>
                <w:szCs w:val="22"/>
              </w:rPr>
              <w:t>WQVV846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77F559E" w14:textId="77777777">
            <w:pPr>
              <w:widowControl/>
              <w:jc w:val="center"/>
              <w:rPr>
                <w:snapToGrid/>
                <w:color w:val="000000"/>
                <w:kern w:val="0"/>
                <w:szCs w:val="22"/>
              </w:rPr>
            </w:pPr>
            <w:r w:rsidRPr="006E1513">
              <w:rPr>
                <w:snapToGrid/>
                <w:color w:val="000000"/>
                <w:kern w:val="0"/>
                <w:szCs w:val="22"/>
              </w:rPr>
              <w:t>154.9425</w:t>
            </w:r>
          </w:p>
        </w:tc>
      </w:tr>
      <w:tr w14:paraId="4F866DF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7A069F9" w14:textId="77777777">
            <w:pPr>
              <w:widowControl/>
              <w:jc w:val="center"/>
              <w:rPr>
                <w:snapToGrid/>
                <w:color w:val="000000"/>
                <w:kern w:val="0"/>
                <w:szCs w:val="22"/>
              </w:rPr>
            </w:pPr>
            <w:r w:rsidRPr="006E1513">
              <w:rPr>
                <w:snapToGrid/>
                <w:color w:val="000000"/>
                <w:kern w:val="0"/>
                <w:szCs w:val="22"/>
              </w:rPr>
              <w:t>WQVV846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00E4C00" w14:textId="77777777">
            <w:pPr>
              <w:widowControl/>
              <w:jc w:val="center"/>
              <w:rPr>
                <w:snapToGrid/>
                <w:color w:val="000000"/>
                <w:kern w:val="0"/>
                <w:szCs w:val="22"/>
              </w:rPr>
            </w:pPr>
            <w:r w:rsidRPr="006E1513">
              <w:rPr>
                <w:snapToGrid/>
                <w:color w:val="000000"/>
                <w:kern w:val="0"/>
                <w:szCs w:val="22"/>
              </w:rPr>
              <w:t>155.0775</w:t>
            </w:r>
          </w:p>
        </w:tc>
      </w:tr>
      <w:tr w14:paraId="49C59B8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335B85B" w14:textId="77777777">
            <w:pPr>
              <w:widowControl/>
              <w:jc w:val="center"/>
              <w:rPr>
                <w:snapToGrid/>
                <w:color w:val="000000"/>
                <w:kern w:val="0"/>
                <w:szCs w:val="22"/>
              </w:rPr>
            </w:pPr>
            <w:r w:rsidRPr="006E1513">
              <w:rPr>
                <w:snapToGrid/>
                <w:color w:val="000000"/>
                <w:kern w:val="0"/>
                <w:szCs w:val="22"/>
              </w:rPr>
              <w:t>WQVV846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EEE5F29" w14:textId="77777777">
            <w:pPr>
              <w:widowControl/>
              <w:jc w:val="center"/>
              <w:rPr>
                <w:snapToGrid/>
                <w:color w:val="000000"/>
                <w:kern w:val="0"/>
                <w:szCs w:val="22"/>
              </w:rPr>
            </w:pPr>
            <w:r w:rsidRPr="006E1513">
              <w:rPr>
                <w:snapToGrid/>
                <w:color w:val="000000"/>
                <w:kern w:val="0"/>
                <w:szCs w:val="22"/>
              </w:rPr>
              <w:t>155.9175</w:t>
            </w:r>
          </w:p>
        </w:tc>
      </w:tr>
      <w:tr w14:paraId="2F29D3E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CEBAE8E" w14:textId="77777777">
            <w:pPr>
              <w:widowControl/>
              <w:jc w:val="center"/>
              <w:rPr>
                <w:snapToGrid/>
                <w:color w:val="000000"/>
                <w:kern w:val="0"/>
                <w:szCs w:val="22"/>
              </w:rPr>
            </w:pPr>
            <w:r w:rsidRPr="006E1513">
              <w:rPr>
                <w:snapToGrid/>
                <w:color w:val="000000"/>
                <w:kern w:val="0"/>
                <w:szCs w:val="22"/>
              </w:rPr>
              <w:t>WQVV846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8945FBE" w14:textId="77777777">
            <w:pPr>
              <w:widowControl/>
              <w:jc w:val="center"/>
              <w:rPr>
                <w:snapToGrid/>
                <w:color w:val="000000"/>
                <w:kern w:val="0"/>
                <w:szCs w:val="22"/>
              </w:rPr>
            </w:pPr>
            <w:r w:rsidRPr="006E1513">
              <w:rPr>
                <w:snapToGrid/>
                <w:color w:val="000000"/>
                <w:kern w:val="0"/>
                <w:szCs w:val="22"/>
              </w:rPr>
              <w:t>159.0525</w:t>
            </w:r>
          </w:p>
        </w:tc>
      </w:tr>
      <w:tr w14:paraId="3C79EBB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2B39451" w14:textId="77777777">
            <w:pPr>
              <w:widowControl/>
              <w:jc w:val="center"/>
              <w:rPr>
                <w:snapToGrid/>
                <w:color w:val="000000"/>
                <w:kern w:val="0"/>
                <w:szCs w:val="22"/>
              </w:rPr>
            </w:pPr>
            <w:r w:rsidRPr="006E1513">
              <w:rPr>
                <w:snapToGrid/>
                <w:color w:val="000000"/>
                <w:kern w:val="0"/>
                <w:szCs w:val="22"/>
              </w:rPr>
              <w:t>WQVV846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E4DDF3C" w14:textId="77777777">
            <w:pPr>
              <w:widowControl/>
              <w:jc w:val="center"/>
              <w:rPr>
                <w:snapToGrid/>
                <w:color w:val="000000"/>
                <w:kern w:val="0"/>
                <w:szCs w:val="22"/>
              </w:rPr>
            </w:pPr>
            <w:r w:rsidRPr="006E1513">
              <w:rPr>
                <w:snapToGrid/>
                <w:color w:val="000000"/>
                <w:kern w:val="0"/>
                <w:szCs w:val="22"/>
              </w:rPr>
              <w:t>159.2625</w:t>
            </w:r>
          </w:p>
        </w:tc>
      </w:tr>
      <w:tr w14:paraId="6DF4B0E7"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C54D37A" w14:textId="77777777">
            <w:pPr>
              <w:widowControl/>
              <w:jc w:val="center"/>
              <w:rPr>
                <w:snapToGrid/>
                <w:color w:val="000000"/>
                <w:kern w:val="0"/>
                <w:szCs w:val="22"/>
              </w:rPr>
            </w:pPr>
            <w:r w:rsidRPr="006E1513">
              <w:rPr>
                <w:snapToGrid/>
                <w:color w:val="000000"/>
                <w:kern w:val="0"/>
                <w:szCs w:val="22"/>
              </w:rPr>
              <w:t>WQVG946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4D41BCCC" w14:textId="77777777">
            <w:pPr>
              <w:widowControl/>
              <w:jc w:val="center"/>
              <w:rPr>
                <w:snapToGrid/>
                <w:color w:val="000000"/>
                <w:kern w:val="0"/>
                <w:szCs w:val="22"/>
              </w:rPr>
            </w:pPr>
            <w:r w:rsidRPr="006E1513">
              <w:rPr>
                <w:snapToGrid/>
                <w:color w:val="000000"/>
                <w:kern w:val="0"/>
                <w:szCs w:val="22"/>
              </w:rPr>
              <w:t>151.3175</w:t>
            </w:r>
          </w:p>
        </w:tc>
      </w:tr>
      <w:tr w14:paraId="76EE384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F33831B" w14:textId="77777777">
            <w:pPr>
              <w:widowControl/>
              <w:jc w:val="center"/>
              <w:rPr>
                <w:snapToGrid/>
                <w:color w:val="000000"/>
                <w:kern w:val="0"/>
                <w:szCs w:val="22"/>
              </w:rPr>
            </w:pPr>
            <w:r w:rsidRPr="006E1513">
              <w:rPr>
                <w:snapToGrid/>
                <w:color w:val="000000"/>
                <w:kern w:val="0"/>
                <w:szCs w:val="22"/>
              </w:rPr>
              <w:t>WQVG946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6397FF2" w14:textId="77777777">
            <w:pPr>
              <w:widowControl/>
              <w:jc w:val="center"/>
              <w:rPr>
                <w:snapToGrid/>
                <w:color w:val="000000"/>
                <w:kern w:val="0"/>
                <w:szCs w:val="22"/>
              </w:rPr>
            </w:pPr>
            <w:r w:rsidRPr="006E1513">
              <w:rPr>
                <w:snapToGrid/>
                <w:color w:val="000000"/>
                <w:kern w:val="0"/>
                <w:szCs w:val="22"/>
              </w:rPr>
              <w:t>154.74</w:t>
            </w:r>
          </w:p>
        </w:tc>
      </w:tr>
      <w:tr w14:paraId="41D1C05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BF22C67" w14:textId="77777777">
            <w:pPr>
              <w:widowControl/>
              <w:jc w:val="center"/>
              <w:rPr>
                <w:snapToGrid/>
                <w:color w:val="000000"/>
                <w:kern w:val="0"/>
                <w:szCs w:val="22"/>
              </w:rPr>
            </w:pPr>
            <w:r w:rsidRPr="006E1513">
              <w:rPr>
                <w:snapToGrid/>
                <w:color w:val="000000"/>
                <w:kern w:val="0"/>
                <w:szCs w:val="22"/>
              </w:rPr>
              <w:t>WQVG946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49E23D8" w14:textId="77777777">
            <w:pPr>
              <w:widowControl/>
              <w:jc w:val="center"/>
              <w:rPr>
                <w:snapToGrid/>
                <w:color w:val="000000"/>
                <w:kern w:val="0"/>
                <w:szCs w:val="22"/>
              </w:rPr>
            </w:pPr>
            <w:r w:rsidRPr="006E1513">
              <w:rPr>
                <w:snapToGrid/>
                <w:color w:val="000000"/>
                <w:kern w:val="0"/>
                <w:szCs w:val="22"/>
              </w:rPr>
              <w:t>154.935</w:t>
            </w:r>
          </w:p>
        </w:tc>
      </w:tr>
      <w:tr w14:paraId="0071310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6CC2C76" w14:textId="77777777">
            <w:pPr>
              <w:widowControl/>
              <w:jc w:val="center"/>
              <w:rPr>
                <w:snapToGrid/>
                <w:color w:val="000000"/>
                <w:kern w:val="0"/>
                <w:szCs w:val="22"/>
              </w:rPr>
            </w:pPr>
            <w:r w:rsidRPr="006E1513">
              <w:rPr>
                <w:snapToGrid/>
                <w:color w:val="000000"/>
                <w:kern w:val="0"/>
                <w:szCs w:val="22"/>
              </w:rPr>
              <w:t>WQVG946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1D26B76" w14:textId="77777777">
            <w:pPr>
              <w:widowControl/>
              <w:jc w:val="center"/>
              <w:rPr>
                <w:snapToGrid/>
                <w:color w:val="000000"/>
                <w:kern w:val="0"/>
                <w:szCs w:val="22"/>
              </w:rPr>
            </w:pPr>
            <w:r w:rsidRPr="006E1513">
              <w:rPr>
                <w:snapToGrid/>
                <w:color w:val="000000"/>
                <w:kern w:val="0"/>
                <w:szCs w:val="22"/>
              </w:rPr>
              <w:t>156.0675</w:t>
            </w:r>
          </w:p>
        </w:tc>
      </w:tr>
      <w:tr w14:paraId="036E34E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171FAD7" w14:textId="77777777">
            <w:pPr>
              <w:widowControl/>
              <w:jc w:val="center"/>
              <w:rPr>
                <w:snapToGrid/>
                <w:color w:val="000000"/>
                <w:kern w:val="0"/>
                <w:szCs w:val="22"/>
              </w:rPr>
            </w:pPr>
            <w:r w:rsidRPr="006E1513">
              <w:rPr>
                <w:snapToGrid/>
                <w:color w:val="000000"/>
                <w:kern w:val="0"/>
                <w:szCs w:val="22"/>
              </w:rPr>
              <w:t>WQVG946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CB0BDCC" w14:textId="77777777">
            <w:pPr>
              <w:widowControl/>
              <w:jc w:val="center"/>
              <w:rPr>
                <w:snapToGrid/>
                <w:color w:val="000000"/>
                <w:kern w:val="0"/>
                <w:szCs w:val="22"/>
              </w:rPr>
            </w:pPr>
            <w:r w:rsidRPr="006E1513">
              <w:rPr>
                <w:snapToGrid/>
                <w:color w:val="000000"/>
                <w:kern w:val="0"/>
                <w:szCs w:val="22"/>
              </w:rPr>
              <w:t>156.0825</w:t>
            </w:r>
          </w:p>
        </w:tc>
      </w:tr>
      <w:tr w14:paraId="0B02C95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5F130C7" w14:textId="77777777">
            <w:pPr>
              <w:widowControl/>
              <w:jc w:val="center"/>
              <w:rPr>
                <w:snapToGrid/>
                <w:color w:val="000000"/>
                <w:kern w:val="0"/>
                <w:szCs w:val="22"/>
              </w:rPr>
            </w:pPr>
            <w:r w:rsidRPr="006E1513">
              <w:rPr>
                <w:snapToGrid/>
                <w:color w:val="000000"/>
                <w:kern w:val="0"/>
                <w:szCs w:val="22"/>
              </w:rPr>
              <w:t>WQVG946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0E9237B" w14:textId="77777777">
            <w:pPr>
              <w:widowControl/>
              <w:jc w:val="center"/>
              <w:rPr>
                <w:snapToGrid/>
                <w:color w:val="000000"/>
                <w:kern w:val="0"/>
                <w:szCs w:val="22"/>
              </w:rPr>
            </w:pPr>
            <w:r w:rsidRPr="006E1513">
              <w:rPr>
                <w:snapToGrid/>
                <w:color w:val="000000"/>
                <w:kern w:val="0"/>
                <w:szCs w:val="22"/>
              </w:rPr>
              <w:t>156.15</w:t>
            </w:r>
          </w:p>
        </w:tc>
      </w:tr>
      <w:tr w14:paraId="7981A2C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4F346DC" w14:textId="77777777">
            <w:pPr>
              <w:widowControl/>
              <w:jc w:val="center"/>
              <w:rPr>
                <w:snapToGrid/>
                <w:color w:val="000000"/>
                <w:kern w:val="0"/>
                <w:szCs w:val="22"/>
              </w:rPr>
            </w:pPr>
            <w:r w:rsidRPr="006E1513">
              <w:rPr>
                <w:snapToGrid/>
                <w:color w:val="000000"/>
                <w:kern w:val="0"/>
                <w:szCs w:val="22"/>
              </w:rPr>
              <w:t>WQUI446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3F217A4" w14:textId="77777777">
            <w:pPr>
              <w:widowControl/>
              <w:jc w:val="center"/>
              <w:rPr>
                <w:snapToGrid/>
                <w:color w:val="000000"/>
                <w:kern w:val="0"/>
                <w:szCs w:val="22"/>
              </w:rPr>
            </w:pPr>
            <w:r w:rsidRPr="006E1513">
              <w:rPr>
                <w:snapToGrid/>
                <w:color w:val="000000"/>
                <w:kern w:val="0"/>
                <w:szCs w:val="22"/>
              </w:rPr>
              <w:t>155.19</w:t>
            </w:r>
          </w:p>
        </w:tc>
      </w:tr>
      <w:tr w14:paraId="1530BFD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D4E1387" w14:textId="77777777">
            <w:pPr>
              <w:widowControl/>
              <w:jc w:val="center"/>
              <w:rPr>
                <w:snapToGrid/>
                <w:color w:val="000000"/>
                <w:kern w:val="0"/>
                <w:szCs w:val="22"/>
              </w:rPr>
            </w:pPr>
            <w:r w:rsidRPr="006E1513">
              <w:rPr>
                <w:snapToGrid/>
                <w:color w:val="000000"/>
                <w:kern w:val="0"/>
                <w:szCs w:val="22"/>
              </w:rPr>
              <w:t>WQUI446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7500DDE" w14:textId="77777777">
            <w:pPr>
              <w:widowControl/>
              <w:jc w:val="center"/>
              <w:rPr>
                <w:snapToGrid/>
                <w:color w:val="000000"/>
                <w:kern w:val="0"/>
                <w:szCs w:val="22"/>
              </w:rPr>
            </w:pPr>
            <w:r w:rsidRPr="006E1513">
              <w:rPr>
                <w:snapToGrid/>
                <w:color w:val="000000"/>
                <w:kern w:val="0"/>
                <w:szCs w:val="22"/>
              </w:rPr>
              <w:t>155.46</w:t>
            </w:r>
          </w:p>
        </w:tc>
      </w:tr>
      <w:tr w14:paraId="4E4F18F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A3B50F4" w14:textId="77777777">
            <w:pPr>
              <w:widowControl/>
              <w:jc w:val="center"/>
              <w:rPr>
                <w:snapToGrid/>
                <w:color w:val="000000"/>
                <w:kern w:val="0"/>
                <w:szCs w:val="22"/>
              </w:rPr>
            </w:pPr>
            <w:r w:rsidRPr="006E1513">
              <w:rPr>
                <w:snapToGrid/>
                <w:color w:val="000000"/>
                <w:kern w:val="0"/>
                <w:szCs w:val="22"/>
              </w:rPr>
              <w:t>WQUI446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09D5192" w14:textId="77777777">
            <w:pPr>
              <w:widowControl/>
              <w:jc w:val="center"/>
              <w:rPr>
                <w:snapToGrid/>
                <w:color w:val="000000"/>
                <w:kern w:val="0"/>
                <w:szCs w:val="22"/>
              </w:rPr>
            </w:pPr>
            <w:r w:rsidRPr="006E1513">
              <w:rPr>
                <w:snapToGrid/>
                <w:color w:val="000000"/>
                <w:kern w:val="0"/>
                <w:szCs w:val="22"/>
              </w:rPr>
              <w:t>155.685</w:t>
            </w:r>
          </w:p>
        </w:tc>
      </w:tr>
      <w:tr w14:paraId="0F0172A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B7DAE25" w14:textId="77777777">
            <w:pPr>
              <w:widowControl/>
              <w:jc w:val="center"/>
              <w:rPr>
                <w:snapToGrid/>
                <w:color w:val="000000"/>
                <w:kern w:val="0"/>
                <w:szCs w:val="22"/>
              </w:rPr>
            </w:pPr>
            <w:r w:rsidRPr="006E1513">
              <w:rPr>
                <w:snapToGrid/>
                <w:color w:val="000000"/>
                <w:kern w:val="0"/>
                <w:szCs w:val="22"/>
              </w:rPr>
              <w:t>WQUI446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F8EA94B" w14:textId="77777777">
            <w:pPr>
              <w:widowControl/>
              <w:jc w:val="center"/>
              <w:rPr>
                <w:snapToGrid/>
                <w:color w:val="000000"/>
                <w:kern w:val="0"/>
                <w:szCs w:val="22"/>
              </w:rPr>
            </w:pPr>
            <w:r w:rsidRPr="006E1513">
              <w:rPr>
                <w:snapToGrid/>
                <w:color w:val="000000"/>
                <w:kern w:val="0"/>
                <w:szCs w:val="22"/>
              </w:rPr>
              <w:t>153.89</w:t>
            </w:r>
          </w:p>
        </w:tc>
      </w:tr>
      <w:tr w14:paraId="78B85E7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597F9F6" w14:textId="77777777">
            <w:pPr>
              <w:widowControl/>
              <w:jc w:val="center"/>
              <w:rPr>
                <w:snapToGrid/>
                <w:color w:val="000000"/>
                <w:kern w:val="0"/>
                <w:szCs w:val="22"/>
              </w:rPr>
            </w:pPr>
            <w:r w:rsidRPr="006E1513">
              <w:rPr>
                <w:snapToGrid/>
                <w:color w:val="000000"/>
                <w:kern w:val="0"/>
                <w:szCs w:val="22"/>
              </w:rPr>
              <w:t>WQUI446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25D19EC" w14:textId="77777777">
            <w:pPr>
              <w:widowControl/>
              <w:jc w:val="center"/>
              <w:rPr>
                <w:snapToGrid/>
                <w:color w:val="000000"/>
                <w:kern w:val="0"/>
                <w:szCs w:val="22"/>
              </w:rPr>
            </w:pPr>
            <w:r w:rsidRPr="006E1513">
              <w:rPr>
                <w:snapToGrid/>
                <w:color w:val="000000"/>
                <w:kern w:val="0"/>
                <w:szCs w:val="22"/>
              </w:rPr>
              <w:t>153.98</w:t>
            </w:r>
          </w:p>
        </w:tc>
      </w:tr>
      <w:tr w14:paraId="1F91269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40D7650" w14:textId="77777777">
            <w:pPr>
              <w:widowControl/>
              <w:jc w:val="center"/>
              <w:rPr>
                <w:snapToGrid/>
                <w:color w:val="000000"/>
                <w:kern w:val="0"/>
                <w:szCs w:val="22"/>
              </w:rPr>
            </w:pPr>
            <w:r w:rsidRPr="006E1513">
              <w:rPr>
                <w:snapToGrid/>
                <w:color w:val="000000"/>
                <w:kern w:val="0"/>
                <w:szCs w:val="22"/>
              </w:rPr>
              <w:t>WQUI446</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2380CEFB" w14:textId="77777777">
            <w:pPr>
              <w:widowControl/>
              <w:jc w:val="center"/>
              <w:rPr>
                <w:snapToGrid/>
                <w:color w:val="000000"/>
                <w:kern w:val="0"/>
                <w:szCs w:val="22"/>
              </w:rPr>
            </w:pPr>
            <w:r w:rsidRPr="006E1513">
              <w:rPr>
                <w:snapToGrid/>
                <w:color w:val="000000"/>
                <w:kern w:val="0"/>
                <w:szCs w:val="22"/>
              </w:rPr>
              <w:t>159</w:t>
            </w:r>
          </w:p>
        </w:tc>
      </w:tr>
      <w:tr w14:paraId="2035B4B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E821333" w14:textId="77777777">
            <w:pPr>
              <w:widowControl/>
              <w:jc w:val="center"/>
              <w:rPr>
                <w:snapToGrid/>
                <w:color w:val="000000"/>
                <w:kern w:val="0"/>
                <w:szCs w:val="22"/>
              </w:rPr>
            </w:pPr>
            <w:r w:rsidRPr="006E1513">
              <w:rPr>
                <w:snapToGrid/>
                <w:color w:val="000000"/>
                <w:kern w:val="0"/>
                <w:szCs w:val="22"/>
              </w:rPr>
              <w:t>WQWD725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F2742AC" w14:textId="77777777">
            <w:pPr>
              <w:widowControl/>
              <w:jc w:val="center"/>
              <w:rPr>
                <w:snapToGrid/>
                <w:color w:val="000000"/>
                <w:kern w:val="0"/>
                <w:szCs w:val="22"/>
              </w:rPr>
            </w:pPr>
            <w:r w:rsidRPr="006E1513">
              <w:rPr>
                <w:snapToGrid/>
                <w:color w:val="000000"/>
                <w:kern w:val="0"/>
                <w:szCs w:val="22"/>
              </w:rPr>
              <w:t>154.7925</w:t>
            </w:r>
          </w:p>
        </w:tc>
      </w:tr>
      <w:tr w14:paraId="6567C87C"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47620660" w14:textId="77777777">
            <w:pPr>
              <w:widowControl/>
              <w:jc w:val="center"/>
              <w:rPr>
                <w:snapToGrid/>
                <w:color w:val="000000"/>
                <w:kern w:val="0"/>
                <w:szCs w:val="22"/>
              </w:rPr>
            </w:pPr>
            <w:r w:rsidRPr="006E1513">
              <w:rPr>
                <w:snapToGrid/>
                <w:color w:val="000000"/>
                <w:kern w:val="0"/>
                <w:szCs w:val="22"/>
              </w:rPr>
              <w:t>WQWD725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69B786E" w14:textId="77777777">
            <w:pPr>
              <w:widowControl/>
              <w:jc w:val="center"/>
              <w:rPr>
                <w:snapToGrid/>
                <w:color w:val="000000"/>
                <w:kern w:val="0"/>
                <w:szCs w:val="22"/>
              </w:rPr>
            </w:pPr>
            <w:r w:rsidRPr="006E1513">
              <w:rPr>
                <w:snapToGrid/>
                <w:color w:val="000000"/>
                <w:kern w:val="0"/>
                <w:szCs w:val="22"/>
              </w:rPr>
              <w:t>154.9425</w:t>
            </w:r>
          </w:p>
        </w:tc>
      </w:tr>
      <w:tr w14:paraId="348003A1"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5983238C" w14:textId="77777777">
            <w:pPr>
              <w:widowControl/>
              <w:jc w:val="center"/>
              <w:rPr>
                <w:snapToGrid/>
                <w:color w:val="000000"/>
                <w:kern w:val="0"/>
                <w:szCs w:val="22"/>
              </w:rPr>
            </w:pPr>
            <w:r w:rsidRPr="006E1513">
              <w:rPr>
                <w:snapToGrid/>
                <w:color w:val="000000"/>
                <w:kern w:val="0"/>
                <w:szCs w:val="22"/>
              </w:rPr>
              <w:t>WQWD725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6F79E49" w14:textId="77777777">
            <w:pPr>
              <w:widowControl/>
              <w:jc w:val="center"/>
              <w:rPr>
                <w:snapToGrid/>
                <w:color w:val="000000"/>
                <w:kern w:val="0"/>
                <w:szCs w:val="22"/>
              </w:rPr>
            </w:pPr>
            <w:r w:rsidRPr="006E1513">
              <w:rPr>
                <w:snapToGrid/>
                <w:color w:val="000000"/>
                <w:kern w:val="0"/>
                <w:szCs w:val="22"/>
              </w:rPr>
              <w:t>156.1725</w:t>
            </w:r>
          </w:p>
        </w:tc>
      </w:tr>
      <w:tr w14:paraId="7D530458"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E17F84D" w14:textId="77777777">
            <w:pPr>
              <w:widowControl/>
              <w:jc w:val="center"/>
              <w:rPr>
                <w:snapToGrid/>
                <w:color w:val="000000"/>
                <w:kern w:val="0"/>
                <w:szCs w:val="22"/>
              </w:rPr>
            </w:pPr>
            <w:r w:rsidRPr="006E1513">
              <w:rPr>
                <w:snapToGrid/>
                <w:color w:val="000000"/>
                <w:kern w:val="0"/>
                <w:szCs w:val="22"/>
              </w:rPr>
              <w:t>WQWD725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89D8061" w14:textId="77777777">
            <w:pPr>
              <w:widowControl/>
              <w:jc w:val="center"/>
              <w:rPr>
                <w:snapToGrid/>
                <w:color w:val="000000"/>
                <w:kern w:val="0"/>
                <w:szCs w:val="22"/>
              </w:rPr>
            </w:pPr>
            <w:r w:rsidRPr="006E1513">
              <w:rPr>
                <w:snapToGrid/>
                <w:color w:val="000000"/>
                <w:kern w:val="0"/>
                <w:szCs w:val="22"/>
              </w:rPr>
              <w:t>151.3475</w:t>
            </w:r>
          </w:p>
        </w:tc>
      </w:tr>
      <w:tr w14:paraId="5C1024D5"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4DA8E84" w14:textId="77777777">
            <w:pPr>
              <w:widowControl/>
              <w:jc w:val="center"/>
              <w:rPr>
                <w:snapToGrid/>
                <w:color w:val="000000"/>
                <w:kern w:val="0"/>
                <w:szCs w:val="22"/>
              </w:rPr>
            </w:pPr>
            <w:r w:rsidRPr="006E1513">
              <w:rPr>
                <w:snapToGrid/>
                <w:color w:val="000000"/>
                <w:kern w:val="0"/>
                <w:szCs w:val="22"/>
              </w:rPr>
              <w:t>WQWD725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F9A432D" w14:textId="77777777">
            <w:pPr>
              <w:widowControl/>
              <w:jc w:val="center"/>
              <w:rPr>
                <w:snapToGrid/>
                <w:color w:val="000000"/>
                <w:kern w:val="0"/>
                <w:szCs w:val="22"/>
              </w:rPr>
            </w:pPr>
            <w:r w:rsidRPr="006E1513">
              <w:rPr>
                <w:snapToGrid/>
                <w:color w:val="000000"/>
                <w:kern w:val="0"/>
                <w:szCs w:val="22"/>
              </w:rPr>
              <w:t>158.7975</w:t>
            </w:r>
          </w:p>
        </w:tc>
      </w:tr>
      <w:tr w14:paraId="21A122C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261F996" w14:textId="77777777">
            <w:pPr>
              <w:widowControl/>
              <w:jc w:val="center"/>
              <w:rPr>
                <w:snapToGrid/>
                <w:color w:val="000000"/>
                <w:kern w:val="0"/>
                <w:szCs w:val="22"/>
              </w:rPr>
            </w:pPr>
            <w:r w:rsidRPr="006E1513">
              <w:rPr>
                <w:snapToGrid/>
                <w:color w:val="000000"/>
                <w:kern w:val="0"/>
                <w:szCs w:val="22"/>
              </w:rPr>
              <w:t>WQWD725</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3B0D326" w14:textId="77777777">
            <w:pPr>
              <w:widowControl/>
              <w:jc w:val="center"/>
              <w:rPr>
                <w:snapToGrid/>
                <w:color w:val="000000"/>
                <w:kern w:val="0"/>
                <w:szCs w:val="22"/>
              </w:rPr>
            </w:pPr>
            <w:r w:rsidRPr="006E1513">
              <w:rPr>
                <w:snapToGrid/>
                <w:color w:val="000000"/>
                <w:kern w:val="0"/>
                <w:szCs w:val="22"/>
              </w:rPr>
              <w:t>158.8575</w:t>
            </w:r>
          </w:p>
        </w:tc>
      </w:tr>
      <w:tr w14:paraId="2CB0B5D6"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DBF5108" w14:textId="77777777">
            <w:pPr>
              <w:widowControl/>
              <w:jc w:val="center"/>
              <w:rPr>
                <w:snapToGrid/>
                <w:color w:val="000000"/>
                <w:kern w:val="0"/>
                <w:szCs w:val="22"/>
              </w:rPr>
            </w:pPr>
            <w:r w:rsidRPr="006E1513">
              <w:rPr>
                <w:snapToGrid/>
                <w:color w:val="000000"/>
                <w:kern w:val="0"/>
                <w:szCs w:val="22"/>
              </w:rPr>
              <w:t>WQLS309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F94709A" w14:textId="77777777">
            <w:pPr>
              <w:widowControl/>
              <w:jc w:val="center"/>
              <w:rPr>
                <w:snapToGrid/>
                <w:color w:val="000000"/>
                <w:kern w:val="0"/>
                <w:szCs w:val="22"/>
              </w:rPr>
            </w:pPr>
            <w:r w:rsidRPr="006E1513">
              <w:rPr>
                <w:snapToGrid/>
                <w:color w:val="000000"/>
                <w:kern w:val="0"/>
                <w:szCs w:val="22"/>
              </w:rPr>
              <w:t>155.67</w:t>
            </w:r>
          </w:p>
        </w:tc>
      </w:tr>
      <w:tr w14:paraId="4C40E99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123CB02E" w14:textId="77777777">
            <w:pPr>
              <w:widowControl/>
              <w:jc w:val="center"/>
              <w:rPr>
                <w:snapToGrid/>
                <w:color w:val="000000"/>
                <w:kern w:val="0"/>
                <w:szCs w:val="22"/>
              </w:rPr>
            </w:pPr>
            <w:r w:rsidRPr="006E1513">
              <w:rPr>
                <w:snapToGrid/>
                <w:color w:val="000000"/>
                <w:kern w:val="0"/>
                <w:szCs w:val="22"/>
              </w:rPr>
              <w:t>WQLS309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D3F9B98" w14:textId="77777777">
            <w:pPr>
              <w:widowControl/>
              <w:jc w:val="center"/>
              <w:rPr>
                <w:snapToGrid/>
                <w:color w:val="000000"/>
                <w:kern w:val="0"/>
                <w:szCs w:val="22"/>
              </w:rPr>
            </w:pPr>
            <w:r w:rsidRPr="006E1513">
              <w:rPr>
                <w:snapToGrid/>
                <w:color w:val="000000"/>
                <w:kern w:val="0"/>
                <w:szCs w:val="22"/>
              </w:rPr>
              <w:t>155.505</w:t>
            </w:r>
          </w:p>
        </w:tc>
      </w:tr>
      <w:tr w14:paraId="03B7B28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14F0C3E" w14:textId="77777777">
            <w:pPr>
              <w:widowControl/>
              <w:jc w:val="center"/>
              <w:rPr>
                <w:snapToGrid/>
                <w:color w:val="000000"/>
                <w:kern w:val="0"/>
                <w:szCs w:val="22"/>
              </w:rPr>
            </w:pPr>
            <w:r w:rsidRPr="006E1513">
              <w:rPr>
                <w:snapToGrid/>
                <w:color w:val="000000"/>
                <w:kern w:val="0"/>
                <w:szCs w:val="22"/>
              </w:rPr>
              <w:t>WQLS309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095890F" w14:textId="77777777">
            <w:pPr>
              <w:widowControl/>
              <w:jc w:val="center"/>
              <w:rPr>
                <w:snapToGrid/>
                <w:color w:val="000000"/>
                <w:kern w:val="0"/>
                <w:szCs w:val="22"/>
              </w:rPr>
            </w:pPr>
            <w:r w:rsidRPr="006E1513">
              <w:rPr>
                <w:snapToGrid/>
                <w:color w:val="000000"/>
                <w:kern w:val="0"/>
                <w:szCs w:val="22"/>
              </w:rPr>
              <w:t>154.755</w:t>
            </w:r>
          </w:p>
        </w:tc>
      </w:tr>
      <w:tr w14:paraId="390E7AD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3948DA15" w14:textId="77777777">
            <w:pPr>
              <w:widowControl/>
              <w:jc w:val="center"/>
              <w:rPr>
                <w:snapToGrid/>
                <w:color w:val="000000"/>
                <w:kern w:val="0"/>
                <w:szCs w:val="22"/>
              </w:rPr>
            </w:pPr>
            <w:r w:rsidRPr="006E1513">
              <w:rPr>
                <w:snapToGrid/>
                <w:color w:val="000000"/>
                <w:kern w:val="0"/>
                <w:szCs w:val="22"/>
              </w:rPr>
              <w:t>WQLS309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AE33253" w14:textId="77777777">
            <w:pPr>
              <w:widowControl/>
              <w:jc w:val="center"/>
              <w:rPr>
                <w:snapToGrid/>
                <w:color w:val="000000"/>
                <w:kern w:val="0"/>
                <w:szCs w:val="22"/>
              </w:rPr>
            </w:pPr>
            <w:r w:rsidRPr="006E1513">
              <w:rPr>
                <w:snapToGrid/>
                <w:color w:val="000000"/>
                <w:kern w:val="0"/>
                <w:szCs w:val="22"/>
              </w:rPr>
              <w:t>159.33</w:t>
            </w:r>
          </w:p>
        </w:tc>
      </w:tr>
      <w:tr w14:paraId="6C8E720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B8A3D2C" w14:textId="77777777">
            <w:pPr>
              <w:widowControl/>
              <w:jc w:val="center"/>
              <w:rPr>
                <w:snapToGrid/>
                <w:color w:val="000000"/>
                <w:kern w:val="0"/>
                <w:szCs w:val="22"/>
              </w:rPr>
            </w:pPr>
            <w:r w:rsidRPr="006E1513">
              <w:rPr>
                <w:snapToGrid/>
                <w:color w:val="000000"/>
                <w:kern w:val="0"/>
                <w:szCs w:val="22"/>
              </w:rPr>
              <w:t>WQLS309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0159C95C" w14:textId="77777777">
            <w:pPr>
              <w:widowControl/>
              <w:jc w:val="center"/>
              <w:rPr>
                <w:snapToGrid/>
                <w:color w:val="000000"/>
                <w:kern w:val="0"/>
                <w:szCs w:val="22"/>
              </w:rPr>
            </w:pPr>
            <w:r w:rsidRPr="006E1513">
              <w:rPr>
                <w:snapToGrid/>
                <w:color w:val="000000"/>
                <w:kern w:val="0"/>
                <w:szCs w:val="22"/>
              </w:rPr>
              <w:t>159.0075</w:t>
            </w:r>
          </w:p>
        </w:tc>
      </w:tr>
      <w:tr w14:paraId="698BB63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FB8C1A5" w14:textId="77777777">
            <w:pPr>
              <w:widowControl/>
              <w:jc w:val="center"/>
              <w:rPr>
                <w:snapToGrid/>
                <w:color w:val="000000"/>
                <w:kern w:val="0"/>
                <w:szCs w:val="22"/>
              </w:rPr>
            </w:pPr>
            <w:r w:rsidRPr="006E1513">
              <w:rPr>
                <w:snapToGrid/>
                <w:color w:val="000000"/>
                <w:kern w:val="0"/>
                <w:szCs w:val="22"/>
              </w:rPr>
              <w:t>WQLS309</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DE9B32D" w14:textId="77777777">
            <w:pPr>
              <w:widowControl/>
              <w:jc w:val="center"/>
              <w:rPr>
                <w:snapToGrid/>
                <w:color w:val="000000"/>
                <w:kern w:val="0"/>
                <w:szCs w:val="22"/>
              </w:rPr>
            </w:pPr>
            <w:r w:rsidRPr="006E1513">
              <w:rPr>
                <w:snapToGrid/>
                <w:color w:val="000000"/>
                <w:kern w:val="0"/>
                <w:szCs w:val="22"/>
              </w:rPr>
              <w:t>158.925</w:t>
            </w:r>
          </w:p>
        </w:tc>
      </w:tr>
      <w:tr w14:paraId="635905C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FD93E68" w14:textId="77777777">
            <w:pPr>
              <w:widowControl/>
              <w:jc w:val="center"/>
              <w:rPr>
                <w:snapToGrid/>
                <w:color w:val="000000"/>
                <w:kern w:val="0"/>
                <w:szCs w:val="22"/>
              </w:rPr>
            </w:pPr>
            <w:r w:rsidRPr="006E1513">
              <w:rPr>
                <w:snapToGrid/>
                <w:color w:val="000000"/>
                <w:kern w:val="0"/>
                <w:szCs w:val="22"/>
              </w:rPr>
              <w:t>WRCE588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3C3BF5FF" w14:textId="77777777">
            <w:pPr>
              <w:widowControl/>
              <w:jc w:val="center"/>
              <w:rPr>
                <w:snapToGrid/>
                <w:color w:val="000000"/>
                <w:kern w:val="0"/>
                <w:szCs w:val="22"/>
              </w:rPr>
            </w:pPr>
            <w:r w:rsidRPr="006E1513">
              <w:rPr>
                <w:snapToGrid/>
                <w:color w:val="000000"/>
                <w:kern w:val="0"/>
                <w:szCs w:val="22"/>
              </w:rPr>
              <w:t>151.2575</w:t>
            </w:r>
          </w:p>
        </w:tc>
      </w:tr>
      <w:tr w14:paraId="799F0359"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93FDB2A" w14:textId="77777777">
            <w:pPr>
              <w:widowControl/>
              <w:jc w:val="center"/>
              <w:rPr>
                <w:snapToGrid/>
                <w:color w:val="000000"/>
                <w:kern w:val="0"/>
                <w:szCs w:val="22"/>
              </w:rPr>
            </w:pPr>
            <w:r w:rsidRPr="006E1513">
              <w:rPr>
                <w:snapToGrid/>
                <w:color w:val="000000"/>
                <w:kern w:val="0"/>
                <w:szCs w:val="22"/>
              </w:rPr>
              <w:t>WRCE588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51C7D0B8" w14:textId="77777777">
            <w:pPr>
              <w:widowControl/>
              <w:jc w:val="center"/>
              <w:rPr>
                <w:snapToGrid/>
                <w:color w:val="000000"/>
                <w:kern w:val="0"/>
                <w:szCs w:val="22"/>
              </w:rPr>
            </w:pPr>
            <w:r w:rsidRPr="006E1513">
              <w:rPr>
                <w:snapToGrid/>
                <w:color w:val="000000"/>
                <w:kern w:val="0"/>
                <w:szCs w:val="22"/>
              </w:rPr>
              <w:t>151.2725</w:t>
            </w:r>
          </w:p>
        </w:tc>
      </w:tr>
      <w:tr w14:paraId="0978A4F0"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64506BBC" w14:textId="77777777">
            <w:pPr>
              <w:widowControl/>
              <w:jc w:val="center"/>
              <w:rPr>
                <w:snapToGrid/>
                <w:color w:val="000000"/>
                <w:kern w:val="0"/>
                <w:szCs w:val="22"/>
              </w:rPr>
            </w:pPr>
            <w:r w:rsidRPr="006E1513">
              <w:rPr>
                <w:snapToGrid/>
                <w:color w:val="000000"/>
                <w:kern w:val="0"/>
                <w:szCs w:val="22"/>
              </w:rPr>
              <w:t>WRCE588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C41F59E" w14:textId="77777777">
            <w:pPr>
              <w:widowControl/>
              <w:jc w:val="center"/>
              <w:rPr>
                <w:snapToGrid/>
                <w:color w:val="000000"/>
                <w:kern w:val="0"/>
                <w:szCs w:val="22"/>
              </w:rPr>
            </w:pPr>
            <w:r w:rsidRPr="006E1513">
              <w:rPr>
                <w:snapToGrid/>
                <w:color w:val="000000"/>
                <w:kern w:val="0"/>
                <w:szCs w:val="22"/>
              </w:rPr>
              <w:t>151.2125</w:t>
            </w:r>
          </w:p>
        </w:tc>
      </w:tr>
      <w:tr w14:paraId="21F75E62"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745C4C72" w14:textId="77777777">
            <w:pPr>
              <w:widowControl/>
              <w:jc w:val="center"/>
              <w:rPr>
                <w:snapToGrid/>
                <w:color w:val="000000"/>
                <w:kern w:val="0"/>
                <w:szCs w:val="22"/>
              </w:rPr>
            </w:pPr>
            <w:r w:rsidRPr="006E1513">
              <w:rPr>
                <w:snapToGrid/>
                <w:color w:val="000000"/>
                <w:kern w:val="0"/>
                <w:szCs w:val="22"/>
              </w:rPr>
              <w:t>WRCE588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13EDB9A3" w14:textId="77777777">
            <w:pPr>
              <w:widowControl/>
              <w:jc w:val="center"/>
              <w:rPr>
                <w:snapToGrid/>
                <w:color w:val="000000"/>
                <w:kern w:val="0"/>
                <w:szCs w:val="22"/>
              </w:rPr>
            </w:pPr>
            <w:r w:rsidRPr="006E1513">
              <w:rPr>
                <w:snapToGrid/>
                <w:color w:val="000000"/>
                <w:kern w:val="0"/>
                <w:szCs w:val="22"/>
              </w:rPr>
              <w:t>154.95</w:t>
            </w:r>
          </w:p>
        </w:tc>
      </w:tr>
      <w:tr w14:paraId="266B8794"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29ECA9F9" w14:textId="77777777">
            <w:pPr>
              <w:widowControl/>
              <w:jc w:val="center"/>
              <w:rPr>
                <w:snapToGrid/>
                <w:color w:val="000000"/>
                <w:kern w:val="0"/>
                <w:szCs w:val="22"/>
              </w:rPr>
            </w:pPr>
            <w:r w:rsidRPr="006E1513">
              <w:rPr>
                <w:snapToGrid/>
                <w:color w:val="000000"/>
                <w:kern w:val="0"/>
                <w:szCs w:val="22"/>
              </w:rPr>
              <w:t>WRCE588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77417D29" w14:textId="77777777">
            <w:pPr>
              <w:widowControl/>
              <w:jc w:val="center"/>
              <w:rPr>
                <w:snapToGrid/>
                <w:color w:val="000000"/>
                <w:kern w:val="0"/>
                <w:szCs w:val="22"/>
              </w:rPr>
            </w:pPr>
            <w:r w:rsidRPr="006E1513">
              <w:rPr>
                <w:snapToGrid/>
                <w:color w:val="000000"/>
                <w:kern w:val="0"/>
                <w:szCs w:val="22"/>
              </w:rPr>
              <w:t>154.0025</w:t>
            </w:r>
          </w:p>
        </w:tc>
      </w:tr>
      <w:tr w14:paraId="48F6487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hideMark/>
          </w:tcPr>
          <w:p w:rsidR="004C6170" w:rsidRPr="006E1513" w:rsidP="00C2117C" w14:paraId="063D1202" w14:textId="77777777">
            <w:pPr>
              <w:widowControl/>
              <w:jc w:val="center"/>
              <w:rPr>
                <w:snapToGrid/>
                <w:color w:val="000000"/>
                <w:kern w:val="0"/>
                <w:szCs w:val="22"/>
              </w:rPr>
            </w:pPr>
            <w:r w:rsidRPr="006E1513">
              <w:rPr>
                <w:snapToGrid/>
                <w:color w:val="000000"/>
                <w:kern w:val="0"/>
                <w:szCs w:val="22"/>
              </w:rPr>
              <w:t>WRCE588</w:t>
            </w:r>
          </w:p>
        </w:tc>
        <w:tc>
          <w:tcPr>
            <w:tcW w:w="1340" w:type="dxa"/>
            <w:tcBorders>
              <w:top w:val="nil"/>
              <w:left w:val="nil"/>
              <w:bottom w:val="single" w:sz="4" w:space="0" w:color="auto"/>
              <w:right w:val="single" w:sz="4" w:space="0" w:color="auto"/>
            </w:tcBorders>
            <w:shd w:val="clear" w:color="auto" w:fill="auto"/>
            <w:noWrap/>
            <w:hideMark/>
          </w:tcPr>
          <w:p w:rsidR="004C6170" w:rsidRPr="006E1513" w:rsidP="00C2117C" w14:paraId="6FE89703" w14:textId="77777777">
            <w:pPr>
              <w:widowControl/>
              <w:jc w:val="center"/>
              <w:rPr>
                <w:snapToGrid/>
                <w:color w:val="000000"/>
                <w:kern w:val="0"/>
                <w:szCs w:val="22"/>
              </w:rPr>
            </w:pPr>
            <w:r w:rsidRPr="006E1513">
              <w:rPr>
                <w:snapToGrid/>
                <w:color w:val="000000"/>
                <w:kern w:val="0"/>
                <w:szCs w:val="22"/>
              </w:rPr>
              <w:t>158.895</w:t>
            </w:r>
          </w:p>
        </w:tc>
      </w:tr>
    </w:tbl>
    <w:p w:rsidR="004C6170" w:rsidRPr="00942596" w:rsidP="00C2117C" w14:paraId="01BB929F" w14:textId="78659D91">
      <w:pPr>
        <w:widowControl/>
        <w:rPr>
          <w:szCs w:val="22"/>
        </w:rPr>
        <w:sectPr w:rsidSect="006E1513">
          <w:endnotePr>
            <w:numFmt w:val="decimal"/>
          </w:endnotePr>
          <w:type w:val="continuous"/>
          <w:pgSz w:w="12240" w:h="15840"/>
          <w:pgMar w:top="1440" w:right="1440" w:bottom="720" w:left="1440" w:header="720" w:footer="720" w:gutter="0"/>
          <w:pgNumType w:start="1"/>
          <w:cols w:num="3" w:space="720"/>
          <w:noEndnote/>
          <w:titlePg/>
        </w:sectPr>
      </w:pPr>
    </w:p>
    <w:p w:rsidR="00B7763F" w:rsidRPr="00257960" w:rsidP="00C2117C" w14:paraId="5252C6A1" w14:textId="396E9757">
      <w:pPr>
        <w:widowControl/>
        <w:jc w:val="center"/>
        <w:rPr>
          <w:b/>
          <w:szCs w:val="22"/>
        </w:rPr>
      </w:pPr>
      <w:r>
        <w:rPr>
          <w:szCs w:val="22"/>
        </w:rPr>
        <w:br w:type="page"/>
      </w:r>
      <w:r w:rsidRPr="00A45FF2" w:rsidR="00257960">
        <w:rPr>
          <w:b/>
          <w:szCs w:val="22"/>
        </w:rPr>
        <w:t xml:space="preserve">Appendix </w:t>
      </w:r>
      <w:r w:rsidR="00257960">
        <w:rPr>
          <w:b/>
          <w:szCs w:val="22"/>
        </w:rPr>
        <w:t>B</w:t>
      </w:r>
    </w:p>
    <w:p w:rsidR="00257960" w:rsidP="00C2117C" w14:paraId="7DEA51DF" w14:textId="77777777">
      <w:pPr>
        <w:widowControl/>
        <w:rPr>
          <w:szCs w:val="22"/>
        </w:rPr>
      </w:pPr>
      <w:r>
        <w:rPr>
          <w:szCs w:val="22"/>
        </w:rPr>
        <w:tab/>
      </w:r>
    </w:p>
    <w:p w:rsidR="00B7763F" w:rsidP="00C2117C" w14:paraId="6D9BF283" w14:textId="0B1D4B9C">
      <w:pPr>
        <w:widowControl/>
        <w:ind w:firstLine="720"/>
        <w:rPr>
          <w:szCs w:val="22"/>
        </w:rPr>
      </w:pPr>
      <w:r w:rsidRPr="00942596">
        <w:rPr>
          <w:szCs w:val="22"/>
        </w:rPr>
        <w:t xml:space="preserve">List of approved FirstEnergy part 90 and part 22 VHF public safety pool call signs and frequencies approved for sharing with the Commonwealth of Pennsylvania by the Bureau by this </w:t>
      </w:r>
      <w:r w:rsidRPr="00942596">
        <w:rPr>
          <w:i/>
          <w:iCs/>
          <w:szCs w:val="22"/>
        </w:rPr>
        <w:t>Order</w:t>
      </w:r>
      <w:r w:rsidRPr="00942596" w:rsidR="001C479B">
        <w:rPr>
          <w:szCs w:val="22"/>
        </w:rPr>
        <w:t>.</w:t>
      </w:r>
      <w:r w:rsidR="00DA18B3">
        <w:rPr>
          <w:szCs w:val="22"/>
        </w:rPr>
        <w:t xml:space="preserve">  </w:t>
      </w:r>
      <w:r w:rsidR="00DA18B3">
        <w:t>Callsigns marked with asterisks (*) are part 22 callsigns and corresponding part 22 frequencies</w:t>
      </w:r>
      <w:r w:rsidRPr="00942596" w:rsidR="001C479B">
        <w:rPr>
          <w:szCs w:val="22"/>
        </w:rPr>
        <w:t xml:space="preserve"> </w:t>
      </w:r>
    </w:p>
    <w:p w:rsidR="00ED1880" w:rsidRPr="006E1513" w:rsidP="00C2117C" w14:paraId="05299B6A" w14:textId="4C9AE6FA">
      <w:pPr>
        <w:widowControl/>
        <w:rPr>
          <w:szCs w:val="22"/>
        </w:rPr>
        <w:sectPr w:rsidSect="00256FBA">
          <w:endnotePr>
            <w:numFmt w:val="decimal"/>
          </w:endnotePr>
          <w:type w:val="continuous"/>
          <w:pgSz w:w="12240" w:h="15840"/>
          <w:pgMar w:top="1440" w:right="1440" w:bottom="720" w:left="1440" w:header="720" w:footer="720" w:gutter="0"/>
          <w:pgNumType w:start="1"/>
          <w:cols w:space="720"/>
          <w:noEndnote/>
          <w:titlePg/>
        </w:sectPr>
      </w:pPr>
      <w:r w:rsidRPr="00942596">
        <w:rPr>
          <w:szCs w:val="22"/>
        </w:rPr>
        <w:t xml:space="preserve"> </w:t>
      </w:r>
    </w:p>
    <w:tbl>
      <w:tblPr>
        <w:tblW w:w="2760" w:type="dxa"/>
        <w:tblInd w:w="113" w:type="dxa"/>
        <w:tblLook w:val="04A0"/>
      </w:tblPr>
      <w:tblGrid>
        <w:gridCol w:w="1420"/>
        <w:gridCol w:w="1340"/>
      </w:tblGrid>
      <w:tr w14:paraId="5124B857" w14:textId="77777777" w:rsidTr="006E1513">
        <w:tblPrEx>
          <w:tblW w:w="2760" w:type="dxa"/>
          <w:tblInd w:w="113" w:type="dxa"/>
          <w:tblLook w:val="04A0"/>
        </w:tblPrEx>
        <w:trPr>
          <w:trHeight w:val="647"/>
          <w:tblHead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79B" w:rsidRPr="006E1513" w:rsidP="00C2117C" w14:paraId="04531C95" w14:textId="799285F2">
            <w:pPr>
              <w:widowControl/>
              <w:jc w:val="center"/>
              <w:rPr>
                <w:b/>
                <w:bCs/>
                <w:snapToGrid/>
                <w:color w:val="000000"/>
                <w:kern w:val="0"/>
                <w:szCs w:val="22"/>
              </w:rPr>
            </w:pPr>
            <w:r w:rsidRPr="006E1513">
              <w:rPr>
                <w:b/>
                <w:bCs/>
                <w:snapToGrid/>
                <w:color w:val="000000"/>
                <w:kern w:val="0"/>
                <w:szCs w:val="22"/>
              </w:rPr>
              <w:t>Call Sign</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C479B" w:rsidRPr="006E1513" w:rsidP="00C2117C" w14:paraId="037C430B" w14:textId="2335B557">
            <w:pPr>
              <w:widowControl/>
              <w:jc w:val="center"/>
              <w:rPr>
                <w:b/>
                <w:bCs/>
                <w:snapToGrid/>
                <w:color w:val="000000"/>
                <w:kern w:val="0"/>
                <w:szCs w:val="22"/>
              </w:rPr>
            </w:pPr>
            <w:r w:rsidRPr="006E1513">
              <w:rPr>
                <w:b/>
                <w:bCs/>
                <w:snapToGrid/>
                <w:color w:val="000000"/>
                <w:kern w:val="0"/>
                <w:szCs w:val="22"/>
              </w:rPr>
              <w:t>Frequency (MHz)</w:t>
            </w:r>
          </w:p>
        </w:tc>
      </w:tr>
      <w:tr w14:paraId="0FCB1B42"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8C0B60E" w14:textId="77777777">
            <w:pPr>
              <w:widowControl/>
              <w:jc w:val="center"/>
              <w:rPr>
                <w:snapToGrid/>
                <w:color w:val="000000"/>
                <w:kern w:val="0"/>
                <w:szCs w:val="22"/>
              </w:rPr>
            </w:pPr>
            <w:r w:rsidRPr="006E1513">
              <w:rPr>
                <w:snapToGrid/>
                <w:color w:val="000000"/>
                <w:kern w:val="0"/>
                <w:szCs w:val="22"/>
              </w:rPr>
              <w:t>WRBY876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414DF65" w14:textId="77777777">
            <w:pPr>
              <w:widowControl/>
              <w:jc w:val="center"/>
              <w:rPr>
                <w:snapToGrid/>
                <w:color w:val="000000"/>
                <w:kern w:val="0"/>
                <w:szCs w:val="22"/>
              </w:rPr>
            </w:pPr>
            <w:r w:rsidRPr="006E1513">
              <w:rPr>
                <w:snapToGrid/>
                <w:color w:val="000000"/>
                <w:kern w:val="0"/>
                <w:szCs w:val="22"/>
              </w:rPr>
              <w:t>152.8925</w:t>
            </w:r>
          </w:p>
        </w:tc>
      </w:tr>
      <w:tr w14:paraId="7E2A645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DE16639" w14:textId="77777777">
            <w:pPr>
              <w:widowControl/>
              <w:jc w:val="center"/>
              <w:rPr>
                <w:snapToGrid/>
                <w:color w:val="000000"/>
                <w:kern w:val="0"/>
                <w:szCs w:val="22"/>
              </w:rPr>
            </w:pPr>
            <w:r w:rsidRPr="006E1513">
              <w:rPr>
                <w:snapToGrid/>
                <w:color w:val="000000"/>
                <w:kern w:val="0"/>
                <w:szCs w:val="22"/>
              </w:rPr>
              <w:t>WRBY876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B1BA233" w14:textId="77777777">
            <w:pPr>
              <w:widowControl/>
              <w:jc w:val="center"/>
              <w:rPr>
                <w:snapToGrid/>
                <w:color w:val="000000"/>
                <w:kern w:val="0"/>
                <w:szCs w:val="22"/>
              </w:rPr>
            </w:pPr>
            <w:r w:rsidRPr="006E1513">
              <w:rPr>
                <w:snapToGrid/>
                <w:color w:val="000000"/>
                <w:kern w:val="0"/>
                <w:szCs w:val="22"/>
              </w:rPr>
              <w:t>159.9450</w:t>
            </w:r>
          </w:p>
        </w:tc>
      </w:tr>
      <w:tr w14:paraId="2F3C459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B58CB21" w14:textId="77777777">
            <w:pPr>
              <w:widowControl/>
              <w:jc w:val="center"/>
              <w:rPr>
                <w:snapToGrid/>
                <w:color w:val="000000"/>
                <w:kern w:val="0"/>
                <w:szCs w:val="22"/>
              </w:rPr>
            </w:pPr>
            <w:r w:rsidRPr="006E1513">
              <w:rPr>
                <w:snapToGrid/>
                <w:color w:val="000000"/>
                <w:kern w:val="0"/>
                <w:szCs w:val="22"/>
              </w:rPr>
              <w:t>WRBY876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8758355" w14:textId="77777777">
            <w:pPr>
              <w:widowControl/>
              <w:jc w:val="center"/>
              <w:rPr>
                <w:snapToGrid/>
                <w:color w:val="000000"/>
                <w:kern w:val="0"/>
                <w:szCs w:val="22"/>
              </w:rPr>
            </w:pPr>
            <w:r w:rsidRPr="006E1513">
              <w:rPr>
                <w:snapToGrid/>
                <w:color w:val="000000"/>
                <w:kern w:val="0"/>
                <w:szCs w:val="22"/>
              </w:rPr>
              <w:t>153.7250</w:t>
            </w:r>
          </w:p>
        </w:tc>
      </w:tr>
      <w:tr w14:paraId="30D1D0E1"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647B443" w14:textId="77777777">
            <w:pPr>
              <w:widowControl/>
              <w:jc w:val="center"/>
              <w:rPr>
                <w:snapToGrid/>
                <w:color w:val="000000"/>
                <w:kern w:val="0"/>
                <w:szCs w:val="22"/>
              </w:rPr>
            </w:pPr>
            <w:r w:rsidRPr="006E1513">
              <w:rPr>
                <w:snapToGrid/>
                <w:color w:val="000000"/>
                <w:kern w:val="0"/>
                <w:szCs w:val="22"/>
              </w:rPr>
              <w:t>WRBY876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7DB3D76" w14:textId="77777777">
            <w:pPr>
              <w:widowControl/>
              <w:jc w:val="center"/>
              <w:rPr>
                <w:snapToGrid/>
                <w:color w:val="000000"/>
                <w:kern w:val="0"/>
                <w:szCs w:val="22"/>
              </w:rPr>
            </w:pPr>
            <w:r w:rsidRPr="006E1513">
              <w:rPr>
                <w:snapToGrid/>
                <w:color w:val="000000"/>
                <w:kern w:val="0"/>
                <w:szCs w:val="22"/>
              </w:rPr>
              <w:t>158.1900</w:t>
            </w:r>
          </w:p>
        </w:tc>
      </w:tr>
      <w:tr w14:paraId="5B92DA8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C4708B3" w14:textId="77777777">
            <w:pPr>
              <w:widowControl/>
              <w:jc w:val="center"/>
              <w:rPr>
                <w:snapToGrid/>
                <w:color w:val="000000"/>
                <w:kern w:val="0"/>
                <w:szCs w:val="22"/>
              </w:rPr>
            </w:pPr>
            <w:r w:rsidRPr="006E1513">
              <w:rPr>
                <w:snapToGrid/>
                <w:color w:val="000000"/>
                <w:kern w:val="0"/>
                <w:szCs w:val="22"/>
              </w:rPr>
              <w:t>WRBY876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C25A760" w14:textId="77777777">
            <w:pPr>
              <w:widowControl/>
              <w:jc w:val="center"/>
              <w:rPr>
                <w:snapToGrid/>
                <w:color w:val="000000"/>
                <w:kern w:val="0"/>
                <w:szCs w:val="22"/>
              </w:rPr>
            </w:pPr>
            <w:r w:rsidRPr="006E1513">
              <w:rPr>
                <w:snapToGrid/>
                <w:color w:val="000000"/>
                <w:kern w:val="0"/>
                <w:szCs w:val="22"/>
              </w:rPr>
              <w:t>153.1250</w:t>
            </w:r>
          </w:p>
        </w:tc>
      </w:tr>
      <w:tr w14:paraId="3070967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BD63FEA" w14:textId="77777777">
            <w:pPr>
              <w:widowControl/>
              <w:jc w:val="center"/>
              <w:rPr>
                <w:snapToGrid/>
                <w:color w:val="000000"/>
                <w:kern w:val="0"/>
                <w:szCs w:val="22"/>
              </w:rPr>
            </w:pPr>
            <w:r w:rsidRPr="006E1513">
              <w:rPr>
                <w:snapToGrid/>
                <w:color w:val="000000"/>
                <w:kern w:val="0"/>
                <w:szCs w:val="22"/>
              </w:rPr>
              <w:t>WRBY876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55EC9CD" w14:textId="77777777">
            <w:pPr>
              <w:widowControl/>
              <w:jc w:val="center"/>
              <w:rPr>
                <w:snapToGrid/>
                <w:color w:val="000000"/>
                <w:kern w:val="0"/>
                <w:szCs w:val="22"/>
              </w:rPr>
            </w:pPr>
            <w:r w:rsidRPr="006E1513">
              <w:rPr>
                <w:snapToGrid/>
                <w:color w:val="000000"/>
                <w:kern w:val="0"/>
                <w:szCs w:val="22"/>
              </w:rPr>
              <w:t>158.1450</w:t>
            </w:r>
          </w:p>
        </w:tc>
      </w:tr>
      <w:tr w14:paraId="113F3DE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A4A0B28" w14:textId="77777777">
            <w:pPr>
              <w:widowControl/>
              <w:jc w:val="center"/>
              <w:rPr>
                <w:snapToGrid/>
                <w:color w:val="000000"/>
                <w:kern w:val="0"/>
                <w:szCs w:val="22"/>
              </w:rPr>
            </w:pPr>
            <w:r w:rsidRPr="006E1513">
              <w:rPr>
                <w:snapToGrid/>
                <w:color w:val="000000"/>
                <w:kern w:val="0"/>
                <w:szCs w:val="22"/>
              </w:rPr>
              <w:t>WRBY876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59ADDE4" w14:textId="77777777">
            <w:pPr>
              <w:widowControl/>
              <w:jc w:val="center"/>
              <w:rPr>
                <w:snapToGrid/>
                <w:color w:val="000000"/>
                <w:kern w:val="0"/>
                <w:szCs w:val="22"/>
              </w:rPr>
            </w:pPr>
            <w:r w:rsidRPr="006E1513">
              <w:rPr>
                <w:snapToGrid/>
                <w:color w:val="000000"/>
                <w:kern w:val="0"/>
                <w:szCs w:val="22"/>
              </w:rPr>
              <w:t>153.7250</w:t>
            </w:r>
          </w:p>
        </w:tc>
      </w:tr>
      <w:tr w14:paraId="746E8D5B"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237C5F4" w14:textId="77777777">
            <w:pPr>
              <w:widowControl/>
              <w:jc w:val="center"/>
              <w:rPr>
                <w:snapToGrid/>
                <w:color w:val="000000"/>
                <w:kern w:val="0"/>
                <w:szCs w:val="22"/>
              </w:rPr>
            </w:pPr>
            <w:r w:rsidRPr="006E1513">
              <w:rPr>
                <w:snapToGrid/>
                <w:color w:val="000000"/>
                <w:kern w:val="0"/>
                <w:szCs w:val="22"/>
              </w:rPr>
              <w:t>WRBY876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0B1EA18" w14:textId="77777777">
            <w:pPr>
              <w:widowControl/>
              <w:jc w:val="center"/>
              <w:rPr>
                <w:snapToGrid/>
                <w:color w:val="000000"/>
                <w:kern w:val="0"/>
                <w:szCs w:val="22"/>
              </w:rPr>
            </w:pPr>
            <w:r w:rsidRPr="006E1513">
              <w:rPr>
                <w:snapToGrid/>
                <w:color w:val="000000"/>
                <w:kern w:val="0"/>
                <w:szCs w:val="22"/>
              </w:rPr>
              <w:t>159.9600</w:t>
            </w:r>
          </w:p>
        </w:tc>
      </w:tr>
      <w:tr w14:paraId="4D7DA129"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031D8F7"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35D4DC7" w14:textId="77777777">
            <w:pPr>
              <w:widowControl/>
              <w:jc w:val="center"/>
              <w:rPr>
                <w:snapToGrid/>
                <w:color w:val="000000"/>
                <w:kern w:val="0"/>
                <w:szCs w:val="22"/>
              </w:rPr>
            </w:pPr>
            <w:r w:rsidRPr="006E1513">
              <w:rPr>
                <w:snapToGrid/>
                <w:color w:val="000000"/>
                <w:kern w:val="0"/>
                <w:szCs w:val="22"/>
              </w:rPr>
              <w:t>153.3875</w:t>
            </w:r>
          </w:p>
        </w:tc>
      </w:tr>
      <w:tr w14:paraId="06DD6A85"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79C81E0"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A2F625C" w14:textId="77777777">
            <w:pPr>
              <w:widowControl/>
              <w:jc w:val="center"/>
              <w:rPr>
                <w:snapToGrid/>
                <w:color w:val="000000"/>
                <w:kern w:val="0"/>
                <w:szCs w:val="22"/>
              </w:rPr>
            </w:pPr>
            <w:r w:rsidRPr="006E1513">
              <w:rPr>
                <w:snapToGrid/>
                <w:color w:val="000000"/>
                <w:kern w:val="0"/>
                <w:szCs w:val="22"/>
              </w:rPr>
              <w:t>153.1025</w:t>
            </w:r>
          </w:p>
        </w:tc>
      </w:tr>
      <w:tr w14:paraId="28E86A6C"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74C36F9"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1E5D350" w14:textId="77777777">
            <w:pPr>
              <w:widowControl/>
              <w:jc w:val="center"/>
              <w:rPr>
                <w:snapToGrid/>
                <w:color w:val="000000"/>
                <w:kern w:val="0"/>
                <w:szCs w:val="22"/>
              </w:rPr>
            </w:pPr>
            <w:r w:rsidRPr="006E1513">
              <w:rPr>
                <w:snapToGrid/>
                <w:color w:val="000000"/>
                <w:kern w:val="0"/>
                <w:szCs w:val="22"/>
              </w:rPr>
              <w:t>159.7875</w:t>
            </w:r>
          </w:p>
        </w:tc>
      </w:tr>
      <w:tr w14:paraId="04F7B479"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7477A36"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C2866AD" w14:textId="77777777">
            <w:pPr>
              <w:widowControl/>
              <w:jc w:val="center"/>
              <w:rPr>
                <w:snapToGrid/>
                <w:color w:val="000000"/>
                <w:kern w:val="0"/>
                <w:szCs w:val="22"/>
              </w:rPr>
            </w:pPr>
            <w:r w:rsidRPr="006E1513">
              <w:rPr>
                <w:snapToGrid/>
                <w:color w:val="000000"/>
                <w:kern w:val="0"/>
                <w:szCs w:val="22"/>
              </w:rPr>
              <w:t>157.7175</w:t>
            </w:r>
          </w:p>
        </w:tc>
      </w:tr>
      <w:tr w14:paraId="100F2BD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DD32D39"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97A9E14" w14:textId="77777777">
            <w:pPr>
              <w:widowControl/>
              <w:jc w:val="center"/>
              <w:rPr>
                <w:snapToGrid/>
                <w:color w:val="000000"/>
                <w:kern w:val="0"/>
                <w:szCs w:val="22"/>
              </w:rPr>
            </w:pPr>
            <w:r w:rsidRPr="006E1513">
              <w:rPr>
                <w:snapToGrid/>
                <w:color w:val="000000"/>
                <w:kern w:val="0"/>
                <w:szCs w:val="22"/>
              </w:rPr>
              <w:t>153.4550</w:t>
            </w:r>
          </w:p>
        </w:tc>
      </w:tr>
      <w:tr w14:paraId="076B0B05"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11201B8"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AD8BA2D" w14:textId="77777777">
            <w:pPr>
              <w:widowControl/>
              <w:jc w:val="center"/>
              <w:rPr>
                <w:snapToGrid/>
                <w:color w:val="000000"/>
                <w:kern w:val="0"/>
                <w:szCs w:val="22"/>
              </w:rPr>
            </w:pPr>
            <w:r w:rsidRPr="006E1513">
              <w:rPr>
                <w:snapToGrid/>
                <w:color w:val="000000"/>
                <w:kern w:val="0"/>
                <w:szCs w:val="22"/>
              </w:rPr>
              <w:t>153.5225</w:t>
            </w:r>
          </w:p>
        </w:tc>
      </w:tr>
      <w:tr w14:paraId="5DC83A2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0927AE9"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E820A0B" w14:textId="77777777">
            <w:pPr>
              <w:widowControl/>
              <w:jc w:val="center"/>
              <w:rPr>
                <w:snapToGrid/>
                <w:color w:val="000000"/>
                <w:kern w:val="0"/>
                <w:szCs w:val="22"/>
              </w:rPr>
            </w:pPr>
            <w:r w:rsidRPr="006E1513">
              <w:rPr>
                <w:snapToGrid/>
                <w:color w:val="000000"/>
                <w:kern w:val="0"/>
                <w:szCs w:val="22"/>
              </w:rPr>
              <w:t>153.0800</w:t>
            </w:r>
          </w:p>
        </w:tc>
      </w:tr>
      <w:tr w14:paraId="20C8E6AE"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56D1662"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5008A5D" w14:textId="77777777">
            <w:pPr>
              <w:widowControl/>
              <w:jc w:val="center"/>
              <w:rPr>
                <w:snapToGrid/>
                <w:color w:val="000000"/>
                <w:kern w:val="0"/>
                <w:szCs w:val="22"/>
              </w:rPr>
            </w:pPr>
            <w:r w:rsidRPr="006E1513">
              <w:rPr>
                <w:snapToGrid/>
                <w:color w:val="000000"/>
                <w:kern w:val="0"/>
                <w:szCs w:val="22"/>
              </w:rPr>
              <w:t>157.6350</w:t>
            </w:r>
          </w:p>
        </w:tc>
      </w:tr>
      <w:tr w14:paraId="4D622858"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6467355"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7C360B7" w14:textId="77777777">
            <w:pPr>
              <w:widowControl/>
              <w:jc w:val="center"/>
              <w:rPr>
                <w:snapToGrid/>
                <w:color w:val="000000"/>
                <w:kern w:val="0"/>
                <w:szCs w:val="22"/>
              </w:rPr>
            </w:pPr>
            <w:r w:rsidRPr="006E1513">
              <w:rPr>
                <w:snapToGrid/>
                <w:color w:val="000000"/>
                <w:kern w:val="0"/>
                <w:szCs w:val="22"/>
              </w:rPr>
              <w:t>157.7175</w:t>
            </w:r>
          </w:p>
        </w:tc>
      </w:tr>
      <w:tr w14:paraId="4DAA80A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9B285F8"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0CA584E" w14:textId="77777777">
            <w:pPr>
              <w:widowControl/>
              <w:jc w:val="center"/>
              <w:rPr>
                <w:snapToGrid/>
                <w:color w:val="000000"/>
                <w:kern w:val="0"/>
                <w:szCs w:val="22"/>
              </w:rPr>
            </w:pPr>
            <w:r w:rsidRPr="006E1513">
              <w:rPr>
                <w:snapToGrid/>
                <w:color w:val="000000"/>
                <w:kern w:val="0"/>
                <w:szCs w:val="22"/>
              </w:rPr>
              <w:t>159.9450</w:t>
            </w:r>
          </w:p>
        </w:tc>
      </w:tr>
      <w:tr w14:paraId="3555AA6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1174C9C"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5E2B565" w14:textId="77777777">
            <w:pPr>
              <w:widowControl/>
              <w:jc w:val="center"/>
              <w:rPr>
                <w:snapToGrid/>
                <w:color w:val="000000"/>
                <w:kern w:val="0"/>
                <w:szCs w:val="22"/>
              </w:rPr>
            </w:pPr>
            <w:r w:rsidRPr="006E1513">
              <w:rPr>
                <w:snapToGrid/>
                <w:color w:val="000000"/>
                <w:kern w:val="0"/>
                <w:szCs w:val="22"/>
              </w:rPr>
              <w:t>153.2525</w:t>
            </w:r>
          </w:p>
        </w:tc>
      </w:tr>
      <w:tr w14:paraId="2B004B8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277DD0F"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B684A89" w14:textId="77777777">
            <w:pPr>
              <w:widowControl/>
              <w:jc w:val="center"/>
              <w:rPr>
                <w:snapToGrid/>
                <w:color w:val="000000"/>
                <w:kern w:val="0"/>
                <w:szCs w:val="22"/>
              </w:rPr>
            </w:pPr>
            <w:r w:rsidRPr="006E1513">
              <w:rPr>
                <w:snapToGrid/>
                <w:color w:val="000000"/>
                <w:kern w:val="0"/>
                <w:szCs w:val="22"/>
              </w:rPr>
              <w:t>153.1850</w:t>
            </w:r>
          </w:p>
        </w:tc>
      </w:tr>
      <w:tr w14:paraId="492DA324"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55F3BA3"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17FA6C4" w14:textId="77777777">
            <w:pPr>
              <w:widowControl/>
              <w:jc w:val="center"/>
              <w:rPr>
                <w:snapToGrid/>
                <w:color w:val="000000"/>
                <w:kern w:val="0"/>
                <w:szCs w:val="22"/>
              </w:rPr>
            </w:pPr>
            <w:r w:rsidRPr="006E1513">
              <w:rPr>
                <w:snapToGrid/>
                <w:color w:val="000000"/>
                <w:kern w:val="0"/>
                <w:szCs w:val="22"/>
              </w:rPr>
              <w:t>159.7725</w:t>
            </w:r>
          </w:p>
        </w:tc>
      </w:tr>
      <w:tr w14:paraId="58F8C6C8"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6D87251"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8A69040" w14:textId="77777777">
            <w:pPr>
              <w:widowControl/>
              <w:jc w:val="center"/>
              <w:rPr>
                <w:snapToGrid/>
                <w:color w:val="000000"/>
                <w:kern w:val="0"/>
                <w:szCs w:val="22"/>
              </w:rPr>
            </w:pPr>
            <w:r w:rsidRPr="006E1513">
              <w:rPr>
                <w:snapToGrid/>
                <w:color w:val="000000"/>
                <w:kern w:val="0"/>
                <w:szCs w:val="22"/>
              </w:rPr>
              <w:t>159.8625</w:t>
            </w:r>
          </w:p>
        </w:tc>
      </w:tr>
      <w:tr w14:paraId="1E7FC87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AEED732"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7C292A0" w14:textId="77777777">
            <w:pPr>
              <w:widowControl/>
              <w:jc w:val="center"/>
              <w:rPr>
                <w:snapToGrid/>
                <w:color w:val="000000"/>
                <w:kern w:val="0"/>
                <w:szCs w:val="22"/>
              </w:rPr>
            </w:pPr>
            <w:r w:rsidRPr="006E1513">
              <w:rPr>
                <w:snapToGrid/>
                <w:color w:val="000000"/>
                <w:kern w:val="0"/>
                <w:szCs w:val="22"/>
              </w:rPr>
              <w:t>153.6125</w:t>
            </w:r>
          </w:p>
        </w:tc>
      </w:tr>
      <w:tr w14:paraId="281C9F3B"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73A2385"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C71782F" w14:textId="77777777">
            <w:pPr>
              <w:widowControl/>
              <w:jc w:val="center"/>
              <w:rPr>
                <w:snapToGrid/>
                <w:color w:val="000000"/>
                <w:kern w:val="0"/>
                <w:szCs w:val="22"/>
              </w:rPr>
            </w:pPr>
            <w:r w:rsidRPr="006E1513">
              <w:rPr>
                <w:snapToGrid/>
                <w:color w:val="000000"/>
                <w:kern w:val="0"/>
                <w:szCs w:val="22"/>
              </w:rPr>
              <w:t>153.4475</w:t>
            </w:r>
          </w:p>
        </w:tc>
      </w:tr>
      <w:tr w14:paraId="21FE62EE"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D157385"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AFDB464" w14:textId="77777777">
            <w:pPr>
              <w:widowControl/>
              <w:jc w:val="center"/>
              <w:rPr>
                <w:snapToGrid/>
                <w:color w:val="000000"/>
                <w:kern w:val="0"/>
                <w:szCs w:val="22"/>
              </w:rPr>
            </w:pPr>
            <w:r w:rsidRPr="006E1513">
              <w:rPr>
                <w:snapToGrid/>
                <w:color w:val="000000"/>
                <w:kern w:val="0"/>
                <w:szCs w:val="22"/>
              </w:rPr>
              <w:t>159.7275</w:t>
            </w:r>
          </w:p>
        </w:tc>
      </w:tr>
      <w:tr w14:paraId="0377CEA4"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7260F04" w14:textId="77777777">
            <w:pPr>
              <w:widowControl/>
              <w:jc w:val="center"/>
              <w:rPr>
                <w:snapToGrid/>
                <w:color w:val="000000"/>
                <w:kern w:val="0"/>
                <w:szCs w:val="22"/>
              </w:rPr>
            </w:pPr>
            <w:r w:rsidRPr="006E1513">
              <w:rPr>
                <w:snapToGrid/>
                <w:color w:val="000000"/>
                <w:kern w:val="0"/>
                <w:szCs w:val="22"/>
              </w:rPr>
              <w:t>WRBN333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A1ADC07" w14:textId="77777777">
            <w:pPr>
              <w:widowControl/>
              <w:jc w:val="center"/>
              <w:rPr>
                <w:snapToGrid/>
                <w:color w:val="000000"/>
                <w:kern w:val="0"/>
                <w:szCs w:val="22"/>
              </w:rPr>
            </w:pPr>
            <w:r w:rsidRPr="006E1513">
              <w:rPr>
                <w:snapToGrid/>
                <w:color w:val="000000"/>
                <w:kern w:val="0"/>
                <w:szCs w:val="22"/>
              </w:rPr>
              <w:t>159.9075</w:t>
            </w:r>
          </w:p>
        </w:tc>
      </w:tr>
      <w:tr w14:paraId="5DBF3D60"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63F11BE"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C986749" w14:textId="77777777">
            <w:pPr>
              <w:widowControl/>
              <w:jc w:val="center"/>
              <w:rPr>
                <w:snapToGrid/>
                <w:color w:val="000000"/>
                <w:kern w:val="0"/>
                <w:szCs w:val="22"/>
              </w:rPr>
            </w:pPr>
            <w:r w:rsidRPr="006E1513">
              <w:rPr>
                <w:snapToGrid/>
                <w:color w:val="000000"/>
                <w:kern w:val="0"/>
                <w:szCs w:val="22"/>
              </w:rPr>
              <w:t>153.3725</w:t>
            </w:r>
          </w:p>
        </w:tc>
      </w:tr>
      <w:tr w14:paraId="3852AC18"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CA26E42"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E6CA069" w14:textId="77777777">
            <w:pPr>
              <w:widowControl/>
              <w:jc w:val="center"/>
              <w:rPr>
                <w:snapToGrid/>
                <w:color w:val="000000"/>
                <w:kern w:val="0"/>
                <w:szCs w:val="22"/>
              </w:rPr>
            </w:pPr>
            <w:r w:rsidRPr="006E1513">
              <w:rPr>
                <w:snapToGrid/>
                <w:color w:val="000000"/>
                <w:kern w:val="0"/>
                <w:szCs w:val="22"/>
              </w:rPr>
              <w:t>152.4125</w:t>
            </w:r>
          </w:p>
        </w:tc>
      </w:tr>
      <w:tr w14:paraId="29524EC2"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6A0E74A"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5D5E22A" w14:textId="77777777">
            <w:pPr>
              <w:widowControl/>
              <w:jc w:val="center"/>
              <w:rPr>
                <w:snapToGrid/>
                <w:color w:val="000000"/>
                <w:kern w:val="0"/>
                <w:szCs w:val="22"/>
              </w:rPr>
            </w:pPr>
            <w:r w:rsidRPr="006E1513">
              <w:rPr>
                <w:snapToGrid/>
                <w:color w:val="000000"/>
                <w:kern w:val="0"/>
                <w:szCs w:val="22"/>
              </w:rPr>
              <w:t>160.0050</w:t>
            </w:r>
          </w:p>
        </w:tc>
      </w:tr>
      <w:tr w14:paraId="44FC7977"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5A438B9"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820FFA7" w14:textId="77777777">
            <w:pPr>
              <w:widowControl/>
              <w:jc w:val="center"/>
              <w:rPr>
                <w:snapToGrid/>
                <w:color w:val="000000"/>
                <w:kern w:val="0"/>
                <w:szCs w:val="22"/>
              </w:rPr>
            </w:pPr>
            <w:r w:rsidRPr="006E1513">
              <w:rPr>
                <w:snapToGrid/>
                <w:color w:val="000000"/>
                <w:kern w:val="0"/>
                <w:szCs w:val="22"/>
              </w:rPr>
              <w:t>159.8250</w:t>
            </w:r>
          </w:p>
        </w:tc>
      </w:tr>
      <w:tr w14:paraId="380D61F8"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4CCB53B"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C515A98" w14:textId="77777777">
            <w:pPr>
              <w:widowControl/>
              <w:jc w:val="center"/>
              <w:rPr>
                <w:snapToGrid/>
                <w:color w:val="000000"/>
                <w:kern w:val="0"/>
                <w:szCs w:val="22"/>
              </w:rPr>
            </w:pPr>
            <w:r w:rsidRPr="006E1513">
              <w:rPr>
                <w:snapToGrid/>
                <w:color w:val="000000"/>
                <w:kern w:val="0"/>
                <w:szCs w:val="22"/>
              </w:rPr>
              <w:t>153.1025</w:t>
            </w:r>
          </w:p>
        </w:tc>
      </w:tr>
      <w:tr w14:paraId="1102EB3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4743E62"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A8A26E5" w14:textId="77777777">
            <w:pPr>
              <w:widowControl/>
              <w:jc w:val="center"/>
              <w:rPr>
                <w:snapToGrid/>
                <w:color w:val="000000"/>
                <w:kern w:val="0"/>
                <w:szCs w:val="22"/>
              </w:rPr>
            </w:pPr>
            <w:r w:rsidRPr="006E1513">
              <w:rPr>
                <w:snapToGrid/>
                <w:color w:val="000000"/>
                <w:kern w:val="0"/>
                <w:szCs w:val="22"/>
              </w:rPr>
              <w:t>153.4550</w:t>
            </w:r>
          </w:p>
        </w:tc>
      </w:tr>
      <w:tr w14:paraId="4088B373"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8079160"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560E047" w14:textId="77777777">
            <w:pPr>
              <w:widowControl/>
              <w:jc w:val="center"/>
              <w:rPr>
                <w:snapToGrid/>
                <w:color w:val="000000"/>
                <w:kern w:val="0"/>
                <w:szCs w:val="22"/>
              </w:rPr>
            </w:pPr>
            <w:r w:rsidRPr="006E1513">
              <w:rPr>
                <w:snapToGrid/>
                <w:color w:val="000000"/>
                <w:kern w:val="0"/>
                <w:szCs w:val="22"/>
              </w:rPr>
              <w:t>159.9825</w:t>
            </w:r>
          </w:p>
        </w:tc>
      </w:tr>
      <w:tr w14:paraId="09B1BD9C"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7590A55"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DEE4AA1" w14:textId="77777777">
            <w:pPr>
              <w:widowControl/>
              <w:jc w:val="center"/>
              <w:rPr>
                <w:snapToGrid/>
                <w:color w:val="000000"/>
                <w:kern w:val="0"/>
                <w:szCs w:val="22"/>
              </w:rPr>
            </w:pPr>
            <w:r w:rsidRPr="006E1513">
              <w:rPr>
                <w:snapToGrid/>
                <w:color w:val="000000"/>
                <w:kern w:val="0"/>
                <w:szCs w:val="22"/>
              </w:rPr>
              <w:t>159.7800</w:t>
            </w:r>
          </w:p>
        </w:tc>
      </w:tr>
      <w:tr w14:paraId="3BCBB61C"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2C3C937"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C0AF7A8" w14:textId="77777777">
            <w:pPr>
              <w:widowControl/>
              <w:jc w:val="center"/>
              <w:rPr>
                <w:snapToGrid/>
                <w:color w:val="000000"/>
                <w:kern w:val="0"/>
                <w:szCs w:val="22"/>
              </w:rPr>
            </w:pPr>
            <w:r w:rsidRPr="006E1513">
              <w:rPr>
                <w:snapToGrid/>
                <w:color w:val="000000"/>
                <w:kern w:val="0"/>
                <w:szCs w:val="22"/>
              </w:rPr>
              <w:t>153.3050</w:t>
            </w:r>
          </w:p>
        </w:tc>
      </w:tr>
      <w:tr w14:paraId="280F098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111624FE"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995EF6E" w14:textId="77777777">
            <w:pPr>
              <w:widowControl/>
              <w:jc w:val="center"/>
              <w:rPr>
                <w:snapToGrid/>
                <w:color w:val="000000"/>
                <w:kern w:val="0"/>
                <w:szCs w:val="22"/>
              </w:rPr>
            </w:pPr>
            <w:r w:rsidRPr="006E1513">
              <w:rPr>
                <w:snapToGrid/>
                <w:color w:val="000000"/>
                <w:kern w:val="0"/>
                <w:szCs w:val="22"/>
              </w:rPr>
              <w:t>153.1925</w:t>
            </w:r>
          </w:p>
        </w:tc>
      </w:tr>
      <w:tr w14:paraId="54018B0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3EE6812"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C1B726D" w14:textId="77777777">
            <w:pPr>
              <w:widowControl/>
              <w:jc w:val="center"/>
              <w:rPr>
                <w:snapToGrid/>
                <w:color w:val="000000"/>
                <w:kern w:val="0"/>
                <w:szCs w:val="22"/>
              </w:rPr>
            </w:pPr>
            <w:r w:rsidRPr="006E1513">
              <w:rPr>
                <w:snapToGrid/>
                <w:color w:val="000000"/>
                <w:kern w:val="0"/>
                <w:szCs w:val="22"/>
              </w:rPr>
              <w:t>160.1925</w:t>
            </w:r>
          </w:p>
        </w:tc>
      </w:tr>
      <w:tr w14:paraId="782893D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A404830"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F1E4ACD" w14:textId="77777777">
            <w:pPr>
              <w:widowControl/>
              <w:jc w:val="center"/>
              <w:rPr>
                <w:snapToGrid/>
                <w:color w:val="000000"/>
                <w:kern w:val="0"/>
                <w:szCs w:val="22"/>
              </w:rPr>
            </w:pPr>
            <w:r w:rsidRPr="006E1513">
              <w:rPr>
                <w:snapToGrid/>
                <w:color w:val="000000"/>
                <w:kern w:val="0"/>
                <w:szCs w:val="22"/>
              </w:rPr>
              <w:t>159.9825</w:t>
            </w:r>
          </w:p>
        </w:tc>
      </w:tr>
      <w:tr w14:paraId="5448C66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7BD1C4A"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CF313BB" w14:textId="77777777">
            <w:pPr>
              <w:widowControl/>
              <w:jc w:val="center"/>
              <w:rPr>
                <w:snapToGrid/>
                <w:color w:val="000000"/>
                <w:kern w:val="0"/>
                <w:szCs w:val="22"/>
              </w:rPr>
            </w:pPr>
            <w:r w:rsidRPr="006E1513">
              <w:rPr>
                <w:snapToGrid/>
                <w:color w:val="000000"/>
                <w:kern w:val="0"/>
                <w:szCs w:val="22"/>
              </w:rPr>
              <w:t>153.2675</w:t>
            </w:r>
          </w:p>
        </w:tc>
      </w:tr>
      <w:tr w14:paraId="63983C74"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6F00C41"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212BAE2" w14:textId="77777777">
            <w:pPr>
              <w:widowControl/>
              <w:jc w:val="center"/>
              <w:rPr>
                <w:snapToGrid/>
                <w:color w:val="000000"/>
                <w:kern w:val="0"/>
                <w:szCs w:val="22"/>
              </w:rPr>
            </w:pPr>
            <w:r w:rsidRPr="006E1513">
              <w:rPr>
                <w:snapToGrid/>
                <w:color w:val="000000"/>
                <w:kern w:val="0"/>
                <w:szCs w:val="22"/>
              </w:rPr>
              <w:t>153.1475</w:t>
            </w:r>
          </w:p>
        </w:tc>
      </w:tr>
      <w:tr w14:paraId="2DE590D0"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2540B80"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D4A13C7" w14:textId="77777777">
            <w:pPr>
              <w:widowControl/>
              <w:jc w:val="center"/>
              <w:rPr>
                <w:snapToGrid/>
                <w:color w:val="000000"/>
                <w:kern w:val="0"/>
                <w:szCs w:val="22"/>
              </w:rPr>
            </w:pPr>
            <w:r w:rsidRPr="006E1513">
              <w:rPr>
                <w:snapToGrid/>
                <w:color w:val="000000"/>
                <w:kern w:val="0"/>
                <w:szCs w:val="22"/>
              </w:rPr>
              <w:t>158.3250</w:t>
            </w:r>
          </w:p>
        </w:tc>
      </w:tr>
      <w:tr w14:paraId="0D63F4FB"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AF13508"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28C59F5" w14:textId="77777777">
            <w:pPr>
              <w:widowControl/>
              <w:jc w:val="center"/>
              <w:rPr>
                <w:snapToGrid/>
                <w:color w:val="000000"/>
                <w:kern w:val="0"/>
                <w:szCs w:val="22"/>
              </w:rPr>
            </w:pPr>
            <w:r w:rsidRPr="006E1513">
              <w:rPr>
                <w:snapToGrid/>
                <w:color w:val="000000"/>
                <w:kern w:val="0"/>
                <w:szCs w:val="22"/>
              </w:rPr>
              <w:t>159.7725</w:t>
            </w:r>
          </w:p>
        </w:tc>
      </w:tr>
      <w:tr w14:paraId="3E372BAB"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EBA0717"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1AEE940" w14:textId="77777777">
            <w:pPr>
              <w:widowControl/>
              <w:jc w:val="center"/>
              <w:rPr>
                <w:snapToGrid/>
                <w:color w:val="000000"/>
                <w:kern w:val="0"/>
                <w:szCs w:val="22"/>
              </w:rPr>
            </w:pPr>
            <w:r w:rsidRPr="006E1513">
              <w:rPr>
                <w:snapToGrid/>
                <w:color w:val="000000"/>
                <w:kern w:val="0"/>
                <w:szCs w:val="22"/>
              </w:rPr>
              <w:t>153.1325</w:t>
            </w:r>
          </w:p>
        </w:tc>
      </w:tr>
      <w:tr w14:paraId="1551DC73"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5931CC8"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7C40071" w14:textId="77777777">
            <w:pPr>
              <w:widowControl/>
              <w:jc w:val="center"/>
              <w:rPr>
                <w:snapToGrid/>
                <w:color w:val="000000"/>
                <w:kern w:val="0"/>
                <w:szCs w:val="22"/>
              </w:rPr>
            </w:pPr>
            <w:r w:rsidRPr="006E1513">
              <w:rPr>
                <w:snapToGrid/>
                <w:color w:val="000000"/>
                <w:kern w:val="0"/>
                <w:szCs w:val="22"/>
              </w:rPr>
              <w:t>153.5900</w:t>
            </w:r>
          </w:p>
        </w:tc>
      </w:tr>
      <w:tr w14:paraId="46720CF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082E2C0"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841915A" w14:textId="77777777">
            <w:pPr>
              <w:widowControl/>
              <w:jc w:val="center"/>
              <w:rPr>
                <w:snapToGrid/>
                <w:color w:val="000000"/>
                <w:kern w:val="0"/>
                <w:szCs w:val="22"/>
              </w:rPr>
            </w:pPr>
            <w:r w:rsidRPr="006E1513">
              <w:rPr>
                <w:snapToGrid/>
                <w:color w:val="000000"/>
                <w:kern w:val="0"/>
                <w:szCs w:val="22"/>
              </w:rPr>
              <w:t>158.1750</w:t>
            </w:r>
          </w:p>
        </w:tc>
      </w:tr>
      <w:tr w14:paraId="26BA1819"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068AB9D" w14:textId="77777777">
            <w:pPr>
              <w:widowControl/>
              <w:jc w:val="center"/>
              <w:rPr>
                <w:snapToGrid/>
                <w:color w:val="000000"/>
                <w:kern w:val="0"/>
                <w:szCs w:val="22"/>
              </w:rPr>
            </w:pPr>
            <w:r w:rsidRPr="006E1513">
              <w:rPr>
                <w:snapToGrid/>
                <w:color w:val="000000"/>
                <w:kern w:val="0"/>
                <w:szCs w:val="22"/>
              </w:rPr>
              <w:t>WRCB536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A8C62E0" w14:textId="77777777">
            <w:pPr>
              <w:widowControl/>
              <w:jc w:val="center"/>
              <w:rPr>
                <w:snapToGrid/>
                <w:color w:val="000000"/>
                <w:kern w:val="0"/>
                <w:szCs w:val="22"/>
              </w:rPr>
            </w:pPr>
            <w:r w:rsidRPr="006E1513">
              <w:rPr>
                <w:snapToGrid/>
                <w:color w:val="000000"/>
                <w:kern w:val="0"/>
                <w:szCs w:val="22"/>
              </w:rPr>
              <w:t>158.2575</w:t>
            </w:r>
          </w:p>
        </w:tc>
      </w:tr>
      <w:tr w14:paraId="0B5640C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C3B4010"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8157C82" w14:textId="77777777">
            <w:pPr>
              <w:widowControl/>
              <w:jc w:val="center"/>
              <w:rPr>
                <w:snapToGrid/>
                <w:color w:val="000000"/>
                <w:kern w:val="0"/>
                <w:szCs w:val="22"/>
              </w:rPr>
            </w:pPr>
            <w:r w:rsidRPr="006E1513">
              <w:rPr>
                <w:snapToGrid/>
                <w:color w:val="000000"/>
                <w:kern w:val="0"/>
                <w:szCs w:val="22"/>
              </w:rPr>
              <w:t>151.5425</w:t>
            </w:r>
          </w:p>
        </w:tc>
      </w:tr>
      <w:tr w14:paraId="4A3A618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6FFB297"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A730959" w14:textId="77777777">
            <w:pPr>
              <w:widowControl/>
              <w:jc w:val="center"/>
              <w:rPr>
                <w:snapToGrid/>
                <w:color w:val="000000"/>
                <w:kern w:val="0"/>
                <w:szCs w:val="22"/>
              </w:rPr>
            </w:pPr>
            <w:r w:rsidRPr="006E1513">
              <w:rPr>
                <w:snapToGrid/>
                <w:color w:val="000000"/>
                <w:kern w:val="0"/>
                <w:szCs w:val="22"/>
              </w:rPr>
              <w:t>153.1325</w:t>
            </w:r>
          </w:p>
        </w:tc>
      </w:tr>
      <w:tr w14:paraId="3805D05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CBCCC8A"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1FFA911" w14:textId="77777777">
            <w:pPr>
              <w:widowControl/>
              <w:jc w:val="center"/>
              <w:rPr>
                <w:snapToGrid/>
                <w:color w:val="000000"/>
                <w:kern w:val="0"/>
                <w:szCs w:val="22"/>
              </w:rPr>
            </w:pPr>
            <w:r w:rsidRPr="006E1513">
              <w:rPr>
                <w:snapToGrid/>
                <w:color w:val="000000"/>
                <w:kern w:val="0"/>
                <w:szCs w:val="22"/>
              </w:rPr>
              <w:t>158.2575</w:t>
            </w:r>
          </w:p>
        </w:tc>
      </w:tr>
      <w:tr w14:paraId="635B9113"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21640F1"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AC64541" w14:textId="77777777">
            <w:pPr>
              <w:widowControl/>
              <w:jc w:val="center"/>
              <w:rPr>
                <w:snapToGrid/>
                <w:color w:val="000000"/>
                <w:kern w:val="0"/>
                <w:szCs w:val="22"/>
              </w:rPr>
            </w:pPr>
            <w:r w:rsidRPr="006E1513">
              <w:rPr>
                <w:snapToGrid/>
                <w:color w:val="000000"/>
                <w:kern w:val="0"/>
                <w:szCs w:val="22"/>
              </w:rPr>
              <w:t>158.1825</w:t>
            </w:r>
          </w:p>
        </w:tc>
      </w:tr>
      <w:tr w14:paraId="252C669B"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AD96429"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0E46611" w14:textId="77777777">
            <w:pPr>
              <w:widowControl/>
              <w:jc w:val="center"/>
              <w:rPr>
                <w:snapToGrid/>
                <w:color w:val="000000"/>
                <w:kern w:val="0"/>
                <w:szCs w:val="22"/>
              </w:rPr>
            </w:pPr>
            <w:r w:rsidRPr="006E1513">
              <w:rPr>
                <w:snapToGrid/>
                <w:color w:val="000000"/>
                <w:kern w:val="0"/>
                <w:szCs w:val="22"/>
              </w:rPr>
              <w:t>153.3575</w:t>
            </w:r>
          </w:p>
        </w:tc>
      </w:tr>
      <w:tr w14:paraId="4B9E8B62"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3690646"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F228D96" w14:textId="77777777">
            <w:pPr>
              <w:widowControl/>
              <w:jc w:val="center"/>
              <w:rPr>
                <w:snapToGrid/>
                <w:color w:val="000000"/>
                <w:kern w:val="0"/>
                <w:szCs w:val="22"/>
              </w:rPr>
            </w:pPr>
            <w:r w:rsidRPr="006E1513">
              <w:rPr>
                <w:snapToGrid/>
                <w:color w:val="000000"/>
                <w:kern w:val="0"/>
                <w:szCs w:val="22"/>
              </w:rPr>
              <w:t>153.1775</w:t>
            </w:r>
          </w:p>
        </w:tc>
      </w:tr>
      <w:tr w14:paraId="51FF40F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1C560AEA"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BED8475" w14:textId="77777777">
            <w:pPr>
              <w:widowControl/>
              <w:jc w:val="center"/>
              <w:rPr>
                <w:snapToGrid/>
                <w:color w:val="000000"/>
                <w:kern w:val="0"/>
                <w:szCs w:val="22"/>
              </w:rPr>
            </w:pPr>
            <w:r w:rsidRPr="006E1513">
              <w:rPr>
                <w:snapToGrid/>
                <w:color w:val="000000"/>
                <w:kern w:val="0"/>
                <w:szCs w:val="22"/>
              </w:rPr>
              <w:t>160.0200</w:t>
            </w:r>
          </w:p>
        </w:tc>
      </w:tr>
      <w:tr w14:paraId="0A316189"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86D0480"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9526D22" w14:textId="77777777">
            <w:pPr>
              <w:widowControl/>
              <w:jc w:val="center"/>
              <w:rPr>
                <w:snapToGrid/>
                <w:color w:val="000000"/>
                <w:kern w:val="0"/>
                <w:szCs w:val="22"/>
              </w:rPr>
            </w:pPr>
            <w:r w:rsidRPr="006E1513">
              <w:rPr>
                <w:snapToGrid/>
                <w:color w:val="000000"/>
                <w:kern w:val="0"/>
                <w:szCs w:val="22"/>
              </w:rPr>
              <w:t>158.3250</w:t>
            </w:r>
          </w:p>
        </w:tc>
      </w:tr>
      <w:tr w14:paraId="19880AD2"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3777061"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81F0823" w14:textId="77777777">
            <w:pPr>
              <w:widowControl/>
              <w:jc w:val="center"/>
              <w:rPr>
                <w:snapToGrid/>
                <w:color w:val="000000"/>
                <w:kern w:val="0"/>
                <w:szCs w:val="22"/>
              </w:rPr>
            </w:pPr>
            <w:r w:rsidRPr="006E1513">
              <w:rPr>
                <w:snapToGrid/>
                <w:color w:val="000000"/>
                <w:kern w:val="0"/>
                <w:szCs w:val="22"/>
              </w:rPr>
              <w:t>153.5825</w:t>
            </w:r>
          </w:p>
        </w:tc>
      </w:tr>
      <w:tr w14:paraId="77251A2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1313E78B"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DA67D62" w14:textId="77777777">
            <w:pPr>
              <w:widowControl/>
              <w:jc w:val="center"/>
              <w:rPr>
                <w:snapToGrid/>
                <w:color w:val="000000"/>
                <w:kern w:val="0"/>
                <w:szCs w:val="22"/>
              </w:rPr>
            </w:pPr>
            <w:r w:rsidRPr="006E1513">
              <w:rPr>
                <w:snapToGrid/>
                <w:color w:val="000000"/>
                <w:kern w:val="0"/>
                <w:szCs w:val="22"/>
              </w:rPr>
              <w:t>153.7250</w:t>
            </w:r>
          </w:p>
        </w:tc>
      </w:tr>
      <w:tr w14:paraId="68B89508"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5692641"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DED6E99" w14:textId="77777777">
            <w:pPr>
              <w:widowControl/>
              <w:jc w:val="center"/>
              <w:rPr>
                <w:snapToGrid/>
                <w:color w:val="000000"/>
                <w:kern w:val="0"/>
                <w:szCs w:val="22"/>
              </w:rPr>
            </w:pPr>
            <w:r w:rsidRPr="006E1513">
              <w:rPr>
                <w:snapToGrid/>
                <w:color w:val="000000"/>
                <w:kern w:val="0"/>
                <w:szCs w:val="22"/>
              </w:rPr>
              <w:t>158.1375</w:t>
            </w:r>
          </w:p>
        </w:tc>
      </w:tr>
      <w:tr w14:paraId="741C716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C3A4F9E"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40D0F9B" w14:textId="77777777">
            <w:pPr>
              <w:widowControl/>
              <w:jc w:val="center"/>
              <w:rPr>
                <w:snapToGrid/>
                <w:color w:val="000000"/>
                <w:kern w:val="0"/>
                <w:szCs w:val="22"/>
              </w:rPr>
            </w:pPr>
            <w:r w:rsidRPr="006E1513">
              <w:rPr>
                <w:snapToGrid/>
                <w:color w:val="000000"/>
                <w:kern w:val="0"/>
                <w:szCs w:val="22"/>
              </w:rPr>
              <w:t>158.2125</w:t>
            </w:r>
          </w:p>
        </w:tc>
      </w:tr>
      <w:tr w14:paraId="5430B48B"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237F3FC"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797C36B" w14:textId="77777777">
            <w:pPr>
              <w:widowControl/>
              <w:jc w:val="center"/>
              <w:rPr>
                <w:snapToGrid/>
                <w:color w:val="000000"/>
                <w:kern w:val="0"/>
                <w:szCs w:val="22"/>
              </w:rPr>
            </w:pPr>
            <w:r w:rsidRPr="006E1513">
              <w:rPr>
                <w:snapToGrid/>
                <w:color w:val="000000"/>
                <w:kern w:val="0"/>
                <w:szCs w:val="22"/>
              </w:rPr>
              <w:t>153.4325</w:t>
            </w:r>
          </w:p>
        </w:tc>
      </w:tr>
      <w:tr w14:paraId="00186AA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B8B0CB7"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073A89D" w14:textId="77777777">
            <w:pPr>
              <w:widowControl/>
              <w:jc w:val="center"/>
              <w:rPr>
                <w:snapToGrid/>
                <w:color w:val="000000"/>
                <w:kern w:val="0"/>
                <w:szCs w:val="22"/>
              </w:rPr>
            </w:pPr>
            <w:r w:rsidRPr="006E1513">
              <w:rPr>
                <w:snapToGrid/>
                <w:color w:val="000000"/>
                <w:kern w:val="0"/>
                <w:szCs w:val="22"/>
              </w:rPr>
              <w:t>153.5825</w:t>
            </w:r>
          </w:p>
        </w:tc>
      </w:tr>
      <w:tr w14:paraId="285DDA7B"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3C127F1"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4263220" w14:textId="77777777">
            <w:pPr>
              <w:widowControl/>
              <w:jc w:val="center"/>
              <w:rPr>
                <w:snapToGrid/>
                <w:color w:val="000000"/>
                <w:kern w:val="0"/>
                <w:szCs w:val="22"/>
              </w:rPr>
            </w:pPr>
            <w:r w:rsidRPr="006E1513">
              <w:rPr>
                <w:snapToGrid/>
                <w:color w:val="000000"/>
                <w:kern w:val="0"/>
                <w:szCs w:val="22"/>
              </w:rPr>
              <w:t>158.2575</w:t>
            </w:r>
          </w:p>
        </w:tc>
      </w:tr>
      <w:tr w14:paraId="61FE4EBB"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39366E4"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8DF1A3C" w14:textId="77777777">
            <w:pPr>
              <w:widowControl/>
              <w:jc w:val="center"/>
              <w:rPr>
                <w:snapToGrid/>
                <w:color w:val="000000"/>
                <w:kern w:val="0"/>
                <w:szCs w:val="22"/>
              </w:rPr>
            </w:pPr>
            <w:r w:rsidRPr="006E1513">
              <w:rPr>
                <w:snapToGrid/>
                <w:color w:val="000000"/>
                <w:kern w:val="0"/>
                <w:szCs w:val="22"/>
              </w:rPr>
              <w:t>158.3250</w:t>
            </w:r>
          </w:p>
        </w:tc>
      </w:tr>
      <w:tr w14:paraId="1F4A51A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41F3B17"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D2AD56B" w14:textId="77777777">
            <w:pPr>
              <w:widowControl/>
              <w:jc w:val="center"/>
              <w:rPr>
                <w:snapToGrid/>
                <w:color w:val="000000"/>
                <w:kern w:val="0"/>
                <w:szCs w:val="22"/>
              </w:rPr>
            </w:pPr>
            <w:r w:rsidRPr="006E1513">
              <w:rPr>
                <w:snapToGrid/>
                <w:color w:val="000000"/>
                <w:kern w:val="0"/>
                <w:szCs w:val="22"/>
              </w:rPr>
              <w:t>153.3650</w:t>
            </w:r>
          </w:p>
        </w:tc>
      </w:tr>
      <w:tr w14:paraId="22416DC3"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12B16D0"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D16E44E" w14:textId="77777777">
            <w:pPr>
              <w:widowControl/>
              <w:jc w:val="center"/>
              <w:rPr>
                <w:snapToGrid/>
                <w:color w:val="000000"/>
                <w:kern w:val="0"/>
                <w:szCs w:val="22"/>
              </w:rPr>
            </w:pPr>
            <w:r w:rsidRPr="006E1513">
              <w:rPr>
                <w:snapToGrid/>
                <w:color w:val="000000"/>
                <w:kern w:val="0"/>
                <w:szCs w:val="22"/>
              </w:rPr>
              <w:t>152.2925</w:t>
            </w:r>
          </w:p>
        </w:tc>
      </w:tr>
      <w:tr w14:paraId="40C181B5"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31CA6BC"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D354C6B" w14:textId="77777777">
            <w:pPr>
              <w:widowControl/>
              <w:jc w:val="center"/>
              <w:rPr>
                <w:snapToGrid/>
                <w:color w:val="000000"/>
                <w:kern w:val="0"/>
                <w:szCs w:val="22"/>
              </w:rPr>
            </w:pPr>
            <w:r w:rsidRPr="006E1513">
              <w:rPr>
                <w:snapToGrid/>
                <w:color w:val="000000"/>
                <w:kern w:val="0"/>
                <w:szCs w:val="22"/>
              </w:rPr>
              <w:t>160.0200</w:t>
            </w:r>
          </w:p>
        </w:tc>
      </w:tr>
      <w:tr w14:paraId="40E16D44"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A99D89D" w14:textId="77777777">
            <w:pPr>
              <w:widowControl/>
              <w:jc w:val="center"/>
              <w:rPr>
                <w:snapToGrid/>
                <w:color w:val="000000"/>
                <w:kern w:val="0"/>
                <w:szCs w:val="22"/>
              </w:rPr>
            </w:pPr>
            <w:r w:rsidRPr="006E1513">
              <w:rPr>
                <w:snapToGrid/>
                <w:color w:val="000000"/>
                <w:kern w:val="0"/>
                <w:szCs w:val="22"/>
              </w:rPr>
              <w:t>WRBT765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B17F366" w14:textId="77777777">
            <w:pPr>
              <w:widowControl/>
              <w:jc w:val="center"/>
              <w:rPr>
                <w:snapToGrid/>
                <w:color w:val="000000"/>
                <w:kern w:val="0"/>
                <w:szCs w:val="22"/>
              </w:rPr>
            </w:pPr>
            <w:r w:rsidRPr="006E1513">
              <w:rPr>
                <w:snapToGrid/>
                <w:color w:val="000000"/>
                <w:kern w:val="0"/>
                <w:szCs w:val="22"/>
              </w:rPr>
              <w:t>158.2875</w:t>
            </w:r>
          </w:p>
        </w:tc>
      </w:tr>
      <w:tr w14:paraId="4D784E32"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329A20C"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F3A5FC2" w14:textId="77777777">
            <w:pPr>
              <w:widowControl/>
              <w:jc w:val="center"/>
              <w:rPr>
                <w:snapToGrid/>
                <w:color w:val="000000"/>
                <w:kern w:val="0"/>
                <w:szCs w:val="22"/>
              </w:rPr>
            </w:pPr>
            <w:r w:rsidRPr="006E1513">
              <w:rPr>
                <w:snapToGrid/>
                <w:color w:val="000000"/>
                <w:kern w:val="0"/>
                <w:szCs w:val="22"/>
              </w:rPr>
              <w:t>153.1850</w:t>
            </w:r>
          </w:p>
        </w:tc>
      </w:tr>
      <w:tr w14:paraId="4A7F368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1B5CC143"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06EECCC" w14:textId="77777777">
            <w:pPr>
              <w:widowControl/>
              <w:jc w:val="center"/>
              <w:rPr>
                <w:snapToGrid/>
                <w:color w:val="000000"/>
                <w:kern w:val="0"/>
                <w:szCs w:val="22"/>
              </w:rPr>
            </w:pPr>
            <w:r w:rsidRPr="006E1513">
              <w:rPr>
                <w:snapToGrid/>
                <w:color w:val="000000"/>
                <w:kern w:val="0"/>
                <w:szCs w:val="22"/>
              </w:rPr>
              <w:t>153.3200</w:t>
            </w:r>
          </w:p>
        </w:tc>
      </w:tr>
      <w:tr w14:paraId="7648F2E2"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D5CEDBC"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118FA59" w14:textId="77777777">
            <w:pPr>
              <w:widowControl/>
              <w:jc w:val="center"/>
              <w:rPr>
                <w:snapToGrid/>
                <w:color w:val="000000"/>
                <w:kern w:val="0"/>
                <w:szCs w:val="22"/>
              </w:rPr>
            </w:pPr>
            <w:r w:rsidRPr="006E1513">
              <w:rPr>
                <w:snapToGrid/>
                <w:color w:val="000000"/>
                <w:kern w:val="0"/>
                <w:szCs w:val="22"/>
              </w:rPr>
              <w:t>158.3475</w:t>
            </w:r>
          </w:p>
        </w:tc>
      </w:tr>
      <w:tr w14:paraId="68C67CD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79ABE09"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6795BE0" w14:textId="77777777">
            <w:pPr>
              <w:widowControl/>
              <w:jc w:val="center"/>
              <w:rPr>
                <w:snapToGrid/>
                <w:color w:val="000000"/>
                <w:kern w:val="0"/>
                <w:szCs w:val="22"/>
              </w:rPr>
            </w:pPr>
            <w:r w:rsidRPr="006E1513">
              <w:rPr>
                <w:snapToGrid/>
                <w:color w:val="000000"/>
                <w:kern w:val="0"/>
                <w:szCs w:val="22"/>
              </w:rPr>
              <w:t>160.1775</w:t>
            </w:r>
          </w:p>
        </w:tc>
      </w:tr>
      <w:tr w14:paraId="344C8DC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1AFFD21"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78E973A" w14:textId="77777777">
            <w:pPr>
              <w:widowControl/>
              <w:jc w:val="center"/>
              <w:rPr>
                <w:snapToGrid/>
                <w:color w:val="000000"/>
                <w:kern w:val="0"/>
                <w:szCs w:val="22"/>
              </w:rPr>
            </w:pPr>
            <w:r w:rsidRPr="006E1513">
              <w:rPr>
                <w:snapToGrid/>
                <w:color w:val="000000"/>
                <w:kern w:val="0"/>
                <w:szCs w:val="22"/>
              </w:rPr>
              <w:t>153.1325</w:t>
            </w:r>
          </w:p>
        </w:tc>
      </w:tr>
      <w:tr w14:paraId="3F315710"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7E7A896"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D3B8386" w14:textId="77777777">
            <w:pPr>
              <w:widowControl/>
              <w:jc w:val="center"/>
              <w:rPr>
                <w:snapToGrid/>
                <w:color w:val="000000"/>
                <w:kern w:val="0"/>
                <w:szCs w:val="22"/>
              </w:rPr>
            </w:pPr>
            <w:r w:rsidRPr="006E1513">
              <w:rPr>
                <w:snapToGrid/>
                <w:color w:val="000000"/>
                <w:kern w:val="0"/>
                <w:szCs w:val="22"/>
              </w:rPr>
              <w:t>153.5825</w:t>
            </w:r>
          </w:p>
        </w:tc>
      </w:tr>
      <w:tr w14:paraId="0E41817C"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2E5E12B"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7FC1F17" w14:textId="77777777">
            <w:pPr>
              <w:widowControl/>
              <w:jc w:val="center"/>
              <w:rPr>
                <w:snapToGrid/>
                <w:color w:val="000000"/>
                <w:kern w:val="0"/>
                <w:szCs w:val="22"/>
              </w:rPr>
            </w:pPr>
            <w:r w:rsidRPr="006E1513">
              <w:rPr>
                <w:snapToGrid/>
                <w:color w:val="000000"/>
                <w:kern w:val="0"/>
                <w:szCs w:val="22"/>
              </w:rPr>
              <w:t>153.6875</w:t>
            </w:r>
          </w:p>
        </w:tc>
      </w:tr>
      <w:tr w14:paraId="57FCC279"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2113A82"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9FE3323" w14:textId="77777777">
            <w:pPr>
              <w:widowControl/>
              <w:jc w:val="center"/>
              <w:rPr>
                <w:snapToGrid/>
                <w:color w:val="000000"/>
                <w:kern w:val="0"/>
                <w:szCs w:val="22"/>
              </w:rPr>
            </w:pPr>
            <w:r w:rsidRPr="006E1513">
              <w:rPr>
                <w:snapToGrid/>
                <w:color w:val="000000"/>
                <w:kern w:val="0"/>
                <w:szCs w:val="22"/>
              </w:rPr>
              <w:t>158.1675</w:t>
            </w:r>
          </w:p>
        </w:tc>
      </w:tr>
      <w:tr w14:paraId="5428444C"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16BD76FF"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D8AE2B5" w14:textId="77777777">
            <w:pPr>
              <w:widowControl/>
              <w:jc w:val="center"/>
              <w:rPr>
                <w:snapToGrid/>
                <w:color w:val="000000"/>
                <w:kern w:val="0"/>
                <w:szCs w:val="22"/>
              </w:rPr>
            </w:pPr>
            <w:r w:rsidRPr="006E1513">
              <w:rPr>
                <w:snapToGrid/>
                <w:color w:val="000000"/>
                <w:kern w:val="0"/>
                <w:szCs w:val="22"/>
              </w:rPr>
              <w:t>159.6750</w:t>
            </w:r>
          </w:p>
        </w:tc>
      </w:tr>
      <w:tr w14:paraId="5E966B42"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7D0EBE8"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4F6E406" w14:textId="77777777">
            <w:pPr>
              <w:widowControl/>
              <w:jc w:val="center"/>
              <w:rPr>
                <w:snapToGrid/>
                <w:color w:val="000000"/>
                <w:kern w:val="0"/>
                <w:szCs w:val="22"/>
              </w:rPr>
            </w:pPr>
            <w:r w:rsidRPr="006E1513">
              <w:rPr>
                <w:snapToGrid/>
                <w:color w:val="000000"/>
                <w:kern w:val="0"/>
                <w:szCs w:val="22"/>
              </w:rPr>
              <w:t>159.8625</w:t>
            </w:r>
          </w:p>
        </w:tc>
      </w:tr>
      <w:tr w14:paraId="0CB69965"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B9D9BD7"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8707147" w14:textId="77777777">
            <w:pPr>
              <w:widowControl/>
              <w:jc w:val="center"/>
              <w:rPr>
                <w:snapToGrid/>
                <w:color w:val="000000"/>
                <w:kern w:val="0"/>
                <w:szCs w:val="22"/>
              </w:rPr>
            </w:pPr>
            <w:r w:rsidRPr="006E1513">
              <w:rPr>
                <w:snapToGrid/>
                <w:color w:val="000000"/>
                <w:kern w:val="0"/>
                <w:szCs w:val="22"/>
              </w:rPr>
              <w:t>153.2150</w:t>
            </w:r>
          </w:p>
        </w:tc>
      </w:tr>
      <w:tr w14:paraId="174C38B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427810C"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A8E7C89" w14:textId="77777777">
            <w:pPr>
              <w:widowControl/>
              <w:jc w:val="center"/>
              <w:rPr>
                <w:snapToGrid/>
                <w:color w:val="000000"/>
                <w:kern w:val="0"/>
                <w:szCs w:val="22"/>
              </w:rPr>
            </w:pPr>
            <w:r w:rsidRPr="006E1513">
              <w:rPr>
                <w:snapToGrid/>
                <w:color w:val="000000"/>
                <w:kern w:val="0"/>
                <w:szCs w:val="22"/>
              </w:rPr>
              <w:t>153.1100</w:t>
            </w:r>
          </w:p>
        </w:tc>
      </w:tr>
      <w:tr w14:paraId="0F6C107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22866A5"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2F6C18D" w14:textId="77777777">
            <w:pPr>
              <w:widowControl/>
              <w:jc w:val="center"/>
              <w:rPr>
                <w:snapToGrid/>
                <w:color w:val="000000"/>
                <w:kern w:val="0"/>
                <w:szCs w:val="22"/>
              </w:rPr>
            </w:pPr>
            <w:r w:rsidRPr="006E1513">
              <w:rPr>
                <w:snapToGrid/>
                <w:color w:val="000000"/>
                <w:kern w:val="0"/>
                <w:szCs w:val="22"/>
              </w:rPr>
              <w:t>158.3100</w:t>
            </w:r>
          </w:p>
        </w:tc>
      </w:tr>
      <w:tr w14:paraId="5E2A8F6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FC19C8C"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19F7A7C" w14:textId="77777777">
            <w:pPr>
              <w:widowControl/>
              <w:jc w:val="center"/>
              <w:rPr>
                <w:snapToGrid/>
                <w:color w:val="000000"/>
                <w:kern w:val="0"/>
                <w:szCs w:val="22"/>
              </w:rPr>
            </w:pPr>
            <w:r w:rsidRPr="006E1513">
              <w:rPr>
                <w:snapToGrid/>
                <w:color w:val="000000"/>
                <w:kern w:val="0"/>
                <w:szCs w:val="22"/>
              </w:rPr>
              <w:t>159.6075</w:t>
            </w:r>
          </w:p>
        </w:tc>
      </w:tr>
      <w:tr w14:paraId="33C65E6C"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1CD6B7F"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0A1A1BB" w14:textId="77777777">
            <w:pPr>
              <w:widowControl/>
              <w:jc w:val="center"/>
              <w:rPr>
                <w:snapToGrid/>
                <w:color w:val="000000"/>
                <w:kern w:val="0"/>
                <w:szCs w:val="22"/>
              </w:rPr>
            </w:pPr>
            <w:r w:rsidRPr="006E1513">
              <w:rPr>
                <w:snapToGrid/>
                <w:color w:val="000000"/>
                <w:kern w:val="0"/>
                <w:szCs w:val="22"/>
              </w:rPr>
              <w:t>153.0725</w:t>
            </w:r>
          </w:p>
        </w:tc>
      </w:tr>
      <w:tr w14:paraId="59489FE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C2126C1"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ED8ABED" w14:textId="77777777">
            <w:pPr>
              <w:widowControl/>
              <w:jc w:val="center"/>
              <w:rPr>
                <w:snapToGrid/>
                <w:color w:val="000000"/>
                <w:kern w:val="0"/>
                <w:szCs w:val="22"/>
              </w:rPr>
            </w:pPr>
            <w:r w:rsidRPr="006E1513">
              <w:rPr>
                <w:snapToGrid/>
                <w:color w:val="000000"/>
                <w:kern w:val="0"/>
                <w:szCs w:val="22"/>
              </w:rPr>
              <w:t>153.4400</w:t>
            </w:r>
          </w:p>
        </w:tc>
      </w:tr>
      <w:tr w14:paraId="50C64EC3"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22C389D"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584BFFF" w14:textId="77777777">
            <w:pPr>
              <w:widowControl/>
              <w:jc w:val="center"/>
              <w:rPr>
                <w:snapToGrid/>
                <w:color w:val="000000"/>
                <w:kern w:val="0"/>
                <w:szCs w:val="22"/>
              </w:rPr>
            </w:pPr>
            <w:r w:rsidRPr="006E1513">
              <w:rPr>
                <w:snapToGrid/>
                <w:color w:val="000000"/>
                <w:kern w:val="0"/>
                <w:szCs w:val="22"/>
              </w:rPr>
              <w:t>159.8625</w:t>
            </w:r>
          </w:p>
        </w:tc>
      </w:tr>
      <w:tr w14:paraId="09C149A2"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2C8605C" w14:textId="77777777">
            <w:pPr>
              <w:widowControl/>
              <w:jc w:val="center"/>
              <w:rPr>
                <w:snapToGrid/>
                <w:color w:val="000000"/>
                <w:kern w:val="0"/>
                <w:szCs w:val="22"/>
              </w:rPr>
            </w:pPr>
            <w:r w:rsidRPr="006E1513">
              <w:rPr>
                <w:snapToGrid/>
                <w:color w:val="000000"/>
                <w:kern w:val="0"/>
                <w:szCs w:val="22"/>
              </w:rPr>
              <w:t>WRBP862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3C259B3D" w14:textId="77777777">
            <w:pPr>
              <w:widowControl/>
              <w:jc w:val="center"/>
              <w:rPr>
                <w:snapToGrid/>
                <w:color w:val="000000"/>
                <w:kern w:val="0"/>
                <w:szCs w:val="22"/>
              </w:rPr>
            </w:pPr>
            <w:r w:rsidRPr="006E1513">
              <w:rPr>
                <w:snapToGrid/>
                <w:color w:val="000000"/>
                <w:kern w:val="0"/>
                <w:szCs w:val="22"/>
              </w:rPr>
              <w:t>159.7875</w:t>
            </w:r>
          </w:p>
        </w:tc>
      </w:tr>
      <w:tr w14:paraId="6DB1A379"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732707E" w14:textId="77777777">
            <w:pPr>
              <w:widowControl/>
              <w:jc w:val="center"/>
              <w:rPr>
                <w:snapToGrid/>
                <w:kern w:val="0"/>
                <w:szCs w:val="22"/>
              </w:rPr>
            </w:pPr>
            <w:r w:rsidRPr="006E1513">
              <w:rPr>
                <w:snapToGrid/>
                <w:kern w:val="0"/>
                <w:szCs w:val="22"/>
              </w:rPr>
              <w:t>*WPVF282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51264CB" w14:textId="77777777">
            <w:pPr>
              <w:widowControl/>
              <w:jc w:val="center"/>
              <w:rPr>
                <w:snapToGrid/>
                <w:kern w:val="0"/>
                <w:szCs w:val="22"/>
              </w:rPr>
            </w:pPr>
            <w:r w:rsidRPr="006E1513">
              <w:rPr>
                <w:snapToGrid/>
                <w:kern w:val="0"/>
                <w:szCs w:val="22"/>
              </w:rPr>
              <w:t>152.6300</w:t>
            </w:r>
          </w:p>
        </w:tc>
      </w:tr>
      <w:tr w14:paraId="0CA3860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2D95018" w14:textId="77777777">
            <w:pPr>
              <w:widowControl/>
              <w:jc w:val="center"/>
              <w:rPr>
                <w:snapToGrid/>
                <w:kern w:val="0"/>
                <w:szCs w:val="22"/>
              </w:rPr>
            </w:pPr>
            <w:r w:rsidRPr="006E1513">
              <w:rPr>
                <w:snapToGrid/>
                <w:kern w:val="0"/>
                <w:szCs w:val="22"/>
              </w:rPr>
              <w:t>*WPVF282</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5E27B5D" w14:textId="77777777">
            <w:pPr>
              <w:widowControl/>
              <w:jc w:val="center"/>
              <w:rPr>
                <w:snapToGrid/>
                <w:kern w:val="0"/>
                <w:szCs w:val="22"/>
              </w:rPr>
            </w:pPr>
            <w:r w:rsidRPr="006E1513">
              <w:rPr>
                <w:snapToGrid/>
                <w:kern w:val="0"/>
                <w:szCs w:val="22"/>
              </w:rPr>
              <w:t>157.8900</w:t>
            </w:r>
          </w:p>
        </w:tc>
      </w:tr>
      <w:tr w14:paraId="62647EF3"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859ECCB" w14:textId="77777777">
            <w:pPr>
              <w:widowControl/>
              <w:jc w:val="center"/>
              <w:rPr>
                <w:snapToGrid/>
                <w:kern w:val="0"/>
                <w:szCs w:val="22"/>
              </w:rPr>
            </w:pPr>
            <w:r w:rsidRPr="006E1513">
              <w:rPr>
                <w:snapToGrid/>
                <w:kern w:val="0"/>
                <w:szCs w:val="22"/>
              </w:rPr>
              <w:t>*WPVF288</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CDE2CAC" w14:textId="77777777">
            <w:pPr>
              <w:widowControl/>
              <w:jc w:val="center"/>
              <w:rPr>
                <w:snapToGrid/>
                <w:kern w:val="0"/>
                <w:szCs w:val="22"/>
              </w:rPr>
            </w:pPr>
            <w:r w:rsidRPr="006E1513">
              <w:rPr>
                <w:snapToGrid/>
                <w:kern w:val="0"/>
                <w:szCs w:val="22"/>
              </w:rPr>
              <w:t>152.0600</w:t>
            </w:r>
          </w:p>
        </w:tc>
      </w:tr>
      <w:tr w14:paraId="0BD351BE"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4672085" w14:textId="77777777">
            <w:pPr>
              <w:widowControl/>
              <w:jc w:val="center"/>
              <w:rPr>
                <w:snapToGrid/>
                <w:kern w:val="0"/>
                <w:szCs w:val="22"/>
              </w:rPr>
            </w:pPr>
            <w:r w:rsidRPr="006E1513">
              <w:rPr>
                <w:snapToGrid/>
                <w:kern w:val="0"/>
                <w:szCs w:val="22"/>
              </w:rPr>
              <w:t>*WPVF288</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3576BE7" w14:textId="77777777">
            <w:pPr>
              <w:widowControl/>
              <w:jc w:val="center"/>
              <w:rPr>
                <w:snapToGrid/>
                <w:kern w:val="0"/>
                <w:szCs w:val="22"/>
              </w:rPr>
            </w:pPr>
            <w:r w:rsidRPr="006E1513">
              <w:rPr>
                <w:snapToGrid/>
                <w:kern w:val="0"/>
                <w:szCs w:val="22"/>
              </w:rPr>
              <w:t>158.5200</w:t>
            </w:r>
          </w:p>
        </w:tc>
      </w:tr>
      <w:tr w14:paraId="6A027FCD"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4F38AD0" w14:textId="77777777">
            <w:pPr>
              <w:widowControl/>
              <w:jc w:val="center"/>
              <w:rPr>
                <w:snapToGrid/>
                <w:kern w:val="0"/>
                <w:szCs w:val="22"/>
              </w:rPr>
            </w:pPr>
            <w:r w:rsidRPr="006E1513">
              <w:rPr>
                <w:snapToGrid/>
                <w:kern w:val="0"/>
                <w:szCs w:val="22"/>
              </w:rPr>
              <w:t>*WPVF296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E212E85" w14:textId="77777777">
            <w:pPr>
              <w:widowControl/>
              <w:jc w:val="center"/>
              <w:rPr>
                <w:snapToGrid/>
                <w:kern w:val="0"/>
                <w:szCs w:val="22"/>
              </w:rPr>
            </w:pPr>
            <w:r w:rsidRPr="006E1513">
              <w:rPr>
                <w:snapToGrid/>
                <w:kern w:val="0"/>
                <w:szCs w:val="22"/>
              </w:rPr>
              <w:t>152.7500</w:t>
            </w:r>
          </w:p>
        </w:tc>
      </w:tr>
      <w:tr w14:paraId="7E4FD6E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CEDD35B" w14:textId="77777777">
            <w:pPr>
              <w:widowControl/>
              <w:jc w:val="center"/>
              <w:rPr>
                <w:snapToGrid/>
                <w:kern w:val="0"/>
                <w:szCs w:val="22"/>
              </w:rPr>
            </w:pPr>
            <w:r w:rsidRPr="006E1513">
              <w:rPr>
                <w:snapToGrid/>
                <w:kern w:val="0"/>
                <w:szCs w:val="22"/>
              </w:rPr>
              <w:t>*WPVF296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AD23BE0" w14:textId="77777777">
            <w:pPr>
              <w:widowControl/>
              <w:jc w:val="center"/>
              <w:rPr>
                <w:snapToGrid/>
                <w:kern w:val="0"/>
                <w:szCs w:val="22"/>
              </w:rPr>
            </w:pPr>
            <w:r w:rsidRPr="006E1513">
              <w:rPr>
                <w:snapToGrid/>
                <w:kern w:val="0"/>
                <w:szCs w:val="22"/>
              </w:rPr>
              <w:t>158.0100</w:t>
            </w:r>
          </w:p>
        </w:tc>
      </w:tr>
      <w:tr w14:paraId="0E746D7F"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7F4C757" w14:textId="77777777">
            <w:pPr>
              <w:widowControl/>
              <w:jc w:val="center"/>
              <w:rPr>
                <w:snapToGrid/>
                <w:kern w:val="0"/>
                <w:szCs w:val="22"/>
              </w:rPr>
            </w:pPr>
            <w:r w:rsidRPr="006E1513">
              <w:rPr>
                <w:snapToGrid/>
                <w:kern w:val="0"/>
                <w:szCs w:val="22"/>
              </w:rPr>
              <w:t>*WPVF289</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4904A04" w14:textId="77777777">
            <w:pPr>
              <w:widowControl/>
              <w:jc w:val="center"/>
              <w:rPr>
                <w:snapToGrid/>
                <w:kern w:val="0"/>
                <w:szCs w:val="22"/>
              </w:rPr>
            </w:pPr>
            <w:r w:rsidRPr="006E1513">
              <w:rPr>
                <w:snapToGrid/>
                <w:kern w:val="0"/>
                <w:szCs w:val="22"/>
              </w:rPr>
              <w:t>152.1200</w:t>
            </w:r>
          </w:p>
        </w:tc>
      </w:tr>
      <w:tr w14:paraId="7B2FAF8E"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3996626" w14:textId="77777777">
            <w:pPr>
              <w:widowControl/>
              <w:jc w:val="center"/>
              <w:rPr>
                <w:snapToGrid/>
                <w:kern w:val="0"/>
                <w:szCs w:val="22"/>
              </w:rPr>
            </w:pPr>
            <w:r w:rsidRPr="006E1513">
              <w:rPr>
                <w:snapToGrid/>
                <w:kern w:val="0"/>
                <w:szCs w:val="22"/>
              </w:rPr>
              <w:t>*WPVF289</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EF07E72" w14:textId="77777777">
            <w:pPr>
              <w:widowControl/>
              <w:jc w:val="center"/>
              <w:rPr>
                <w:snapToGrid/>
                <w:kern w:val="0"/>
                <w:szCs w:val="22"/>
              </w:rPr>
            </w:pPr>
            <w:r w:rsidRPr="006E1513">
              <w:rPr>
                <w:snapToGrid/>
                <w:kern w:val="0"/>
                <w:szCs w:val="22"/>
              </w:rPr>
              <w:t>158.5800</w:t>
            </w:r>
          </w:p>
        </w:tc>
      </w:tr>
      <w:tr w14:paraId="79A77E46"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F6EDA1D" w14:textId="77777777">
            <w:pPr>
              <w:widowControl/>
              <w:jc w:val="center"/>
              <w:rPr>
                <w:snapToGrid/>
                <w:kern w:val="0"/>
                <w:szCs w:val="22"/>
              </w:rPr>
            </w:pPr>
            <w:r w:rsidRPr="006E1513">
              <w:rPr>
                <w:snapToGrid/>
                <w:kern w:val="0"/>
                <w:szCs w:val="22"/>
              </w:rPr>
              <w:t>*WPVF297</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AB26A5F" w14:textId="77777777">
            <w:pPr>
              <w:widowControl/>
              <w:jc w:val="center"/>
              <w:rPr>
                <w:snapToGrid/>
                <w:kern w:val="0"/>
                <w:szCs w:val="22"/>
              </w:rPr>
            </w:pPr>
            <w:r w:rsidRPr="006E1513">
              <w:rPr>
                <w:snapToGrid/>
                <w:kern w:val="0"/>
                <w:szCs w:val="22"/>
              </w:rPr>
              <w:t>152.7800</w:t>
            </w:r>
          </w:p>
        </w:tc>
      </w:tr>
      <w:tr w14:paraId="73F03E89"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9A43360" w14:textId="77777777">
            <w:pPr>
              <w:widowControl/>
              <w:jc w:val="center"/>
              <w:rPr>
                <w:snapToGrid/>
                <w:kern w:val="0"/>
                <w:szCs w:val="22"/>
              </w:rPr>
            </w:pPr>
            <w:r w:rsidRPr="006E1513">
              <w:rPr>
                <w:snapToGrid/>
                <w:kern w:val="0"/>
                <w:szCs w:val="22"/>
              </w:rPr>
              <w:t>*WPVF297</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B53ABBD" w14:textId="77777777">
            <w:pPr>
              <w:widowControl/>
              <w:jc w:val="center"/>
              <w:rPr>
                <w:snapToGrid/>
                <w:kern w:val="0"/>
                <w:szCs w:val="22"/>
              </w:rPr>
            </w:pPr>
            <w:r w:rsidRPr="006E1513">
              <w:rPr>
                <w:snapToGrid/>
                <w:kern w:val="0"/>
                <w:szCs w:val="22"/>
              </w:rPr>
              <w:t>158.0400</w:t>
            </w:r>
          </w:p>
        </w:tc>
      </w:tr>
      <w:tr w14:paraId="54CB61E4"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29BF58B" w14:textId="77777777">
            <w:pPr>
              <w:widowControl/>
              <w:jc w:val="center"/>
              <w:rPr>
                <w:snapToGrid/>
                <w:kern w:val="0"/>
                <w:szCs w:val="22"/>
              </w:rPr>
            </w:pPr>
            <w:r w:rsidRPr="006E1513">
              <w:rPr>
                <w:snapToGrid/>
                <w:kern w:val="0"/>
                <w:szCs w:val="22"/>
              </w:rPr>
              <w:t>*WPVF301</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427C55E" w14:textId="77777777">
            <w:pPr>
              <w:widowControl/>
              <w:jc w:val="center"/>
              <w:rPr>
                <w:snapToGrid/>
                <w:kern w:val="0"/>
                <w:szCs w:val="22"/>
              </w:rPr>
            </w:pPr>
            <w:r w:rsidRPr="006E1513">
              <w:rPr>
                <w:snapToGrid/>
                <w:kern w:val="0"/>
                <w:szCs w:val="22"/>
              </w:rPr>
              <w:t>152.0600</w:t>
            </w:r>
          </w:p>
        </w:tc>
      </w:tr>
      <w:tr w14:paraId="4EBD6465"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19775141" w14:textId="77777777">
            <w:pPr>
              <w:widowControl/>
              <w:jc w:val="center"/>
              <w:rPr>
                <w:snapToGrid/>
                <w:kern w:val="0"/>
                <w:szCs w:val="22"/>
              </w:rPr>
            </w:pPr>
            <w:r w:rsidRPr="006E1513">
              <w:rPr>
                <w:snapToGrid/>
                <w:kern w:val="0"/>
                <w:szCs w:val="22"/>
              </w:rPr>
              <w:t>*WPVF301</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174F3E5" w14:textId="77777777">
            <w:pPr>
              <w:widowControl/>
              <w:jc w:val="center"/>
              <w:rPr>
                <w:snapToGrid/>
                <w:kern w:val="0"/>
                <w:szCs w:val="22"/>
              </w:rPr>
            </w:pPr>
            <w:r w:rsidRPr="006E1513">
              <w:rPr>
                <w:snapToGrid/>
                <w:kern w:val="0"/>
                <w:szCs w:val="22"/>
              </w:rPr>
              <w:t>158.5200</w:t>
            </w:r>
          </w:p>
        </w:tc>
      </w:tr>
      <w:tr w14:paraId="654DB0D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52C1461D" w14:textId="77777777">
            <w:pPr>
              <w:widowControl/>
              <w:jc w:val="center"/>
              <w:rPr>
                <w:snapToGrid/>
                <w:kern w:val="0"/>
                <w:szCs w:val="22"/>
              </w:rPr>
            </w:pPr>
            <w:r w:rsidRPr="006E1513">
              <w:rPr>
                <w:snapToGrid/>
                <w:kern w:val="0"/>
                <w:szCs w:val="22"/>
              </w:rPr>
              <w:t>*WPVF303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BABB50E" w14:textId="77777777">
            <w:pPr>
              <w:widowControl/>
              <w:jc w:val="center"/>
              <w:rPr>
                <w:snapToGrid/>
                <w:kern w:val="0"/>
                <w:szCs w:val="22"/>
              </w:rPr>
            </w:pPr>
            <w:r w:rsidRPr="006E1513">
              <w:rPr>
                <w:snapToGrid/>
                <w:kern w:val="0"/>
                <w:szCs w:val="22"/>
              </w:rPr>
              <w:t>152.1200</w:t>
            </w:r>
          </w:p>
        </w:tc>
      </w:tr>
      <w:tr w14:paraId="66610EEA"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0868212" w14:textId="77777777">
            <w:pPr>
              <w:widowControl/>
              <w:jc w:val="center"/>
              <w:rPr>
                <w:snapToGrid/>
                <w:kern w:val="0"/>
                <w:szCs w:val="22"/>
              </w:rPr>
            </w:pPr>
            <w:r w:rsidRPr="006E1513">
              <w:rPr>
                <w:snapToGrid/>
                <w:kern w:val="0"/>
                <w:szCs w:val="22"/>
              </w:rPr>
              <w:t>*WPVF303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338D570" w14:textId="77777777">
            <w:pPr>
              <w:widowControl/>
              <w:jc w:val="center"/>
              <w:rPr>
                <w:snapToGrid/>
                <w:kern w:val="0"/>
                <w:szCs w:val="22"/>
              </w:rPr>
            </w:pPr>
            <w:r w:rsidRPr="006E1513">
              <w:rPr>
                <w:snapToGrid/>
                <w:kern w:val="0"/>
                <w:szCs w:val="22"/>
              </w:rPr>
              <w:t>158.5800</w:t>
            </w:r>
          </w:p>
        </w:tc>
      </w:tr>
      <w:tr w14:paraId="40AECDF3"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4861022" w14:textId="77777777">
            <w:pPr>
              <w:widowControl/>
              <w:jc w:val="center"/>
              <w:rPr>
                <w:snapToGrid/>
                <w:kern w:val="0"/>
                <w:szCs w:val="22"/>
              </w:rPr>
            </w:pPr>
            <w:r w:rsidRPr="006E1513">
              <w:rPr>
                <w:snapToGrid/>
                <w:kern w:val="0"/>
                <w:szCs w:val="22"/>
              </w:rPr>
              <w:t>*WPVF313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625BC20" w14:textId="77777777">
            <w:pPr>
              <w:widowControl/>
              <w:jc w:val="center"/>
              <w:rPr>
                <w:snapToGrid/>
                <w:kern w:val="0"/>
                <w:szCs w:val="22"/>
              </w:rPr>
            </w:pPr>
            <w:r w:rsidRPr="006E1513">
              <w:rPr>
                <w:snapToGrid/>
                <w:kern w:val="0"/>
                <w:szCs w:val="22"/>
              </w:rPr>
              <w:t>152.7800</w:t>
            </w:r>
          </w:p>
        </w:tc>
      </w:tr>
      <w:tr w14:paraId="44056AD0"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0D1FB135" w14:textId="77777777">
            <w:pPr>
              <w:widowControl/>
              <w:jc w:val="center"/>
              <w:rPr>
                <w:snapToGrid/>
                <w:kern w:val="0"/>
                <w:szCs w:val="22"/>
              </w:rPr>
            </w:pPr>
            <w:r w:rsidRPr="006E1513">
              <w:rPr>
                <w:snapToGrid/>
                <w:kern w:val="0"/>
                <w:szCs w:val="22"/>
              </w:rPr>
              <w:t>*WPVF313</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13DDEE23" w14:textId="77777777">
            <w:pPr>
              <w:widowControl/>
              <w:jc w:val="center"/>
              <w:rPr>
                <w:snapToGrid/>
                <w:kern w:val="0"/>
                <w:szCs w:val="22"/>
              </w:rPr>
            </w:pPr>
            <w:r w:rsidRPr="006E1513">
              <w:rPr>
                <w:snapToGrid/>
                <w:kern w:val="0"/>
                <w:szCs w:val="22"/>
              </w:rPr>
              <w:t>158.0400</w:t>
            </w:r>
          </w:p>
        </w:tc>
      </w:tr>
      <w:tr w14:paraId="038083A8"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1EDF8CF3" w14:textId="77777777">
            <w:pPr>
              <w:widowControl/>
              <w:jc w:val="center"/>
              <w:rPr>
                <w:snapToGrid/>
                <w:kern w:val="0"/>
                <w:szCs w:val="22"/>
              </w:rPr>
            </w:pPr>
            <w:r w:rsidRPr="006E1513">
              <w:rPr>
                <w:snapToGrid/>
                <w:kern w:val="0"/>
                <w:szCs w:val="22"/>
              </w:rPr>
              <w:t>*WPZG551</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12F0286" w14:textId="77777777">
            <w:pPr>
              <w:widowControl/>
              <w:jc w:val="center"/>
              <w:rPr>
                <w:snapToGrid/>
                <w:kern w:val="0"/>
                <w:szCs w:val="22"/>
              </w:rPr>
            </w:pPr>
            <w:r w:rsidRPr="006E1513">
              <w:rPr>
                <w:snapToGrid/>
                <w:kern w:val="0"/>
                <w:szCs w:val="22"/>
              </w:rPr>
              <w:t>152.0600</w:t>
            </w:r>
          </w:p>
        </w:tc>
      </w:tr>
      <w:tr w14:paraId="380658B1"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447879D" w14:textId="77777777">
            <w:pPr>
              <w:widowControl/>
              <w:jc w:val="center"/>
              <w:rPr>
                <w:snapToGrid/>
                <w:kern w:val="0"/>
                <w:szCs w:val="22"/>
              </w:rPr>
            </w:pPr>
            <w:r w:rsidRPr="006E1513">
              <w:rPr>
                <w:snapToGrid/>
                <w:kern w:val="0"/>
                <w:szCs w:val="22"/>
              </w:rPr>
              <w:t>*WPZG551</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72A9796" w14:textId="77777777">
            <w:pPr>
              <w:widowControl/>
              <w:jc w:val="center"/>
              <w:rPr>
                <w:snapToGrid/>
                <w:kern w:val="0"/>
                <w:szCs w:val="22"/>
              </w:rPr>
            </w:pPr>
            <w:r w:rsidRPr="006E1513">
              <w:rPr>
                <w:snapToGrid/>
                <w:kern w:val="0"/>
                <w:szCs w:val="22"/>
              </w:rPr>
              <w:t>158.5200</w:t>
            </w:r>
          </w:p>
        </w:tc>
      </w:tr>
      <w:tr w14:paraId="4D28EA14"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66855A3C" w14:textId="77777777">
            <w:pPr>
              <w:widowControl/>
              <w:jc w:val="center"/>
              <w:rPr>
                <w:snapToGrid/>
                <w:kern w:val="0"/>
                <w:szCs w:val="22"/>
              </w:rPr>
            </w:pPr>
            <w:r w:rsidRPr="006E1513">
              <w:rPr>
                <w:snapToGrid/>
                <w:kern w:val="0"/>
                <w:szCs w:val="22"/>
              </w:rPr>
              <w:t>*WPVF349</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4E3AB21" w14:textId="77777777">
            <w:pPr>
              <w:widowControl/>
              <w:jc w:val="center"/>
              <w:rPr>
                <w:snapToGrid/>
                <w:kern w:val="0"/>
                <w:szCs w:val="22"/>
              </w:rPr>
            </w:pPr>
            <w:r w:rsidRPr="006E1513">
              <w:rPr>
                <w:snapToGrid/>
                <w:kern w:val="0"/>
                <w:szCs w:val="22"/>
              </w:rPr>
              <w:t>152.7500</w:t>
            </w:r>
          </w:p>
        </w:tc>
      </w:tr>
      <w:tr w14:paraId="2B304FB7"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5A8D9FB" w14:textId="77777777">
            <w:pPr>
              <w:widowControl/>
              <w:jc w:val="center"/>
              <w:rPr>
                <w:snapToGrid/>
                <w:kern w:val="0"/>
                <w:szCs w:val="22"/>
              </w:rPr>
            </w:pPr>
            <w:r w:rsidRPr="006E1513">
              <w:rPr>
                <w:snapToGrid/>
                <w:kern w:val="0"/>
                <w:szCs w:val="22"/>
              </w:rPr>
              <w:t>*WPVF349</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9BF4E6C" w14:textId="77777777">
            <w:pPr>
              <w:widowControl/>
              <w:jc w:val="center"/>
              <w:rPr>
                <w:snapToGrid/>
                <w:kern w:val="0"/>
                <w:szCs w:val="22"/>
              </w:rPr>
            </w:pPr>
            <w:r w:rsidRPr="006E1513">
              <w:rPr>
                <w:snapToGrid/>
                <w:kern w:val="0"/>
                <w:szCs w:val="22"/>
              </w:rPr>
              <w:t>158.0100</w:t>
            </w:r>
          </w:p>
        </w:tc>
      </w:tr>
      <w:tr w14:paraId="14F2B568"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76EE815" w14:textId="77777777">
            <w:pPr>
              <w:widowControl/>
              <w:jc w:val="center"/>
              <w:rPr>
                <w:snapToGrid/>
                <w:kern w:val="0"/>
                <w:szCs w:val="22"/>
              </w:rPr>
            </w:pPr>
            <w:r w:rsidRPr="006E1513">
              <w:rPr>
                <w:snapToGrid/>
                <w:kern w:val="0"/>
                <w:szCs w:val="22"/>
              </w:rPr>
              <w:t>*WPVH206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74CA6E34" w14:textId="77777777">
            <w:pPr>
              <w:widowControl/>
              <w:jc w:val="center"/>
              <w:rPr>
                <w:snapToGrid/>
                <w:kern w:val="0"/>
                <w:szCs w:val="22"/>
              </w:rPr>
            </w:pPr>
            <w:r w:rsidRPr="006E1513">
              <w:rPr>
                <w:snapToGrid/>
                <w:kern w:val="0"/>
                <w:szCs w:val="22"/>
              </w:rPr>
              <w:t>152.0600</w:t>
            </w:r>
          </w:p>
        </w:tc>
      </w:tr>
      <w:tr w14:paraId="18534B55"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E261BA4" w14:textId="77777777">
            <w:pPr>
              <w:widowControl/>
              <w:jc w:val="center"/>
              <w:rPr>
                <w:snapToGrid/>
                <w:kern w:val="0"/>
                <w:szCs w:val="22"/>
              </w:rPr>
            </w:pPr>
            <w:r w:rsidRPr="006E1513">
              <w:rPr>
                <w:snapToGrid/>
                <w:kern w:val="0"/>
                <w:szCs w:val="22"/>
              </w:rPr>
              <w:t>*WPVH206</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56FF39A5" w14:textId="77777777">
            <w:pPr>
              <w:widowControl/>
              <w:jc w:val="center"/>
              <w:rPr>
                <w:snapToGrid/>
                <w:kern w:val="0"/>
                <w:szCs w:val="22"/>
              </w:rPr>
            </w:pPr>
            <w:r w:rsidRPr="006E1513">
              <w:rPr>
                <w:snapToGrid/>
                <w:kern w:val="0"/>
                <w:szCs w:val="22"/>
              </w:rPr>
              <w:t>158.5200</w:t>
            </w:r>
          </w:p>
        </w:tc>
      </w:tr>
      <w:tr w14:paraId="2DA48E67"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E7DADEE" w14:textId="77777777">
            <w:pPr>
              <w:widowControl/>
              <w:jc w:val="center"/>
              <w:rPr>
                <w:snapToGrid/>
                <w:kern w:val="0"/>
                <w:szCs w:val="22"/>
              </w:rPr>
            </w:pPr>
            <w:r w:rsidRPr="006E1513">
              <w:rPr>
                <w:snapToGrid/>
                <w:kern w:val="0"/>
                <w:szCs w:val="22"/>
              </w:rPr>
              <w:t>*WPVF365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6866A30" w14:textId="77777777">
            <w:pPr>
              <w:widowControl/>
              <w:jc w:val="center"/>
              <w:rPr>
                <w:snapToGrid/>
                <w:kern w:val="0"/>
                <w:szCs w:val="22"/>
              </w:rPr>
            </w:pPr>
            <w:r w:rsidRPr="006E1513">
              <w:rPr>
                <w:snapToGrid/>
                <w:kern w:val="0"/>
                <w:szCs w:val="22"/>
              </w:rPr>
              <w:t>152.7500</w:t>
            </w:r>
          </w:p>
        </w:tc>
      </w:tr>
      <w:tr w14:paraId="3FC12907" w14:textId="77777777" w:rsidTr="001C479B">
        <w:tblPrEx>
          <w:tblW w:w="2760" w:type="dxa"/>
          <w:tblInd w:w="113" w:type="dxa"/>
          <w:tblLook w:val="04A0"/>
        </w:tblPrEx>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1CF7CC87" w14:textId="77777777">
            <w:pPr>
              <w:widowControl/>
              <w:jc w:val="center"/>
              <w:rPr>
                <w:snapToGrid/>
                <w:kern w:val="0"/>
                <w:szCs w:val="22"/>
              </w:rPr>
            </w:pPr>
            <w:r w:rsidRPr="006E1513">
              <w:rPr>
                <w:snapToGrid/>
                <w:kern w:val="0"/>
                <w:szCs w:val="22"/>
              </w:rPr>
              <w:t>*WPVF365</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696E18FA" w14:textId="77777777">
            <w:pPr>
              <w:widowControl/>
              <w:jc w:val="center"/>
              <w:rPr>
                <w:snapToGrid/>
                <w:kern w:val="0"/>
                <w:szCs w:val="22"/>
              </w:rPr>
            </w:pPr>
            <w:r w:rsidRPr="006E1513">
              <w:rPr>
                <w:snapToGrid/>
                <w:kern w:val="0"/>
                <w:szCs w:val="22"/>
              </w:rPr>
              <w:t>158.0100</w:t>
            </w:r>
          </w:p>
        </w:tc>
      </w:tr>
      <w:tr w14:paraId="03C8C693"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704FD532" w14:textId="77777777">
            <w:pPr>
              <w:widowControl/>
              <w:jc w:val="center"/>
              <w:rPr>
                <w:snapToGrid/>
                <w:kern w:val="0"/>
                <w:szCs w:val="22"/>
              </w:rPr>
            </w:pPr>
            <w:r w:rsidRPr="006E1513">
              <w:rPr>
                <w:snapToGrid/>
                <w:kern w:val="0"/>
                <w:szCs w:val="22"/>
              </w:rPr>
              <w:t>*WPVF387</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1B2CF55" w14:textId="77777777">
            <w:pPr>
              <w:widowControl/>
              <w:jc w:val="center"/>
              <w:rPr>
                <w:snapToGrid/>
                <w:kern w:val="0"/>
                <w:szCs w:val="22"/>
              </w:rPr>
            </w:pPr>
            <w:r w:rsidRPr="006E1513">
              <w:rPr>
                <w:snapToGrid/>
                <w:kern w:val="0"/>
                <w:szCs w:val="22"/>
              </w:rPr>
              <w:t>152.0600</w:t>
            </w:r>
          </w:p>
        </w:tc>
      </w:tr>
      <w:tr w14:paraId="1ED3C3AE"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4876AEF2" w14:textId="77777777">
            <w:pPr>
              <w:widowControl/>
              <w:jc w:val="center"/>
              <w:rPr>
                <w:snapToGrid/>
                <w:kern w:val="0"/>
                <w:szCs w:val="22"/>
              </w:rPr>
            </w:pPr>
            <w:r w:rsidRPr="006E1513">
              <w:rPr>
                <w:snapToGrid/>
                <w:kern w:val="0"/>
                <w:szCs w:val="22"/>
              </w:rPr>
              <w:t>*WPVF387</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0C2266F0" w14:textId="77777777">
            <w:pPr>
              <w:widowControl/>
              <w:jc w:val="center"/>
              <w:rPr>
                <w:snapToGrid/>
                <w:kern w:val="0"/>
                <w:szCs w:val="22"/>
              </w:rPr>
            </w:pPr>
            <w:r w:rsidRPr="006E1513">
              <w:rPr>
                <w:snapToGrid/>
                <w:kern w:val="0"/>
                <w:szCs w:val="22"/>
              </w:rPr>
              <w:t>158.5200</w:t>
            </w:r>
          </w:p>
        </w:tc>
      </w:tr>
      <w:tr w14:paraId="6984B4BA"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3D06B06B" w14:textId="77777777">
            <w:pPr>
              <w:widowControl/>
              <w:jc w:val="center"/>
              <w:rPr>
                <w:snapToGrid/>
                <w:kern w:val="0"/>
                <w:szCs w:val="22"/>
              </w:rPr>
            </w:pPr>
            <w:r w:rsidRPr="006E1513">
              <w:rPr>
                <w:snapToGrid/>
                <w:kern w:val="0"/>
                <w:szCs w:val="22"/>
              </w:rPr>
              <w:t>*WPVF397</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44AADA47" w14:textId="77777777">
            <w:pPr>
              <w:widowControl/>
              <w:jc w:val="center"/>
              <w:rPr>
                <w:snapToGrid/>
                <w:kern w:val="0"/>
                <w:szCs w:val="22"/>
              </w:rPr>
            </w:pPr>
            <w:r w:rsidRPr="006E1513">
              <w:rPr>
                <w:snapToGrid/>
                <w:kern w:val="0"/>
                <w:szCs w:val="22"/>
              </w:rPr>
              <w:t>152.7500</w:t>
            </w:r>
          </w:p>
        </w:tc>
      </w:tr>
      <w:tr w14:paraId="49C6878D" w14:textId="77777777" w:rsidTr="006E1513">
        <w:tblPrEx>
          <w:tblW w:w="2760" w:type="dxa"/>
          <w:tblInd w:w="113" w:type="dxa"/>
          <w:tblLook w:val="04A0"/>
        </w:tblPrEx>
        <w:trPr>
          <w:cantSplit/>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C479B" w:rsidRPr="006E1513" w:rsidP="00C2117C" w14:paraId="231622BB" w14:textId="77777777">
            <w:pPr>
              <w:widowControl/>
              <w:jc w:val="center"/>
              <w:rPr>
                <w:snapToGrid/>
                <w:kern w:val="0"/>
                <w:szCs w:val="22"/>
              </w:rPr>
            </w:pPr>
            <w:r w:rsidRPr="006E1513">
              <w:rPr>
                <w:snapToGrid/>
                <w:kern w:val="0"/>
                <w:szCs w:val="22"/>
              </w:rPr>
              <w:t>*WPVF397</w:t>
            </w:r>
          </w:p>
        </w:tc>
        <w:tc>
          <w:tcPr>
            <w:tcW w:w="1340" w:type="dxa"/>
            <w:tcBorders>
              <w:top w:val="nil"/>
              <w:left w:val="nil"/>
              <w:bottom w:val="single" w:sz="4" w:space="0" w:color="auto"/>
              <w:right w:val="single" w:sz="4" w:space="0" w:color="auto"/>
            </w:tcBorders>
            <w:shd w:val="clear" w:color="auto" w:fill="auto"/>
            <w:noWrap/>
            <w:vAlign w:val="bottom"/>
            <w:hideMark/>
          </w:tcPr>
          <w:p w:rsidR="001C479B" w:rsidRPr="006E1513" w:rsidP="00C2117C" w14:paraId="233F2DA3" w14:textId="77777777">
            <w:pPr>
              <w:widowControl/>
              <w:jc w:val="center"/>
              <w:rPr>
                <w:snapToGrid/>
                <w:kern w:val="0"/>
                <w:szCs w:val="22"/>
              </w:rPr>
            </w:pPr>
            <w:r w:rsidRPr="006E1513">
              <w:rPr>
                <w:snapToGrid/>
                <w:kern w:val="0"/>
                <w:szCs w:val="22"/>
              </w:rPr>
              <w:t>158.0100</w:t>
            </w:r>
          </w:p>
        </w:tc>
      </w:tr>
    </w:tbl>
    <w:p w:rsidR="003F2786" w:rsidP="00C2117C" w14:paraId="0562898F" w14:textId="77777777">
      <w:pPr>
        <w:widowControl/>
        <w:jc w:val="center"/>
        <w:rPr>
          <w:rFonts w:ascii="Calibri" w:hAnsi="Calibri" w:cs="Calibri"/>
          <w:b/>
          <w:bCs/>
          <w:snapToGrid/>
          <w:color w:val="000000"/>
          <w:kern w:val="0"/>
          <w:szCs w:val="22"/>
        </w:rPr>
        <w:sectPr w:rsidSect="006E1513">
          <w:endnotePr>
            <w:numFmt w:val="decimal"/>
          </w:endnotePr>
          <w:type w:val="continuous"/>
          <w:pgSz w:w="12240" w:h="15840"/>
          <w:pgMar w:top="1440" w:right="1440" w:bottom="720" w:left="1440" w:header="720" w:footer="720" w:gutter="0"/>
          <w:pgNumType w:start="1"/>
          <w:cols w:num="3" w:space="720"/>
          <w:noEndnote/>
          <w:titlePg/>
        </w:sectPr>
      </w:pPr>
    </w:p>
    <w:p w:rsidR="004C6170" w:rsidRPr="00C87F1C" w:rsidP="00C2117C" w14:paraId="416D85FB" w14:textId="33C53E88">
      <w:pPr>
        <w:widowControl/>
      </w:pPr>
    </w:p>
    <w:sectPr w:rsidSect="00257960">
      <w:endnotePr>
        <w:numFmt w:val="decimal"/>
      </w:endnotePr>
      <w:type w:val="continuous"/>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E07" w:rsidP="0055614C" w14:paraId="77E425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A86E07" w14:paraId="0684F9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E07" w14:paraId="1A6C458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86E07" w14:paraId="46B3E03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E07" w14:paraId="1D99A4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6E07" w14:paraId="5958D119" w14:textId="77777777">
      <w:r>
        <w:separator/>
      </w:r>
    </w:p>
  </w:footnote>
  <w:footnote w:type="continuationSeparator" w:id="1">
    <w:p w:rsidR="00A86E07" w:rsidP="00C721AC" w14:paraId="11266582" w14:textId="77777777">
      <w:pPr>
        <w:spacing w:before="120"/>
        <w:rPr>
          <w:sz w:val="20"/>
        </w:rPr>
      </w:pPr>
      <w:r>
        <w:rPr>
          <w:sz w:val="20"/>
        </w:rPr>
        <w:t xml:space="preserve">(Continued from previous page)  </w:t>
      </w:r>
      <w:r>
        <w:rPr>
          <w:sz w:val="20"/>
        </w:rPr>
        <w:separator/>
      </w:r>
    </w:p>
  </w:footnote>
  <w:footnote w:type="continuationNotice" w:id="2">
    <w:p w:rsidR="00A86E07" w:rsidP="00C721AC" w14:paraId="6B176362" w14:textId="77777777">
      <w:pPr>
        <w:jc w:val="right"/>
        <w:rPr>
          <w:sz w:val="20"/>
        </w:rPr>
      </w:pPr>
      <w:r>
        <w:rPr>
          <w:sz w:val="20"/>
        </w:rPr>
        <w:t>(continued….)</w:t>
      </w:r>
    </w:p>
  </w:footnote>
  <w:footnote w:id="3">
    <w:p w:rsidR="00A86E07" w:rsidP="00C87F1C" w14:paraId="66A33B06" w14:textId="77777777">
      <w:pPr>
        <w:pStyle w:val="FootnoteText"/>
      </w:pPr>
      <w:r>
        <w:rPr>
          <w:rStyle w:val="FootnoteReference"/>
        </w:rPr>
        <w:footnoteRef/>
      </w:r>
      <w:r>
        <w:t xml:space="preserve"> Petition of Commonwealth of Pennsylvania and FirstEnergy Corp. Request for Amendment of Waiver DA-1756, PS Docket No. 19-255, at 2 (filed Nov. 4. 2019) (Petition).  </w:t>
      </w:r>
    </w:p>
  </w:footnote>
  <w:footnote w:id="4">
    <w:p w:rsidR="00A86E07" w:rsidP="00C87F1C" w14:paraId="17A93FF7" w14:textId="2481678A">
      <w:pPr>
        <w:pStyle w:val="FootnoteText"/>
      </w:pPr>
      <w:r>
        <w:rPr>
          <w:rStyle w:val="FootnoteReference"/>
        </w:rPr>
        <w:footnoteRef/>
      </w:r>
      <w:r>
        <w:t xml:space="preserve"> </w:t>
      </w:r>
      <w:r w:rsidRPr="0082420A">
        <w:rPr>
          <w:i/>
        </w:rPr>
        <w:t>Commonwealth of Pennsylvania and GPU Energy Request for Waiver of Section 90.179 of the Commission’s Rules</w:t>
      </w:r>
      <w:r>
        <w:t xml:space="preserve">, Order, 14 FCC </w:t>
      </w:r>
      <w:r>
        <w:t>Rcd</w:t>
      </w:r>
      <w:r>
        <w:t xml:space="preserve"> 14029, 14029, para. 1 (WTB 1999) (</w:t>
      </w:r>
      <w:r w:rsidRPr="005D346A">
        <w:rPr>
          <w:i/>
          <w:iCs/>
        </w:rPr>
        <w:t>1999 Waiver</w:t>
      </w:r>
      <w:r>
        <w:rPr>
          <w:i/>
          <w:iCs/>
        </w:rPr>
        <w:t xml:space="preserve"> Order</w:t>
      </w:r>
      <w:r>
        <w:t>) (granting waiver for 800 MHz shared use).</w:t>
      </w:r>
    </w:p>
  </w:footnote>
  <w:footnote w:id="5">
    <w:p w:rsidR="00A86E07" w:rsidP="00D91838" w14:paraId="30A5887B" w14:textId="77777777">
      <w:pPr>
        <w:pStyle w:val="FootnoteText"/>
      </w:pPr>
      <w:r>
        <w:rPr>
          <w:rStyle w:val="FootnoteReference"/>
        </w:rPr>
        <w:footnoteRef/>
      </w:r>
      <w:r>
        <w:t xml:space="preserve"> </w:t>
      </w:r>
      <w:r w:rsidRPr="0052186A">
        <w:rPr>
          <w:i/>
        </w:rPr>
        <w:t xml:space="preserve">See </w:t>
      </w:r>
      <w:r>
        <w:t>Initial Channels Subject to Sharing Arrangement, PS Docket No. 19-255 (filed Nov. 4, 2019)</w:t>
      </w:r>
      <w:hyperlink w:history="1"/>
      <w:r>
        <w:t xml:space="preserve"> (VHF List) (List of FirstEnergy and Commonwealth of </w:t>
      </w:r>
      <w:r w:rsidRPr="00244312">
        <w:t>Pennsylvania proposed shared callsigns</w:t>
      </w:r>
      <w:r>
        <w:t xml:space="preserve"> and frequencies</w:t>
      </w:r>
      <w:r w:rsidRPr="00244312">
        <w:t>).</w:t>
      </w:r>
    </w:p>
  </w:footnote>
  <w:footnote w:id="6">
    <w:p w:rsidR="00A86E07" w:rsidP="00C87F1C" w14:paraId="5936F523" w14:textId="6C6A2859">
      <w:pPr>
        <w:pStyle w:val="FootnoteText"/>
      </w:pPr>
      <w:r>
        <w:rPr>
          <w:rStyle w:val="FootnoteReference"/>
        </w:rPr>
        <w:footnoteRef/>
      </w:r>
      <w:r>
        <w:t xml:space="preserve"> Supplement to Commonwealth of Pennsylvania and FirstEnergy Corp. Request for Clarification or Amendment of Waiver, PS Docket No. 19-255, at 2 (filed Nov. 4. 2019) (Supplement).  As we noted in this proceeding’s opening public notice, Petitioners jointly submitted its materials to Public Safety and Homeland Security Bureau staff for consideration. </w:t>
      </w:r>
      <w:r w:rsidRPr="000868DB">
        <w:rPr>
          <w:i/>
        </w:rPr>
        <w:t>See</w:t>
      </w:r>
      <w:r>
        <w:t xml:space="preserve"> </w:t>
      </w:r>
      <w:r w:rsidRPr="00B67E34">
        <w:rPr>
          <w:i/>
        </w:rPr>
        <w:t>Public Safety and Homeland Security Bureau Seeks Comment on Commonwealth of Pennsylvania and FirstEnergy Corp. Request for Clarification or, in the Alternative, Waiver to Share VHF Frequencies</w:t>
      </w:r>
      <w:r>
        <w:t>, Public Notice, DA 19-1131, at 1 n.2 (PSHSB Nov. 1, 2019) (Public Notice).</w:t>
      </w:r>
    </w:p>
  </w:footnote>
  <w:footnote w:id="7">
    <w:p w:rsidR="00A86E07" w:rsidP="00C87F1C" w14:paraId="2C673820" w14:textId="77777777">
      <w:pPr>
        <w:pStyle w:val="FootnoteText"/>
      </w:pPr>
      <w:r>
        <w:rPr>
          <w:rStyle w:val="FootnoteReference"/>
        </w:rPr>
        <w:footnoteRef/>
      </w:r>
      <w:r>
        <w:t xml:space="preserve"> </w:t>
      </w:r>
      <w:r w:rsidRPr="00D9726A">
        <w:rPr>
          <w:i/>
          <w:iCs/>
        </w:rPr>
        <w:t>1999 Waiver</w:t>
      </w:r>
      <w:r>
        <w:t xml:space="preserve">, 14 FCC </w:t>
      </w:r>
      <w:r>
        <w:t>Rcd</w:t>
      </w:r>
      <w:r>
        <w:t xml:space="preserve"> at 14036, para. 15.</w:t>
      </w:r>
    </w:p>
  </w:footnote>
  <w:footnote w:id="8">
    <w:p w:rsidR="00A86E07" w:rsidP="00C87F1C" w14:paraId="0EE0F97F" w14:textId="77777777">
      <w:pPr>
        <w:pStyle w:val="FootnoteText"/>
      </w:pPr>
      <w:r>
        <w:rPr>
          <w:rStyle w:val="FootnoteReference"/>
        </w:rPr>
        <w:footnoteRef/>
      </w:r>
      <w:r>
        <w:t xml:space="preserve"> Pennsylvania Reply at 1.</w:t>
      </w:r>
    </w:p>
  </w:footnote>
  <w:footnote w:id="9">
    <w:p w:rsidR="00A86E07" w:rsidP="00C87F1C" w14:paraId="34DF8C2E" w14:textId="2BBB50E7">
      <w:pPr>
        <w:pStyle w:val="FootnoteText"/>
      </w:pPr>
      <w:r>
        <w:rPr>
          <w:rStyle w:val="FootnoteReference"/>
        </w:rPr>
        <w:footnoteRef/>
      </w:r>
      <w:r>
        <w:t xml:space="preserve"> </w:t>
      </w:r>
      <w:r w:rsidRPr="00117836">
        <w:rPr>
          <w:i/>
          <w:iCs/>
        </w:rPr>
        <w:t>Id</w:t>
      </w:r>
      <w:r>
        <w:t>.; FirstEnergy Reply at 1-2.</w:t>
      </w:r>
    </w:p>
  </w:footnote>
  <w:footnote w:id="10">
    <w:p w:rsidR="00A86E07" w:rsidP="00C87F1C" w14:paraId="7F11874A" w14:textId="77777777">
      <w:pPr>
        <w:pStyle w:val="FootnoteText"/>
      </w:pPr>
      <w:r>
        <w:rPr>
          <w:rStyle w:val="FootnoteReference"/>
        </w:rPr>
        <w:footnoteRef/>
      </w:r>
      <w:r>
        <w:t xml:space="preserve"> Supplement at 2.</w:t>
      </w:r>
    </w:p>
  </w:footnote>
  <w:footnote w:id="11">
    <w:p w:rsidR="00A86E07" w:rsidP="00C87F1C" w14:paraId="5E802621" w14:textId="57594D77">
      <w:pPr>
        <w:pStyle w:val="FootnoteText"/>
      </w:pPr>
      <w:r>
        <w:rPr>
          <w:rStyle w:val="FootnoteReference"/>
        </w:rPr>
        <w:footnoteRef/>
      </w:r>
      <w:r>
        <w:t xml:space="preserve"> </w:t>
      </w:r>
      <w:r w:rsidRPr="00887216">
        <w:rPr>
          <w:i/>
          <w:iCs/>
        </w:rPr>
        <w:t>Id</w:t>
      </w:r>
      <w:r>
        <w:t>.</w:t>
      </w:r>
    </w:p>
  </w:footnote>
  <w:footnote w:id="12">
    <w:p w:rsidR="00A86E07" w:rsidP="009563F7" w14:paraId="22653A5A" w14:textId="5A917850">
      <w:pPr>
        <w:pStyle w:val="FootnoteText"/>
      </w:pPr>
      <w:r>
        <w:rPr>
          <w:rStyle w:val="FootnoteReference"/>
        </w:rPr>
        <w:footnoteRef/>
      </w:r>
      <w:r>
        <w:t xml:space="preserve"> </w:t>
      </w:r>
      <w:r w:rsidRPr="000E6B61">
        <w:t xml:space="preserve">Petitioners </w:t>
      </w:r>
      <w:r>
        <w:t xml:space="preserve">originally </w:t>
      </w:r>
      <w:r w:rsidRPr="000E6B61">
        <w:t xml:space="preserve">submitted their Petition and </w:t>
      </w:r>
      <w:r>
        <w:t>S</w:t>
      </w:r>
      <w:r w:rsidRPr="000E6B61">
        <w:t xml:space="preserve">upplement </w:t>
      </w:r>
      <w:r>
        <w:t>via emailed</w:t>
      </w:r>
      <w:r w:rsidRPr="000E6B61">
        <w:t xml:space="preserve"> letters to the Public Safety and Homeland Security and Wireless Telecommunication Bureau</w:t>
      </w:r>
      <w:r>
        <w:t xml:space="preserve"> staff.</w:t>
      </w:r>
      <w:r w:rsidRPr="000E6B61">
        <w:t xml:space="preserve">  </w:t>
      </w:r>
      <w:r w:rsidRPr="000E6B61">
        <w:rPr>
          <w:i/>
        </w:rPr>
        <w:t>See</w:t>
      </w:r>
      <w:r w:rsidRPr="000E6B61">
        <w:t xml:space="preserve"> Letter from Gregory E. Kunkle, Keller and Heckman LLP, to Donald Stockdale, Chief, Wireless Telecommunications Bureau, and Lisa M. Fowlkes, Chief, Public Safety and Homeland Security Bureau (Mar. 12, 2019); Supplement to Commonwealth of Pennsylvania and FirstEnergy Corp. Request for Clarification or Amendment of Waiver</w:t>
      </w:r>
      <w:r>
        <w:t xml:space="preserve"> </w:t>
      </w:r>
      <w:r w:rsidRPr="000E6B61">
        <w:t>(Aug. 19, 2019).</w:t>
      </w:r>
      <w:r>
        <w:t xml:space="preserve">  Petitioners subsequently filed these documents electronically via ECFS in the instant docket on November 4, 2019</w:t>
      </w:r>
      <w:r w:rsidRPr="000E6B61">
        <w:t>.</w:t>
      </w:r>
      <w:r>
        <w:t xml:space="preserve"> </w:t>
      </w:r>
    </w:p>
  </w:footnote>
  <w:footnote w:id="13">
    <w:p w:rsidR="00A86E07" w:rsidP="00C87F1C" w14:paraId="40E0C41D" w14:textId="77777777">
      <w:pPr>
        <w:pStyle w:val="FootnoteText"/>
      </w:pPr>
      <w:r>
        <w:rPr>
          <w:rStyle w:val="FootnoteReference"/>
        </w:rPr>
        <w:footnoteRef/>
      </w:r>
      <w:r>
        <w:t xml:space="preserve"> Petition at 2.</w:t>
      </w:r>
    </w:p>
  </w:footnote>
  <w:footnote w:id="14">
    <w:p w:rsidR="00A86E07" w14:paraId="5D8FF9B6" w14:textId="532D75F8">
      <w:pPr>
        <w:pStyle w:val="FootnoteText"/>
      </w:pPr>
      <w:r>
        <w:rPr>
          <w:rStyle w:val="FootnoteReference"/>
        </w:rPr>
        <w:footnoteRef/>
      </w:r>
      <w:r>
        <w:t xml:space="preserve"> </w:t>
      </w:r>
      <w:r w:rsidRPr="00117836">
        <w:rPr>
          <w:i/>
          <w:iCs/>
        </w:rPr>
        <w:t>Id</w:t>
      </w:r>
      <w:r>
        <w:t>.</w:t>
      </w:r>
    </w:p>
  </w:footnote>
  <w:footnote w:id="15">
    <w:p w:rsidR="00A86E07" w:rsidP="00D54A00" w14:paraId="757DA67F" w14:textId="2EE23EB5">
      <w:pPr>
        <w:pStyle w:val="FootnoteText"/>
      </w:pPr>
      <w:r>
        <w:rPr>
          <w:rStyle w:val="FootnoteReference"/>
        </w:rPr>
        <w:footnoteRef/>
      </w:r>
      <w:r>
        <w:t xml:space="preserve"> Public Notice.</w:t>
      </w:r>
    </w:p>
  </w:footnote>
  <w:footnote w:id="16">
    <w:p w:rsidR="00A86E07" w:rsidP="00C87F1C" w14:paraId="065AFD38" w14:textId="47C31C70">
      <w:pPr>
        <w:pStyle w:val="FootnoteText"/>
      </w:pPr>
      <w:r>
        <w:rPr>
          <w:rStyle w:val="FootnoteReference"/>
        </w:rPr>
        <w:footnoteRef/>
      </w:r>
      <w:r>
        <w:t xml:space="preserve"> </w:t>
      </w:r>
      <w:r w:rsidRPr="00E13046">
        <w:rPr>
          <w:i/>
          <w:iCs/>
        </w:rPr>
        <w:t>See</w:t>
      </w:r>
      <w:r>
        <w:t xml:space="preserve"> Comments of State of Maryland Department of Information Technology (Maryland Comments), and the Commonwealth of Virginia Department of State Police (Virginia Comments).</w:t>
      </w:r>
    </w:p>
  </w:footnote>
  <w:footnote w:id="17">
    <w:p w:rsidR="00A86E07" w:rsidP="00C87F1C" w14:paraId="6BB0F8BA" w14:textId="2D896E58">
      <w:pPr>
        <w:pStyle w:val="FootnoteText"/>
      </w:pPr>
      <w:r>
        <w:rPr>
          <w:rStyle w:val="FootnoteReference"/>
        </w:rPr>
        <w:footnoteRef/>
      </w:r>
      <w:r>
        <w:t xml:space="preserve"> </w:t>
      </w:r>
      <w:r w:rsidRPr="00E13046">
        <w:rPr>
          <w:i/>
          <w:iCs/>
        </w:rPr>
        <w:t>See</w:t>
      </w:r>
      <w:r>
        <w:t xml:space="preserve"> Reply Comments of FirstEnergy Corp. (FirstEnergy Reply), Commonwealth of Pennsylvania (Pennsylvania Reply).</w:t>
      </w:r>
    </w:p>
  </w:footnote>
  <w:footnote w:id="18">
    <w:p w:rsidR="00A86E07" w:rsidP="00C87F1C" w14:paraId="7F42D7ED" w14:textId="77777777">
      <w:pPr>
        <w:pStyle w:val="FootnoteText"/>
      </w:pPr>
      <w:r>
        <w:rPr>
          <w:rStyle w:val="FootnoteReference"/>
        </w:rPr>
        <w:footnoteRef/>
      </w:r>
      <w:r>
        <w:t xml:space="preserve"> Maryland Comments at 1.</w:t>
      </w:r>
    </w:p>
  </w:footnote>
  <w:footnote w:id="19">
    <w:p w:rsidR="00A86E07" w:rsidP="00C87F1C" w14:paraId="42628FB7" w14:textId="77777777">
      <w:pPr>
        <w:pStyle w:val="FootnoteText"/>
      </w:pPr>
      <w:r>
        <w:rPr>
          <w:rStyle w:val="FootnoteReference"/>
        </w:rPr>
        <w:footnoteRef/>
      </w:r>
      <w:r>
        <w:t xml:space="preserve"> Virginia Comments at 2.</w:t>
      </w:r>
    </w:p>
  </w:footnote>
  <w:footnote w:id="20">
    <w:p w:rsidR="00A86E07" w:rsidP="00C87F1C" w14:paraId="5A30399E" w14:textId="17FDBEC7">
      <w:pPr>
        <w:pStyle w:val="FootnoteText"/>
      </w:pPr>
      <w:r>
        <w:rPr>
          <w:rStyle w:val="FootnoteReference"/>
        </w:rPr>
        <w:footnoteRef/>
      </w:r>
      <w:r>
        <w:t xml:space="preserve"> </w:t>
      </w:r>
      <w:r w:rsidRPr="00F55E77">
        <w:rPr>
          <w:i/>
        </w:rPr>
        <w:t>See</w:t>
      </w:r>
      <w:r>
        <w:t xml:space="preserve"> Virginia Comments at 2-4.  Virginia notes that FirstEnergy Corp. has customers in “West Virginia, Maryland, and the District of Columbia, and facilities in Virginia.”  Virginia Comments at 2.</w:t>
      </w:r>
    </w:p>
  </w:footnote>
  <w:footnote w:id="21">
    <w:p w:rsidR="00A86E07" w:rsidP="00C87F1C" w14:paraId="071F4FF3" w14:textId="77777777">
      <w:pPr>
        <w:pStyle w:val="FootnoteText"/>
      </w:pPr>
      <w:r>
        <w:rPr>
          <w:rStyle w:val="FootnoteReference"/>
        </w:rPr>
        <w:footnoteRef/>
      </w:r>
      <w:r>
        <w:t xml:space="preserve"> </w:t>
      </w:r>
      <w:r w:rsidRPr="00862836">
        <w:rPr>
          <w:i/>
          <w:iCs/>
        </w:rPr>
        <w:t>See</w:t>
      </w:r>
      <w:r>
        <w:t xml:space="preserve"> FirstEnergy Reply at 2-3.</w:t>
      </w:r>
    </w:p>
  </w:footnote>
  <w:footnote w:id="22">
    <w:p w:rsidR="00A86E07" w:rsidP="00C87F1C" w14:paraId="574ABFD1" w14:textId="77777777">
      <w:pPr>
        <w:pStyle w:val="FootnoteText"/>
      </w:pPr>
      <w:r>
        <w:rPr>
          <w:rStyle w:val="FootnoteReference"/>
        </w:rPr>
        <w:footnoteRef/>
      </w:r>
      <w:r>
        <w:t xml:space="preserve"> Pennsylvania Reply at 2.</w:t>
      </w:r>
    </w:p>
  </w:footnote>
  <w:footnote w:id="23">
    <w:p w:rsidR="00A86E07" w:rsidP="005E3875" w14:paraId="766F3FC3" w14:textId="3D2C23F9">
      <w:pPr>
        <w:pStyle w:val="FootnoteText"/>
      </w:pPr>
      <w:r>
        <w:rPr>
          <w:rStyle w:val="FootnoteReference"/>
        </w:rPr>
        <w:footnoteRef/>
      </w:r>
      <w:r>
        <w:t xml:space="preserve"> </w:t>
      </w:r>
      <w:r w:rsidRPr="00B31568">
        <w:rPr>
          <w:i/>
          <w:iCs/>
        </w:rPr>
        <w:t>See infra</w:t>
      </w:r>
      <w:r>
        <w:t xml:space="preserve"> Appx. A. The channels are licensed to Pennsylvania under 53 call signs.</w:t>
      </w:r>
    </w:p>
  </w:footnote>
  <w:footnote w:id="24">
    <w:p w:rsidR="00A86E07" w:rsidP="00F776D8" w14:paraId="20EAB077" w14:textId="77777777">
      <w:pPr>
        <w:pStyle w:val="FootnoteText"/>
      </w:pPr>
      <w:r>
        <w:rPr>
          <w:rStyle w:val="FootnoteReference"/>
        </w:rPr>
        <w:footnoteRef/>
      </w:r>
      <w:r>
        <w:t xml:space="preserve"> </w:t>
      </w:r>
      <w:r w:rsidRPr="00B31568">
        <w:rPr>
          <w:i/>
          <w:iCs/>
        </w:rPr>
        <w:t>See infra</w:t>
      </w:r>
      <w:r>
        <w:t xml:space="preserve"> Appx. B.  The channels are licensed to Fist Energy under 5 call signs</w:t>
      </w:r>
    </w:p>
  </w:footnote>
  <w:footnote w:id="25">
    <w:p w:rsidR="00A86E07" w:rsidP="00C87F1C" w14:paraId="350841DF" w14:textId="3D539A0A">
      <w:pPr>
        <w:pStyle w:val="FootnoteText"/>
      </w:pPr>
      <w:r>
        <w:rPr>
          <w:rStyle w:val="FootnoteReference"/>
        </w:rPr>
        <w:footnoteRef/>
      </w:r>
      <w:r>
        <w:t xml:space="preserve"> Maryland Comments at 1.</w:t>
      </w:r>
    </w:p>
  </w:footnote>
  <w:footnote w:id="26">
    <w:p w:rsidR="00A86E07" w:rsidP="00C87F1C" w14:paraId="18D3E2D4" w14:textId="77777777">
      <w:pPr>
        <w:pStyle w:val="FootnoteText"/>
      </w:pPr>
      <w:r>
        <w:rPr>
          <w:rStyle w:val="FootnoteReference"/>
        </w:rPr>
        <w:footnoteRef/>
      </w:r>
      <w:r>
        <w:t xml:space="preserve"> 47 CFR § 1.925(b)(3)(</w:t>
      </w:r>
      <w:r>
        <w:t>i</w:t>
      </w:r>
      <w:r>
        <w:t>).</w:t>
      </w:r>
    </w:p>
  </w:footnote>
  <w:footnote w:id="27">
    <w:p w:rsidR="00A86E07" w:rsidP="00C87F1C" w14:paraId="13B19830" w14:textId="6A4B0E2C">
      <w:pPr>
        <w:pStyle w:val="FootnoteText"/>
        <w:rPr>
          <w:sz w:val="22"/>
          <w:szCs w:val="22"/>
        </w:rPr>
      </w:pPr>
      <w:r>
        <w:rPr>
          <w:rStyle w:val="FootnoteReference"/>
        </w:rPr>
        <w:footnoteRef/>
      </w:r>
      <w:r>
        <w:t xml:space="preserve"> 47 CFR § 1.925(b)(3)(ii).</w:t>
      </w:r>
    </w:p>
  </w:footnote>
  <w:footnote w:id="28">
    <w:p w:rsidR="00A86E07" w14:paraId="22280C3F" w14:textId="3DED43B8">
      <w:pPr>
        <w:pStyle w:val="FootnoteText"/>
      </w:pPr>
      <w:r>
        <w:rPr>
          <w:rStyle w:val="FootnoteReference"/>
        </w:rPr>
        <w:footnoteRef/>
      </w:r>
      <w:r>
        <w:t xml:space="preserve"> 47 CFR § 90.179(a).</w:t>
      </w:r>
    </w:p>
  </w:footnote>
  <w:footnote w:id="29">
    <w:p w:rsidR="00A86E07" w:rsidP="00C87F1C" w14:paraId="6451077E" w14:textId="1513717E">
      <w:pPr>
        <w:pStyle w:val="FootnoteText"/>
      </w:pPr>
      <w:r>
        <w:rPr>
          <w:rStyle w:val="FootnoteReference"/>
        </w:rPr>
        <w:footnoteRef/>
      </w:r>
      <w:r>
        <w:t xml:space="preserve"> </w:t>
      </w:r>
      <w:r w:rsidRPr="00257960">
        <w:rPr>
          <w:i/>
        </w:rPr>
        <w:t>See</w:t>
      </w:r>
      <w:r w:rsidRPr="006E1513">
        <w:rPr>
          <w:i/>
          <w:iCs/>
        </w:rPr>
        <w:t xml:space="preserve"> generally</w:t>
      </w:r>
      <w:r w:rsidRPr="00257960">
        <w:rPr>
          <w:i/>
        </w:rPr>
        <w:t>, e.g</w:t>
      </w:r>
      <w:r>
        <w:t xml:space="preserve">., </w:t>
      </w:r>
      <w:r w:rsidRPr="0018577B">
        <w:rPr>
          <w:i/>
          <w:iCs/>
        </w:rPr>
        <w:t>Middle Tennessee Electric Membership Corp</w:t>
      </w:r>
      <w:r>
        <w:t xml:space="preserve">., 34 FCC </w:t>
      </w:r>
      <w:r>
        <w:t>Rcd</w:t>
      </w:r>
      <w:r>
        <w:t xml:space="preserve"> 2455, (PSHSB </w:t>
      </w:r>
      <w:r w:rsidRPr="0018577B">
        <w:t>April 25, 201</w:t>
      </w:r>
      <w:r>
        <w:t>9),</w:t>
      </w:r>
      <w:r w:rsidRPr="0018577B">
        <w:rPr>
          <w:i/>
          <w:iCs/>
        </w:rPr>
        <w:t xml:space="preserve"> </w:t>
      </w:r>
      <w:r w:rsidRPr="00FF23E6">
        <w:rPr>
          <w:i/>
          <w:iCs/>
        </w:rPr>
        <w:t>citing</w:t>
      </w:r>
      <w:r w:rsidRPr="0018577B">
        <w:rPr>
          <w:i/>
          <w:iCs/>
        </w:rPr>
        <w:t> </w:t>
      </w:r>
      <w:hyperlink r:id="rId1" w:history="1">
        <w:r w:rsidRPr="00257960">
          <w:rPr>
            <w:rStyle w:val="Hyperlink"/>
            <w:i/>
            <w:color w:val="000000"/>
            <w:u w:val="none"/>
          </w:rPr>
          <w:t xml:space="preserve">State of Ohio and FirstEnergy Corp., Order, </w:t>
        </w:r>
        <w:r w:rsidRPr="00257960">
          <w:rPr>
            <w:rStyle w:val="Hyperlink"/>
            <w:color w:val="000000"/>
            <w:u w:val="none"/>
          </w:rPr>
          <w:t xml:space="preserve">31 FCC </w:t>
        </w:r>
        <w:r w:rsidRPr="00257960">
          <w:rPr>
            <w:rStyle w:val="Hyperlink"/>
            <w:color w:val="000000"/>
            <w:u w:val="none"/>
          </w:rPr>
          <w:t>Rcd</w:t>
        </w:r>
        <w:r w:rsidRPr="00257960">
          <w:rPr>
            <w:rStyle w:val="Hyperlink"/>
            <w:color w:val="000000"/>
            <w:u w:val="none"/>
          </w:rPr>
          <w:t xml:space="preserve"> 8758 (PSHSB 2016</w:t>
        </w:r>
        <w:r w:rsidRPr="00257960">
          <w:rPr>
            <w:rStyle w:val="Hyperlink"/>
            <w:i/>
            <w:color w:val="000000"/>
            <w:u w:val="none"/>
          </w:rPr>
          <w:t>)</w:t>
        </w:r>
      </w:hyperlink>
      <w:r w:rsidRPr="00257960">
        <w:rPr>
          <w:color w:val="000000"/>
        </w:rPr>
        <w:t>;</w:t>
      </w:r>
      <w:r>
        <w:rPr>
          <w:color w:val="000000"/>
        </w:rPr>
        <w:t xml:space="preserve"> </w:t>
      </w:r>
      <w:hyperlink r:id="rId2" w:history="1">
        <w:r w:rsidRPr="00257960">
          <w:rPr>
            <w:rStyle w:val="Hyperlink"/>
            <w:i/>
            <w:color w:val="000000"/>
            <w:u w:val="none"/>
          </w:rPr>
          <w:t>State of Michigan, et al</w:t>
        </w:r>
        <w:r w:rsidRPr="00257960">
          <w:rPr>
            <w:rStyle w:val="Hyperlink"/>
            <w:color w:val="000000"/>
            <w:u w:val="none"/>
          </w:rPr>
          <w:t xml:space="preserve">, Order, 27 FCC </w:t>
        </w:r>
        <w:r w:rsidRPr="00257960">
          <w:rPr>
            <w:rStyle w:val="Hyperlink"/>
            <w:color w:val="000000"/>
            <w:u w:val="none"/>
          </w:rPr>
          <w:t>Rcd</w:t>
        </w:r>
        <w:r w:rsidRPr="00257960">
          <w:rPr>
            <w:rStyle w:val="Hyperlink"/>
            <w:color w:val="000000"/>
            <w:u w:val="none"/>
          </w:rPr>
          <w:t xml:space="preserve"> 214 (PSHSB 2012)</w:t>
        </w:r>
      </w:hyperlink>
      <w:r w:rsidRPr="00257960">
        <w:rPr>
          <w:color w:val="000000"/>
        </w:rPr>
        <w:t xml:space="preserve">; </w:t>
      </w:r>
      <w:hyperlink r:id="rId3" w:history="1">
        <w:r w:rsidRPr="00257960">
          <w:rPr>
            <w:rStyle w:val="Hyperlink"/>
            <w:i/>
            <w:color w:val="000000"/>
            <w:u w:val="none"/>
          </w:rPr>
          <w:t>State of Ohio and Ohio Rural Electric Cooperatives, Inc.</w:t>
        </w:r>
        <w:r w:rsidRPr="00257960">
          <w:rPr>
            <w:rStyle w:val="Hyperlink"/>
            <w:color w:val="000000"/>
            <w:u w:val="none"/>
          </w:rPr>
          <w:t xml:space="preserve">, Order, 24 FCC </w:t>
        </w:r>
        <w:r w:rsidRPr="00257960">
          <w:rPr>
            <w:rStyle w:val="Hyperlink"/>
            <w:color w:val="000000"/>
            <w:u w:val="none"/>
          </w:rPr>
          <w:t>Rcd</w:t>
        </w:r>
        <w:r w:rsidRPr="00257960">
          <w:rPr>
            <w:rStyle w:val="Hyperlink"/>
            <w:color w:val="000000"/>
            <w:u w:val="none"/>
          </w:rPr>
          <w:t xml:space="preserve"> 2289 (PSHSB 2009)</w:t>
        </w:r>
      </w:hyperlink>
      <w:r w:rsidRPr="00257960">
        <w:rPr>
          <w:color w:val="000000"/>
        </w:rPr>
        <w:t>.</w:t>
      </w:r>
      <w:r>
        <w:t xml:space="preserve"> </w:t>
      </w:r>
    </w:p>
  </w:footnote>
  <w:footnote w:id="30">
    <w:p w:rsidR="00A86E07" w:rsidP="00754D32" w14:paraId="1B4BA9B6" w14:textId="77777777">
      <w:pPr>
        <w:pStyle w:val="FootnoteText"/>
      </w:pPr>
      <w:r>
        <w:rPr>
          <w:rStyle w:val="FootnoteReference"/>
        </w:rPr>
        <w:footnoteRef/>
      </w:r>
      <w:r>
        <w:t xml:space="preserve"> </w:t>
      </w:r>
      <w:r w:rsidRPr="002315AB">
        <w:rPr>
          <w:i/>
        </w:rPr>
        <w:t>See</w:t>
      </w:r>
      <w:r>
        <w:t xml:space="preserve"> Supplement at 3-4 (claiming the entities to be served are the Department of Agriculture, Department of Conservation &amp; Natural Resources, Department of Corrections, Department of Environmental Protection, Department of General Services - Capitol Police, Department of Health, Department of Military &amp; Veterans Affairs, Department of Transportation, Office of Attorney General, </w:t>
      </w:r>
      <w:r w:rsidRPr="008B019F">
        <w:t>Office of Inspector General</w:t>
      </w:r>
      <w:r>
        <w:t xml:space="preserve">, </w:t>
      </w:r>
      <w:r w:rsidRPr="008B019F">
        <w:t>Pennsylvania Board of Probation &amp; Parole</w:t>
      </w:r>
      <w:r>
        <w:t xml:space="preserve">, </w:t>
      </w:r>
      <w:r w:rsidRPr="008B019F">
        <w:t>Pennsylvania Emergency Management Agency</w:t>
      </w:r>
      <w:r>
        <w:t xml:space="preserve">, </w:t>
      </w:r>
      <w:r w:rsidRPr="008B019F">
        <w:t>Pennsylvania Game Commission</w:t>
      </w:r>
      <w:r>
        <w:t xml:space="preserve">, </w:t>
      </w:r>
      <w:r w:rsidRPr="008B019F">
        <w:t>Pennsylvania House of Representatives</w:t>
      </w:r>
      <w:r>
        <w:t xml:space="preserve">, </w:t>
      </w:r>
      <w:r w:rsidRPr="008B019F">
        <w:t>Pennsylvania Office of Administrative Services</w:t>
      </w:r>
      <w:r>
        <w:t xml:space="preserve">, </w:t>
      </w:r>
      <w:r w:rsidRPr="008B019F">
        <w:t>Pennsylvania Public Utility Commission</w:t>
      </w:r>
      <w:r>
        <w:t xml:space="preserve">, </w:t>
      </w:r>
      <w:r w:rsidRPr="008B019F">
        <w:t>Pennsylvania Treasury Department</w:t>
      </w:r>
      <w:r>
        <w:t xml:space="preserve">, </w:t>
      </w:r>
      <w:r w:rsidRPr="008B019F">
        <w:t>Pennsylvania Turnpike Commission</w:t>
      </w:r>
      <w:r>
        <w:t xml:space="preserve">, </w:t>
      </w:r>
      <w:r w:rsidRPr="008B019F">
        <w:t>State System of Higher Education</w:t>
      </w:r>
      <w:r>
        <w:t xml:space="preserve">, </w:t>
      </w:r>
      <w:r w:rsidRPr="008B019F">
        <w:t>Pennsylvania State Police</w:t>
      </w:r>
      <w:r>
        <w:t xml:space="preserve">, </w:t>
      </w:r>
      <w:r w:rsidRPr="008B019F">
        <w:t>US DOJ-ATF</w:t>
      </w:r>
      <w:r>
        <w:t xml:space="preserve">, </w:t>
      </w:r>
      <w:r w:rsidRPr="008B019F">
        <w:t>US DOJ-DEA</w:t>
      </w:r>
      <w:r>
        <w:t xml:space="preserve">, </w:t>
      </w:r>
      <w:r w:rsidRPr="008B019F">
        <w:t>US DOJ-US Marshalls</w:t>
      </w:r>
      <w:r>
        <w:t xml:space="preserve">, </w:t>
      </w:r>
      <w:r w:rsidRPr="008B019F">
        <w:t>US DOI-National Park Service</w:t>
      </w:r>
      <w:r>
        <w:t xml:space="preserve">, </w:t>
      </w:r>
      <w:r w:rsidRPr="008B019F">
        <w:t>Warren County</w:t>
      </w:r>
      <w:r>
        <w:t xml:space="preserve">, </w:t>
      </w:r>
      <w:r w:rsidRPr="008B019F">
        <w:t>Mifflin County</w:t>
      </w:r>
      <w:r>
        <w:t xml:space="preserve">, </w:t>
      </w:r>
      <w:r w:rsidRPr="008B019F">
        <w:t>Montour County</w:t>
      </w:r>
      <w:r>
        <w:t xml:space="preserve">, </w:t>
      </w:r>
      <w:r w:rsidRPr="008B019F">
        <w:t>Columbia County</w:t>
      </w:r>
      <w:r>
        <w:t xml:space="preserve">, </w:t>
      </w:r>
      <w:r w:rsidRPr="008B019F">
        <w:t>FirstEnergy</w:t>
      </w:r>
      <w:r>
        <w:t>).</w:t>
      </w:r>
    </w:p>
  </w:footnote>
  <w:footnote w:id="31">
    <w:p w:rsidR="00A86E07" w:rsidP="00C87F1C" w14:paraId="796329A3" w14:textId="77777777">
      <w:pPr>
        <w:pStyle w:val="FootnoteText"/>
      </w:pPr>
      <w:r>
        <w:rPr>
          <w:rStyle w:val="FootnoteReference"/>
        </w:rPr>
        <w:footnoteRef/>
      </w:r>
      <w:r>
        <w:t xml:space="preserve"> Supplement at 1.</w:t>
      </w:r>
    </w:p>
  </w:footnote>
  <w:footnote w:id="32">
    <w:p w:rsidR="00A86E07" w14:paraId="575705D2" w14:textId="3F988164">
      <w:pPr>
        <w:pStyle w:val="FootnoteText"/>
      </w:pPr>
      <w:r>
        <w:rPr>
          <w:rStyle w:val="FootnoteReference"/>
        </w:rPr>
        <w:footnoteRef/>
      </w:r>
      <w:r>
        <w:t xml:space="preserve"> </w:t>
      </w:r>
      <w:r>
        <w:rPr>
          <w:i/>
          <w:iCs/>
        </w:rPr>
        <w:t>Id</w:t>
      </w:r>
      <w:r w:rsidRPr="00117836">
        <w:t>.</w:t>
      </w:r>
      <w:r>
        <w:t xml:space="preserve"> at 1-2.</w:t>
      </w:r>
    </w:p>
  </w:footnote>
  <w:footnote w:id="33">
    <w:p w:rsidR="00A86E07" w:rsidP="00C87F1C" w14:paraId="24733B9B" w14:textId="155C129F">
      <w:pPr>
        <w:pStyle w:val="FootnoteText"/>
      </w:pPr>
      <w:r>
        <w:rPr>
          <w:rStyle w:val="FootnoteReference"/>
        </w:rPr>
        <w:footnoteRef/>
      </w:r>
      <w:r>
        <w:t xml:space="preserve"> </w:t>
      </w:r>
      <w:r w:rsidRPr="00117836">
        <w:rPr>
          <w:i/>
          <w:iCs/>
        </w:rPr>
        <w:t>Id</w:t>
      </w:r>
      <w:r>
        <w:t>. at 1, 3.</w:t>
      </w:r>
    </w:p>
  </w:footnote>
  <w:footnote w:id="34">
    <w:p w:rsidR="00A86E07" w:rsidP="00C87F1C" w14:paraId="22C426F5" w14:textId="60967A04">
      <w:pPr>
        <w:pStyle w:val="FootnoteText"/>
      </w:pPr>
      <w:r>
        <w:rPr>
          <w:rStyle w:val="FootnoteReference"/>
        </w:rPr>
        <w:footnoteRef/>
      </w:r>
      <w:r>
        <w:t xml:space="preserve"> </w:t>
      </w:r>
      <w:r w:rsidRPr="00657B02">
        <w:rPr>
          <w:i/>
          <w:iCs/>
        </w:rPr>
        <w:t>See generally</w:t>
      </w:r>
      <w:r>
        <w:t xml:space="preserve"> VHF List (showing FirstEnergy Part 22 callsigns); Supplement at 2.</w:t>
      </w:r>
    </w:p>
  </w:footnote>
  <w:footnote w:id="35">
    <w:p w:rsidR="00A86E07" w:rsidP="0054634A" w14:paraId="5A1742AB" w14:textId="53BDD891">
      <w:pPr>
        <w:pStyle w:val="FootnoteText"/>
      </w:pPr>
      <w:r>
        <w:rPr>
          <w:rStyle w:val="FootnoteReference"/>
        </w:rPr>
        <w:footnoteRef/>
      </w:r>
      <w:r>
        <w:t xml:space="preserve"> </w:t>
      </w:r>
      <w:r w:rsidRPr="0097218A">
        <w:t>FirstEnergy Reply at 2-3 (“the Request applies only to Part 90 channels and no waiver is required for shared use of Part 22 channels.”)</w:t>
      </w:r>
      <w:r>
        <w:t>.</w:t>
      </w:r>
    </w:p>
  </w:footnote>
  <w:footnote w:id="36">
    <w:p w:rsidR="00A86E07" w:rsidP="00D31832" w14:paraId="55B6742D" w14:textId="77777777">
      <w:pPr>
        <w:pStyle w:val="FootnoteText"/>
      </w:pPr>
      <w:r>
        <w:rPr>
          <w:rStyle w:val="FootnoteReference"/>
        </w:rPr>
        <w:footnoteRef/>
      </w:r>
      <w:r>
        <w:t xml:space="preserve"> </w:t>
      </w:r>
      <w:r>
        <w:rPr>
          <w:i/>
          <w:iCs/>
        </w:rPr>
        <w:t>S</w:t>
      </w:r>
      <w:r w:rsidRPr="00BF1E7D">
        <w:rPr>
          <w:i/>
          <w:iCs/>
        </w:rPr>
        <w:t xml:space="preserve">ee </w:t>
      </w:r>
      <w:r w:rsidRPr="00657B02">
        <w:rPr>
          <w:i/>
          <w:iCs/>
        </w:rPr>
        <w:t>Amendments to Harmonize and Streamline Part 20 of the Commission’s Rules Concerning Requirements for Licensees to Overcome a CMRS Presumption</w:t>
      </w:r>
      <w:r>
        <w:t xml:space="preserve">, Report and Order, 32 FCC </w:t>
      </w:r>
      <w:r>
        <w:t>Rcd</w:t>
      </w:r>
      <w:r>
        <w:t xml:space="preserve"> 10731, 10738, para. 14 (2017). </w:t>
      </w:r>
    </w:p>
  </w:footnote>
  <w:footnote w:id="37">
    <w:p w:rsidR="00A86E07" w14:paraId="43208D09" w14:textId="7AEA8594">
      <w:pPr>
        <w:pStyle w:val="FootnoteText"/>
      </w:pPr>
      <w:r>
        <w:rPr>
          <w:rStyle w:val="FootnoteReference"/>
        </w:rPr>
        <w:footnoteRef/>
      </w:r>
      <w:r>
        <w:t xml:space="preserve"> </w:t>
      </w:r>
      <w:r w:rsidRPr="00257960">
        <w:rPr>
          <w:i/>
          <w:iCs/>
        </w:rPr>
        <w:t>Id</w:t>
      </w:r>
      <w:r>
        <w:t>. at 10739 para 16.</w:t>
      </w:r>
    </w:p>
  </w:footnote>
  <w:footnote w:id="38">
    <w:p w:rsidR="00A86E07" w14:paraId="54352BDC" w14:textId="2BC459DC">
      <w:pPr>
        <w:pStyle w:val="FootnoteText"/>
      </w:pPr>
      <w:r>
        <w:rPr>
          <w:rStyle w:val="FootnoteReference"/>
        </w:rPr>
        <w:footnoteRef/>
      </w:r>
      <w:r>
        <w:t xml:space="preserve"> </w:t>
      </w:r>
      <w:r w:rsidRPr="004C51E0">
        <w:rPr>
          <w:szCs w:val="22"/>
        </w:rPr>
        <w:t>We remind Petitioners, however, that</w:t>
      </w:r>
      <w:r>
        <w:rPr>
          <w:szCs w:val="22"/>
        </w:rPr>
        <w:t xml:space="preserve"> use of Part 22 channels must conform to the Part 22 technical rules. Should Petitioners wish </w:t>
      </w:r>
      <w:r w:rsidRPr="004C51E0">
        <w:rPr>
          <w:szCs w:val="22"/>
        </w:rPr>
        <w:t xml:space="preserve">to deviate from the Part 22 technical rules, they must </w:t>
      </w:r>
      <w:r>
        <w:rPr>
          <w:szCs w:val="22"/>
        </w:rPr>
        <w:t>first obtain a waiver.</w:t>
      </w:r>
    </w:p>
  </w:footnote>
  <w:footnote w:id="39">
    <w:p w:rsidR="00A86E07" w:rsidP="00C87F1C" w14:paraId="496586C4" w14:textId="77777777">
      <w:pPr>
        <w:pStyle w:val="FootnoteText"/>
      </w:pPr>
      <w:r>
        <w:rPr>
          <w:rStyle w:val="FootnoteReference"/>
        </w:rPr>
        <w:footnoteRef/>
      </w:r>
      <w:r>
        <w:t xml:space="preserve"> Supplement at 5.</w:t>
      </w:r>
    </w:p>
  </w:footnote>
  <w:footnote w:id="40">
    <w:p w:rsidR="00A86E07" w:rsidP="00C87F1C" w14:paraId="3919A20A" w14:textId="737B43EE">
      <w:pPr>
        <w:pStyle w:val="FootnoteText"/>
      </w:pPr>
      <w:r>
        <w:rPr>
          <w:rStyle w:val="FootnoteReference"/>
        </w:rPr>
        <w:footnoteRef/>
      </w:r>
      <w:r>
        <w:t xml:space="preserve"> </w:t>
      </w:r>
      <w:r w:rsidRPr="00257960">
        <w:rPr>
          <w:i/>
        </w:rPr>
        <w:t>See, e.g</w:t>
      </w:r>
      <w:r>
        <w:t xml:space="preserve">., </w:t>
      </w:r>
      <w:r w:rsidRPr="009C644B">
        <w:rPr>
          <w:i/>
        </w:rPr>
        <w:t>American Electric Power Service Corporation</w:t>
      </w:r>
      <w:r w:rsidRPr="009C644B">
        <w:t xml:space="preserve">, 15 FCC </w:t>
      </w:r>
      <w:r w:rsidRPr="009C644B">
        <w:t>Rcd</w:t>
      </w:r>
      <w:r w:rsidRPr="009C644B">
        <w:t xml:space="preserve"> 15553, 15557, paras. 10-12 (WTB 2000) (discussing </w:t>
      </w:r>
      <w:r>
        <w:t xml:space="preserve">[denying?] </w:t>
      </w:r>
      <w:r w:rsidRPr="009C644B">
        <w:t xml:space="preserve">public safety pool licensees’ request to </w:t>
      </w:r>
      <w:r w:rsidRPr="009C644B">
        <w:rPr>
          <w:i/>
          <w:iCs/>
        </w:rPr>
        <w:t>inter alia</w:t>
      </w:r>
      <w:r w:rsidRPr="009C644B">
        <w:t xml:space="preserve"> “add their frequencies to AEP’s [American Electric Power] system without further authorization.” </w:t>
      </w:r>
      <w:r w:rsidRPr="009C644B">
        <w:rPr>
          <w:i/>
          <w:iCs/>
        </w:rPr>
        <w:t>Id</w:t>
      </w:r>
      <w:r w:rsidRPr="009C644B">
        <w:t>. at 15557, para. 10.)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E07" w:rsidP="00810B6F" w14:paraId="0491ECDD" w14:textId="62701C36">
    <w:pPr>
      <w:pStyle w:val="Header"/>
      <w:rPr>
        <w:b w:val="0"/>
      </w:rPr>
    </w:pPr>
    <w:r>
      <w:tab/>
      <w:t>Federal Communications Commission</w:t>
    </w:r>
    <w:r>
      <w:tab/>
    </w:r>
    <w:bookmarkStart w:id="1" w:name="_Hlk35607848"/>
    <w:r>
      <w:t>DA 20-</w:t>
    </w:r>
    <w:r w:rsidR="00772910">
      <w:t>316</w:t>
    </w:r>
    <w:bookmarkEnd w:id="1"/>
  </w:p>
  <w:p w:rsidR="00A86E07" w14:paraId="6D388CC9" w14:textId="5A87321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86E07" w14:paraId="2D7DE5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E07" w:rsidP="00810B6F" w14:paraId="6B0F7700" w14:textId="1F4E55A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772910" w:rsidR="00772910">
      <w:rPr>
        <w:spacing w:val="-2"/>
      </w:rPr>
      <w:t>DA 20-316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A642A6"/>
    <w:multiLevelType w:val="hybridMultilevel"/>
    <w:tmpl w:val="010212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5029D0"/>
    <w:multiLevelType w:val="hybridMultilevel"/>
    <w:tmpl w:val="87160248"/>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lvlOverride w:ilvl="0">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1C"/>
    <w:rsid w:val="000013AA"/>
    <w:rsid w:val="000159E1"/>
    <w:rsid w:val="00026638"/>
    <w:rsid w:val="00030F0C"/>
    <w:rsid w:val="000337F2"/>
    <w:rsid w:val="00036039"/>
    <w:rsid w:val="00037F90"/>
    <w:rsid w:val="0004061F"/>
    <w:rsid w:val="00054224"/>
    <w:rsid w:val="00063C46"/>
    <w:rsid w:val="000654BD"/>
    <w:rsid w:val="00073999"/>
    <w:rsid w:val="00073FFF"/>
    <w:rsid w:val="00080062"/>
    <w:rsid w:val="000868DB"/>
    <w:rsid w:val="000875BF"/>
    <w:rsid w:val="00096D8C"/>
    <w:rsid w:val="000A1633"/>
    <w:rsid w:val="000A5A93"/>
    <w:rsid w:val="000B42B0"/>
    <w:rsid w:val="000C0B65"/>
    <w:rsid w:val="000C7868"/>
    <w:rsid w:val="000D6926"/>
    <w:rsid w:val="000E05FE"/>
    <w:rsid w:val="000E3D42"/>
    <w:rsid w:val="000E47EC"/>
    <w:rsid w:val="000E6B61"/>
    <w:rsid w:val="000E71DA"/>
    <w:rsid w:val="001057D3"/>
    <w:rsid w:val="00107FB3"/>
    <w:rsid w:val="00116693"/>
    <w:rsid w:val="00117836"/>
    <w:rsid w:val="001229F6"/>
    <w:rsid w:val="00122BD5"/>
    <w:rsid w:val="00133F79"/>
    <w:rsid w:val="00136602"/>
    <w:rsid w:val="00157149"/>
    <w:rsid w:val="00165014"/>
    <w:rsid w:val="00165573"/>
    <w:rsid w:val="00166F7B"/>
    <w:rsid w:val="00172DD5"/>
    <w:rsid w:val="0018577B"/>
    <w:rsid w:val="00194A66"/>
    <w:rsid w:val="001A027B"/>
    <w:rsid w:val="001A3A74"/>
    <w:rsid w:val="001B46D2"/>
    <w:rsid w:val="001B4AF5"/>
    <w:rsid w:val="001B4B42"/>
    <w:rsid w:val="001C479B"/>
    <w:rsid w:val="001C5EDE"/>
    <w:rsid w:val="001D6BCF"/>
    <w:rsid w:val="001E01CA"/>
    <w:rsid w:val="001E39A9"/>
    <w:rsid w:val="001F3072"/>
    <w:rsid w:val="001F5135"/>
    <w:rsid w:val="002163E9"/>
    <w:rsid w:val="00223CBA"/>
    <w:rsid w:val="00226252"/>
    <w:rsid w:val="0022707A"/>
    <w:rsid w:val="002315AB"/>
    <w:rsid w:val="00233266"/>
    <w:rsid w:val="00244312"/>
    <w:rsid w:val="002508BB"/>
    <w:rsid w:val="0025264A"/>
    <w:rsid w:val="00254AF0"/>
    <w:rsid w:val="00256FBA"/>
    <w:rsid w:val="00257960"/>
    <w:rsid w:val="0026088D"/>
    <w:rsid w:val="00265E0D"/>
    <w:rsid w:val="002660F7"/>
    <w:rsid w:val="00275CF5"/>
    <w:rsid w:val="0028301F"/>
    <w:rsid w:val="00285017"/>
    <w:rsid w:val="002861F4"/>
    <w:rsid w:val="00287EAB"/>
    <w:rsid w:val="002A0AC4"/>
    <w:rsid w:val="002A2D2E"/>
    <w:rsid w:val="002A4739"/>
    <w:rsid w:val="002A4D85"/>
    <w:rsid w:val="002B69D9"/>
    <w:rsid w:val="002C00E8"/>
    <w:rsid w:val="002C100F"/>
    <w:rsid w:val="002C689D"/>
    <w:rsid w:val="002F20B7"/>
    <w:rsid w:val="002F5C1A"/>
    <w:rsid w:val="002F649A"/>
    <w:rsid w:val="002F7CCF"/>
    <w:rsid w:val="00311BCB"/>
    <w:rsid w:val="003216B5"/>
    <w:rsid w:val="00334FAE"/>
    <w:rsid w:val="00336E03"/>
    <w:rsid w:val="003371BE"/>
    <w:rsid w:val="003375B8"/>
    <w:rsid w:val="00343749"/>
    <w:rsid w:val="00354248"/>
    <w:rsid w:val="003660ED"/>
    <w:rsid w:val="00366310"/>
    <w:rsid w:val="003707C2"/>
    <w:rsid w:val="0038021A"/>
    <w:rsid w:val="00395517"/>
    <w:rsid w:val="003A63B7"/>
    <w:rsid w:val="003B0550"/>
    <w:rsid w:val="003B694F"/>
    <w:rsid w:val="003B6FAF"/>
    <w:rsid w:val="003D46FA"/>
    <w:rsid w:val="003E40CE"/>
    <w:rsid w:val="003F171C"/>
    <w:rsid w:val="003F2786"/>
    <w:rsid w:val="003F3557"/>
    <w:rsid w:val="00400FB5"/>
    <w:rsid w:val="00402D56"/>
    <w:rsid w:val="00412FC5"/>
    <w:rsid w:val="00422238"/>
    <w:rsid w:val="00422276"/>
    <w:rsid w:val="004242F1"/>
    <w:rsid w:val="00445A00"/>
    <w:rsid w:val="00450899"/>
    <w:rsid w:val="00451B0F"/>
    <w:rsid w:val="00482CEC"/>
    <w:rsid w:val="004861CC"/>
    <w:rsid w:val="00487142"/>
    <w:rsid w:val="00490EC6"/>
    <w:rsid w:val="004A1690"/>
    <w:rsid w:val="004B028F"/>
    <w:rsid w:val="004B60CE"/>
    <w:rsid w:val="004C2EE3"/>
    <w:rsid w:val="004C51E0"/>
    <w:rsid w:val="004C6170"/>
    <w:rsid w:val="004D0150"/>
    <w:rsid w:val="004D036C"/>
    <w:rsid w:val="004D6C40"/>
    <w:rsid w:val="004E105D"/>
    <w:rsid w:val="004E4A22"/>
    <w:rsid w:val="004F0314"/>
    <w:rsid w:val="004F047A"/>
    <w:rsid w:val="00504FCE"/>
    <w:rsid w:val="0050644C"/>
    <w:rsid w:val="00511968"/>
    <w:rsid w:val="00517987"/>
    <w:rsid w:val="0052186A"/>
    <w:rsid w:val="00523A58"/>
    <w:rsid w:val="00532384"/>
    <w:rsid w:val="00535670"/>
    <w:rsid w:val="00540785"/>
    <w:rsid w:val="0054634A"/>
    <w:rsid w:val="0055614C"/>
    <w:rsid w:val="00560917"/>
    <w:rsid w:val="00564C97"/>
    <w:rsid w:val="005663D3"/>
    <w:rsid w:val="00566D06"/>
    <w:rsid w:val="00591C79"/>
    <w:rsid w:val="00595BC2"/>
    <w:rsid w:val="005B7518"/>
    <w:rsid w:val="005B771A"/>
    <w:rsid w:val="005C7F9E"/>
    <w:rsid w:val="005D103D"/>
    <w:rsid w:val="005D346A"/>
    <w:rsid w:val="005E14C2"/>
    <w:rsid w:val="005E3875"/>
    <w:rsid w:val="005F3A61"/>
    <w:rsid w:val="005F3C1D"/>
    <w:rsid w:val="005F6C62"/>
    <w:rsid w:val="0060545F"/>
    <w:rsid w:val="006065BC"/>
    <w:rsid w:val="00607BA5"/>
    <w:rsid w:val="0061180A"/>
    <w:rsid w:val="00626EB6"/>
    <w:rsid w:val="00635BB2"/>
    <w:rsid w:val="006470E4"/>
    <w:rsid w:val="00655D03"/>
    <w:rsid w:val="006566A0"/>
    <w:rsid w:val="00657B02"/>
    <w:rsid w:val="00664A5D"/>
    <w:rsid w:val="00665395"/>
    <w:rsid w:val="006669CB"/>
    <w:rsid w:val="00683388"/>
    <w:rsid w:val="00683F84"/>
    <w:rsid w:val="006A52FB"/>
    <w:rsid w:val="006A6A81"/>
    <w:rsid w:val="006C18B1"/>
    <w:rsid w:val="006E1513"/>
    <w:rsid w:val="006E1F05"/>
    <w:rsid w:val="006E3662"/>
    <w:rsid w:val="006E4F2F"/>
    <w:rsid w:val="006F7393"/>
    <w:rsid w:val="0070224F"/>
    <w:rsid w:val="007115F7"/>
    <w:rsid w:val="00712566"/>
    <w:rsid w:val="00720803"/>
    <w:rsid w:val="00722DA0"/>
    <w:rsid w:val="00722F3B"/>
    <w:rsid w:val="00725AFF"/>
    <w:rsid w:val="0072784D"/>
    <w:rsid w:val="00727B10"/>
    <w:rsid w:val="00747B15"/>
    <w:rsid w:val="0075243A"/>
    <w:rsid w:val="00752B58"/>
    <w:rsid w:val="00754D32"/>
    <w:rsid w:val="00772910"/>
    <w:rsid w:val="007833BB"/>
    <w:rsid w:val="0078382B"/>
    <w:rsid w:val="00785689"/>
    <w:rsid w:val="0079754B"/>
    <w:rsid w:val="007A1E6D"/>
    <w:rsid w:val="007A2F9F"/>
    <w:rsid w:val="007B0EB2"/>
    <w:rsid w:val="007B2B3E"/>
    <w:rsid w:val="007C7F02"/>
    <w:rsid w:val="007E6275"/>
    <w:rsid w:val="007F20ED"/>
    <w:rsid w:val="007F4CB3"/>
    <w:rsid w:val="007F6BA0"/>
    <w:rsid w:val="008020A5"/>
    <w:rsid w:val="00805602"/>
    <w:rsid w:val="00810B6F"/>
    <w:rsid w:val="00810FD1"/>
    <w:rsid w:val="00814B06"/>
    <w:rsid w:val="00815BA5"/>
    <w:rsid w:val="00822CE0"/>
    <w:rsid w:val="00822E54"/>
    <w:rsid w:val="0082307D"/>
    <w:rsid w:val="0082420A"/>
    <w:rsid w:val="00831ABA"/>
    <w:rsid w:val="00841AB1"/>
    <w:rsid w:val="008531AE"/>
    <w:rsid w:val="00862836"/>
    <w:rsid w:val="008711BF"/>
    <w:rsid w:val="0087244D"/>
    <w:rsid w:val="00873C79"/>
    <w:rsid w:val="00887216"/>
    <w:rsid w:val="0088731D"/>
    <w:rsid w:val="00894F71"/>
    <w:rsid w:val="008A4917"/>
    <w:rsid w:val="008B019F"/>
    <w:rsid w:val="008B1D99"/>
    <w:rsid w:val="008B2BBD"/>
    <w:rsid w:val="008B426C"/>
    <w:rsid w:val="008C68F1"/>
    <w:rsid w:val="008E27B8"/>
    <w:rsid w:val="008F2DE4"/>
    <w:rsid w:val="008F7028"/>
    <w:rsid w:val="00914483"/>
    <w:rsid w:val="00921803"/>
    <w:rsid w:val="00923C40"/>
    <w:rsid w:val="00926503"/>
    <w:rsid w:val="00927455"/>
    <w:rsid w:val="00931AA3"/>
    <w:rsid w:val="00934458"/>
    <w:rsid w:val="00942596"/>
    <w:rsid w:val="009563F7"/>
    <w:rsid w:val="00957122"/>
    <w:rsid w:val="0097218A"/>
    <w:rsid w:val="009726D8"/>
    <w:rsid w:val="0098385C"/>
    <w:rsid w:val="00992EF7"/>
    <w:rsid w:val="009B700E"/>
    <w:rsid w:val="009B7E38"/>
    <w:rsid w:val="009C16E9"/>
    <w:rsid w:val="009C5681"/>
    <w:rsid w:val="009C644B"/>
    <w:rsid w:val="009C7D80"/>
    <w:rsid w:val="009D15FD"/>
    <w:rsid w:val="009D3268"/>
    <w:rsid w:val="009D5ADE"/>
    <w:rsid w:val="009D7308"/>
    <w:rsid w:val="009E2CE5"/>
    <w:rsid w:val="009E68F9"/>
    <w:rsid w:val="009E7239"/>
    <w:rsid w:val="009E7B94"/>
    <w:rsid w:val="009F76DB"/>
    <w:rsid w:val="00A04384"/>
    <w:rsid w:val="00A0465A"/>
    <w:rsid w:val="00A32C3B"/>
    <w:rsid w:val="00A32DD1"/>
    <w:rsid w:val="00A33981"/>
    <w:rsid w:val="00A35EE0"/>
    <w:rsid w:val="00A4025C"/>
    <w:rsid w:val="00A403C4"/>
    <w:rsid w:val="00A45F4F"/>
    <w:rsid w:val="00A45FF2"/>
    <w:rsid w:val="00A564AE"/>
    <w:rsid w:val="00A600A9"/>
    <w:rsid w:val="00A644D5"/>
    <w:rsid w:val="00A64719"/>
    <w:rsid w:val="00A7077C"/>
    <w:rsid w:val="00A81DD8"/>
    <w:rsid w:val="00A86E07"/>
    <w:rsid w:val="00A879B0"/>
    <w:rsid w:val="00A932E8"/>
    <w:rsid w:val="00AA0676"/>
    <w:rsid w:val="00AA55B7"/>
    <w:rsid w:val="00AA5B9E"/>
    <w:rsid w:val="00AB0C9F"/>
    <w:rsid w:val="00AB2407"/>
    <w:rsid w:val="00AB2CFE"/>
    <w:rsid w:val="00AB53DF"/>
    <w:rsid w:val="00AB7733"/>
    <w:rsid w:val="00AC0178"/>
    <w:rsid w:val="00AC7780"/>
    <w:rsid w:val="00AD34C0"/>
    <w:rsid w:val="00B07E5C"/>
    <w:rsid w:val="00B213AF"/>
    <w:rsid w:val="00B239DC"/>
    <w:rsid w:val="00B31568"/>
    <w:rsid w:val="00B35618"/>
    <w:rsid w:val="00B43D5E"/>
    <w:rsid w:val="00B50105"/>
    <w:rsid w:val="00B57E84"/>
    <w:rsid w:val="00B67E34"/>
    <w:rsid w:val="00B7763F"/>
    <w:rsid w:val="00B811F7"/>
    <w:rsid w:val="00B8761C"/>
    <w:rsid w:val="00B90329"/>
    <w:rsid w:val="00B91A85"/>
    <w:rsid w:val="00B9573F"/>
    <w:rsid w:val="00BA045E"/>
    <w:rsid w:val="00BA4788"/>
    <w:rsid w:val="00BA5DC6"/>
    <w:rsid w:val="00BA6196"/>
    <w:rsid w:val="00BC6D8C"/>
    <w:rsid w:val="00BD40E6"/>
    <w:rsid w:val="00BD441B"/>
    <w:rsid w:val="00BE7927"/>
    <w:rsid w:val="00BF1E7D"/>
    <w:rsid w:val="00BF37F0"/>
    <w:rsid w:val="00C00F21"/>
    <w:rsid w:val="00C06064"/>
    <w:rsid w:val="00C2117C"/>
    <w:rsid w:val="00C265C3"/>
    <w:rsid w:val="00C34006"/>
    <w:rsid w:val="00C36B4C"/>
    <w:rsid w:val="00C37CDF"/>
    <w:rsid w:val="00C40189"/>
    <w:rsid w:val="00C426B1"/>
    <w:rsid w:val="00C4757D"/>
    <w:rsid w:val="00C5592F"/>
    <w:rsid w:val="00C5712A"/>
    <w:rsid w:val="00C63278"/>
    <w:rsid w:val="00C66160"/>
    <w:rsid w:val="00C721AC"/>
    <w:rsid w:val="00C84DBF"/>
    <w:rsid w:val="00C87F1C"/>
    <w:rsid w:val="00C90D6A"/>
    <w:rsid w:val="00CA247E"/>
    <w:rsid w:val="00CA6D21"/>
    <w:rsid w:val="00CC02D5"/>
    <w:rsid w:val="00CC72B6"/>
    <w:rsid w:val="00CD209A"/>
    <w:rsid w:val="00CD249A"/>
    <w:rsid w:val="00CE594A"/>
    <w:rsid w:val="00CF091C"/>
    <w:rsid w:val="00CF2EB1"/>
    <w:rsid w:val="00CF484A"/>
    <w:rsid w:val="00D00D44"/>
    <w:rsid w:val="00D0218D"/>
    <w:rsid w:val="00D04C2F"/>
    <w:rsid w:val="00D136F9"/>
    <w:rsid w:val="00D220E7"/>
    <w:rsid w:val="00D246EE"/>
    <w:rsid w:val="00D25699"/>
    <w:rsid w:val="00D25FB5"/>
    <w:rsid w:val="00D31832"/>
    <w:rsid w:val="00D3389A"/>
    <w:rsid w:val="00D40A9A"/>
    <w:rsid w:val="00D41A2C"/>
    <w:rsid w:val="00D433A5"/>
    <w:rsid w:val="00D44223"/>
    <w:rsid w:val="00D475E2"/>
    <w:rsid w:val="00D52154"/>
    <w:rsid w:val="00D53393"/>
    <w:rsid w:val="00D54A00"/>
    <w:rsid w:val="00D601C3"/>
    <w:rsid w:val="00D62F31"/>
    <w:rsid w:val="00D669FF"/>
    <w:rsid w:val="00D837C0"/>
    <w:rsid w:val="00D860C5"/>
    <w:rsid w:val="00D91838"/>
    <w:rsid w:val="00D966A9"/>
    <w:rsid w:val="00D9726A"/>
    <w:rsid w:val="00DA14CB"/>
    <w:rsid w:val="00DA18B3"/>
    <w:rsid w:val="00DA2529"/>
    <w:rsid w:val="00DB130A"/>
    <w:rsid w:val="00DB2EBB"/>
    <w:rsid w:val="00DC10A1"/>
    <w:rsid w:val="00DC1B67"/>
    <w:rsid w:val="00DC1C0F"/>
    <w:rsid w:val="00DC5CBB"/>
    <w:rsid w:val="00DC655F"/>
    <w:rsid w:val="00DC6C6F"/>
    <w:rsid w:val="00DD0B59"/>
    <w:rsid w:val="00DD7EBD"/>
    <w:rsid w:val="00DE40D1"/>
    <w:rsid w:val="00DF62B6"/>
    <w:rsid w:val="00E07225"/>
    <w:rsid w:val="00E13046"/>
    <w:rsid w:val="00E31562"/>
    <w:rsid w:val="00E36FC9"/>
    <w:rsid w:val="00E5409F"/>
    <w:rsid w:val="00E563F4"/>
    <w:rsid w:val="00E572F6"/>
    <w:rsid w:val="00E739B0"/>
    <w:rsid w:val="00E83F10"/>
    <w:rsid w:val="00E863B0"/>
    <w:rsid w:val="00EB08B7"/>
    <w:rsid w:val="00EB5B25"/>
    <w:rsid w:val="00EC65A5"/>
    <w:rsid w:val="00ED120C"/>
    <w:rsid w:val="00ED1880"/>
    <w:rsid w:val="00EE0303"/>
    <w:rsid w:val="00EE6488"/>
    <w:rsid w:val="00EE65F5"/>
    <w:rsid w:val="00F021FA"/>
    <w:rsid w:val="00F04C61"/>
    <w:rsid w:val="00F20AF5"/>
    <w:rsid w:val="00F2543F"/>
    <w:rsid w:val="00F265F4"/>
    <w:rsid w:val="00F26630"/>
    <w:rsid w:val="00F31EC5"/>
    <w:rsid w:val="00F34450"/>
    <w:rsid w:val="00F41B00"/>
    <w:rsid w:val="00F42AFE"/>
    <w:rsid w:val="00F5117A"/>
    <w:rsid w:val="00F55E77"/>
    <w:rsid w:val="00F62E97"/>
    <w:rsid w:val="00F64209"/>
    <w:rsid w:val="00F74B8E"/>
    <w:rsid w:val="00F776D8"/>
    <w:rsid w:val="00F93BF5"/>
    <w:rsid w:val="00FB5668"/>
    <w:rsid w:val="00FC1D4A"/>
    <w:rsid w:val="00FC5923"/>
    <w:rsid w:val="00FC6EBF"/>
    <w:rsid w:val="00FE17A0"/>
    <w:rsid w:val="00FE3976"/>
    <w:rsid w:val="00FE59A2"/>
    <w:rsid w:val="00FF23E6"/>
    <w:rsid w:val="00FF2D09"/>
    <w:rsid w:val="00FF2F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9300F3-2F58-4F86-9EE9-542DE6C3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F1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52154"/>
    <w:pPr>
      <w:numPr>
        <w:numId w:val="2"/>
      </w:numPr>
      <w:tabs>
        <w:tab w:val="clear" w:pos="1080"/>
        <w:tab w:val="num" w:pos="1440"/>
      </w:tabs>
      <w:spacing w:after="120"/>
    </w:pPr>
  </w:style>
  <w:style w:type="character" w:customStyle="1" w:styleId="ParaNumChar">
    <w:name w:val="ParaNum Char"/>
    <w:link w:val="ParaNum"/>
    <w:locked/>
    <w:rsid w:val="00C87F1C"/>
    <w:rPr>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link w:val="FootnoteTextChar"/>
    <w:rsid w:val="000E3D42"/>
    <w:pPr>
      <w:spacing w:after="120"/>
    </w:p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C87F1C"/>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D7308"/>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C87F1C"/>
    <w:rPr>
      <w:sz w:val="16"/>
      <w:szCs w:val="16"/>
    </w:rPr>
  </w:style>
  <w:style w:type="paragraph" w:styleId="CommentText">
    <w:name w:val="annotation text"/>
    <w:basedOn w:val="Normal"/>
    <w:link w:val="CommentTextChar"/>
    <w:rsid w:val="00C87F1C"/>
    <w:rPr>
      <w:sz w:val="20"/>
    </w:rPr>
  </w:style>
  <w:style w:type="character" w:customStyle="1" w:styleId="CommentTextChar">
    <w:name w:val="Comment Text Char"/>
    <w:basedOn w:val="DefaultParagraphFont"/>
    <w:link w:val="CommentText"/>
    <w:rsid w:val="00C87F1C"/>
    <w:rPr>
      <w:snapToGrid w:val="0"/>
      <w:kern w:val="28"/>
    </w:rPr>
  </w:style>
  <w:style w:type="character" w:customStyle="1" w:styleId="cosearchterm">
    <w:name w:val="co_searchterm"/>
    <w:rsid w:val="00C87F1C"/>
  </w:style>
  <w:style w:type="paragraph" w:styleId="BalloonText">
    <w:name w:val="Balloon Text"/>
    <w:basedOn w:val="Normal"/>
    <w:link w:val="BalloonTextChar"/>
    <w:rsid w:val="00C87F1C"/>
    <w:rPr>
      <w:rFonts w:ascii="Segoe UI" w:hAnsi="Segoe UI" w:cs="Segoe UI"/>
      <w:sz w:val="18"/>
      <w:szCs w:val="18"/>
    </w:rPr>
  </w:style>
  <w:style w:type="character" w:customStyle="1" w:styleId="BalloonTextChar">
    <w:name w:val="Balloon Text Char"/>
    <w:basedOn w:val="DefaultParagraphFont"/>
    <w:link w:val="BalloonText"/>
    <w:rsid w:val="00C87F1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157149"/>
    <w:rPr>
      <w:b/>
      <w:bCs/>
    </w:rPr>
  </w:style>
  <w:style w:type="character" w:customStyle="1" w:styleId="CommentSubjectChar">
    <w:name w:val="Comment Subject Char"/>
    <w:basedOn w:val="CommentTextChar"/>
    <w:link w:val="CommentSubject"/>
    <w:rsid w:val="00157149"/>
    <w:rPr>
      <w:b/>
      <w:bCs/>
      <w:snapToGrid w:val="0"/>
      <w:kern w:val="28"/>
    </w:rPr>
  </w:style>
  <w:style w:type="paragraph" w:styleId="ListParagraph">
    <w:name w:val="List Paragraph"/>
    <w:basedOn w:val="Normal"/>
    <w:uiPriority w:val="34"/>
    <w:qFormat/>
    <w:rsid w:val="00450899"/>
    <w:pPr>
      <w:ind w:left="720"/>
    </w:pPr>
  </w:style>
  <w:style w:type="character" w:styleId="FollowedHyperlink">
    <w:name w:val="FollowedHyperlink"/>
    <w:uiPriority w:val="99"/>
    <w:unhideWhenUsed/>
    <w:rsid w:val="00C40189"/>
    <w:rPr>
      <w:color w:val="800080"/>
      <w:u w:val="single"/>
    </w:rPr>
  </w:style>
  <w:style w:type="table" w:styleId="TableGrid">
    <w:name w:val="Table Grid"/>
    <w:basedOn w:val="TableNormal"/>
    <w:rsid w:val="00B5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1513"/>
    <w:rPr>
      <w:snapToGrid w:val="0"/>
      <w:kern w:val="28"/>
      <w:sz w:val="22"/>
    </w:rPr>
  </w:style>
  <w:style w:type="character" w:customStyle="1" w:styleId="UnresolvedMention">
    <w:name w:val="Unresolved Mention"/>
    <w:basedOn w:val="DefaultParagraphFont"/>
    <w:uiPriority w:val="99"/>
    <w:semiHidden/>
    <w:unhideWhenUsed/>
    <w:rsid w:val="00D52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39521034&amp;pubNum=0004493&amp;originatingDoc=I730da5236afb11e9bc5d825c4b9add2e&amp;refType=CA&amp;originationContext=document&amp;transitionType=DocumentItem&amp;contextData=(sc.Search)" TargetMode="External" /><Relationship Id="rId2" Type="http://schemas.openxmlformats.org/officeDocument/2006/relationships/hyperlink" Target="https://1.next.westlaw.com/Link/Document/FullText?findType=Y&amp;serNum=2026850982&amp;pubNum=0004493&amp;originatingDoc=I730da5236afb11e9bc5d825c4b9add2e&amp;refType=CA&amp;originationContext=document&amp;transitionType=DocumentItem&amp;contextData=(sc.Search)" TargetMode="External" /><Relationship Id="rId3" Type="http://schemas.openxmlformats.org/officeDocument/2006/relationships/hyperlink" Target="https://1.next.westlaw.com/Link/Document/FullText?findType=Y&amp;serNum=2018195527&amp;pubNum=0004493&amp;originatingDoc=I730da5236afb11e9bc5d825c4b9add2e&amp;refType=CA&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