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262918C6" w14:textId="77777777">
      <w:pPr>
        <w:jc w:val="right"/>
        <w:rPr>
          <w:sz w:val="24"/>
        </w:rPr>
      </w:pPr>
    </w:p>
    <w:p w:rsidR="00013A8B" w:rsidRPr="00B20363" w:rsidP="00013A8B" w14:paraId="11A82E1D" w14:textId="77777777">
      <w:pPr>
        <w:jc w:val="right"/>
        <w:rPr>
          <w:b/>
          <w:sz w:val="24"/>
        </w:rPr>
      </w:pPr>
      <w:r>
        <w:rPr>
          <w:b/>
          <w:sz w:val="24"/>
        </w:rPr>
        <w:t>DA 20-328</w:t>
      </w:r>
    </w:p>
    <w:p w:rsidR="00013A8B" w:rsidRPr="00B20363" w:rsidP="00013A8B" w14:paraId="7BFDBB44" w14:textId="1A25D45A">
      <w:pPr>
        <w:spacing w:before="60"/>
        <w:jc w:val="right"/>
        <w:rPr>
          <w:b/>
          <w:sz w:val="24"/>
        </w:rPr>
      </w:pPr>
      <w:r>
        <w:rPr>
          <w:b/>
          <w:sz w:val="24"/>
        </w:rPr>
        <w:t xml:space="preserve">Released:  </w:t>
      </w:r>
      <w:r w:rsidR="00D5664C">
        <w:rPr>
          <w:b/>
          <w:sz w:val="24"/>
        </w:rPr>
        <w:t xml:space="preserve">March </w:t>
      </w:r>
      <w:r w:rsidR="00FD36E2">
        <w:rPr>
          <w:b/>
          <w:sz w:val="24"/>
        </w:rPr>
        <w:t>31</w:t>
      </w:r>
      <w:r w:rsidR="00D5664C">
        <w:rPr>
          <w:b/>
          <w:sz w:val="24"/>
        </w:rPr>
        <w:t>, 2020</w:t>
      </w:r>
    </w:p>
    <w:p w:rsidR="00013A8B" w:rsidP="00013A8B" w14:paraId="50060A66" w14:textId="77777777">
      <w:pPr>
        <w:jc w:val="right"/>
        <w:rPr>
          <w:sz w:val="24"/>
        </w:rPr>
      </w:pPr>
    </w:p>
    <w:p w:rsidR="00D5664C" w:rsidP="00D5664C" w14:paraId="12C9DE13" w14:textId="77777777">
      <w:pPr>
        <w:ind w:left="1440" w:right="940"/>
        <w:jc w:val="center"/>
        <w:rPr>
          <w:b/>
          <w:sz w:val="24"/>
          <w:szCs w:val="24"/>
        </w:rPr>
      </w:pPr>
      <w:r>
        <w:rPr>
          <w:b/>
          <w:sz w:val="24"/>
          <w:szCs w:val="24"/>
        </w:rPr>
        <w:t>ENFORCEMENT BUREAU PROVIDES GUIDANCE</w:t>
      </w:r>
    </w:p>
    <w:p w:rsidR="00D5664C" w:rsidP="00D5664C" w14:paraId="65592B68" w14:textId="77777777">
      <w:pPr>
        <w:ind w:left="1440" w:right="940"/>
        <w:jc w:val="center"/>
        <w:rPr>
          <w:b/>
          <w:sz w:val="24"/>
          <w:szCs w:val="24"/>
        </w:rPr>
      </w:pPr>
      <w:r>
        <w:rPr>
          <w:b/>
          <w:sz w:val="24"/>
          <w:szCs w:val="24"/>
        </w:rPr>
        <w:t>FOR RENEWAL HOLD CHECKS</w:t>
      </w:r>
    </w:p>
    <w:p w:rsidR="00F96F63" w:rsidP="00F96F63" w14:paraId="28E330F0" w14:textId="77777777">
      <w:pPr>
        <w:rPr>
          <w:sz w:val="24"/>
        </w:rPr>
      </w:pPr>
    </w:p>
    <w:p w:rsidR="00D5664C" w:rsidP="00D5664C" w14:paraId="2ED94034" w14:textId="298E83BC">
      <w:pPr>
        <w:spacing w:line="238" w:lineRule="auto"/>
        <w:ind w:firstLine="648"/>
        <w:rPr>
          <w:sz w:val="24"/>
          <w:szCs w:val="24"/>
        </w:rPr>
      </w:pPr>
      <w:r>
        <w:rPr>
          <w:sz w:val="24"/>
          <w:szCs w:val="24"/>
        </w:rPr>
        <w:t xml:space="preserve">FCC </w:t>
      </w:r>
      <w:r>
        <w:rPr>
          <w:sz w:val="24"/>
          <w:szCs w:val="24"/>
        </w:rPr>
        <w:t>l</w:t>
      </w:r>
      <w:r w:rsidRPr="0070432D">
        <w:rPr>
          <w:sz w:val="24"/>
          <w:szCs w:val="24"/>
        </w:rPr>
        <w:t>icensees</w:t>
      </w:r>
      <w:r w:rsidRPr="0070432D">
        <w:rPr>
          <w:sz w:val="24"/>
          <w:szCs w:val="24"/>
        </w:rPr>
        <w:t xml:space="preserve"> </w:t>
      </w:r>
      <w:r>
        <w:rPr>
          <w:sz w:val="24"/>
          <w:szCs w:val="24"/>
        </w:rPr>
        <w:t>or</w:t>
      </w:r>
      <w:r w:rsidRPr="0070432D">
        <w:rPr>
          <w:sz w:val="24"/>
          <w:szCs w:val="24"/>
        </w:rPr>
        <w:t xml:space="preserve"> their attorneys routinely request information from the Enforcement Bureau</w:t>
      </w:r>
      <w:r>
        <w:rPr>
          <w:sz w:val="24"/>
          <w:szCs w:val="24"/>
        </w:rPr>
        <w:t xml:space="preserve"> about</w:t>
      </w:r>
      <w:r w:rsidRPr="0070432D">
        <w:rPr>
          <w:sz w:val="24"/>
          <w:szCs w:val="24"/>
        </w:rPr>
        <w:t xml:space="preserve"> </w:t>
      </w:r>
      <w:r>
        <w:rPr>
          <w:sz w:val="24"/>
          <w:szCs w:val="24"/>
        </w:rPr>
        <w:t>“enforcement holds”</w:t>
      </w:r>
      <w:r w:rsidRPr="0070432D">
        <w:rPr>
          <w:sz w:val="24"/>
          <w:szCs w:val="24"/>
        </w:rPr>
        <w:t xml:space="preserve"> that might </w:t>
      </w:r>
      <w:r>
        <w:rPr>
          <w:sz w:val="24"/>
          <w:szCs w:val="24"/>
        </w:rPr>
        <w:t>affect</w:t>
      </w:r>
      <w:r w:rsidRPr="0070432D">
        <w:rPr>
          <w:sz w:val="24"/>
          <w:szCs w:val="24"/>
        </w:rPr>
        <w:t xml:space="preserve"> </w:t>
      </w:r>
      <w:r>
        <w:rPr>
          <w:sz w:val="24"/>
          <w:szCs w:val="24"/>
        </w:rPr>
        <w:t>the processing of license</w:t>
      </w:r>
      <w:r w:rsidRPr="0070432D">
        <w:rPr>
          <w:sz w:val="24"/>
          <w:szCs w:val="24"/>
        </w:rPr>
        <w:t xml:space="preserve"> renewal</w:t>
      </w:r>
      <w:r>
        <w:rPr>
          <w:sz w:val="24"/>
          <w:szCs w:val="24"/>
        </w:rPr>
        <w:t xml:space="preserve"> applications.  Enforcement holds are most often placed by the Bureau in connection with complaints filed against a licensee or its stations that remain under investigation.  While such an enforcement hold is in place, the renewal application subject to the hold will not be granted until the Enforcement Bureau releases the hold.  It is t</w:t>
      </w:r>
      <w:r w:rsidRPr="0070432D">
        <w:rPr>
          <w:sz w:val="24"/>
          <w:szCs w:val="24"/>
        </w:rPr>
        <w:t xml:space="preserve">he </w:t>
      </w:r>
      <w:r>
        <w:rPr>
          <w:sz w:val="24"/>
          <w:szCs w:val="24"/>
        </w:rPr>
        <w:t xml:space="preserve">Enforcement </w:t>
      </w:r>
      <w:r w:rsidRPr="0070432D">
        <w:rPr>
          <w:sz w:val="24"/>
          <w:szCs w:val="24"/>
        </w:rPr>
        <w:t xml:space="preserve">Bureau’s </w:t>
      </w:r>
      <w:r>
        <w:rPr>
          <w:sz w:val="24"/>
          <w:szCs w:val="24"/>
        </w:rPr>
        <w:t xml:space="preserve">goal </w:t>
      </w:r>
      <w:r w:rsidRPr="0070432D">
        <w:rPr>
          <w:sz w:val="24"/>
          <w:szCs w:val="24"/>
        </w:rPr>
        <w:t xml:space="preserve">to provide </w:t>
      </w:r>
      <w:r>
        <w:rPr>
          <w:sz w:val="24"/>
          <w:szCs w:val="24"/>
        </w:rPr>
        <w:t xml:space="preserve">licensees or their designated attorneys </w:t>
      </w:r>
      <w:r w:rsidRPr="0070432D">
        <w:rPr>
          <w:sz w:val="24"/>
          <w:szCs w:val="24"/>
        </w:rPr>
        <w:t xml:space="preserve">with information </w:t>
      </w:r>
      <w:r>
        <w:rPr>
          <w:sz w:val="24"/>
          <w:szCs w:val="24"/>
        </w:rPr>
        <w:t xml:space="preserve">about enforcement holds </w:t>
      </w:r>
      <w:r w:rsidRPr="0070432D">
        <w:rPr>
          <w:sz w:val="24"/>
          <w:szCs w:val="24"/>
        </w:rPr>
        <w:t xml:space="preserve">in a timely manner, while </w:t>
      </w:r>
      <w:r>
        <w:rPr>
          <w:sz w:val="24"/>
          <w:szCs w:val="24"/>
        </w:rPr>
        <w:t xml:space="preserve">still </w:t>
      </w:r>
      <w:r w:rsidRPr="0070432D">
        <w:rPr>
          <w:sz w:val="24"/>
          <w:szCs w:val="24"/>
        </w:rPr>
        <w:t xml:space="preserve">protecting its investigatory processes and </w:t>
      </w:r>
      <w:r>
        <w:rPr>
          <w:sz w:val="24"/>
          <w:szCs w:val="24"/>
        </w:rPr>
        <w:t xml:space="preserve">safeguarding </w:t>
      </w:r>
      <w:r w:rsidRPr="0070432D">
        <w:rPr>
          <w:sz w:val="24"/>
          <w:szCs w:val="24"/>
        </w:rPr>
        <w:t xml:space="preserve">the non-public information </w:t>
      </w:r>
      <w:r>
        <w:rPr>
          <w:sz w:val="24"/>
          <w:szCs w:val="24"/>
        </w:rPr>
        <w:t>associated</w:t>
      </w:r>
      <w:r w:rsidRPr="0070432D">
        <w:rPr>
          <w:sz w:val="24"/>
          <w:szCs w:val="24"/>
        </w:rPr>
        <w:t xml:space="preserve"> with the investigation.  </w:t>
      </w:r>
      <w:r>
        <w:rPr>
          <w:sz w:val="24"/>
          <w:szCs w:val="24"/>
        </w:rPr>
        <w:t xml:space="preserve">In this Public Notice, the Enforcement </w:t>
      </w:r>
      <w:r w:rsidRPr="0070432D">
        <w:rPr>
          <w:sz w:val="24"/>
          <w:szCs w:val="24"/>
        </w:rPr>
        <w:t xml:space="preserve">Bureau </w:t>
      </w:r>
      <w:r>
        <w:rPr>
          <w:sz w:val="24"/>
          <w:szCs w:val="24"/>
        </w:rPr>
        <w:t>clarifies how it</w:t>
      </w:r>
      <w:r w:rsidRPr="0070432D">
        <w:rPr>
          <w:sz w:val="24"/>
          <w:szCs w:val="24"/>
        </w:rPr>
        <w:t xml:space="preserve"> will process </w:t>
      </w:r>
      <w:r>
        <w:rPr>
          <w:sz w:val="24"/>
          <w:szCs w:val="24"/>
        </w:rPr>
        <w:t>requests for information about renewal holds.</w:t>
      </w:r>
    </w:p>
    <w:p w:rsidR="00D5664C" w:rsidP="00D5664C" w14:paraId="5F80DCA3" w14:textId="77777777">
      <w:pPr>
        <w:spacing w:line="238" w:lineRule="auto"/>
        <w:ind w:firstLine="648"/>
        <w:rPr>
          <w:sz w:val="24"/>
          <w:szCs w:val="24"/>
        </w:rPr>
      </w:pPr>
    </w:p>
    <w:p w:rsidR="00D5664C" w:rsidRPr="0070432D" w:rsidP="00D5664C" w14:paraId="6D9D3992" w14:textId="77777777">
      <w:pPr>
        <w:spacing w:line="238" w:lineRule="auto"/>
        <w:ind w:firstLine="648"/>
        <w:rPr>
          <w:sz w:val="24"/>
          <w:szCs w:val="24"/>
        </w:rPr>
      </w:pPr>
      <w:r w:rsidRPr="0070432D">
        <w:rPr>
          <w:sz w:val="24"/>
          <w:szCs w:val="24"/>
        </w:rPr>
        <w:t xml:space="preserve">In response to </w:t>
      </w:r>
      <w:r>
        <w:rPr>
          <w:sz w:val="24"/>
          <w:szCs w:val="24"/>
        </w:rPr>
        <w:t>a renewal hold</w:t>
      </w:r>
      <w:r w:rsidRPr="0070432D">
        <w:rPr>
          <w:sz w:val="24"/>
          <w:szCs w:val="24"/>
        </w:rPr>
        <w:t xml:space="preserve"> </w:t>
      </w:r>
      <w:r>
        <w:rPr>
          <w:sz w:val="24"/>
          <w:szCs w:val="24"/>
        </w:rPr>
        <w:t>inquiry from a licensee or its designated attorney</w:t>
      </w:r>
      <w:r w:rsidRPr="0070432D">
        <w:rPr>
          <w:sz w:val="24"/>
          <w:szCs w:val="24"/>
        </w:rPr>
        <w:t xml:space="preserve">, the </w:t>
      </w:r>
      <w:r>
        <w:rPr>
          <w:sz w:val="24"/>
          <w:szCs w:val="24"/>
        </w:rPr>
        <w:t xml:space="preserve">Enforcement </w:t>
      </w:r>
      <w:r w:rsidRPr="0070432D">
        <w:rPr>
          <w:sz w:val="24"/>
          <w:szCs w:val="24"/>
        </w:rPr>
        <w:t>Bureau will confirm whether there are any pending enforcement cases</w:t>
      </w:r>
      <w:r>
        <w:rPr>
          <w:sz w:val="24"/>
          <w:szCs w:val="24"/>
        </w:rPr>
        <w:t xml:space="preserve"> or</w:t>
      </w:r>
      <w:r w:rsidRPr="0070432D">
        <w:rPr>
          <w:sz w:val="24"/>
          <w:szCs w:val="24"/>
        </w:rPr>
        <w:t xml:space="preserve"> investigations</w:t>
      </w:r>
      <w:r>
        <w:rPr>
          <w:sz w:val="24"/>
          <w:szCs w:val="24"/>
        </w:rPr>
        <w:t xml:space="preserve"> </w:t>
      </w:r>
      <w:r w:rsidRPr="0070432D">
        <w:rPr>
          <w:sz w:val="24"/>
          <w:szCs w:val="24"/>
        </w:rPr>
        <w:t xml:space="preserve">that have resulted in </w:t>
      </w:r>
      <w:r>
        <w:rPr>
          <w:sz w:val="24"/>
          <w:szCs w:val="24"/>
        </w:rPr>
        <w:t xml:space="preserve">the placement of the </w:t>
      </w:r>
      <w:r w:rsidRPr="0070432D">
        <w:rPr>
          <w:sz w:val="24"/>
          <w:szCs w:val="24"/>
        </w:rPr>
        <w:t xml:space="preserve">enforcement </w:t>
      </w:r>
      <w:r>
        <w:rPr>
          <w:sz w:val="24"/>
          <w:szCs w:val="24"/>
        </w:rPr>
        <w:t>hold</w:t>
      </w:r>
      <w:r w:rsidRPr="0070432D">
        <w:rPr>
          <w:sz w:val="24"/>
          <w:szCs w:val="24"/>
        </w:rPr>
        <w:t xml:space="preserve">.  </w:t>
      </w:r>
      <w:r>
        <w:rPr>
          <w:sz w:val="24"/>
          <w:szCs w:val="24"/>
        </w:rPr>
        <w:t>T</w:t>
      </w:r>
      <w:r w:rsidRPr="0070432D">
        <w:rPr>
          <w:sz w:val="24"/>
          <w:szCs w:val="24"/>
        </w:rPr>
        <w:t xml:space="preserve">he </w:t>
      </w:r>
      <w:r>
        <w:rPr>
          <w:sz w:val="24"/>
          <w:szCs w:val="24"/>
        </w:rPr>
        <w:t xml:space="preserve">Enforcement </w:t>
      </w:r>
      <w:r w:rsidRPr="0070432D">
        <w:rPr>
          <w:sz w:val="24"/>
          <w:szCs w:val="24"/>
        </w:rPr>
        <w:t xml:space="preserve">Bureau will only provide </w:t>
      </w:r>
      <w:r>
        <w:rPr>
          <w:sz w:val="24"/>
          <w:szCs w:val="24"/>
        </w:rPr>
        <w:t>enforcement hold</w:t>
      </w:r>
      <w:r w:rsidRPr="0070432D">
        <w:rPr>
          <w:sz w:val="24"/>
          <w:szCs w:val="24"/>
        </w:rPr>
        <w:t xml:space="preserve"> information to the licensee or its designated attorney</w:t>
      </w:r>
      <w:r>
        <w:rPr>
          <w:sz w:val="24"/>
          <w:szCs w:val="24"/>
        </w:rPr>
        <w:t xml:space="preserve">, and not </w:t>
      </w:r>
      <w:r w:rsidRPr="0070432D">
        <w:rPr>
          <w:sz w:val="24"/>
          <w:szCs w:val="24"/>
        </w:rPr>
        <w:t xml:space="preserve">to third parties, such as lenders or prospective station buyers.  </w:t>
      </w:r>
      <w:r>
        <w:rPr>
          <w:sz w:val="24"/>
          <w:szCs w:val="24"/>
        </w:rPr>
        <w:t>T</w:t>
      </w:r>
      <w:r w:rsidRPr="0070432D">
        <w:rPr>
          <w:sz w:val="24"/>
          <w:szCs w:val="24"/>
        </w:rPr>
        <w:t xml:space="preserve">he </w:t>
      </w:r>
      <w:r>
        <w:rPr>
          <w:sz w:val="24"/>
          <w:szCs w:val="24"/>
        </w:rPr>
        <w:t xml:space="preserve">Enforcement </w:t>
      </w:r>
      <w:r w:rsidRPr="0070432D">
        <w:rPr>
          <w:sz w:val="24"/>
          <w:szCs w:val="24"/>
        </w:rPr>
        <w:t>Bureau’s response to a</w:t>
      </w:r>
      <w:r>
        <w:rPr>
          <w:sz w:val="24"/>
          <w:szCs w:val="24"/>
        </w:rPr>
        <w:t xml:space="preserve">n inquiry about a </w:t>
      </w:r>
      <w:r w:rsidR="009A35B3">
        <w:rPr>
          <w:sz w:val="24"/>
          <w:szCs w:val="24"/>
        </w:rPr>
        <w:t>renewal</w:t>
      </w:r>
      <w:r>
        <w:rPr>
          <w:sz w:val="24"/>
          <w:szCs w:val="24"/>
        </w:rPr>
        <w:t xml:space="preserve"> hold</w:t>
      </w:r>
      <w:r w:rsidRPr="0070432D">
        <w:rPr>
          <w:sz w:val="24"/>
          <w:szCs w:val="24"/>
        </w:rPr>
        <w:t xml:space="preserve"> </w:t>
      </w:r>
      <w:r>
        <w:rPr>
          <w:sz w:val="24"/>
          <w:szCs w:val="24"/>
        </w:rPr>
        <w:t xml:space="preserve">will </w:t>
      </w:r>
      <w:r w:rsidRPr="0070432D">
        <w:rPr>
          <w:sz w:val="24"/>
          <w:szCs w:val="24"/>
        </w:rPr>
        <w:t xml:space="preserve">not include </w:t>
      </w:r>
      <w:r w:rsidR="009A35B3">
        <w:rPr>
          <w:sz w:val="24"/>
          <w:szCs w:val="24"/>
        </w:rPr>
        <w:t xml:space="preserve">the </w:t>
      </w:r>
      <w:r w:rsidRPr="0070432D">
        <w:rPr>
          <w:sz w:val="24"/>
          <w:szCs w:val="24"/>
        </w:rPr>
        <w:t xml:space="preserve">current status of </w:t>
      </w:r>
      <w:r>
        <w:rPr>
          <w:sz w:val="24"/>
          <w:szCs w:val="24"/>
        </w:rPr>
        <w:t xml:space="preserve">the </w:t>
      </w:r>
      <w:r w:rsidR="009A35B3">
        <w:rPr>
          <w:sz w:val="24"/>
          <w:szCs w:val="24"/>
        </w:rPr>
        <w:t xml:space="preserve">Enforcement Bureau’s </w:t>
      </w:r>
      <w:r w:rsidRPr="0070432D">
        <w:rPr>
          <w:sz w:val="24"/>
          <w:szCs w:val="24"/>
        </w:rPr>
        <w:t xml:space="preserve">review of the case.  If the </w:t>
      </w:r>
      <w:r>
        <w:rPr>
          <w:sz w:val="24"/>
          <w:szCs w:val="24"/>
        </w:rPr>
        <w:t xml:space="preserve">licensee or its designated attorney </w:t>
      </w:r>
      <w:r w:rsidRPr="0070432D">
        <w:rPr>
          <w:sz w:val="24"/>
          <w:szCs w:val="24"/>
        </w:rPr>
        <w:t>seeks additional information</w:t>
      </w:r>
      <w:r>
        <w:rPr>
          <w:sz w:val="24"/>
          <w:szCs w:val="24"/>
        </w:rPr>
        <w:t xml:space="preserve"> about the hold, </w:t>
      </w:r>
      <w:r w:rsidRPr="0070432D">
        <w:rPr>
          <w:sz w:val="24"/>
          <w:szCs w:val="24"/>
        </w:rPr>
        <w:t xml:space="preserve">the licensee or attorney </w:t>
      </w:r>
      <w:r>
        <w:rPr>
          <w:sz w:val="24"/>
          <w:szCs w:val="24"/>
        </w:rPr>
        <w:t xml:space="preserve">will be directed to </w:t>
      </w:r>
      <w:r w:rsidRPr="0070432D">
        <w:rPr>
          <w:sz w:val="24"/>
          <w:szCs w:val="24"/>
        </w:rPr>
        <w:t xml:space="preserve">contact the </w:t>
      </w:r>
      <w:r>
        <w:rPr>
          <w:sz w:val="24"/>
          <w:szCs w:val="24"/>
        </w:rPr>
        <w:t xml:space="preserve">Enforcement </w:t>
      </w:r>
      <w:r w:rsidRPr="0070432D">
        <w:rPr>
          <w:sz w:val="24"/>
          <w:szCs w:val="24"/>
        </w:rPr>
        <w:t xml:space="preserve">Bureau </w:t>
      </w:r>
      <w:r>
        <w:rPr>
          <w:sz w:val="24"/>
          <w:szCs w:val="24"/>
        </w:rPr>
        <w:t>attorney who</w:t>
      </w:r>
      <w:r w:rsidRPr="0070432D">
        <w:rPr>
          <w:sz w:val="24"/>
          <w:szCs w:val="24"/>
        </w:rPr>
        <w:t xml:space="preserve"> is handling the </w:t>
      </w:r>
      <w:r>
        <w:rPr>
          <w:sz w:val="24"/>
          <w:szCs w:val="24"/>
        </w:rPr>
        <w:t>case</w:t>
      </w:r>
      <w:r w:rsidRPr="0070432D">
        <w:rPr>
          <w:sz w:val="24"/>
          <w:szCs w:val="24"/>
        </w:rPr>
        <w:t>.</w:t>
      </w:r>
    </w:p>
    <w:p w:rsidR="00D5664C" w:rsidRPr="0070432D" w:rsidP="00D5664C" w14:paraId="43B68682" w14:textId="77777777">
      <w:pPr>
        <w:spacing w:before="2"/>
        <w:rPr>
          <w:sz w:val="24"/>
          <w:szCs w:val="24"/>
        </w:rPr>
      </w:pPr>
    </w:p>
    <w:p w:rsidR="00D5664C" w:rsidP="00D5664C" w14:paraId="4C52F56E" w14:textId="77777777">
      <w:pPr>
        <w:spacing w:line="238" w:lineRule="auto"/>
        <w:ind w:firstLine="648"/>
        <w:rPr>
          <w:sz w:val="24"/>
          <w:szCs w:val="24"/>
        </w:rPr>
      </w:pPr>
      <w:r w:rsidRPr="00F37264">
        <w:rPr>
          <w:sz w:val="24"/>
          <w:szCs w:val="24"/>
        </w:rPr>
        <w:t xml:space="preserve">To facilitate requests for information about enforcement holds, the licensee or </w:t>
      </w:r>
      <w:r>
        <w:rPr>
          <w:sz w:val="24"/>
          <w:szCs w:val="24"/>
        </w:rPr>
        <w:t xml:space="preserve">its </w:t>
      </w:r>
      <w:r w:rsidRPr="00F37264">
        <w:rPr>
          <w:sz w:val="24"/>
          <w:szCs w:val="24"/>
        </w:rPr>
        <w:t xml:space="preserve">designated attorney should submit an e-mail to the </w:t>
      </w:r>
      <w:r>
        <w:rPr>
          <w:sz w:val="24"/>
          <w:szCs w:val="24"/>
        </w:rPr>
        <w:t xml:space="preserve">Enforcement </w:t>
      </w:r>
      <w:r w:rsidRPr="00F37264">
        <w:rPr>
          <w:sz w:val="24"/>
          <w:szCs w:val="24"/>
        </w:rPr>
        <w:t>Bureau requesting a</w:t>
      </w:r>
      <w:r>
        <w:rPr>
          <w:sz w:val="24"/>
          <w:szCs w:val="24"/>
        </w:rPr>
        <w:t>n enforcement</w:t>
      </w:r>
      <w:r w:rsidRPr="00F37264">
        <w:rPr>
          <w:sz w:val="24"/>
          <w:szCs w:val="24"/>
        </w:rPr>
        <w:t xml:space="preserve"> hold review</w:t>
      </w:r>
      <w:r>
        <w:rPr>
          <w:sz w:val="24"/>
          <w:szCs w:val="24"/>
        </w:rPr>
        <w:t xml:space="preserve"> at </w:t>
      </w:r>
      <w:hyperlink r:id="rId4" w:history="1">
        <w:r w:rsidRPr="00F03D31">
          <w:rPr>
            <w:rStyle w:val="Hyperlink"/>
            <w:sz w:val="24"/>
            <w:szCs w:val="24"/>
          </w:rPr>
          <w:t>holdsinfo@fcc.gov</w:t>
        </w:r>
      </w:hyperlink>
      <w:r>
        <w:rPr>
          <w:sz w:val="24"/>
          <w:szCs w:val="24"/>
        </w:rPr>
        <w:t xml:space="preserve">.  The request must include the following information:  </w:t>
      </w:r>
    </w:p>
    <w:p w:rsidR="00D5664C" w:rsidP="00D5664C" w14:paraId="259E4C63" w14:textId="77777777">
      <w:pPr>
        <w:spacing w:line="238" w:lineRule="auto"/>
        <w:ind w:firstLine="648"/>
        <w:rPr>
          <w:sz w:val="24"/>
          <w:szCs w:val="24"/>
        </w:rPr>
      </w:pPr>
    </w:p>
    <w:p w:rsidR="00D5664C" w:rsidP="00D5664C" w14:paraId="44E53A1F" w14:textId="77777777">
      <w:pPr>
        <w:widowControl/>
        <w:numPr>
          <w:ilvl w:val="0"/>
          <w:numId w:val="7"/>
        </w:numPr>
        <w:tabs>
          <w:tab w:val="left" w:pos="1112"/>
        </w:tabs>
        <w:ind w:left="1440" w:hanging="331"/>
        <w:rPr>
          <w:sz w:val="24"/>
          <w:szCs w:val="24"/>
        </w:rPr>
      </w:pPr>
      <w:r>
        <w:rPr>
          <w:sz w:val="24"/>
          <w:szCs w:val="24"/>
        </w:rPr>
        <w:t>N</w:t>
      </w:r>
      <w:r w:rsidRPr="0070432D">
        <w:rPr>
          <w:sz w:val="24"/>
          <w:szCs w:val="24"/>
        </w:rPr>
        <w:t xml:space="preserve">ame of </w:t>
      </w:r>
      <w:r>
        <w:rPr>
          <w:sz w:val="24"/>
          <w:szCs w:val="24"/>
        </w:rPr>
        <w:t xml:space="preserve">the </w:t>
      </w:r>
      <w:r w:rsidRPr="0070432D">
        <w:rPr>
          <w:sz w:val="24"/>
          <w:szCs w:val="24"/>
        </w:rPr>
        <w:t>licensee</w:t>
      </w:r>
      <w:r>
        <w:rPr>
          <w:sz w:val="24"/>
          <w:szCs w:val="24"/>
        </w:rPr>
        <w:t>/entity</w:t>
      </w:r>
      <w:r w:rsidRPr="0070432D">
        <w:rPr>
          <w:sz w:val="24"/>
          <w:szCs w:val="24"/>
        </w:rPr>
        <w:t xml:space="preserve"> that is the subject of request;</w:t>
      </w:r>
    </w:p>
    <w:p w:rsidR="00D5664C" w:rsidRPr="006524C6" w:rsidP="00D5664C" w14:paraId="28F38E08" w14:textId="77777777">
      <w:pPr>
        <w:numPr>
          <w:ilvl w:val="0"/>
          <w:numId w:val="7"/>
        </w:numPr>
        <w:tabs>
          <w:tab w:val="left" w:pos="1112"/>
        </w:tabs>
        <w:ind w:left="1440"/>
        <w:rPr>
          <w:sz w:val="24"/>
          <w:szCs w:val="24"/>
        </w:rPr>
      </w:pPr>
      <w:r>
        <w:rPr>
          <w:sz w:val="24"/>
          <w:szCs w:val="24"/>
        </w:rPr>
        <w:t>For each station that is the subject of the request:</w:t>
      </w:r>
    </w:p>
    <w:p w:rsidR="00D5664C" w:rsidRPr="0070432D" w:rsidP="00D5664C" w14:paraId="229C896C" w14:textId="77777777">
      <w:pPr>
        <w:numPr>
          <w:ilvl w:val="1"/>
          <w:numId w:val="7"/>
        </w:numPr>
        <w:tabs>
          <w:tab w:val="left" w:pos="1112"/>
        </w:tabs>
        <w:spacing w:before="24" w:line="255" w:lineRule="auto"/>
        <w:rPr>
          <w:sz w:val="24"/>
          <w:szCs w:val="24"/>
        </w:rPr>
      </w:pPr>
      <w:r>
        <w:rPr>
          <w:sz w:val="24"/>
          <w:szCs w:val="24"/>
        </w:rPr>
        <w:t xml:space="preserve">the </w:t>
      </w:r>
      <w:r w:rsidRPr="0070432D">
        <w:rPr>
          <w:sz w:val="24"/>
          <w:szCs w:val="24"/>
        </w:rPr>
        <w:t>current call sign (and any other call sign by which the facility has been identified since the beginning of the current license term)</w:t>
      </w:r>
    </w:p>
    <w:p w:rsidR="00D5664C" w:rsidRPr="0070432D" w:rsidP="00D5664C" w14:paraId="6A50B6C5" w14:textId="77777777">
      <w:pPr>
        <w:numPr>
          <w:ilvl w:val="1"/>
          <w:numId w:val="7"/>
        </w:numPr>
        <w:tabs>
          <w:tab w:val="left" w:pos="1122"/>
        </w:tabs>
        <w:spacing w:before="10"/>
        <w:rPr>
          <w:sz w:val="24"/>
          <w:szCs w:val="24"/>
        </w:rPr>
      </w:pPr>
      <w:r w:rsidRPr="0070432D">
        <w:rPr>
          <w:sz w:val="24"/>
          <w:szCs w:val="24"/>
        </w:rPr>
        <w:t>facility identification number</w:t>
      </w:r>
    </w:p>
    <w:p w:rsidR="00D5664C" w:rsidRPr="0070432D" w:rsidP="00D5664C" w14:paraId="358088CC" w14:textId="77777777">
      <w:pPr>
        <w:numPr>
          <w:ilvl w:val="1"/>
          <w:numId w:val="7"/>
        </w:numPr>
        <w:tabs>
          <w:tab w:val="left" w:pos="1108"/>
        </w:tabs>
        <w:spacing w:before="24"/>
        <w:rPr>
          <w:sz w:val="24"/>
          <w:szCs w:val="24"/>
        </w:rPr>
      </w:pPr>
      <w:r w:rsidRPr="0070432D">
        <w:rPr>
          <w:sz w:val="24"/>
          <w:szCs w:val="24"/>
        </w:rPr>
        <w:t>community of license/market/market number</w:t>
      </w:r>
    </w:p>
    <w:p w:rsidR="00D5664C" w:rsidRPr="0070432D" w:rsidP="00D5664C" w14:paraId="1F0CBCCC" w14:textId="77777777">
      <w:pPr>
        <w:numPr>
          <w:ilvl w:val="1"/>
          <w:numId w:val="7"/>
        </w:numPr>
        <w:tabs>
          <w:tab w:val="left" w:pos="1112"/>
        </w:tabs>
        <w:spacing w:before="1"/>
        <w:rPr>
          <w:sz w:val="24"/>
          <w:szCs w:val="24"/>
        </w:rPr>
      </w:pPr>
      <w:r w:rsidRPr="0070432D">
        <w:rPr>
          <w:sz w:val="24"/>
          <w:szCs w:val="24"/>
        </w:rPr>
        <w:t>service (</w:t>
      </w:r>
      <w:r w:rsidRPr="0070432D">
        <w:rPr>
          <w:i/>
          <w:sz w:val="24"/>
          <w:szCs w:val="24"/>
        </w:rPr>
        <w:t xml:space="preserve">e.g., </w:t>
      </w:r>
      <w:r w:rsidRPr="0070432D">
        <w:rPr>
          <w:sz w:val="24"/>
          <w:szCs w:val="24"/>
        </w:rPr>
        <w:t>AM, FM, TV, PCS)</w:t>
      </w:r>
    </w:p>
    <w:p w:rsidR="00D5664C" w:rsidP="00D5664C" w14:paraId="46B3AAE9" w14:textId="2F75A2D1">
      <w:pPr>
        <w:numPr>
          <w:ilvl w:val="0"/>
          <w:numId w:val="7"/>
        </w:numPr>
        <w:tabs>
          <w:tab w:val="left" w:pos="1112"/>
        </w:tabs>
        <w:spacing w:before="1"/>
        <w:ind w:left="1440"/>
        <w:rPr>
          <w:sz w:val="24"/>
          <w:szCs w:val="24"/>
        </w:rPr>
      </w:pPr>
      <w:r w:rsidRPr="0070432D">
        <w:rPr>
          <w:sz w:val="24"/>
          <w:szCs w:val="24"/>
        </w:rPr>
        <w:t>name, address, telephone number and e-mail address of requesting party</w:t>
      </w:r>
      <w:r>
        <w:rPr>
          <w:sz w:val="24"/>
          <w:szCs w:val="24"/>
        </w:rPr>
        <w:t>; and</w:t>
      </w:r>
    </w:p>
    <w:p w:rsidR="00B60255" w:rsidRPr="004C3B46" w:rsidP="00B60255" w14:paraId="4EF3EC5D" w14:textId="77777777">
      <w:pPr>
        <w:tabs>
          <w:tab w:val="left" w:pos="1112"/>
        </w:tabs>
        <w:spacing w:before="1"/>
        <w:ind w:left="1440"/>
        <w:rPr>
          <w:sz w:val="24"/>
          <w:szCs w:val="24"/>
        </w:rPr>
      </w:pPr>
      <w:bookmarkStart w:id="0" w:name="_GoBack"/>
      <w:bookmarkEnd w:id="0"/>
    </w:p>
    <w:p w:rsidR="00D5664C" w:rsidRPr="0070432D" w:rsidP="00D5664C" w14:paraId="75B08D73" w14:textId="77777777">
      <w:pPr>
        <w:numPr>
          <w:ilvl w:val="0"/>
          <w:numId w:val="7"/>
        </w:numPr>
        <w:tabs>
          <w:tab w:val="left" w:pos="1112"/>
        </w:tabs>
        <w:spacing w:before="1"/>
        <w:ind w:left="1440"/>
        <w:rPr>
          <w:sz w:val="24"/>
          <w:szCs w:val="24"/>
        </w:rPr>
      </w:pPr>
      <w:r>
        <w:rPr>
          <w:sz w:val="24"/>
          <w:szCs w:val="24"/>
        </w:rPr>
        <w:t>the requesting party’s relationship to the subject of the request (</w:t>
      </w:r>
      <w:r>
        <w:rPr>
          <w:i/>
          <w:iCs/>
          <w:sz w:val="24"/>
          <w:szCs w:val="24"/>
        </w:rPr>
        <w:t>e.g.</w:t>
      </w:r>
      <w:r>
        <w:rPr>
          <w:sz w:val="24"/>
          <w:szCs w:val="24"/>
        </w:rPr>
        <w:t>, corporate officer, outside counsel, etc.)</w:t>
      </w:r>
      <w:r w:rsidRPr="0070432D">
        <w:rPr>
          <w:sz w:val="24"/>
          <w:szCs w:val="24"/>
        </w:rPr>
        <w:t>.</w:t>
      </w:r>
    </w:p>
    <w:p w:rsidR="00D5664C" w:rsidP="00D5664C" w14:paraId="112F68B2" w14:textId="77777777">
      <w:pPr>
        <w:spacing w:line="238" w:lineRule="auto"/>
        <w:ind w:firstLine="648"/>
        <w:rPr>
          <w:sz w:val="24"/>
          <w:szCs w:val="24"/>
        </w:rPr>
      </w:pPr>
    </w:p>
    <w:p w:rsidR="00D5664C" w:rsidRPr="0070432D" w:rsidP="00D5664C" w14:paraId="62D02823" w14:textId="59DAB280">
      <w:pPr>
        <w:spacing w:line="238" w:lineRule="auto"/>
        <w:ind w:firstLine="648"/>
        <w:rPr>
          <w:sz w:val="24"/>
          <w:szCs w:val="24"/>
        </w:rPr>
      </w:pPr>
      <w:r w:rsidRPr="0070432D">
        <w:rPr>
          <w:sz w:val="24"/>
          <w:szCs w:val="24"/>
        </w:rPr>
        <w:t xml:space="preserve">Requests that fail to provide the information outlined above may be subject to processing delays.  The </w:t>
      </w:r>
      <w:r>
        <w:rPr>
          <w:sz w:val="24"/>
          <w:szCs w:val="24"/>
        </w:rPr>
        <w:t xml:space="preserve">Enforcement </w:t>
      </w:r>
      <w:r w:rsidRPr="0070432D">
        <w:rPr>
          <w:sz w:val="24"/>
          <w:szCs w:val="24"/>
        </w:rPr>
        <w:t xml:space="preserve">Bureau will not accept </w:t>
      </w:r>
      <w:r>
        <w:rPr>
          <w:sz w:val="24"/>
          <w:szCs w:val="24"/>
        </w:rPr>
        <w:t xml:space="preserve">requests for information about enforcement holds </w:t>
      </w:r>
      <w:r w:rsidRPr="0070432D">
        <w:rPr>
          <w:sz w:val="24"/>
          <w:szCs w:val="24"/>
        </w:rPr>
        <w:t xml:space="preserve">by </w:t>
      </w:r>
      <w:r>
        <w:rPr>
          <w:sz w:val="24"/>
          <w:szCs w:val="24"/>
        </w:rPr>
        <w:t xml:space="preserve">mail, </w:t>
      </w:r>
      <w:r w:rsidRPr="0070432D">
        <w:rPr>
          <w:sz w:val="24"/>
          <w:szCs w:val="24"/>
        </w:rPr>
        <w:t>telephone</w:t>
      </w:r>
      <w:r>
        <w:rPr>
          <w:sz w:val="24"/>
          <w:szCs w:val="24"/>
        </w:rPr>
        <w:t>,</w:t>
      </w:r>
      <w:r w:rsidRPr="0070432D">
        <w:rPr>
          <w:sz w:val="24"/>
          <w:szCs w:val="24"/>
        </w:rPr>
        <w:t xml:space="preserve"> or fax.  The </w:t>
      </w:r>
      <w:r>
        <w:rPr>
          <w:sz w:val="24"/>
          <w:szCs w:val="24"/>
        </w:rPr>
        <w:t xml:space="preserve">Enforcement </w:t>
      </w:r>
      <w:r w:rsidRPr="0070432D">
        <w:rPr>
          <w:sz w:val="24"/>
          <w:szCs w:val="24"/>
        </w:rPr>
        <w:t xml:space="preserve">Bureau will notify parties of the </w:t>
      </w:r>
      <w:r w:rsidR="00F51509">
        <w:rPr>
          <w:sz w:val="24"/>
          <w:szCs w:val="24"/>
        </w:rPr>
        <w:t>outcome</w:t>
      </w:r>
      <w:r w:rsidRPr="0070432D">
        <w:rPr>
          <w:sz w:val="24"/>
          <w:szCs w:val="24"/>
        </w:rPr>
        <w:t xml:space="preserve"> of the </w:t>
      </w:r>
      <w:r>
        <w:rPr>
          <w:sz w:val="24"/>
          <w:szCs w:val="24"/>
        </w:rPr>
        <w:t>enforcement hold</w:t>
      </w:r>
      <w:r w:rsidRPr="0070432D">
        <w:rPr>
          <w:sz w:val="24"/>
          <w:szCs w:val="24"/>
        </w:rPr>
        <w:t xml:space="preserve"> review by </w:t>
      </w:r>
      <w:r w:rsidR="00D1366F">
        <w:rPr>
          <w:sz w:val="24"/>
          <w:szCs w:val="24"/>
        </w:rPr>
        <w:t>e-mail and/or phone</w:t>
      </w:r>
      <w:r>
        <w:rPr>
          <w:sz w:val="24"/>
          <w:szCs w:val="24"/>
        </w:rPr>
        <w:t xml:space="preserve">, </w:t>
      </w:r>
      <w:r w:rsidRPr="0070432D">
        <w:rPr>
          <w:sz w:val="24"/>
          <w:szCs w:val="24"/>
        </w:rPr>
        <w:t xml:space="preserve">and will endeavor to do so within seven (7) business days of the </w:t>
      </w:r>
      <w:r>
        <w:rPr>
          <w:sz w:val="24"/>
          <w:szCs w:val="24"/>
        </w:rPr>
        <w:t xml:space="preserve">Enforcement </w:t>
      </w:r>
      <w:r w:rsidRPr="0070432D">
        <w:rPr>
          <w:sz w:val="24"/>
          <w:szCs w:val="24"/>
        </w:rPr>
        <w:t>Bureau’s receipt of the request.</w:t>
      </w:r>
      <w:r>
        <w:rPr>
          <w:sz w:val="24"/>
          <w:szCs w:val="24"/>
        </w:rPr>
        <w:t xml:space="preserve">  Requests involving a significant number of stations may require more time to process and requesters should take that into consideration in planning their requests.</w:t>
      </w:r>
    </w:p>
    <w:p w:rsidR="00D5664C" w:rsidRPr="0070432D" w:rsidP="00D5664C" w14:paraId="66A0BEBF" w14:textId="77777777">
      <w:pPr>
        <w:rPr>
          <w:sz w:val="24"/>
          <w:szCs w:val="24"/>
        </w:rPr>
      </w:pPr>
    </w:p>
    <w:p w:rsidR="00D5664C" w:rsidRPr="0070432D" w:rsidP="00D5664C" w14:paraId="3FC2A524" w14:textId="77777777">
      <w:pPr>
        <w:spacing w:line="238" w:lineRule="auto"/>
        <w:ind w:right="346" w:firstLine="648"/>
        <w:rPr>
          <w:sz w:val="24"/>
          <w:szCs w:val="24"/>
        </w:rPr>
      </w:pPr>
      <w:r w:rsidRPr="0070432D">
        <w:rPr>
          <w:sz w:val="24"/>
          <w:szCs w:val="24"/>
        </w:rPr>
        <w:t>For further information concerning this Public Notice, please contact Karen Richardson of the Enforcement Bureau, Investigations and Hearings Division, b</w:t>
      </w:r>
      <w:r>
        <w:rPr>
          <w:sz w:val="24"/>
          <w:szCs w:val="24"/>
        </w:rPr>
        <w:t>y</w:t>
      </w:r>
      <w:r w:rsidRPr="0070432D">
        <w:rPr>
          <w:sz w:val="24"/>
          <w:szCs w:val="24"/>
        </w:rPr>
        <w:t xml:space="preserve"> e-</w:t>
      </w:r>
      <w:r w:rsidRPr="003807C4">
        <w:rPr>
          <w:sz w:val="24"/>
          <w:szCs w:val="24"/>
        </w:rPr>
        <w:t xml:space="preserve">mail at: </w:t>
      </w:r>
      <w:hyperlink r:id="rId4" w:history="1">
        <w:r w:rsidRPr="00400EFA">
          <w:rPr>
            <w:rStyle w:val="Hyperlink"/>
            <w:sz w:val="24"/>
            <w:szCs w:val="24"/>
          </w:rPr>
          <w:t>holdsinfo@fcc.gov</w:t>
        </w:r>
      </w:hyperlink>
      <w:r w:rsidRPr="00400EFA">
        <w:rPr>
          <w:sz w:val="24"/>
          <w:szCs w:val="24"/>
        </w:rPr>
        <w:t>.</w:t>
      </w:r>
      <w:r>
        <w:t xml:space="preserve">  </w:t>
      </w:r>
    </w:p>
    <w:p w:rsidR="00D5664C" w:rsidRPr="0070432D" w:rsidP="00D5664C" w14:paraId="2946244E" w14:textId="77777777">
      <w:pPr>
        <w:spacing w:before="10"/>
        <w:rPr>
          <w:sz w:val="24"/>
          <w:szCs w:val="24"/>
        </w:rPr>
      </w:pPr>
    </w:p>
    <w:p w:rsidR="00D5664C" w:rsidP="00D5664C" w14:paraId="02EB9018" w14:textId="77777777">
      <w:pPr>
        <w:tabs>
          <w:tab w:val="left" w:pos="6470"/>
        </w:tabs>
        <w:spacing w:before="76"/>
        <w:ind w:firstLine="720"/>
        <w:rPr>
          <w:sz w:val="24"/>
          <w:szCs w:val="24"/>
        </w:rPr>
      </w:pPr>
      <w:r>
        <w:rPr>
          <w:sz w:val="24"/>
          <w:szCs w:val="24"/>
        </w:rPr>
        <w:t>By the Chief, Investigations and Hearings Division, Enforcement Bureau.</w:t>
      </w:r>
    </w:p>
    <w:p w:rsidR="00D5664C" w:rsidP="00D5664C" w14:paraId="22038E56" w14:textId="77777777">
      <w:pPr>
        <w:tabs>
          <w:tab w:val="left" w:pos="6470"/>
        </w:tabs>
        <w:spacing w:before="76"/>
        <w:ind w:firstLine="720"/>
        <w:rPr>
          <w:sz w:val="24"/>
          <w:szCs w:val="24"/>
        </w:rPr>
      </w:pPr>
    </w:p>
    <w:p w:rsidR="00D5664C" w:rsidRPr="0070432D" w:rsidP="00D5664C" w14:paraId="7D7833C3" w14:textId="77777777">
      <w:pPr>
        <w:tabs>
          <w:tab w:val="left" w:pos="6470"/>
        </w:tabs>
        <w:spacing w:before="76"/>
        <w:ind w:firstLine="720"/>
        <w:rPr>
          <w:sz w:val="24"/>
          <w:szCs w:val="24"/>
        </w:rPr>
      </w:pPr>
    </w:p>
    <w:p w:rsidR="00D5664C" w:rsidRPr="0070432D" w:rsidP="00D5664C" w14:paraId="0766AB5E" w14:textId="77777777">
      <w:pPr>
        <w:tabs>
          <w:tab w:val="left" w:pos="6470"/>
        </w:tabs>
        <w:spacing w:before="76"/>
        <w:jc w:val="center"/>
        <w:rPr>
          <w:sz w:val="24"/>
          <w:szCs w:val="24"/>
        </w:rPr>
      </w:pPr>
      <w:r w:rsidRPr="0070432D">
        <w:rPr>
          <w:sz w:val="24"/>
          <w:szCs w:val="24"/>
        </w:rPr>
        <w:t>-</w:t>
      </w:r>
      <w:r w:rsidRPr="0070432D">
        <w:rPr>
          <w:b/>
          <w:sz w:val="24"/>
          <w:szCs w:val="24"/>
        </w:rPr>
        <w:t>FCC</w:t>
      </w:r>
      <w:r w:rsidRPr="0070432D">
        <w:rPr>
          <w:sz w:val="24"/>
          <w:szCs w:val="24"/>
        </w:rPr>
        <w:t>-</w:t>
      </w:r>
    </w:p>
    <w:p w:rsidR="00D5664C" w:rsidP="00D5664C" w14:paraId="08C8DB71" w14:textId="77777777"/>
    <w:p w:rsidR="00930ECF" w:rsidRPr="00930ECF" w:rsidP="00F96F63" w14:paraId="1C972A90"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B3" w:rsidP="0055614C" w14:paraId="07196E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A35B3" w14:paraId="75AA55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B3" w:rsidP="00910F12" w14:paraId="17D1F6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B3" w14:paraId="6F0AC65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B3" w:rsidRPr="009838BC" w:rsidP="009838BC" w14:paraId="5FA5A6B7" w14:textId="17D3B28E">
    <w:pPr>
      <w:tabs>
        <w:tab w:val="center" w:pos="4680"/>
        <w:tab w:val="right" w:pos="9360"/>
      </w:tabs>
    </w:pPr>
    <w:r w:rsidRPr="009838BC">
      <w:rPr>
        <w:b/>
      </w:rPr>
      <w:tab/>
      <w:t>Federal Communications Commission</w:t>
    </w:r>
    <w:r w:rsidRPr="009838BC">
      <w:rPr>
        <w:b/>
      </w:rPr>
      <w:tab/>
    </w:r>
    <w:r w:rsidR="00B60255">
      <w:rPr>
        <w:b/>
      </w:rPr>
      <w:t>DA 20-328</w:t>
    </w:r>
  </w:p>
  <w:p w:rsidR="009A35B3" w:rsidRPr="009838BC" w:rsidP="009838BC" w14:paraId="70F9B0DD" w14:textId="5D57527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A35B3" w:rsidRPr="009838BC" w:rsidP="009838BC" w14:paraId="36030E3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5B3" w:rsidRPr="00A866AC" w:rsidP="009838BC" w14:paraId="4BFEFD1F" w14:textId="23995DD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35B3" w:rsidP="009838BC" w14:textId="77777777">
                          <w:pPr>
                            <w:rPr>
                              <w:rFonts w:ascii="Arial" w:hAnsi="Arial"/>
                              <w:b/>
                            </w:rPr>
                          </w:pPr>
                          <w:r>
                            <w:rPr>
                              <w:rFonts w:ascii="Arial" w:hAnsi="Arial"/>
                              <w:b/>
                            </w:rPr>
                            <w:t>Federal Communications Commission</w:t>
                          </w:r>
                        </w:p>
                        <w:p w:rsidR="009A35B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35B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A35B3" w:rsidP="009838BC" w14:paraId="7F815417" w14:textId="77777777">
                    <w:pPr>
                      <w:rPr>
                        <w:rFonts w:ascii="Arial" w:hAnsi="Arial"/>
                        <w:b/>
                      </w:rPr>
                    </w:pPr>
                    <w:r>
                      <w:rPr>
                        <w:rFonts w:ascii="Arial" w:hAnsi="Arial"/>
                        <w:b/>
                      </w:rPr>
                      <w:t>Federal Communications Commission</w:t>
                    </w:r>
                  </w:p>
                  <w:p w:rsidR="009A35B3" w:rsidP="009838BC" w14:paraId="1F8400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35B3" w:rsidP="009838BC" w14:paraId="262077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872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A35B3" w:rsidRPr="00357D50" w:rsidP="009838BC" w14:paraId="10416ED9" w14:textId="2340563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A35B3" w:rsidP="009838BC" w14:textId="77777777">
                          <w:pPr>
                            <w:spacing w:before="40"/>
                            <w:jc w:val="right"/>
                            <w:rPr>
                              <w:rFonts w:ascii="Arial" w:hAnsi="Arial"/>
                              <w:b/>
                              <w:sz w:val="16"/>
                            </w:rPr>
                          </w:pPr>
                          <w:r>
                            <w:rPr>
                              <w:rFonts w:ascii="Arial" w:hAnsi="Arial"/>
                              <w:b/>
                              <w:sz w:val="16"/>
                            </w:rPr>
                            <w:t>News Media Information 202 / 418-0500</w:t>
                          </w:r>
                        </w:p>
                        <w:p w:rsidR="009A35B3"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A35B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A35B3" w:rsidP="009838BC" w14:paraId="12706356" w14:textId="77777777">
                    <w:pPr>
                      <w:spacing w:before="40"/>
                      <w:jc w:val="right"/>
                      <w:rPr>
                        <w:rFonts w:ascii="Arial" w:hAnsi="Arial"/>
                        <w:b/>
                        <w:sz w:val="16"/>
                      </w:rPr>
                    </w:pPr>
                    <w:r>
                      <w:rPr>
                        <w:rFonts w:ascii="Arial" w:hAnsi="Arial"/>
                        <w:b/>
                        <w:sz w:val="16"/>
                      </w:rPr>
                      <w:t>News Media Information 202 / 418-0500</w:t>
                    </w:r>
                  </w:p>
                  <w:p w:rsidR="009A35B3" w:rsidP="009838BC" w14:paraId="7C9FA33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A35B3" w:rsidP="009838BC" w14:paraId="13459867" w14:textId="77777777">
                    <w:pPr>
                      <w:jc w:val="right"/>
                    </w:pPr>
                    <w:r>
                      <w:rPr>
                        <w:rFonts w:ascii="Arial" w:hAnsi="Arial"/>
                        <w:b/>
                        <w:sz w:val="16"/>
                      </w:rPr>
                      <w:t>TTY: 1-888-835-5322</w:t>
                    </w:r>
                  </w:p>
                </w:txbxContent>
              </v:textbox>
            </v:shape>
          </w:pict>
        </mc:Fallback>
      </mc:AlternateContent>
    </w:r>
  </w:p>
  <w:p w:rsidR="009A35B3" w:rsidRPr="009838BC" w:rsidP="009838BC" w14:paraId="3946337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FE7D01"/>
    <w:multiLevelType w:val="hybridMultilevel"/>
    <w:tmpl w:val="ADCAAFFC"/>
    <w:lvl w:ilvl="0">
      <w:start w:val="1"/>
      <w:numFmt w:val="decimal"/>
      <w:lvlText w:val="(%1)"/>
      <w:lvlJc w:val="left"/>
      <w:pPr>
        <w:ind w:left="2108" w:hanging="332"/>
      </w:pPr>
      <w:rPr>
        <w:rFonts w:ascii="Times New Roman" w:eastAsia="Times New Roman" w:hAnsi="Times New Roman" w:hint="default"/>
        <w:w w:val="103"/>
        <w:sz w:val="21"/>
        <w:szCs w:val="21"/>
      </w:rPr>
    </w:lvl>
    <w:lvl w:ilvl="1">
      <w:start w:val="1"/>
      <w:numFmt w:val="bullet"/>
      <w:lvlText w:val="•"/>
      <w:lvlJc w:val="left"/>
      <w:pPr>
        <w:ind w:left="2888" w:hanging="332"/>
      </w:pPr>
      <w:rPr>
        <w:rFonts w:hint="default"/>
      </w:rPr>
    </w:lvl>
    <w:lvl w:ilvl="2">
      <w:start w:val="1"/>
      <w:numFmt w:val="bullet"/>
      <w:lvlText w:val="•"/>
      <w:lvlJc w:val="left"/>
      <w:pPr>
        <w:ind w:left="3669" w:hanging="332"/>
      </w:pPr>
      <w:rPr>
        <w:rFonts w:hint="default"/>
      </w:rPr>
    </w:lvl>
    <w:lvl w:ilvl="3">
      <w:start w:val="1"/>
      <w:numFmt w:val="bullet"/>
      <w:lvlText w:val="•"/>
      <w:lvlJc w:val="left"/>
      <w:pPr>
        <w:ind w:left="4450" w:hanging="332"/>
      </w:pPr>
      <w:rPr>
        <w:rFonts w:hint="default"/>
      </w:rPr>
    </w:lvl>
    <w:lvl w:ilvl="4">
      <w:start w:val="1"/>
      <w:numFmt w:val="bullet"/>
      <w:lvlText w:val="•"/>
      <w:lvlJc w:val="left"/>
      <w:pPr>
        <w:ind w:left="5231" w:hanging="332"/>
      </w:pPr>
      <w:rPr>
        <w:rFonts w:hint="default"/>
      </w:rPr>
    </w:lvl>
    <w:lvl w:ilvl="5">
      <w:start w:val="1"/>
      <w:numFmt w:val="bullet"/>
      <w:lvlText w:val="•"/>
      <w:lvlJc w:val="left"/>
      <w:pPr>
        <w:ind w:left="6012" w:hanging="332"/>
      </w:pPr>
      <w:rPr>
        <w:rFonts w:hint="default"/>
      </w:rPr>
    </w:lvl>
    <w:lvl w:ilvl="6">
      <w:start w:val="1"/>
      <w:numFmt w:val="bullet"/>
      <w:lvlText w:val="•"/>
      <w:lvlJc w:val="left"/>
      <w:pPr>
        <w:ind w:left="6792" w:hanging="332"/>
      </w:pPr>
      <w:rPr>
        <w:rFonts w:hint="default"/>
      </w:rPr>
    </w:lvl>
    <w:lvl w:ilvl="7">
      <w:start w:val="1"/>
      <w:numFmt w:val="bullet"/>
      <w:lvlText w:val="•"/>
      <w:lvlJc w:val="left"/>
      <w:pPr>
        <w:ind w:left="7573" w:hanging="332"/>
      </w:pPr>
      <w:rPr>
        <w:rFonts w:hint="default"/>
      </w:rPr>
    </w:lvl>
    <w:lvl w:ilvl="8">
      <w:start w:val="1"/>
      <w:numFmt w:val="bullet"/>
      <w:lvlText w:val="•"/>
      <w:lvlJc w:val="left"/>
      <w:pPr>
        <w:ind w:left="8354" w:hanging="332"/>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807C4"/>
    <w:rsid w:val="003925DC"/>
    <w:rsid w:val="003B0550"/>
    <w:rsid w:val="003B694F"/>
    <w:rsid w:val="003E7391"/>
    <w:rsid w:val="003F171C"/>
    <w:rsid w:val="00400EFA"/>
    <w:rsid w:val="00412FC5"/>
    <w:rsid w:val="00422276"/>
    <w:rsid w:val="004242F1"/>
    <w:rsid w:val="00445A00"/>
    <w:rsid w:val="00451B0F"/>
    <w:rsid w:val="0046125F"/>
    <w:rsid w:val="00487524"/>
    <w:rsid w:val="00496106"/>
    <w:rsid w:val="004C12D0"/>
    <w:rsid w:val="004C2EE3"/>
    <w:rsid w:val="004C3B46"/>
    <w:rsid w:val="004E4A22"/>
    <w:rsid w:val="00511968"/>
    <w:rsid w:val="0055614C"/>
    <w:rsid w:val="005C06D5"/>
    <w:rsid w:val="00607BA5"/>
    <w:rsid w:val="00622195"/>
    <w:rsid w:val="00626EB6"/>
    <w:rsid w:val="006353A3"/>
    <w:rsid w:val="006524C6"/>
    <w:rsid w:val="00655D03"/>
    <w:rsid w:val="00683F84"/>
    <w:rsid w:val="006A6A81"/>
    <w:rsid w:val="006E26AF"/>
    <w:rsid w:val="006F7393"/>
    <w:rsid w:val="0070224F"/>
    <w:rsid w:val="0070432D"/>
    <w:rsid w:val="007115F7"/>
    <w:rsid w:val="00785689"/>
    <w:rsid w:val="0079754B"/>
    <w:rsid w:val="007A1E6D"/>
    <w:rsid w:val="00822CE0"/>
    <w:rsid w:val="00837C62"/>
    <w:rsid w:val="00841AB1"/>
    <w:rsid w:val="008C22FD"/>
    <w:rsid w:val="00910F12"/>
    <w:rsid w:val="00926503"/>
    <w:rsid w:val="00930ECF"/>
    <w:rsid w:val="009838BC"/>
    <w:rsid w:val="009A35B3"/>
    <w:rsid w:val="00A45F4F"/>
    <w:rsid w:val="00A600A9"/>
    <w:rsid w:val="00A866AC"/>
    <w:rsid w:val="00AA55B7"/>
    <w:rsid w:val="00AA5B9E"/>
    <w:rsid w:val="00AB2407"/>
    <w:rsid w:val="00AB53DF"/>
    <w:rsid w:val="00AC3BFA"/>
    <w:rsid w:val="00B07E5C"/>
    <w:rsid w:val="00B20363"/>
    <w:rsid w:val="00B326E3"/>
    <w:rsid w:val="00B60255"/>
    <w:rsid w:val="00B811F7"/>
    <w:rsid w:val="00BA5DC6"/>
    <w:rsid w:val="00BA6196"/>
    <w:rsid w:val="00BC6D8C"/>
    <w:rsid w:val="00C16AF2"/>
    <w:rsid w:val="00C34006"/>
    <w:rsid w:val="00C426B1"/>
    <w:rsid w:val="00C82B6B"/>
    <w:rsid w:val="00C90D6A"/>
    <w:rsid w:val="00CC72B6"/>
    <w:rsid w:val="00D0218D"/>
    <w:rsid w:val="00D1366F"/>
    <w:rsid w:val="00D216CD"/>
    <w:rsid w:val="00D5664C"/>
    <w:rsid w:val="00DA2529"/>
    <w:rsid w:val="00DB130A"/>
    <w:rsid w:val="00DC10A1"/>
    <w:rsid w:val="00DC655F"/>
    <w:rsid w:val="00DD7EBD"/>
    <w:rsid w:val="00DF62B6"/>
    <w:rsid w:val="00E07225"/>
    <w:rsid w:val="00E155B7"/>
    <w:rsid w:val="00E5409F"/>
    <w:rsid w:val="00EC0185"/>
    <w:rsid w:val="00F021FA"/>
    <w:rsid w:val="00F03D31"/>
    <w:rsid w:val="00F37264"/>
    <w:rsid w:val="00F51509"/>
    <w:rsid w:val="00F57ACA"/>
    <w:rsid w:val="00F62E97"/>
    <w:rsid w:val="00F64209"/>
    <w:rsid w:val="00F93BF5"/>
    <w:rsid w:val="00F96F63"/>
    <w:rsid w:val="00FD3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E03842-647A-4377-8487-ABE02C5E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56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64C"/>
    <w:rPr>
      <w:rFonts w:ascii="Segoe UI" w:hAnsi="Segoe UI" w:cs="Segoe UI"/>
      <w:snapToGrid w:val="0"/>
      <w:kern w:val="28"/>
      <w:sz w:val="18"/>
      <w:szCs w:val="18"/>
    </w:rPr>
  </w:style>
  <w:style w:type="character" w:styleId="CommentReference">
    <w:name w:val="annotation reference"/>
    <w:uiPriority w:val="99"/>
    <w:semiHidden/>
    <w:unhideWhenUsed/>
    <w:rsid w:val="00D5664C"/>
    <w:rPr>
      <w:sz w:val="16"/>
      <w:szCs w:val="16"/>
    </w:rPr>
  </w:style>
  <w:style w:type="paragraph" w:styleId="CommentText">
    <w:name w:val="annotation text"/>
    <w:basedOn w:val="Normal"/>
    <w:link w:val="CommentTextChar"/>
    <w:uiPriority w:val="99"/>
    <w:semiHidden/>
    <w:unhideWhenUsed/>
    <w:rsid w:val="00D5664C"/>
    <w:rPr>
      <w:rFonts w:ascii="Calibri" w:eastAsia="Calibri" w:hAnsi="Calibri"/>
      <w:snapToGrid/>
      <w:kern w:val="0"/>
      <w:sz w:val="20"/>
    </w:rPr>
  </w:style>
  <w:style w:type="character" w:customStyle="1" w:styleId="CommentTextChar">
    <w:name w:val="Comment Text Char"/>
    <w:basedOn w:val="DefaultParagraphFont"/>
    <w:link w:val="CommentText"/>
    <w:uiPriority w:val="99"/>
    <w:semiHidden/>
    <w:rsid w:val="00D5664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51509"/>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uiPriority w:val="99"/>
    <w:semiHidden/>
    <w:rsid w:val="00F51509"/>
    <w:rPr>
      <w:rFonts w:ascii="Calibri" w:eastAsia="Calibri" w:hAnsi="Calibri"/>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holdsinfo@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