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33BB8" w:rsidP="007705CB" w14:paraId="021DA561" w14:textId="77777777">
      <w:pPr>
        <w:rPr>
          <w:b/>
        </w:rPr>
      </w:pPr>
    </w:p>
    <w:p w:rsidR="00286950" w:rsidRPr="003D274A" w:rsidP="00286950" w14:paraId="39382CD5" w14:textId="032D763D">
      <w:pPr>
        <w:jc w:val="center"/>
        <w:rPr>
          <w:b/>
        </w:rPr>
      </w:pPr>
      <w:r w:rsidRPr="003D274A">
        <w:rPr>
          <w:b/>
        </w:rPr>
        <w:t>Before the</w:t>
      </w:r>
    </w:p>
    <w:p w:rsidR="00286950" w:rsidRPr="003D274A" w:rsidP="00286950" w14:paraId="3B1CA844" w14:textId="77777777">
      <w:pPr>
        <w:pStyle w:val="StyleBoldCentered"/>
      </w:pPr>
      <w:r w:rsidRPr="003D274A">
        <w:t>F</w:t>
      </w:r>
      <w:r w:rsidRPr="003D274A">
        <w:rPr>
          <w:caps w:val="0"/>
        </w:rPr>
        <w:t>ederal Communications Commission</w:t>
      </w:r>
    </w:p>
    <w:p w:rsidR="00286950" w:rsidRPr="003D274A" w:rsidP="00286950" w14:paraId="55701E15" w14:textId="506E88FE">
      <w:pPr>
        <w:pStyle w:val="StyleBoldCentered"/>
      </w:pPr>
      <w:r w:rsidRPr="003D274A">
        <w:rPr>
          <w:caps w:val="0"/>
        </w:rPr>
        <w:t>Washington, DC 20554</w:t>
      </w:r>
    </w:p>
    <w:p w:rsidR="00286950" w:rsidRPr="003D274A" w:rsidP="00286950" w14:paraId="493EDC40" w14:textId="77777777"/>
    <w:p w:rsidR="00286950" w:rsidRPr="003D274A" w:rsidP="00286950" w14:paraId="0B946E2D" w14:textId="77777777"/>
    <w:tbl>
      <w:tblPr>
        <w:tblW w:w="0" w:type="auto"/>
        <w:tblLayout w:type="fixed"/>
        <w:tblLook w:val="0000"/>
      </w:tblPr>
      <w:tblGrid>
        <w:gridCol w:w="4698"/>
        <w:gridCol w:w="630"/>
        <w:gridCol w:w="4248"/>
      </w:tblGrid>
      <w:tr w14:paraId="54CF2C6B" w14:textId="77777777" w:rsidTr="002E4F77">
        <w:tblPrEx>
          <w:tblW w:w="0" w:type="auto"/>
          <w:tblLayout w:type="fixed"/>
          <w:tblLook w:val="0000"/>
        </w:tblPrEx>
        <w:tc>
          <w:tcPr>
            <w:tcW w:w="4698" w:type="dxa"/>
          </w:tcPr>
          <w:p w:rsidR="00286950" w:rsidRPr="003D274A" w:rsidP="002E4F77" w14:paraId="58536F8A" w14:textId="77777777">
            <w:pPr>
              <w:tabs>
                <w:tab w:val="center" w:pos="4680"/>
              </w:tabs>
              <w:suppressAutoHyphens/>
              <w:rPr>
                <w:spacing w:val="-2"/>
              </w:rPr>
            </w:pPr>
          </w:p>
          <w:p w:rsidR="00286950" w:rsidRPr="003D274A" w:rsidP="002E4F77" w14:paraId="13EAEE02" w14:textId="77777777">
            <w:pPr>
              <w:tabs>
                <w:tab w:val="center" w:pos="4680"/>
              </w:tabs>
              <w:suppressAutoHyphens/>
              <w:rPr>
                <w:spacing w:val="-2"/>
              </w:rPr>
            </w:pPr>
            <w:r w:rsidRPr="003D274A">
              <w:rPr>
                <w:spacing w:val="-2"/>
              </w:rPr>
              <w:t>In the Matter of</w:t>
            </w:r>
          </w:p>
          <w:p w:rsidR="00286950" w:rsidRPr="003D274A" w:rsidP="002E4F77" w14:paraId="36B97348" w14:textId="77777777">
            <w:pPr>
              <w:tabs>
                <w:tab w:val="center" w:pos="4680"/>
              </w:tabs>
              <w:suppressAutoHyphens/>
              <w:rPr>
                <w:spacing w:val="-2"/>
              </w:rPr>
            </w:pPr>
          </w:p>
          <w:p w:rsidR="00286950" w:rsidRPr="003D274A" w:rsidP="002E4F77" w14:paraId="21C89DF8" w14:textId="2E11C330">
            <w:pPr>
              <w:tabs>
                <w:tab w:val="center" w:pos="4680"/>
              </w:tabs>
              <w:suppressAutoHyphens/>
              <w:rPr>
                <w:spacing w:val="-2"/>
              </w:rPr>
            </w:pPr>
            <w:r w:rsidRPr="003D274A">
              <w:t>Westfield Gas and Electric</w:t>
            </w:r>
            <w:r w:rsidR="00BA11C3">
              <w:t xml:space="preserve"> Light Department</w:t>
            </w:r>
          </w:p>
          <w:p w:rsidR="00286950" w:rsidRPr="003D274A" w:rsidP="002E4F77" w14:paraId="2860F2B6" w14:textId="562391DD">
            <w:pPr>
              <w:tabs>
                <w:tab w:val="center" w:pos="4680"/>
              </w:tabs>
              <w:suppressAutoHyphens/>
              <w:rPr>
                <w:spacing w:val="-2"/>
              </w:rPr>
            </w:pPr>
          </w:p>
          <w:p w:rsidR="006E14F6" w:rsidRPr="003D274A" w:rsidP="002E4F77" w14:paraId="2D9FBA41" w14:textId="37082EBD">
            <w:pPr>
              <w:tabs>
                <w:tab w:val="center" w:pos="4680"/>
              </w:tabs>
              <w:suppressAutoHyphens/>
              <w:rPr>
                <w:spacing w:val="-2"/>
              </w:rPr>
            </w:pPr>
            <w:r w:rsidRPr="003D274A">
              <w:rPr>
                <w:spacing w:val="-2"/>
              </w:rPr>
              <w:t xml:space="preserve">Applicant for Phase II Connect America Fund  </w:t>
            </w:r>
          </w:p>
          <w:p w:rsidR="00286950" w:rsidRPr="003D274A" w:rsidP="002E4F77" w14:paraId="2A4BEBC3" w14:textId="3A7509DD">
            <w:pPr>
              <w:tabs>
                <w:tab w:val="center" w:pos="4680"/>
              </w:tabs>
              <w:suppressAutoHyphens/>
              <w:rPr>
                <w:spacing w:val="-2"/>
              </w:rPr>
            </w:pPr>
          </w:p>
        </w:tc>
        <w:tc>
          <w:tcPr>
            <w:tcW w:w="630" w:type="dxa"/>
          </w:tcPr>
          <w:p w:rsidR="00286950" w:rsidRPr="003D274A" w:rsidP="002E4F77" w14:paraId="3DA061CB" w14:textId="77777777">
            <w:pPr>
              <w:tabs>
                <w:tab w:val="center" w:pos="4680"/>
              </w:tabs>
              <w:suppressAutoHyphens/>
              <w:rPr>
                <w:b/>
                <w:spacing w:val="-2"/>
              </w:rPr>
            </w:pPr>
            <w:r w:rsidRPr="003D274A">
              <w:rPr>
                <w:b/>
                <w:spacing w:val="-2"/>
              </w:rPr>
              <w:t>)</w:t>
            </w:r>
          </w:p>
          <w:p w:rsidR="00286950" w:rsidRPr="003D274A" w:rsidP="002E4F77" w14:paraId="4CD48D4D" w14:textId="77777777">
            <w:pPr>
              <w:tabs>
                <w:tab w:val="center" w:pos="4680"/>
              </w:tabs>
              <w:suppressAutoHyphens/>
              <w:rPr>
                <w:b/>
                <w:spacing w:val="-2"/>
              </w:rPr>
            </w:pPr>
            <w:r w:rsidRPr="003D274A">
              <w:rPr>
                <w:b/>
                <w:spacing w:val="-2"/>
              </w:rPr>
              <w:t>)</w:t>
            </w:r>
          </w:p>
          <w:p w:rsidR="00286950" w:rsidRPr="003D274A" w:rsidP="002E4F77" w14:paraId="113D93AC" w14:textId="77777777">
            <w:pPr>
              <w:tabs>
                <w:tab w:val="center" w:pos="4680"/>
              </w:tabs>
              <w:suppressAutoHyphens/>
              <w:rPr>
                <w:b/>
                <w:spacing w:val="-2"/>
              </w:rPr>
            </w:pPr>
            <w:r w:rsidRPr="003D274A">
              <w:rPr>
                <w:b/>
                <w:spacing w:val="-2"/>
              </w:rPr>
              <w:t>)</w:t>
            </w:r>
          </w:p>
          <w:p w:rsidR="00286950" w:rsidRPr="003D274A" w:rsidP="002E4F77" w14:paraId="0256F904" w14:textId="77777777">
            <w:pPr>
              <w:tabs>
                <w:tab w:val="center" w:pos="4680"/>
              </w:tabs>
              <w:suppressAutoHyphens/>
              <w:rPr>
                <w:b/>
                <w:spacing w:val="-2"/>
              </w:rPr>
            </w:pPr>
            <w:r w:rsidRPr="003D274A">
              <w:rPr>
                <w:b/>
                <w:spacing w:val="-2"/>
              </w:rPr>
              <w:t>)</w:t>
            </w:r>
          </w:p>
          <w:p w:rsidR="00286950" w:rsidRPr="003D274A" w:rsidP="002E4F77" w14:paraId="5D9BC586" w14:textId="77777777">
            <w:pPr>
              <w:tabs>
                <w:tab w:val="center" w:pos="4680"/>
              </w:tabs>
              <w:suppressAutoHyphens/>
              <w:rPr>
                <w:b/>
                <w:spacing w:val="-2"/>
              </w:rPr>
            </w:pPr>
            <w:r w:rsidRPr="003D274A">
              <w:rPr>
                <w:b/>
                <w:spacing w:val="-2"/>
              </w:rPr>
              <w:t>)</w:t>
            </w:r>
          </w:p>
          <w:p w:rsidR="00286950" w:rsidRPr="003D274A" w:rsidP="002E4F77" w14:paraId="3BF592EE" w14:textId="77777777">
            <w:pPr>
              <w:tabs>
                <w:tab w:val="center" w:pos="4680"/>
              </w:tabs>
              <w:suppressAutoHyphens/>
              <w:rPr>
                <w:b/>
                <w:spacing w:val="-2"/>
              </w:rPr>
            </w:pPr>
            <w:r w:rsidRPr="003D274A">
              <w:rPr>
                <w:b/>
                <w:spacing w:val="-2"/>
              </w:rPr>
              <w:t>)</w:t>
            </w:r>
          </w:p>
          <w:p w:rsidR="00286950" w:rsidRPr="003D274A" w:rsidP="002E4F77" w14:paraId="7AA57746" w14:textId="2679785E">
            <w:pPr>
              <w:tabs>
                <w:tab w:val="center" w:pos="4680"/>
              </w:tabs>
              <w:suppressAutoHyphens/>
              <w:rPr>
                <w:b/>
                <w:spacing w:val="-2"/>
              </w:rPr>
            </w:pPr>
            <w:r w:rsidRPr="003D274A">
              <w:rPr>
                <w:b/>
                <w:spacing w:val="-2"/>
              </w:rPr>
              <w:t>)</w:t>
            </w:r>
            <w:r w:rsidRPr="003D274A">
              <w:rPr>
                <w:b/>
                <w:spacing w:val="-2"/>
              </w:rPr>
              <w:br/>
              <w:t>)</w:t>
            </w:r>
          </w:p>
        </w:tc>
        <w:tc>
          <w:tcPr>
            <w:tcW w:w="4248" w:type="dxa"/>
          </w:tcPr>
          <w:p w:rsidR="00286950" w:rsidRPr="003D274A" w:rsidP="002E4F77" w14:paraId="38DDC226" w14:textId="77777777">
            <w:pPr>
              <w:tabs>
                <w:tab w:val="center" w:pos="4680"/>
              </w:tabs>
              <w:suppressAutoHyphens/>
              <w:rPr>
                <w:spacing w:val="-2"/>
                <w:lang w:val="es-UY"/>
              </w:rPr>
            </w:pPr>
          </w:p>
          <w:p w:rsidR="00286950" w:rsidRPr="003D274A" w:rsidP="002E4F77" w14:paraId="2E6E0040" w14:textId="77777777">
            <w:pPr>
              <w:tabs>
                <w:tab w:val="center" w:pos="4680"/>
              </w:tabs>
              <w:suppressAutoHyphens/>
              <w:rPr>
                <w:spacing w:val="-2"/>
                <w:lang w:val="es-UY"/>
              </w:rPr>
            </w:pPr>
          </w:p>
          <w:p w:rsidR="00286950" w:rsidRPr="003D274A" w:rsidP="002E4F77" w14:paraId="4D0C65ED" w14:textId="77777777">
            <w:pPr>
              <w:tabs>
                <w:tab w:val="center" w:pos="4680"/>
              </w:tabs>
              <w:suppressAutoHyphens/>
              <w:rPr>
                <w:spacing w:val="-2"/>
                <w:lang w:val="es-UY"/>
              </w:rPr>
            </w:pPr>
          </w:p>
          <w:p w:rsidR="00286950" w:rsidRPr="003D274A" w:rsidP="002E4F77" w14:paraId="6FAF044B" w14:textId="6573177F">
            <w:pPr>
              <w:tabs>
                <w:tab w:val="center" w:pos="4680"/>
              </w:tabs>
              <w:suppressAutoHyphens/>
              <w:rPr>
                <w:lang w:val="es-UY"/>
              </w:rPr>
            </w:pPr>
            <w:r w:rsidRPr="003D274A">
              <w:rPr>
                <w:lang w:val="es-UY"/>
              </w:rPr>
              <w:t xml:space="preserve">File No. </w:t>
            </w:r>
            <w:r w:rsidRPr="003D274A" w:rsidR="00BA7AA5">
              <w:rPr>
                <w:lang w:val="es-UY"/>
              </w:rPr>
              <w:t>EB-IHD-20-</w:t>
            </w:r>
            <w:r w:rsidR="00ED6D50">
              <w:rPr>
                <w:lang w:val="es-UY"/>
              </w:rPr>
              <w:t>00030631</w:t>
            </w:r>
          </w:p>
          <w:p w:rsidR="008022EF" w:rsidRPr="003D274A" w:rsidP="008022EF" w14:paraId="48894359" w14:textId="77777777">
            <w:pPr>
              <w:tabs>
                <w:tab w:val="center" w:pos="4680"/>
              </w:tabs>
              <w:suppressAutoHyphens/>
              <w:rPr>
                <w:spacing w:val="-2"/>
              </w:rPr>
            </w:pPr>
            <w:r w:rsidRPr="003D274A">
              <w:rPr>
                <w:spacing w:val="-2"/>
                <w:lang w:val="es-UY"/>
              </w:rPr>
              <w:t>NAL</w:t>
            </w:r>
            <w:r w:rsidRPr="003D274A">
              <w:rPr>
                <w:spacing w:val="-2"/>
                <w:lang w:val="es-UY"/>
              </w:rPr>
              <w:t>/</w:t>
            </w:r>
            <w:r w:rsidRPr="003D274A">
              <w:rPr>
                <w:spacing w:val="-2"/>
                <w:lang w:val="es-UY"/>
              </w:rPr>
              <w:t>Acct</w:t>
            </w:r>
            <w:r w:rsidRPr="003D274A">
              <w:rPr>
                <w:spacing w:val="-2"/>
                <w:lang w:val="es-UY"/>
              </w:rPr>
              <w:t xml:space="preserve">. No. </w:t>
            </w:r>
            <w:r w:rsidRPr="00077625">
              <w:rPr>
                <w:spacing w:val="-2"/>
              </w:rPr>
              <w:t>202032080023</w:t>
            </w:r>
          </w:p>
          <w:p w:rsidR="008022EF" w:rsidP="002E4F77" w14:paraId="4B2AEB14" w14:textId="2B3D9531">
            <w:pPr>
              <w:tabs>
                <w:tab w:val="center" w:pos="4680"/>
              </w:tabs>
              <w:suppressAutoHyphens/>
              <w:rPr>
                <w:spacing w:val="-2"/>
                <w:lang w:val="es-UY"/>
              </w:rPr>
            </w:pPr>
            <w:r w:rsidRPr="003D274A">
              <w:rPr>
                <w:spacing w:val="-2"/>
                <w:lang w:val="es-UY"/>
              </w:rPr>
              <w:t>FRN</w:t>
            </w:r>
            <w:r w:rsidRPr="003D274A">
              <w:rPr>
                <w:spacing w:val="-2"/>
                <w:lang w:val="es-UY"/>
              </w:rPr>
              <w:t xml:space="preserve"> No. 0010568673</w:t>
            </w:r>
          </w:p>
          <w:p w:rsidR="00286950" w:rsidRPr="003D274A" w:rsidP="002E4F77" w14:paraId="2844B13A" w14:textId="50B42D60">
            <w:pPr>
              <w:tabs>
                <w:tab w:val="center" w:pos="4680"/>
              </w:tabs>
              <w:suppressAutoHyphens/>
              <w:rPr>
                <w:spacing w:val="-2"/>
                <w:lang w:val="es-UY"/>
              </w:rPr>
            </w:pPr>
          </w:p>
          <w:p w:rsidR="00286950" w:rsidRPr="003D274A" w:rsidP="002E4F77" w14:paraId="6E4FBAD6" w14:textId="77777777">
            <w:pPr>
              <w:tabs>
                <w:tab w:val="center" w:pos="4680"/>
              </w:tabs>
              <w:suppressAutoHyphens/>
              <w:rPr>
                <w:spacing w:val="-2"/>
                <w:lang w:val="es-UY"/>
              </w:rPr>
            </w:pPr>
          </w:p>
          <w:p w:rsidR="00286950" w:rsidRPr="003D274A" w:rsidP="002E4F77" w14:paraId="03BF8980" w14:textId="77777777">
            <w:pPr>
              <w:tabs>
                <w:tab w:val="center" w:pos="4680"/>
              </w:tabs>
              <w:suppressAutoHyphens/>
              <w:rPr>
                <w:spacing w:val="-2"/>
                <w:lang w:val="es-UY"/>
              </w:rPr>
            </w:pPr>
          </w:p>
          <w:p w:rsidR="00286950" w:rsidRPr="003D274A" w:rsidP="002E4F77" w14:paraId="3FD1AC38" w14:textId="77777777">
            <w:pPr>
              <w:pStyle w:val="TOAHeading"/>
              <w:tabs>
                <w:tab w:val="center" w:pos="4680"/>
                <w:tab w:val="clear" w:pos="9360"/>
              </w:tabs>
              <w:rPr>
                <w:spacing w:val="-2"/>
              </w:rPr>
            </w:pPr>
          </w:p>
          <w:p w:rsidR="00286950" w:rsidRPr="003D274A" w:rsidP="002E4F77" w14:paraId="69C8BB87" w14:textId="77777777">
            <w:pPr>
              <w:tabs>
                <w:tab w:val="center" w:pos="4680"/>
              </w:tabs>
              <w:suppressAutoHyphens/>
              <w:rPr>
                <w:spacing w:val="-2"/>
              </w:rPr>
            </w:pPr>
          </w:p>
        </w:tc>
      </w:tr>
    </w:tbl>
    <w:p w:rsidR="00286950" w:rsidRPr="003D274A" w:rsidP="00286950" w14:paraId="1CA83A2C" w14:textId="77777777">
      <w:pPr>
        <w:pStyle w:val="StyleBoldCentered"/>
        <w:rPr>
          <w:rFonts w:ascii="Times New Roman" w:hAnsi="Times New Roman"/>
        </w:rPr>
      </w:pPr>
      <w:r w:rsidRPr="003D274A">
        <w:rPr>
          <w:rFonts w:ascii="Times New Roman" w:hAnsi="Times New Roman"/>
        </w:rPr>
        <w:t>NOTICE OF APPARENT LIABILITY FOR FORFEITURE</w:t>
      </w:r>
    </w:p>
    <w:p w:rsidR="00286950" w:rsidRPr="003D274A" w:rsidP="00286950" w14:paraId="7CCC5CB5" w14:textId="77777777">
      <w:pPr>
        <w:pStyle w:val="StyleBoldCentered"/>
        <w:rPr>
          <w:rFonts w:ascii="Times New Roman" w:hAnsi="Times New Roman"/>
        </w:rPr>
      </w:pPr>
    </w:p>
    <w:p w:rsidR="00286950" w:rsidRPr="003D274A" w:rsidP="00286950" w14:paraId="470D8AD5" w14:textId="77777777">
      <w:pPr>
        <w:tabs>
          <w:tab w:val="left" w:pos="-720"/>
        </w:tabs>
        <w:suppressAutoHyphens/>
        <w:spacing w:line="227" w:lineRule="auto"/>
        <w:rPr>
          <w:spacing w:val="-2"/>
        </w:rPr>
      </w:pPr>
    </w:p>
    <w:p w:rsidR="00286950" w:rsidRPr="003D274A" w:rsidP="00286950" w14:paraId="6D93E99D" w14:textId="417F0788">
      <w:pPr>
        <w:tabs>
          <w:tab w:val="left" w:pos="204"/>
          <w:tab w:val="left" w:pos="720"/>
          <w:tab w:val="left" w:pos="5760"/>
        </w:tabs>
        <w:suppressAutoHyphens/>
        <w:spacing w:line="227" w:lineRule="auto"/>
        <w:rPr>
          <w:spacing w:val="-2"/>
        </w:rPr>
      </w:pPr>
      <w:r w:rsidRPr="003D274A">
        <w:rPr>
          <w:b/>
          <w:spacing w:val="-2"/>
        </w:rPr>
        <w:t xml:space="preserve">Adopted:  </w:t>
      </w:r>
      <w:r w:rsidR="008022EF">
        <w:rPr>
          <w:b/>
          <w:spacing w:val="-2"/>
        </w:rPr>
        <w:t>May 6, 2020</w:t>
      </w:r>
      <w:r w:rsidRPr="003D274A">
        <w:rPr>
          <w:b/>
          <w:spacing w:val="-2"/>
        </w:rPr>
        <w:tab/>
      </w:r>
      <w:r w:rsidRPr="003D274A">
        <w:rPr>
          <w:b/>
          <w:spacing w:val="-2"/>
        </w:rPr>
        <w:tab/>
        <w:t xml:space="preserve">Released: </w:t>
      </w:r>
      <w:r w:rsidR="009F2849">
        <w:rPr>
          <w:b/>
          <w:spacing w:val="-2"/>
        </w:rPr>
        <w:t>May</w:t>
      </w:r>
      <w:r w:rsidRPr="003D274A">
        <w:rPr>
          <w:b/>
          <w:spacing w:val="-2"/>
        </w:rPr>
        <w:t xml:space="preserve"> </w:t>
      </w:r>
      <w:r w:rsidR="008022EF">
        <w:rPr>
          <w:b/>
          <w:spacing w:val="-2"/>
        </w:rPr>
        <w:t>6</w:t>
      </w:r>
      <w:r w:rsidRPr="003D274A">
        <w:rPr>
          <w:b/>
          <w:spacing w:val="-2"/>
        </w:rPr>
        <w:t xml:space="preserve">, </w:t>
      </w:r>
      <w:r w:rsidRPr="003D274A" w:rsidR="006E14F6">
        <w:rPr>
          <w:b/>
          <w:spacing w:val="-2"/>
        </w:rPr>
        <w:t>2020</w:t>
      </w:r>
    </w:p>
    <w:p w:rsidR="00286950" w:rsidRPr="003D274A" w:rsidP="00286950" w14:paraId="5E761CE0" w14:textId="77777777"/>
    <w:p w:rsidR="00286950" w:rsidRPr="003D274A" w:rsidP="00286950" w14:paraId="743EAC7E" w14:textId="77777777">
      <w:pPr>
        <w:rPr>
          <w:spacing w:val="-2"/>
        </w:rPr>
      </w:pPr>
      <w:r w:rsidRPr="003D274A">
        <w:t>By the Chief, Enforcement Bureau</w:t>
      </w:r>
      <w:r w:rsidRPr="003D274A">
        <w:rPr>
          <w:spacing w:val="-2"/>
        </w:rPr>
        <w:t>:</w:t>
      </w:r>
    </w:p>
    <w:p w:rsidR="00286950" w:rsidRPr="003D274A" w:rsidP="00286950" w14:paraId="236C45ED" w14:textId="77777777"/>
    <w:p w:rsidR="00286950" w:rsidRPr="003D274A" w:rsidP="00286950" w14:paraId="0BC35B29" w14:textId="77777777">
      <w:pPr>
        <w:pStyle w:val="Heading1"/>
        <w:rPr>
          <w:rFonts w:ascii="Times New Roman" w:hAnsi="Times New Roman"/>
        </w:rPr>
      </w:pPr>
      <w:r w:rsidRPr="003D274A">
        <w:rPr>
          <w:rFonts w:ascii="Times New Roman" w:hAnsi="Times New Roman"/>
        </w:rPr>
        <w:t>Introduction</w:t>
      </w:r>
    </w:p>
    <w:p w:rsidR="00286950" w:rsidRPr="003D274A" w:rsidP="00286950" w14:paraId="608CE100" w14:textId="0868289E">
      <w:pPr>
        <w:pStyle w:val="ParaNum"/>
        <w:spacing w:after="240"/>
      </w:pPr>
      <w:r w:rsidRPr="003D274A">
        <w:rPr>
          <w:shd w:val="clear" w:color="auto" w:fill="FFFFFF"/>
        </w:rPr>
        <w:t>The Connect America Fund (CAF) Phase II (CAF-II)</w:t>
      </w:r>
      <w:r w:rsidRPr="003D274A">
        <w:rPr>
          <w:rStyle w:val="FootnoteReference"/>
          <w:shd w:val="clear" w:color="auto" w:fill="FFFFFF"/>
        </w:rPr>
        <w:t xml:space="preserve"> </w:t>
      </w:r>
      <w:r>
        <w:rPr>
          <w:rStyle w:val="FootnoteReference"/>
          <w:shd w:val="clear" w:color="auto" w:fill="FFFFFF"/>
        </w:rPr>
        <w:footnoteReference w:id="3"/>
      </w:r>
      <w:r w:rsidRPr="003D274A">
        <w:rPr>
          <w:shd w:val="clear" w:color="auto" w:fill="FFFFFF"/>
        </w:rPr>
        <w:t xml:space="preserve"> Auction (Auction 903) </w:t>
      </w:r>
      <w:r w:rsidRPr="003D274A">
        <w:t xml:space="preserve">was conducted to award financial support to service providers who committed to increasing broadband services in areas of great need.  The Federal Communications Commission (FCC or Commission) took steps to protect the integrity and proper functioning of Auction 903 by advising auction participants to diligently prepare to meet all auction requirements and by establishing a penalty for default.  </w:t>
      </w:r>
      <w:r w:rsidRPr="003D274A" w:rsidR="00BC1C47">
        <w:t xml:space="preserve">Westfield Gas and Electric </w:t>
      </w:r>
      <w:r w:rsidR="00BA11C3">
        <w:t xml:space="preserve">Light Department </w:t>
      </w:r>
      <w:r w:rsidRPr="003D274A" w:rsidR="00BC1C47">
        <w:t>(Westfield</w:t>
      </w:r>
      <w:r w:rsidRPr="003D274A">
        <w:t xml:space="preserve"> or Company)</w:t>
      </w:r>
      <w:bookmarkStart w:id="0" w:name="_Hlk15649741"/>
      <w:r>
        <w:rPr>
          <w:rStyle w:val="FootnoteReference"/>
        </w:rPr>
        <w:footnoteReference w:id="4"/>
      </w:r>
      <w:bookmarkEnd w:id="0"/>
      <w:r w:rsidRPr="003D274A" w:rsidR="007F6B9D">
        <w:t xml:space="preserve"> </w:t>
      </w:r>
      <w:r w:rsidRPr="003D274A">
        <w:t>was a winning bidder in Auction 903, but withdrew its application for support before receiving its award.  By defaulting on</w:t>
      </w:r>
      <w:r w:rsidRPr="003D274A" w:rsidR="00FE10A4">
        <w:t xml:space="preserve"> one of</w:t>
      </w:r>
      <w:r w:rsidRPr="003D274A">
        <w:t xml:space="preserve"> its winning bids, the Company hindered the disbursement of funds that could have otherwise been productively used to increase broadband access to unserved or underserved areas.  Accordingly, we propose a penalty of $</w:t>
      </w:r>
      <w:r w:rsidRPr="003D274A" w:rsidR="00FE10A4">
        <w:t>3</w:t>
      </w:r>
      <w:r w:rsidRPr="003D274A">
        <w:t>,000</w:t>
      </w:r>
      <w:r w:rsidRPr="003D274A" w:rsidR="00FE10A4">
        <w:t xml:space="preserve"> </w:t>
      </w:r>
      <w:r w:rsidRPr="003D274A">
        <w:t xml:space="preserve">on the Company for </w:t>
      </w:r>
      <w:r w:rsidRPr="003D274A" w:rsidR="00876186">
        <w:t xml:space="preserve">apparently </w:t>
      </w:r>
      <w:r w:rsidRPr="003D274A">
        <w:t xml:space="preserve">defaulting on </w:t>
      </w:r>
      <w:r w:rsidRPr="003D274A" w:rsidR="00FE10A4">
        <w:t>a</w:t>
      </w:r>
      <w:r w:rsidRPr="003D274A">
        <w:t xml:space="preserve"> winning bid.</w:t>
      </w:r>
    </w:p>
    <w:p w:rsidR="00286950" w:rsidRPr="003D274A" w:rsidP="00286950" w14:paraId="17A0A42E" w14:textId="77777777">
      <w:pPr>
        <w:pStyle w:val="Heading1"/>
        <w:tabs>
          <w:tab w:val="num" w:pos="1440"/>
        </w:tabs>
        <w:rPr>
          <w:rFonts w:ascii="Times New Roman" w:hAnsi="Times New Roman"/>
        </w:rPr>
      </w:pPr>
      <w:r w:rsidRPr="003D274A">
        <w:rPr>
          <w:rFonts w:ascii="Times New Roman" w:hAnsi="Times New Roman"/>
        </w:rPr>
        <w:t xml:space="preserve">Background  </w:t>
      </w:r>
    </w:p>
    <w:p w:rsidR="002E127C" w:rsidRPr="003D274A" w:rsidP="002E127C" w14:paraId="3628C1AF" w14:textId="3BAAC178">
      <w:pPr>
        <w:pStyle w:val="ParaNum"/>
        <w:rPr>
          <w:spacing w:val="-2"/>
        </w:rPr>
      </w:pPr>
      <w:r>
        <w:rPr>
          <w:i/>
          <w:iCs/>
        </w:rPr>
        <w:t>Legal Framework</w:t>
      </w:r>
      <w:r w:rsidRPr="001E4F2E" w:rsidR="001E4F2E">
        <w:t>.</w:t>
      </w:r>
      <w:r w:rsidR="001E4F2E">
        <w:t xml:space="preserve">  </w:t>
      </w:r>
      <w:r w:rsidRPr="003D274A" w:rsidR="001E4F2E">
        <w:rPr>
          <w:shd w:val="clear" w:color="auto" w:fill="FFFFFF"/>
        </w:rPr>
        <w:t xml:space="preserve">In a February 1, 2018 Public Notice (Phase II Auctions Procedures Public Notice), the Commission established a bidding process </w:t>
      </w:r>
      <w:r w:rsidR="001E4F2E">
        <w:rPr>
          <w:shd w:val="clear" w:color="auto" w:fill="FFFFFF"/>
        </w:rPr>
        <w:t xml:space="preserve">for its Auction 903, complete </w:t>
      </w:r>
      <w:r w:rsidRPr="003D274A" w:rsidR="001E4F2E">
        <w:rPr>
          <w:shd w:val="clear" w:color="auto" w:fill="FFFFFF"/>
        </w:rPr>
        <w:t>with clear dates and deadlines.</w:t>
      </w:r>
      <w:r>
        <w:rPr>
          <w:rStyle w:val="FootnoteReference"/>
          <w:shd w:val="clear" w:color="auto" w:fill="FFFFFF"/>
        </w:rPr>
        <w:footnoteReference w:id="5"/>
      </w:r>
      <w:r w:rsidRPr="003D274A" w:rsidR="001E4F2E">
        <w:rPr>
          <w:shd w:val="clear" w:color="auto" w:fill="FFFFFF"/>
        </w:rPr>
        <w:t xml:space="preserve">  </w:t>
      </w:r>
      <w:r w:rsidR="001E4F2E">
        <w:rPr>
          <w:shd w:val="clear" w:color="auto" w:fill="FFFFFF"/>
        </w:rPr>
        <w:t>T</w:t>
      </w:r>
      <w:r w:rsidRPr="003D274A" w:rsidR="001E4F2E">
        <w:rPr>
          <w:shd w:val="clear" w:color="auto" w:fill="FFFFFF"/>
        </w:rPr>
        <w:t xml:space="preserve">he Commission was explicit as to the requirements a bidder must meet and the </w:t>
      </w:r>
      <w:r w:rsidRPr="003D274A" w:rsidR="001E4F2E">
        <w:rPr>
          <w:shd w:val="clear" w:color="auto" w:fill="FFFFFF"/>
        </w:rPr>
        <w:t>consequences for falling short of those requirements, including the penalties for default.</w:t>
      </w:r>
      <w:r>
        <w:rPr>
          <w:rStyle w:val="FootnoteReference"/>
          <w:shd w:val="clear" w:color="auto" w:fill="FFFFFF"/>
        </w:rPr>
        <w:footnoteReference w:id="6"/>
      </w:r>
      <w:r w:rsidRPr="003D274A" w:rsidR="001E4F2E">
        <w:rPr>
          <w:shd w:val="clear" w:color="auto" w:fill="FFFFFF"/>
        </w:rPr>
        <w:t xml:space="preserve"> </w:t>
      </w:r>
      <w:r w:rsidR="00341030">
        <w:t>To that end, the Commission stated</w:t>
      </w:r>
      <w:r w:rsidRPr="003D274A">
        <w:t>:</w:t>
      </w:r>
    </w:p>
    <w:p w:rsidR="002E127C" w:rsidP="004A79CA" w14:paraId="7EA5B54A" w14:textId="5D1BED36">
      <w:pPr>
        <w:pStyle w:val="ParaNum"/>
        <w:numPr>
          <w:ilvl w:val="0"/>
          <w:numId w:val="0"/>
        </w:numPr>
        <w:ind w:left="720" w:right="720"/>
        <w:rPr>
          <w:spacing w:val="-2"/>
        </w:rPr>
      </w:pPr>
      <w:r w:rsidRPr="003D274A">
        <w:rPr>
          <w:spacing w:val="-2"/>
        </w:rPr>
        <w:t xml:space="preserve">Any Auction 903 winning bidder or long-form applicant will be subject to a forfeiture in the event of a default before it is authorized to begin receiving support.  A winning bidder or long-form applicant will be considered in default and will be subject to forfeiture if it fails to timely file a long-form application, fails to meet the document submission deadlines, is found ineligible or unqualified to receive Phase II support by the Bureaus on delegated authority, and or otherwise defaults on its winning bids or is disqualified for any reason prior to the authorization of support.  Any such determination by the Bureaus shall be final, and a winning bidder or long form applicant shall have no opportunity to cure through additional submissions, negotiations, or otherwise.  </w:t>
      </w:r>
      <w:r w:rsidRPr="003D274A">
        <w:rPr>
          <w:b/>
          <w:spacing w:val="-2"/>
        </w:rPr>
        <w:t xml:space="preserve">Agreeing to such payment in the event of a default is a condition for participating in the Phase II auction </w:t>
      </w:r>
      <w:r w:rsidRPr="003D274A">
        <w:rPr>
          <w:spacing w:val="-2"/>
        </w:rPr>
        <w:t>(emphasis added).</w:t>
      </w:r>
      <w:r>
        <w:rPr>
          <w:rStyle w:val="FootnoteReference"/>
          <w:spacing w:val="-2"/>
        </w:rPr>
        <w:footnoteReference w:id="7"/>
      </w:r>
    </w:p>
    <w:p w:rsidR="003C0786" w:rsidRPr="004A79CA" w:rsidP="003C0786" w14:paraId="136824FC" w14:textId="783C5FB8">
      <w:pPr>
        <w:pStyle w:val="ParaNum"/>
        <w:numPr>
          <w:ilvl w:val="0"/>
          <w:numId w:val="0"/>
        </w:numPr>
        <w:ind w:right="720"/>
        <w:rPr>
          <w:spacing w:val="-2"/>
        </w:rPr>
      </w:pPr>
      <w:r w:rsidRPr="003D274A">
        <w:rPr>
          <w:shd w:val="clear" w:color="auto" w:fill="FFFFFF"/>
        </w:rPr>
        <w:t>Each bidder was first required to file FCC Form 183 (Short-Form Application) no later than March 30, 2018.</w:t>
      </w:r>
      <w:r>
        <w:rPr>
          <w:rStyle w:val="FootnoteReference"/>
          <w:shd w:val="clear" w:color="auto" w:fill="FFFFFF"/>
        </w:rPr>
        <w:footnoteReference w:id="8"/>
      </w:r>
      <w:r w:rsidRPr="003D274A">
        <w:rPr>
          <w:shd w:val="clear" w:color="auto" w:fill="FFFFFF"/>
        </w:rPr>
        <w:t xml:space="preserve">  Bidders were required to provide information in the Short Form Application that demonstrated their baseline financial qualifications and technical capabilities in order to establish eligibility.</w:t>
      </w:r>
      <w:r>
        <w:rPr>
          <w:rStyle w:val="FootnoteReference"/>
          <w:shd w:val="clear" w:color="auto" w:fill="FFFFFF"/>
        </w:rPr>
        <w:footnoteReference w:id="9"/>
      </w:r>
      <w:r w:rsidRPr="003D274A">
        <w:rPr>
          <w:shd w:val="clear" w:color="auto" w:fill="FFFFFF"/>
        </w:rPr>
        <w:t xml:space="preserve">  </w:t>
      </w:r>
    </w:p>
    <w:p w:rsidR="004A79CA" w:rsidP="004A79CA" w14:paraId="5C7FF999" w14:textId="0CCE01B0">
      <w:pPr>
        <w:pStyle w:val="ParaNum"/>
        <w:spacing w:after="240"/>
      </w:pPr>
      <w:r w:rsidRPr="003D274A">
        <w:t xml:space="preserve">Under </w:t>
      </w:r>
      <w:r>
        <w:t>s</w:t>
      </w:r>
      <w:r w:rsidRPr="003D274A">
        <w:t>ection 503(b)(1) of the Communications Act of 1934, as amended (the “Act”), any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rPr>
        <w:footnoteReference w:id="10"/>
      </w:r>
      <w:r w:rsidRPr="003D274A">
        <w:t xml:space="preserve">  In order to impose such a forfeiture penalty, the Commission must issue a notice of apparent liability, the notice must be received, and the person against whom the notice has been issued must have an opportunity to show, in writing, why no such forfeiture penalty should be imposed.</w:t>
      </w:r>
      <w:r>
        <w:rPr>
          <w:rStyle w:val="FootnoteReference"/>
        </w:rPr>
        <w:footnoteReference w:id="11"/>
      </w:r>
      <w:r w:rsidRPr="003D274A">
        <w:t xml:space="preserve">  The Commission will then issue a forfeiture if it finds, by a preponderance of the evidence, that the person has willfully or repeatedly violated the Act or a Commission rule.</w:t>
      </w:r>
      <w:r>
        <w:rPr>
          <w:rStyle w:val="FootnoteReference"/>
        </w:rPr>
        <w:footnoteReference w:id="12"/>
      </w:r>
      <w:r w:rsidRPr="003D274A">
        <w:t xml:space="preserve"> </w:t>
      </w:r>
    </w:p>
    <w:p w:rsidR="005115D3" w:rsidRPr="003D274A" w:rsidP="005115D3" w14:paraId="562378F4" w14:textId="2E1739A3">
      <w:pPr>
        <w:pStyle w:val="ParaNum"/>
        <w:spacing w:after="240"/>
      </w:pPr>
      <w:r w:rsidRPr="003D274A">
        <w:t xml:space="preserve">The Commission’s </w:t>
      </w:r>
      <w:r w:rsidRPr="003D274A">
        <w:rPr>
          <w:i/>
        </w:rPr>
        <w:t>Forfeiture Policy Statement</w:t>
      </w:r>
      <w:r>
        <w:rPr>
          <w:rStyle w:val="FootnoteReference"/>
        </w:rPr>
        <w:footnoteReference w:id="13"/>
      </w:r>
      <w:r w:rsidRPr="003D274A">
        <w:t xml:space="preserve"> specifies that the Commission shall impose a forfeiture based upon consideration of the factors enumerated in section 503(b)(2)(E) of the Act, </w:t>
      </w:r>
      <w:r w:rsidRPr="003D274A">
        <w:t>47 U.S.C. § 503(b)(2)(E), such as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r w:rsidRPr="003D274A">
        <w:t xml:space="preserve">  Moreover, section 312(f)(1) of the Act defines willful as “the conscious and deliberate commission or omission of such act, </w:t>
      </w:r>
      <w:r w:rsidRPr="003D274A">
        <w:rPr>
          <w:i/>
        </w:rPr>
        <w:t>irrespective of any intent</w:t>
      </w:r>
      <w:r w:rsidRPr="003D274A">
        <w:t xml:space="preserve"> to violate . . . any rule or regulation of the Commission . . . .”</w:t>
      </w:r>
      <w:r>
        <w:rPr>
          <w:rStyle w:val="FootnoteReference"/>
        </w:rPr>
        <w:footnoteReference w:id="15"/>
      </w:r>
      <w:r w:rsidRPr="003D274A">
        <w:t xml:space="preserve">  </w:t>
      </w:r>
    </w:p>
    <w:p w:rsidR="001D3017" w:rsidP="00AD3E32" w14:paraId="4E5C410D" w14:textId="77777777">
      <w:pPr>
        <w:pStyle w:val="ParaNum"/>
        <w:widowControl/>
        <w:spacing w:after="240"/>
      </w:pPr>
      <w:r>
        <w:rPr>
          <w:i/>
          <w:iCs/>
          <w:shd w:val="clear" w:color="auto" w:fill="FFFFFF"/>
        </w:rPr>
        <w:t xml:space="preserve">Factual background. </w:t>
      </w:r>
      <w:r>
        <w:rPr>
          <w:shd w:val="clear" w:color="auto" w:fill="FFFFFF"/>
        </w:rPr>
        <w:t xml:space="preserve"> </w:t>
      </w:r>
      <w:r w:rsidRPr="003D274A">
        <w:t>Westfield is a Massachusetts cooperative corporation that primarily provides gas and electric services to residents in and around Westfield, Massachusetts.</w:t>
      </w:r>
      <w:r>
        <w:rPr>
          <w:rStyle w:val="FootnoteReference"/>
        </w:rPr>
        <w:footnoteReference w:id="16"/>
      </w:r>
      <w:r w:rsidRPr="003D274A">
        <w:t xml:space="preserve">  In 2015, the Company began providing fiber broadband and phone services to commercial and residential customers in the same region under the business name Whip City Fiber.</w:t>
      </w:r>
      <w:r>
        <w:rPr>
          <w:rStyle w:val="FootnoteReference"/>
        </w:rPr>
        <w:footnoteReference w:id="17"/>
      </w:r>
    </w:p>
    <w:p w:rsidR="00286950" w:rsidRPr="003D274A" w:rsidP="00AD3E32" w14:paraId="08C730C3" w14:textId="4B496DE4">
      <w:pPr>
        <w:pStyle w:val="ParaNum"/>
        <w:widowControl/>
        <w:spacing w:after="240"/>
      </w:pPr>
      <w:r>
        <w:rPr>
          <w:shd w:val="clear" w:color="auto" w:fill="FFFFFF"/>
        </w:rPr>
        <w:t>B</w:t>
      </w:r>
      <w:r w:rsidRPr="003D274A">
        <w:rPr>
          <w:shd w:val="clear" w:color="auto" w:fill="FFFFFF"/>
        </w:rPr>
        <w:t>etween July 24, 2018 and August 21, 2018,</w:t>
      </w:r>
      <w:r>
        <w:rPr>
          <w:shd w:val="clear" w:color="auto" w:fill="FFFFFF"/>
        </w:rPr>
        <w:t xml:space="preserve"> t</w:t>
      </w:r>
      <w:r w:rsidRPr="003D274A">
        <w:rPr>
          <w:shd w:val="clear" w:color="auto" w:fill="FFFFFF"/>
        </w:rPr>
        <w:t xml:space="preserve">he Commission conducted Auction 903 </w:t>
      </w:r>
      <w:r w:rsidRPr="003D274A">
        <w:rPr>
          <w:shd w:val="clear" w:color="auto" w:fill="FFFFFF"/>
        </w:rPr>
        <w:t>to allocate CAF-II monetary support to certain eligible areas</w:t>
      </w:r>
      <w:r>
        <w:rPr>
          <w:rStyle w:val="FootnoteReference"/>
          <w:shd w:val="clear" w:color="auto" w:fill="FFFFFF"/>
        </w:rPr>
        <w:footnoteReference w:id="18"/>
      </w:r>
      <w:r w:rsidRPr="003D274A">
        <w:rPr>
          <w:shd w:val="clear" w:color="auto" w:fill="FFFFFF"/>
        </w:rPr>
        <w:t xml:space="preserve"> across the United States.  Auction 903 was slated to award up to $198 million in annual support, a total of $1.98 billion over ten years, in ongoing high-cost universal service support to service providers that committed to offering voice and broadband services in unserved areas.</w:t>
      </w:r>
      <w:r>
        <w:rPr>
          <w:rStyle w:val="FootnoteReference"/>
          <w:shd w:val="clear" w:color="auto" w:fill="FFFFFF"/>
        </w:rPr>
        <w:footnoteReference w:id="19"/>
      </w:r>
      <w:r w:rsidRPr="003D274A">
        <w:rPr>
          <w:shd w:val="clear" w:color="auto" w:fill="FFFFFF"/>
        </w:rPr>
        <w:t xml:space="preserve">  </w:t>
      </w:r>
      <w:r w:rsidRPr="003D274A" w:rsidR="006D29EF">
        <w:rPr>
          <w:shd w:val="clear" w:color="auto" w:fill="FFFFFF"/>
        </w:rPr>
        <w:t>After reviewing the Short-Form Applications, the Commission announced the applicants qualified to participate in Auction 903.</w:t>
      </w:r>
      <w:r>
        <w:rPr>
          <w:rStyle w:val="FootnoteReference"/>
          <w:shd w:val="clear" w:color="auto" w:fill="FFFFFF"/>
        </w:rPr>
        <w:footnoteReference w:id="20"/>
      </w:r>
      <w:r w:rsidRPr="003D274A" w:rsidR="006D29EF">
        <w:rPr>
          <w:shd w:val="clear" w:color="auto" w:fill="FFFFFF"/>
        </w:rPr>
        <w:t xml:space="preserve">  </w:t>
      </w:r>
      <w:r w:rsidRPr="003D274A">
        <w:rPr>
          <w:shd w:val="clear" w:color="auto" w:fill="FFFFFF"/>
        </w:rPr>
        <w:t>Auction 903 was intended to close the digital divide for all Americans, including those in the rural areas of our country.</w:t>
      </w:r>
      <w:r>
        <w:rPr>
          <w:rStyle w:val="FootnoteReference"/>
          <w:shd w:val="clear" w:color="auto" w:fill="FFFFFF"/>
        </w:rPr>
        <w:footnoteReference w:id="21"/>
      </w:r>
      <w:r w:rsidRPr="003D274A">
        <w:rPr>
          <w:shd w:val="clear" w:color="auto" w:fill="FFFFFF"/>
        </w:rPr>
        <w:t xml:space="preserve">  </w:t>
      </w:r>
    </w:p>
    <w:p w:rsidR="00286950" w:rsidRPr="003D274A" w:rsidP="00286950" w14:paraId="746CE9E4" w14:textId="4A5EF009">
      <w:pPr>
        <w:pStyle w:val="ParaNum"/>
        <w:spacing w:after="240"/>
      </w:pPr>
      <w:r w:rsidRPr="003D274A">
        <w:t>Once Auction 903 bidding began, the Commission conducted a multi-round, descending clock auction.</w:t>
      </w:r>
      <w:r>
        <w:rPr>
          <w:rStyle w:val="FootnoteReference"/>
        </w:rPr>
        <w:footnoteReference w:id="22"/>
      </w:r>
      <w:r>
        <w:t xml:space="preserve">  </w:t>
      </w:r>
      <w:r w:rsidRPr="003D274A">
        <w:t>The minimum geographic areas established by the Commission for bidding in Auction 903 were Census Block Groups (CBGs) that contained one or more eligible census blocks, identified in a list released by the Commission’s Wireline Competition Bureau in December 2017.</w:t>
      </w:r>
      <w:r>
        <w:rPr>
          <w:rStyle w:val="FootnoteReference"/>
        </w:rPr>
        <w:footnoteReference w:id="23"/>
      </w:r>
      <w:r w:rsidRPr="003D274A">
        <w:t xml:space="preserve">  The list of CBGs included approximately 214,000 eligible census blocks, located in approximately 30,300 CBGs.</w:t>
      </w:r>
      <w:r>
        <w:rPr>
          <w:rStyle w:val="FootnoteReference"/>
        </w:rPr>
        <w:footnoteReference w:id="24"/>
      </w:r>
      <w:r w:rsidRPr="003D274A">
        <w:t xml:space="preserve">  </w:t>
      </w:r>
    </w:p>
    <w:p w:rsidR="00286950" w:rsidRPr="003D274A" w:rsidP="00AD3E32" w14:paraId="1155B4E9" w14:textId="77777777">
      <w:pPr>
        <w:pStyle w:val="ParaNum"/>
        <w:widowControl/>
        <w:spacing w:after="240"/>
      </w:pPr>
      <w:r w:rsidRPr="003D274A">
        <w:t>On August, 28, 2018, the Commission released a Public Notice identifying the 103 winning bidders who had won</w:t>
      </w:r>
      <w:r w:rsidRPr="003D274A">
        <w:rPr>
          <w:shd w:val="clear" w:color="auto" w:fill="FFFFFF"/>
        </w:rPr>
        <w:t xml:space="preserve"> </w:t>
      </w:r>
      <w:r w:rsidRPr="003D274A">
        <w:t>$1.488 billion in support over a ten-year period</w:t>
      </w:r>
      <w:r w:rsidRPr="003D274A">
        <w:rPr>
          <w:shd w:val="clear" w:color="auto" w:fill="FFFFFF"/>
        </w:rPr>
        <w:t>.</w:t>
      </w:r>
      <w:r>
        <w:rPr>
          <w:rStyle w:val="FootnoteReference"/>
          <w:shd w:val="clear" w:color="auto" w:fill="FFFFFF"/>
        </w:rPr>
        <w:footnoteReference w:id="25"/>
      </w:r>
      <w:r w:rsidRPr="003D274A">
        <w:rPr>
          <w:shd w:val="clear" w:color="auto" w:fill="FFFFFF"/>
        </w:rPr>
        <w:t xml:space="preserve">  </w:t>
      </w:r>
      <w:r w:rsidRPr="003D274A">
        <w:t>Winning bidders were given the opportunity to assign some or all of their winning bids to related entities by September 14, 2018.</w:t>
      </w:r>
      <w:r>
        <w:rPr>
          <w:rStyle w:val="FootnoteReference"/>
        </w:rPr>
        <w:footnoteReference w:id="26"/>
      </w:r>
      <w:r w:rsidRPr="003D274A">
        <w:t xml:space="preserve">  Additionally, winning bidders were required to submit a post-auction application for support, FCC Form 683 (Long-Form Application), no later than October 15, 2018.</w:t>
      </w:r>
      <w:r>
        <w:rPr>
          <w:rStyle w:val="FootnoteReference"/>
        </w:rPr>
        <w:footnoteReference w:id="27"/>
      </w:r>
    </w:p>
    <w:p w:rsidR="00286950" w:rsidRPr="003D274A" w:rsidP="00286950" w14:paraId="200A0379" w14:textId="39BE3596">
      <w:pPr>
        <w:pStyle w:val="ParaNum"/>
        <w:spacing w:after="240"/>
      </w:pPr>
      <w:r>
        <w:t>Westfield</w:t>
      </w:r>
      <w:r w:rsidRPr="003D274A">
        <w:t xml:space="preserve"> </w:t>
      </w:r>
      <w:r w:rsidRPr="003D274A" w:rsidR="00744F36">
        <w:t xml:space="preserve">timely </w:t>
      </w:r>
      <w:r w:rsidRPr="003D274A">
        <w:t xml:space="preserve">submitted </w:t>
      </w:r>
      <w:r w:rsidRPr="003D274A" w:rsidR="00E041BD">
        <w:t xml:space="preserve">its </w:t>
      </w:r>
      <w:r w:rsidRPr="003D274A">
        <w:t>Short-Form Application to participate in Auction 903</w:t>
      </w:r>
      <w:r>
        <w:rPr>
          <w:rStyle w:val="FootnoteReference"/>
        </w:rPr>
        <w:footnoteReference w:id="28"/>
      </w:r>
      <w:r w:rsidRPr="003D274A">
        <w:t xml:space="preserve"> and was a successful bidder, winning </w:t>
      </w:r>
      <w:r w:rsidRPr="003D274A" w:rsidR="00BB17EC">
        <w:t>$10,</w:t>
      </w:r>
      <w:r w:rsidRPr="003D274A" w:rsidR="00560874">
        <w:t>325</w:t>
      </w:r>
      <w:r w:rsidRPr="003D274A" w:rsidR="00022BCE">
        <w:t>,</w:t>
      </w:r>
      <w:r w:rsidRPr="003D274A" w:rsidR="00560874">
        <w:t>400</w:t>
      </w:r>
      <w:r w:rsidRPr="003D274A" w:rsidR="00022BCE">
        <w:t>.60</w:t>
      </w:r>
      <w:r w:rsidRPr="003D274A">
        <w:t xml:space="preserve"> of support for </w:t>
      </w:r>
      <w:r w:rsidRPr="003D274A" w:rsidR="00022BCE">
        <w:t>2</w:t>
      </w:r>
      <w:r w:rsidRPr="003D274A" w:rsidR="00560874">
        <w:t>3</w:t>
      </w:r>
      <w:r w:rsidRPr="003D274A">
        <w:t xml:space="preserve"> CBGs covering </w:t>
      </w:r>
      <w:r w:rsidRPr="003D274A" w:rsidR="00560874">
        <w:t>5,163</w:t>
      </w:r>
      <w:r w:rsidRPr="003D274A">
        <w:t xml:space="preserve"> locations in </w:t>
      </w:r>
      <w:r w:rsidRPr="003D274A" w:rsidR="00022BCE">
        <w:t>Massachusetts</w:t>
      </w:r>
      <w:r w:rsidRPr="003D274A">
        <w:t xml:space="preserve">.  The Company </w:t>
      </w:r>
      <w:r w:rsidRPr="003D274A" w:rsidR="00E041BD">
        <w:t xml:space="preserve">also </w:t>
      </w:r>
      <w:r w:rsidRPr="003D274A" w:rsidR="00744F36">
        <w:t xml:space="preserve">timely </w:t>
      </w:r>
      <w:r w:rsidRPr="003D274A">
        <w:t xml:space="preserve">filed </w:t>
      </w:r>
      <w:r w:rsidRPr="003D274A" w:rsidR="00E041BD">
        <w:t xml:space="preserve">its </w:t>
      </w:r>
      <w:r w:rsidRPr="003D274A">
        <w:t xml:space="preserve">Long-Form Application on </w:t>
      </w:r>
      <w:r w:rsidRPr="003D274A" w:rsidR="003047AE">
        <w:t>October 15, 2018</w:t>
      </w:r>
      <w:r>
        <w:rPr>
          <w:rStyle w:val="FootnoteReference"/>
        </w:rPr>
        <w:footnoteReference w:id="29"/>
      </w:r>
      <w:r w:rsidRPr="003D274A" w:rsidR="003047AE">
        <w:t xml:space="preserve"> </w:t>
      </w:r>
      <w:r w:rsidRPr="003D274A">
        <w:t xml:space="preserve">and met all the other </w:t>
      </w:r>
      <w:r w:rsidR="00E01D9B">
        <w:t>required</w:t>
      </w:r>
      <w:r w:rsidRPr="003D274A">
        <w:t xml:space="preserve"> deadlines established for Auction 903, including the timely filing of its audited financials.  </w:t>
      </w:r>
      <w:r w:rsidRPr="003D274A" w:rsidR="002F34EC">
        <w:t>On</w:t>
      </w:r>
      <w:r w:rsidRPr="003D274A" w:rsidR="00226F18">
        <w:t xml:space="preserve"> November 18, 20</w:t>
      </w:r>
      <w:r w:rsidRPr="003D274A" w:rsidR="00E665F3">
        <w:t>1</w:t>
      </w:r>
      <w:r w:rsidRPr="003D274A" w:rsidR="00226F18">
        <w:t>9, the Company notified the Wireline Communications Bureau (WCB) that it would default on one of its winning bids</w:t>
      </w:r>
      <w:r w:rsidRPr="003D274A">
        <w:t>.</w:t>
      </w:r>
      <w:r>
        <w:rPr>
          <w:rStyle w:val="FootnoteReference"/>
        </w:rPr>
        <w:footnoteReference w:id="30"/>
      </w:r>
      <w:r w:rsidRPr="003D274A" w:rsidR="00427BEF">
        <w:t xml:space="preserve">  </w:t>
      </w:r>
      <w:r w:rsidRPr="003D274A">
        <w:t xml:space="preserve">The Company stated that </w:t>
      </w:r>
      <w:r w:rsidR="00E70ACC">
        <w:t>logistical</w:t>
      </w:r>
      <w:r w:rsidRPr="003D274A" w:rsidR="00E665F3">
        <w:t xml:space="preserve"> and financial barriers impeded </w:t>
      </w:r>
      <w:r w:rsidRPr="003D274A" w:rsidR="00972065">
        <w:t xml:space="preserve">the Town of </w:t>
      </w:r>
      <w:r w:rsidRPr="003D274A" w:rsidR="00E665F3">
        <w:t>Royalsto</w:t>
      </w:r>
      <w:r w:rsidRPr="003D274A" w:rsidR="00972065">
        <w:t>n</w:t>
      </w:r>
      <w:r w:rsidRPr="003D274A" w:rsidR="00972065">
        <w:t>, Massachusetts</w:t>
      </w:r>
      <w:r w:rsidR="00E70ACC">
        <w:t xml:space="preserve"> from </w:t>
      </w:r>
      <w:r w:rsidRPr="003D274A" w:rsidR="008749D2">
        <w:t xml:space="preserve">successfully </w:t>
      </w:r>
      <w:r w:rsidR="00E70ACC">
        <w:t>coordinating</w:t>
      </w:r>
      <w:r w:rsidRPr="003D274A" w:rsidR="008749D2">
        <w:t xml:space="preserve"> with the Company</w:t>
      </w:r>
      <w:r w:rsidRPr="003D274A" w:rsidR="00D61561">
        <w:t xml:space="preserve"> to fulfill </w:t>
      </w:r>
      <w:r w:rsidR="00ED6C2B">
        <w:t>the</w:t>
      </w:r>
      <w:r w:rsidRPr="003D274A" w:rsidR="00D61561">
        <w:t xml:space="preserve"> bid</w:t>
      </w:r>
      <w:r w:rsidRPr="003D274A" w:rsidR="008749D2">
        <w:t>.</w:t>
      </w:r>
      <w:r>
        <w:rPr>
          <w:rStyle w:val="FootnoteReference"/>
        </w:rPr>
        <w:footnoteReference w:id="31"/>
      </w:r>
      <w:r w:rsidRPr="003D274A" w:rsidR="008749D2">
        <w:t xml:space="preserve">  </w:t>
      </w:r>
      <w:r w:rsidRPr="003D274A">
        <w:t xml:space="preserve">Upon receiving notification from the Company of its intent to default </w:t>
      </w:r>
      <w:r w:rsidR="00356C54">
        <w:t>on one of its winning bids</w:t>
      </w:r>
      <w:r w:rsidRPr="003D274A">
        <w:t>, WCB referred the Company to the Commission’s Enforcement Bureau for enforcement action on the default.</w:t>
      </w:r>
      <w:r>
        <w:rPr>
          <w:rStyle w:val="FootnoteReference"/>
        </w:rPr>
        <w:footnoteReference w:id="32"/>
      </w:r>
    </w:p>
    <w:p w:rsidR="00286950" w:rsidRPr="003D274A" w:rsidP="00286950" w14:paraId="3B33EE9B" w14:textId="77777777">
      <w:pPr>
        <w:pStyle w:val="Heading1"/>
        <w:rPr>
          <w:rFonts w:ascii="Times New Roman" w:hAnsi="Times New Roman"/>
        </w:rPr>
      </w:pPr>
      <w:r w:rsidRPr="003D274A">
        <w:rPr>
          <w:rFonts w:ascii="Times New Roman" w:hAnsi="Times New Roman"/>
        </w:rPr>
        <w:t>Discussion</w:t>
      </w:r>
    </w:p>
    <w:p w:rsidR="00286950" w:rsidRPr="003D274A" w:rsidP="00341030" w14:paraId="0209A7A7" w14:textId="158AEE54">
      <w:pPr>
        <w:pStyle w:val="ParaNum"/>
        <w:rPr>
          <w:spacing w:val="-2"/>
        </w:rPr>
      </w:pPr>
      <w:r>
        <w:t xml:space="preserve">We find that the Company apparently willfully violated the Commission’s rules and orders governing Auction 903 when it apparently partially defaulted on its winning bidder obligations. </w:t>
      </w:r>
    </w:p>
    <w:p w:rsidR="00286950" w:rsidRPr="003D274A" w:rsidP="00286950" w14:paraId="47716405" w14:textId="216993AD">
      <w:pPr>
        <w:pStyle w:val="ParaNum"/>
        <w:spacing w:after="240"/>
      </w:pPr>
      <w:r w:rsidRPr="003D274A">
        <w:t xml:space="preserve">Under </w:t>
      </w:r>
      <w:r w:rsidR="005722C2">
        <w:t>s</w:t>
      </w:r>
      <w:r w:rsidRPr="003D274A">
        <w:t>ection 503(b)(1) of the Communications Act of 1934, as amended (the “Act”), any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rPr>
        <w:footnoteReference w:id="33"/>
      </w:r>
      <w:r w:rsidRPr="003D274A">
        <w:t xml:space="preserve">  In order to impose such a forfeiture penalty, the Commission </w:t>
      </w:r>
      <w:r w:rsidRPr="003D274A">
        <w:t>must issue a notice of apparent liability, the notice must be received, and the person against whom the notice has been issued must have an opportunity to show, in writing, why no such forfeiture penalty should be imposed.</w:t>
      </w:r>
      <w:r>
        <w:rPr>
          <w:rStyle w:val="FootnoteReference"/>
        </w:rPr>
        <w:footnoteReference w:id="34"/>
      </w:r>
      <w:r w:rsidRPr="003D274A">
        <w:t xml:space="preserve">  The Commission will then issue a forfeiture if it finds, by a preponderance of the evidence, that the person has willfully or repeatedly violated the Act or a Commission rule.</w:t>
      </w:r>
      <w:r>
        <w:rPr>
          <w:rStyle w:val="FootnoteReference"/>
        </w:rPr>
        <w:footnoteReference w:id="35"/>
      </w:r>
      <w:r w:rsidRPr="003D274A">
        <w:t xml:space="preserve"> </w:t>
      </w:r>
    </w:p>
    <w:p w:rsidR="00286950" w:rsidRPr="003D274A" w:rsidP="00286950" w14:paraId="6416F00E" w14:textId="7324F7AC">
      <w:pPr>
        <w:pStyle w:val="ParaNum"/>
        <w:spacing w:after="240"/>
      </w:pPr>
      <w:r w:rsidRPr="003D274A">
        <w:t xml:space="preserve">By withdrawing its application for support, the Company </w:t>
      </w:r>
      <w:r w:rsidRPr="003D274A" w:rsidR="00876186">
        <w:t xml:space="preserve">apparently </w:t>
      </w:r>
      <w:r w:rsidRPr="003D274A">
        <w:t xml:space="preserve">defaulted on </w:t>
      </w:r>
      <w:r w:rsidR="00A43044">
        <w:t>one of its win</w:t>
      </w:r>
      <w:r w:rsidRPr="003D274A">
        <w:t>ning bid</w:t>
      </w:r>
      <w:r w:rsidR="00A43044">
        <w:t>s</w:t>
      </w:r>
      <w:r w:rsidRPr="003D274A">
        <w:t xml:space="preserve"> for Auction 903</w:t>
      </w:r>
      <w:r w:rsidRPr="003D274A" w:rsidR="00171A22">
        <w:t xml:space="preserve"> </w:t>
      </w:r>
      <w:r w:rsidRPr="003D274A">
        <w:t>in</w:t>
      </w:r>
      <w:r w:rsidRPr="003D274A" w:rsidR="00514D9F">
        <w:t xml:space="preserve"> </w:t>
      </w:r>
      <w:r w:rsidRPr="003D274A">
        <w:t>violation of section 1.21004(a) of the Commission’s rules and the procedures established specifically for Auction 903.</w:t>
      </w:r>
      <w:r>
        <w:rPr>
          <w:rStyle w:val="FootnoteReference"/>
        </w:rPr>
        <w:footnoteReference w:id="36"/>
      </w:r>
      <w:r w:rsidRPr="003D274A">
        <w:t xml:space="preserve">  Pursuant to section 1.21004(a), a winning bidder of a Commission auction that, for any reason, is not subsequently authorized to receive support has defaulted on its bid and is liable for a default payment.</w:t>
      </w:r>
      <w:r>
        <w:rPr>
          <w:rStyle w:val="FootnoteReference"/>
        </w:rPr>
        <w:footnoteReference w:id="37"/>
      </w:r>
      <w:r w:rsidRPr="003D274A">
        <w:t xml:space="preserve">  Section 1.21004(b) authorizes the Commission to calculate the default payment by a method established as provided in a public notice prior to competitive bidding.  In Auction 903, however, the Commission concluded that it would impose a forfeiture in lieu of a default payment.</w:t>
      </w:r>
      <w:r>
        <w:rPr>
          <w:rStyle w:val="FootnoteReference"/>
        </w:rPr>
        <w:footnoteReference w:id="38"/>
      </w:r>
      <w:r w:rsidRPr="003D274A">
        <w:t xml:space="preserve">  Furthermore, the Company agreed to this default payment as a condition to participating in Auction 903.</w:t>
      </w:r>
      <w:r>
        <w:rPr>
          <w:rStyle w:val="FootnoteReference"/>
        </w:rPr>
        <w:footnoteReference w:id="39"/>
      </w:r>
      <w:r w:rsidRPr="003D274A">
        <w:t xml:space="preserve"> </w:t>
      </w:r>
    </w:p>
    <w:p w:rsidR="00286950" w:rsidRPr="003D274A" w:rsidP="00286950" w14:paraId="5F042A91" w14:textId="7B111C90">
      <w:pPr>
        <w:pStyle w:val="ParaNum"/>
        <w:spacing w:after="240"/>
      </w:pPr>
      <w:r w:rsidRPr="003D274A">
        <w:t xml:space="preserve">That the Company defaulted for </w:t>
      </w:r>
      <w:r w:rsidRPr="003D274A" w:rsidR="00652D59">
        <w:t xml:space="preserve">logistical </w:t>
      </w:r>
      <w:r w:rsidR="00504342">
        <w:t xml:space="preserve">and/or financial </w:t>
      </w:r>
      <w:r w:rsidRPr="003D274A" w:rsidR="00652D59">
        <w:t>reasons</w:t>
      </w:r>
      <w:r w:rsidRPr="003D274A">
        <w:t xml:space="preserve"> does not absolve it from forfeiture for its default.  The prohibition against default in section 1.21004 applies regardless of the reason for default and </w:t>
      </w:r>
      <w:r w:rsidR="00A43044">
        <w:t xml:space="preserve">the </w:t>
      </w:r>
      <w:r w:rsidR="00A43044">
        <w:rPr>
          <w:i/>
          <w:iCs/>
        </w:rPr>
        <w:t xml:space="preserve">Phase II Auction Procedures Public Notice </w:t>
      </w:r>
      <w:r w:rsidR="00A43044">
        <w:t xml:space="preserve">made clear that </w:t>
      </w:r>
      <w:r w:rsidRPr="003D274A">
        <w:t xml:space="preserve">a measured </w:t>
      </w:r>
      <w:r w:rsidR="00A43044">
        <w:t xml:space="preserve">forfeiture </w:t>
      </w:r>
      <w:r w:rsidRPr="003D274A">
        <w:t xml:space="preserve">penalty </w:t>
      </w:r>
      <w:r w:rsidR="00A43044">
        <w:t xml:space="preserve">would be </w:t>
      </w:r>
      <w:r w:rsidRPr="003D274A">
        <w:t xml:space="preserve">directly correlated to the amount of support awarded with a cap to prevent outsized penalties.  Moreover, we reiterate that the </w:t>
      </w:r>
      <w:r w:rsidR="00A43044">
        <w:t>forfeiture penalties</w:t>
      </w:r>
      <w:r w:rsidRPr="003D274A">
        <w:t xml:space="preserve"> for default </w:t>
      </w:r>
      <w:r w:rsidR="00A43044">
        <w:t>were</w:t>
      </w:r>
      <w:r w:rsidRPr="003D274A">
        <w:t xml:space="preserve"> clearly stated in the </w:t>
      </w:r>
      <w:r w:rsidRPr="00A43044">
        <w:rPr>
          <w:i/>
          <w:iCs/>
          <w:shd w:val="clear" w:color="auto" w:fill="FFFFFF"/>
        </w:rPr>
        <w:t>Phase II Auctions Procedures Public Notice</w:t>
      </w:r>
      <w:r w:rsidRPr="003D274A">
        <w:t xml:space="preserve"> before bidding ever began, so the Company can reasonably be expected to have considered the </w:t>
      </w:r>
      <w:r w:rsidR="00A43044">
        <w:t>anticipated forfeiture</w:t>
      </w:r>
      <w:r w:rsidRPr="003D274A">
        <w:t xml:space="preserve"> penalty </w:t>
      </w:r>
      <w:r w:rsidRPr="003D274A" w:rsidR="008B2CCE">
        <w:t xml:space="preserve">both </w:t>
      </w:r>
      <w:r w:rsidRPr="003D274A">
        <w:t>into its decision to bid for support</w:t>
      </w:r>
      <w:r w:rsidRPr="003D274A" w:rsidR="00FF58AF">
        <w:t>,</w:t>
      </w:r>
      <w:r w:rsidRPr="003D274A">
        <w:t xml:space="preserve"> and </w:t>
      </w:r>
      <w:r w:rsidRPr="003D274A" w:rsidR="00FF58AF">
        <w:t>the</w:t>
      </w:r>
      <w:r w:rsidRPr="003D274A" w:rsidR="008B2CCE">
        <w:t xml:space="preserve"> decision to</w:t>
      </w:r>
      <w:r w:rsidRPr="003D274A" w:rsidR="00FF58AF">
        <w:t xml:space="preserve"> </w:t>
      </w:r>
      <w:r w:rsidRPr="003D274A">
        <w:t xml:space="preserve">subsequently </w:t>
      </w:r>
      <w:r w:rsidRPr="003D274A" w:rsidR="00FF58AF">
        <w:t xml:space="preserve">to </w:t>
      </w:r>
      <w:r w:rsidRPr="003D274A">
        <w:t xml:space="preserve">default on its bid.  </w:t>
      </w:r>
    </w:p>
    <w:p w:rsidR="00286950" w:rsidRPr="003D274A" w:rsidP="00286950" w14:paraId="3DE1E294" w14:textId="4FDA00DD">
      <w:pPr>
        <w:pStyle w:val="ParaNum"/>
        <w:spacing w:after="240"/>
      </w:pPr>
      <w:r w:rsidRPr="003D274A">
        <w:t>The Company’s failure to adhere to the established auction procedures was disruptive to the integrity and efficiency of the auctions process.  The Commission adopted the forfeiture policy for Auction 903 “to impress upon recipients the importance of being prepared to meet all requirements for the post-selection review process and to emphasize the requirement that participants conduct a due diligence review to ensure that they are qualified to participate in the auction and meet its terms and conditions.”</w:t>
      </w:r>
      <w:r>
        <w:rPr>
          <w:rStyle w:val="FootnoteReference"/>
        </w:rPr>
        <w:footnoteReference w:id="40"/>
      </w:r>
      <w:r w:rsidRPr="003D274A">
        <w:t xml:space="preserve">  Therefore, participants were expected to plan diligently to fulfill the obligations undertaken in Auction 903, including planning for any difficulties or other contingencies that arose during the process.  By becoming a successful bidder and later choosing not to proceed with its service plans and the obligations it undertook for Auction 903, the Company hindered the disbursement of funds that could have gone to another provider, and thereby further delayed the advancements in broadband offerings in the CBG where it defaulted on </w:t>
      </w:r>
      <w:r w:rsidRPr="003D274A" w:rsidR="0048642D">
        <w:t>a</w:t>
      </w:r>
      <w:r w:rsidRPr="003D274A">
        <w:t xml:space="preserve"> winning bid.  Furthermore, defaulting on bids imposes a cost to the CAF-II in </w:t>
      </w:r>
      <w:r w:rsidRPr="003D274A">
        <w:t xml:space="preserve">administrative time spent on reviewing the bid and awarding the support.  Likewise, default negatively impacts the residents of the corresponding CBG in lost opportunities and delays in launching affordable services. </w:t>
      </w:r>
    </w:p>
    <w:p w:rsidR="00286950" w:rsidRPr="003D274A" w:rsidP="00286950" w14:paraId="1DBE22CE" w14:textId="174AD31B">
      <w:pPr>
        <w:pStyle w:val="ParaNum"/>
        <w:spacing w:after="240"/>
      </w:pPr>
      <w:r>
        <w:t>F</w:t>
      </w:r>
      <w:r w:rsidRPr="003D274A">
        <w:t>orfeiture is warranted against the Company for its apparent willful violation of section 1.21004 of the Commission’s rules and the procedures established for Auction 903.</w:t>
      </w:r>
      <w:r>
        <w:t xml:space="preserve">  Forfeitures must be based </w:t>
      </w:r>
      <w:r w:rsidRPr="003D274A">
        <w:t>upon consideration of the factors enumerated in section 503(b)(2)(E) of the Act, 47 U.S.C. § 503(b)(2)(E), such as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41"/>
      </w:r>
      <w:r w:rsidRPr="003D274A">
        <w:t xml:space="preserve">  </w:t>
      </w:r>
      <w:r w:rsidR="00A43A5B">
        <w:t xml:space="preserve">Indeed, </w:t>
      </w:r>
      <w:r w:rsidRPr="003D274A" w:rsidR="00A43A5B">
        <w:t xml:space="preserve">section 312(f)(1) of the Act defines willful as “the conscious and deliberate commission or omission of such act, </w:t>
      </w:r>
      <w:r w:rsidRPr="003D274A" w:rsidR="00A43A5B">
        <w:rPr>
          <w:i/>
        </w:rPr>
        <w:t>irrespective of any intent</w:t>
      </w:r>
      <w:r w:rsidRPr="003D274A" w:rsidR="00A43A5B">
        <w:t xml:space="preserve"> to violate . . . any rule or regulation of the Commission . . . .”</w:t>
      </w:r>
      <w:r>
        <w:rPr>
          <w:rStyle w:val="FootnoteReference"/>
        </w:rPr>
        <w:footnoteReference w:id="42"/>
      </w:r>
      <w:r w:rsidR="00A43A5B">
        <w:t xml:space="preserve">  Here</w:t>
      </w:r>
      <w:r w:rsidRPr="003D274A">
        <w:t xml:space="preserve">, the Company agreed, prior to participating in Auction 903, to be subject to a forfeiture in the event of default.  Additionally, the Company was cautioned to carefully craft its plans to meet all auction requirements and to prepare for any complications that could occur.  In considering these factors as well as the procedures established for Auction 903 and the </w:t>
      </w:r>
      <w:r w:rsidRPr="003D274A">
        <w:rPr>
          <w:i/>
        </w:rPr>
        <w:t>Forfeiture Policy Statement</w:t>
      </w:r>
      <w:r w:rsidRPr="003D274A">
        <w:t xml:space="preserve">¸ we believe that a forfeiture is warranted against the Company for its apparent willful violation of </w:t>
      </w:r>
      <w:r w:rsidRPr="003D274A" w:rsidR="00ED09FD">
        <w:t>s</w:t>
      </w:r>
      <w:r w:rsidRPr="003D274A">
        <w:t>ection 1.21004 of the Commission’s rules and the procedures established for Auction 903.</w:t>
      </w:r>
    </w:p>
    <w:p w:rsidR="00286950" w:rsidRPr="003D274A" w:rsidP="00286950" w14:paraId="224A06EA" w14:textId="4038DE86">
      <w:pPr>
        <w:pStyle w:val="ParaNum"/>
        <w:spacing w:after="240"/>
      </w:pPr>
      <w:r>
        <w:t>Because</w:t>
      </w:r>
      <w:r w:rsidRPr="00E3215D">
        <w:t xml:space="preserve"> the Company has defaul</w:t>
      </w:r>
      <w:r>
        <w:t>ted</w:t>
      </w:r>
      <w:r w:rsidRPr="00E3215D">
        <w:t xml:space="preserve"> on a winning bid within one of its CBGs</w:t>
      </w:r>
      <w:r>
        <w:t>, we find that it</w:t>
      </w:r>
      <w:r w:rsidRPr="00E3215D">
        <w:t xml:space="preserve"> therefore </w:t>
      </w:r>
      <w:r>
        <w:t xml:space="preserve">is </w:t>
      </w:r>
      <w:r w:rsidRPr="00E3215D">
        <w:t>apparently liable for a forfeiture of $3,000.</w:t>
      </w:r>
      <w:r>
        <w:t xml:space="preserve">  </w:t>
      </w:r>
      <w:r w:rsidRPr="003D274A">
        <w:t>For Auction 903, the Commission established a base forfeiture of $3,000 per violation in the event of an auction default, meaning there would be separate violation for each geographic unit subject to a bid.</w:t>
      </w:r>
      <w:r>
        <w:rPr>
          <w:rStyle w:val="FootnoteReference"/>
        </w:rPr>
        <w:footnoteReference w:id="43"/>
      </w:r>
      <w:r w:rsidRPr="003D274A">
        <w:t xml:space="preserve">  The Commission deemed a $3,000 base forfeiture appropriate, explaining that it was equivalent to the base forfeiture usually imposed for failing to file required forms or information with the Commission, as the Commission would be prevented from assessing a winning bidder’s qualifications.  Acknowledging that not all defaults would relate to the failure to submit the required forms or information, the Commission nonetheless concluded that for administrative simplicity and to provide bidders with certainty as to the base forfeiture that would apply for all pre-authorization defaults, it was reasonable to subject all bidders to the same $3,000 base forfeiture per violation.  Therefore, the Company’s default in </w:t>
      </w:r>
      <w:r w:rsidRPr="003D274A" w:rsidR="00D94F60">
        <w:t>one</w:t>
      </w:r>
      <w:r w:rsidRPr="003D274A">
        <w:t xml:space="preserve"> distinct </w:t>
      </w:r>
      <w:r w:rsidRPr="003D274A" w:rsidR="004F1474">
        <w:t>geographic unit</w:t>
      </w:r>
      <w:r w:rsidRPr="003D274A">
        <w:t xml:space="preserve"> subjects it to a $</w:t>
      </w:r>
      <w:r w:rsidRPr="003D274A" w:rsidR="00D94F60">
        <w:t>3</w:t>
      </w:r>
      <w:r w:rsidRPr="003D274A">
        <w:t xml:space="preserve">,000 base forfeiture. </w:t>
      </w:r>
    </w:p>
    <w:p w:rsidR="00286950" w:rsidRPr="003D274A" w:rsidP="00286950" w14:paraId="0CF7FCD4" w14:textId="55495482">
      <w:pPr>
        <w:pStyle w:val="ParaNum"/>
        <w:spacing w:after="240"/>
        <w:rPr>
          <w:rStyle w:val="Hyperlink"/>
          <w:color w:val="auto"/>
          <w:u w:val="none"/>
        </w:rPr>
      </w:pPr>
      <w:r w:rsidRPr="003D274A">
        <w:t>The $</w:t>
      </w:r>
      <w:r w:rsidRPr="003D274A" w:rsidR="00D94F60">
        <w:t>3</w:t>
      </w:r>
      <w:r w:rsidRPr="003D274A">
        <w:t xml:space="preserve">,000 base forfeiture is consistent with the caps established for default penalties in Auction 903.  To prevent the </w:t>
      </w:r>
      <w:r w:rsidRPr="003D274A">
        <w:rPr>
          <w:rStyle w:val="Hyperlink"/>
          <w:color w:val="auto"/>
          <w:u w:val="none"/>
          <w:shd w:val="clear" w:color="auto" w:fill="FFFFFF"/>
        </w:rPr>
        <w:t>base forfeiture amount from being disproportionate to the amount of a winning bidder’s bid, the Commission limited the total base forfeiture for Auction 903 to 5% of the bidder’s total assigned support for the CBG in which it was defaulting.</w:t>
      </w:r>
      <w:r>
        <w:rPr>
          <w:rStyle w:val="FootnoteReference"/>
          <w:shd w:val="clear" w:color="auto" w:fill="FFFFFF"/>
        </w:rPr>
        <w:footnoteReference w:id="44"/>
      </w:r>
      <w:r w:rsidRPr="003D274A">
        <w:rPr>
          <w:rStyle w:val="Hyperlink"/>
          <w:color w:val="auto"/>
          <w:u w:val="none"/>
          <w:shd w:val="clear" w:color="auto" w:fill="FFFFFF"/>
        </w:rPr>
        <w:t xml:space="preserve">  The Commission regarded</w:t>
      </w:r>
      <w:r w:rsidRPr="003D274A">
        <w:t xml:space="preserve"> 5% of the total bid amount as not unduly punitive, while providing sufficient incentive for auction </w:t>
      </w:r>
      <w:r w:rsidRPr="003D274A">
        <w:t>participants to diligently inform themselves of the obligations associated with participation in the auction.</w:t>
      </w:r>
      <w:r>
        <w:rPr>
          <w:rStyle w:val="FootnoteReference"/>
        </w:rPr>
        <w:footnoteReference w:id="45"/>
      </w:r>
      <w:r w:rsidRPr="003D274A">
        <w:rPr>
          <w:rStyle w:val="Hyperlink"/>
          <w:color w:val="auto"/>
          <w:u w:val="none"/>
        </w:rPr>
        <w:t xml:space="preserve">  </w:t>
      </w:r>
      <w:r w:rsidRPr="003D274A">
        <w:t xml:space="preserve">The Company </w:t>
      </w:r>
      <w:r w:rsidR="00AC0646">
        <w:t>winning bi</w:t>
      </w:r>
      <w:r w:rsidR="00A43044">
        <w:t>d</w:t>
      </w:r>
      <w:r w:rsidR="00AC0646">
        <w:t xml:space="preserve"> in default </w:t>
      </w:r>
      <w:r w:rsidRPr="003D274A">
        <w:t xml:space="preserve">amounted to </w:t>
      </w:r>
      <w:r w:rsidRPr="003D274A" w:rsidR="00560874">
        <w:t>$</w:t>
      </w:r>
      <w:r w:rsidR="00AC0646">
        <w:t>96,450</w:t>
      </w:r>
      <w:r w:rsidR="008A66EF">
        <w:t>.00</w:t>
      </w:r>
      <w:r w:rsidR="00AC0646">
        <w:t>,</w:t>
      </w:r>
      <w:r w:rsidRPr="003D274A">
        <w:t xml:space="preserve"> thereby capping the maximum </w:t>
      </w:r>
      <w:r w:rsidR="005722C2">
        <w:t>forfeiture</w:t>
      </w:r>
      <w:r w:rsidRPr="003D274A">
        <w:t xml:space="preserve"> at $</w:t>
      </w:r>
      <w:r w:rsidR="00AC0646">
        <w:t>4,822.50</w:t>
      </w:r>
      <w:r w:rsidRPr="003D274A">
        <w:t xml:space="preserve">, 5% of the Company’s total support won.  Thus, in accordance with the </w:t>
      </w:r>
      <w:r w:rsidRPr="00AC0646">
        <w:rPr>
          <w:i/>
          <w:iCs/>
        </w:rPr>
        <w:t>Auction 903 Procedures P</w:t>
      </w:r>
      <w:r w:rsidR="00AC0646">
        <w:rPr>
          <w:i/>
          <w:iCs/>
        </w:rPr>
        <w:t xml:space="preserve">ublic </w:t>
      </w:r>
      <w:r w:rsidRPr="00AC0646">
        <w:rPr>
          <w:i/>
          <w:iCs/>
        </w:rPr>
        <w:t>N</w:t>
      </w:r>
      <w:r w:rsidR="00AC0646">
        <w:rPr>
          <w:i/>
          <w:iCs/>
        </w:rPr>
        <w:t>otice</w:t>
      </w:r>
      <w:r w:rsidRPr="003D274A">
        <w:t xml:space="preserve">, the </w:t>
      </w:r>
      <w:r w:rsidR="00A43044">
        <w:t xml:space="preserve">proposed </w:t>
      </w:r>
      <w:r w:rsidRPr="003D274A">
        <w:t>$</w:t>
      </w:r>
      <w:r w:rsidRPr="003D274A" w:rsidR="00C21AB5">
        <w:t>3</w:t>
      </w:r>
      <w:r w:rsidRPr="003D274A">
        <w:t xml:space="preserve">,000 </w:t>
      </w:r>
      <w:r w:rsidR="005722C2">
        <w:t>forfeiture</w:t>
      </w:r>
      <w:r w:rsidRPr="003D274A">
        <w:t xml:space="preserve"> does not exceed the 5% cap of the Company’s winning bid</w:t>
      </w:r>
      <w:r w:rsidR="00AC0646">
        <w:t xml:space="preserve"> in default</w:t>
      </w:r>
      <w:r w:rsidR="00A43044">
        <w:t xml:space="preserve"> for that CGB</w:t>
      </w:r>
      <w:r w:rsidR="00AC0646">
        <w:t>.</w:t>
      </w:r>
    </w:p>
    <w:p w:rsidR="00073978" w:rsidRPr="003D274A" w:rsidP="00F3725E" w14:paraId="64922AB0" w14:textId="6C7608E6">
      <w:pPr>
        <w:pStyle w:val="ParaNum"/>
        <w:spacing w:after="240"/>
      </w:pPr>
      <w:r w:rsidRPr="003D274A">
        <w:rPr>
          <w:rStyle w:val="Hyperlink"/>
          <w:color w:val="auto"/>
          <w:u w:val="none"/>
          <w:shd w:val="clear" w:color="auto" w:fill="FFFFFF"/>
        </w:rPr>
        <w:t xml:space="preserve">Finally, after considering all the circumstances presented in the instant case, we conclude that a departure from the base forfeiture is not warranted here.  </w:t>
      </w:r>
      <w:r w:rsidRPr="003D274A">
        <w:t xml:space="preserve">For Auction 903 defaults, the Commission allowed for adjustment of the total base forfeiture, upward or downward, based on the criteria set forth in the Commission’s forfeiture guidelines, </w:t>
      </w:r>
      <w:r w:rsidRPr="003D274A">
        <w:rPr>
          <w:rStyle w:val="Hyperlink"/>
          <w:color w:val="auto"/>
          <w:u w:val="none"/>
          <w:shd w:val="clear" w:color="auto" w:fill="FFFFFF"/>
        </w:rPr>
        <w:t>notwithstanding the 5% limitation on base forfeitures as discussed above.</w:t>
      </w:r>
      <w:r>
        <w:rPr>
          <w:rStyle w:val="FootnoteReference"/>
          <w:shd w:val="clear" w:color="auto" w:fill="FFFFFF"/>
        </w:rPr>
        <w:footnoteReference w:id="46"/>
      </w:r>
      <w:r w:rsidRPr="003D274A">
        <w:rPr>
          <w:rStyle w:val="Hyperlink"/>
          <w:color w:val="auto"/>
          <w:u w:val="none"/>
          <w:shd w:val="clear" w:color="auto" w:fill="FFFFFF"/>
        </w:rPr>
        <w:t xml:space="preserve">  </w:t>
      </w:r>
      <w:r w:rsidRPr="003D274A">
        <w:t>However, on balance, we find that there are no other factors present in the instant case that would justify a departure from the established base forfeiture.  Accordingly, we find that a forfeiture in the amount of $</w:t>
      </w:r>
      <w:r w:rsidRPr="003D274A" w:rsidR="00D94F60">
        <w:t>3</w:t>
      </w:r>
      <w:r w:rsidRPr="003D274A">
        <w:t>,000 against the Company is appropriate here.</w:t>
      </w:r>
      <w:r>
        <w:rPr>
          <w:rStyle w:val="FootnoteReference"/>
        </w:rPr>
        <w:footnoteReference w:id="47"/>
      </w:r>
      <w:r w:rsidRPr="003D274A">
        <w:t xml:space="preserve">  </w:t>
      </w:r>
    </w:p>
    <w:p w:rsidR="00286950" w:rsidRPr="003D274A" w:rsidP="00286950" w14:paraId="5B009125" w14:textId="77777777">
      <w:pPr>
        <w:pStyle w:val="Heading1"/>
        <w:rPr>
          <w:rFonts w:ascii="Times New Roman" w:hAnsi="Times New Roman"/>
        </w:rPr>
      </w:pPr>
      <w:r w:rsidRPr="003D274A">
        <w:rPr>
          <w:rFonts w:ascii="Times New Roman" w:hAnsi="Times New Roman"/>
        </w:rPr>
        <w:t>ordering clauses</w:t>
      </w:r>
    </w:p>
    <w:p w:rsidR="008D3573" w:rsidRPr="003D274A" w:rsidP="00AB3FD0" w14:paraId="7261A9DE" w14:textId="50DAD9DB">
      <w:pPr>
        <w:pStyle w:val="ParaNum"/>
        <w:spacing w:after="240"/>
      </w:pPr>
      <w:r w:rsidRPr="003D274A">
        <w:rPr>
          <w:b/>
        </w:rPr>
        <w:t>ACCORDINGLY, IT IS ORDERED</w:t>
      </w:r>
      <w:r w:rsidRPr="003D274A">
        <w:t xml:space="preserve">, pursuant to </w:t>
      </w:r>
      <w:r w:rsidRPr="003D274A" w:rsidR="00ED09FD">
        <w:t>s</w:t>
      </w:r>
      <w:r w:rsidRPr="003D274A">
        <w:t>ection 503(b) of the Communications Act</w:t>
      </w:r>
      <w:r>
        <w:rPr>
          <w:rStyle w:val="FootnoteReference"/>
        </w:rPr>
        <w:footnoteReference w:id="48"/>
      </w:r>
      <w:r w:rsidRPr="003D274A">
        <w:t xml:space="preserve"> and </w:t>
      </w:r>
      <w:r w:rsidR="005722C2">
        <w:t>s</w:t>
      </w:r>
      <w:r w:rsidRPr="003D274A">
        <w:t>ection 1.80 of the Commission’s rules,</w:t>
      </w:r>
      <w:r>
        <w:rPr>
          <w:rStyle w:val="FootnoteReference"/>
        </w:rPr>
        <w:footnoteReference w:id="49"/>
      </w:r>
      <w:r w:rsidRPr="003D274A">
        <w:t xml:space="preserve"> that </w:t>
      </w:r>
      <w:r w:rsidRPr="003D274A" w:rsidR="0079744A">
        <w:t xml:space="preserve">Westfield Gas and Electric </w:t>
      </w:r>
      <w:r w:rsidR="0079744A">
        <w:t xml:space="preserve">Light Department </w:t>
      </w:r>
      <w:r w:rsidRPr="003D274A">
        <w:t xml:space="preserve">is hereby </w:t>
      </w:r>
      <w:r w:rsidRPr="003D274A">
        <w:rPr>
          <w:b/>
        </w:rPr>
        <w:t>NOTIFIED</w:t>
      </w:r>
      <w:r w:rsidRPr="003D274A">
        <w:t xml:space="preserve"> of its </w:t>
      </w:r>
      <w:r w:rsidRPr="003D274A">
        <w:rPr>
          <w:b/>
        </w:rPr>
        <w:t>APPARENT LIABILITY FOR FORFEITURE</w:t>
      </w:r>
      <w:r w:rsidRPr="003D274A">
        <w:t xml:space="preserve"> in the amount of </w:t>
      </w:r>
      <w:r w:rsidRPr="003D274A" w:rsidR="00D94F60">
        <w:t>three</w:t>
      </w:r>
      <w:r w:rsidRPr="003D274A">
        <w:t xml:space="preserve"> thousand dollars ($</w:t>
      </w:r>
      <w:r w:rsidRPr="003D274A" w:rsidR="00D94F60">
        <w:t>3</w:t>
      </w:r>
      <w:r w:rsidRPr="003D274A">
        <w:t>,000</w:t>
      </w:r>
      <w:r w:rsidR="00E60F2B">
        <w:t>.00</w:t>
      </w:r>
      <w:r w:rsidRPr="003D274A">
        <w:rPr>
          <w:b/>
        </w:rPr>
        <w:t xml:space="preserve">) </w:t>
      </w:r>
      <w:r w:rsidRPr="003D274A">
        <w:t xml:space="preserve">for its willful violation of </w:t>
      </w:r>
      <w:r w:rsidRPr="003D274A" w:rsidR="00ED09FD">
        <w:t>s</w:t>
      </w:r>
      <w:r w:rsidRPr="003D274A">
        <w:t>ection 1.210</w:t>
      </w:r>
      <w:r w:rsidRPr="003D274A">
        <w:t>04(b)</w:t>
      </w:r>
      <w:r w:rsidRPr="003D274A" w:rsidR="00F607D8">
        <w:t xml:space="preserve"> </w:t>
      </w:r>
      <w:r w:rsidRPr="003D274A">
        <w:t>of the Commission’s rules,</w:t>
      </w:r>
      <w:r>
        <w:rPr>
          <w:rStyle w:val="FootnoteReference"/>
        </w:rPr>
        <w:footnoteReference w:id="50"/>
      </w:r>
      <w:r w:rsidRPr="003D274A">
        <w:t xml:space="preserve"> and</w:t>
      </w:r>
      <w:r w:rsidRPr="003D274A">
        <w:t xml:space="preserve"> the procedures established specifically for Auction 903 in </w:t>
      </w:r>
      <w:r w:rsidRPr="003D274A" w:rsidR="005E74D3">
        <w:t xml:space="preserve">the </w:t>
      </w:r>
      <w:r w:rsidRPr="003D274A">
        <w:rPr>
          <w:i/>
        </w:rPr>
        <w:t>Phase II Auction Procedures Public Notice</w:t>
      </w:r>
      <w:r w:rsidRPr="003D274A" w:rsidR="005E74D3">
        <w:rPr>
          <w:i/>
        </w:rPr>
        <w:t>.</w:t>
      </w:r>
    </w:p>
    <w:p w:rsidR="00AB3FD0" w:rsidRPr="003D274A" w:rsidP="00AF70C1" w14:paraId="0B45F1FF" w14:textId="34F9B08E">
      <w:pPr>
        <w:pStyle w:val="ParaNum"/>
        <w:spacing w:after="240"/>
        <w:rPr>
          <w:spacing w:val="-2"/>
        </w:rPr>
      </w:pPr>
      <w:bookmarkStart w:id="2" w:name="_Hlk10453498"/>
      <w:r w:rsidRPr="003D274A">
        <w:rPr>
          <w:b/>
        </w:rPr>
        <w:t>IT IS FURTHER ORDERED</w:t>
      </w:r>
      <w:r w:rsidRPr="003D274A">
        <w:t xml:space="preserve">, pursuant to </w:t>
      </w:r>
      <w:r w:rsidRPr="003D274A" w:rsidR="00ED09FD">
        <w:t>s</w:t>
      </w:r>
      <w:r w:rsidRPr="003D274A">
        <w:t>ection 1.80 of the Commission’s rules,</w:t>
      </w:r>
      <w:r>
        <w:rPr>
          <w:rStyle w:val="FootnoteReference"/>
        </w:rPr>
        <w:footnoteReference w:id="51"/>
      </w:r>
      <w:r w:rsidRPr="003D274A">
        <w:t xml:space="preserve"> that within thirty (30) calendar days of the release date of this Notice</w:t>
      </w:r>
      <w:r w:rsidRPr="003D274A" w:rsidR="00096A3C">
        <w:t>,</w:t>
      </w:r>
      <w:r w:rsidRPr="003D274A">
        <w:t xml:space="preserve"> </w:t>
      </w:r>
      <w:r w:rsidRPr="003D274A" w:rsidR="0079744A">
        <w:t xml:space="preserve">Westfield Gas and Electric </w:t>
      </w:r>
      <w:r w:rsidR="0079744A">
        <w:t xml:space="preserve">Light Department </w:t>
      </w:r>
      <w:r w:rsidRPr="003D274A">
        <w:rPr>
          <w:b/>
        </w:rPr>
        <w:t>SHALL</w:t>
      </w:r>
      <w:r w:rsidRPr="003D274A">
        <w:t xml:space="preserve"> </w:t>
      </w:r>
      <w:r w:rsidRPr="003D274A">
        <w:rPr>
          <w:b/>
        </w:rPr>
        <w:t>PAY</w:t>
      </w:r>
      <w:r w:rsidRPr="003D274A">
        <w:t xml:space="preserve"> the full amount of the proposed forfeiture or </w:t>
      </w:r>
      <w:r w:rsidRPr="003D274A">
        <w:rPr>
          <w:b/>
        </w:rPr>
        <w:t>SHALL</w:t>
      </w:r>
      <w:r w:rsidRPr="003D274A">
        <w:t xml:space="preserve"> </w:t>
      </w:r>
      <w:r w:rsidRPr="003D274A">
        <w:rPr>
          <w:b/>
        </w:rPr>
        <w:t>FILE</w:t>
      </w:r>
      <w:r w:rsidRPr="003D274A">
        <w:t xml:space="preserve"> a written statement seeking reduction or cancellation of the proposed forfeiture</w:t>
      </w:r>
      <w:r w:rsidRPr="003D274A">
        <w:t xml:space="preserve"> consistent with paragraph </w:t>
      </w:r>
      <w:r w:rsidRPr="003D274A" w:rsidR="00261A48">
        <w:t>21</w:t>
      </w:r>
      <w:r w:rsidRPr="003D274A">
        <w:t xml:space="preserve"> below.</w:t>
      </w:r>
    </w:p>
    <w:p w:rsidR="00AB3FD0" w:rsidRPr="003D274A" w:rsidP="00AF70C1" w14:paraId="15616F53" w14:textId="423E2451">
      <w:pPr>
        <w:pStyle w:val="ParaNum"/>
        <w:spacing w:after="240"/>
        <w:rPr>
          <w:spacing w:val="-2"/>
        </w:rPr>
      </w:pPr>
      <w:r w:rsidRPr="003D274A">
        <w:t>Westfield Gas and Electric</w:t>
      </w:r>
      <w:r w:rsidRPr="003D274A">
        <w:t xml:space="preserve"> shall send electronic notification of payment to Jeffrey Gee</w:t>
      </w:r>
      <w:r w:rsidRPr="003D274A">
        <w:t>, Pam Slipakoff</w:t>
      </w:r>
      <w:r w:rsidRPr="003D274A">
        <w:t>,</w:t>
      </w:r>
      <w:r w:rsidRPr="003D274A">
        <w:t xml:space="preserve"> and Ryan McDonald of the</w:t>
      </w:r>
      <w:r w:rsidRPr="003D274A">
        <w:t xml:space="preserve"> Enforcement Bureau, Federal Communications Commission, at </w:t>
      </w:r>
      <w:hyperlink r:id="rId5" w:history="1">
        <w:r w:rsidRPr="003D274A" w:rsidR="003D274A">
          <w:rPr>
            <w:rStyle w:val="Hyperlink"/>
            <w:color w:val="auto"/>
          </w:rPr>
          <w:t>Jeffrey.Gee@fcc.gov</w:t>
        </w:r>
      </w:hyperlink>
      <w:r w:rsidRPr="003D274A">
        <w:t xml:space="preserve">, </w:t>
      </w:r>
      <w:hyperlink r:id="rId6" w:history="1">
        <w:r w:rsidRPr="003D274A" w:rsidR="003D274A">
          <w:rPr>
            <w:rStyle w:val="Hyperlink"/>
            <w:color w:val="auto"/>
          </w:rPr>
          <w:t>Pam.Slipakoff@fcc.gov</w:t>
        </w:r>
      </w:hyperlink>
      <w:r w:rsidRPr="003D274A">
        <w:t xml:space="preserve">, and </w:t>
      </w:r>
      <w:hyperlink r:id="rId7" w:history="1">
        <w:r w:rsidRPr="003D274A" w:rsidR="003D274A">
          <w:rPr>
            <w:rStyle w:val="Hyperlink"/>
            <w:color w:val="auto"/>
          </w:rPr>
          <w:t>Ryan.McDonald@fcc.gov</w:t>
        </w:r>
      </w:hyperlink>
      <w:r w:rsidRPr="003D274A" w:rsidR="00F14AEB">
        <w:t>,</w:t>
      </w:r>
      <w:r w:rsidRPr="003D274A">
        <w:t xml:space="preserve"> on the date said payment is made.  Payment of the forfeiture must be made by </w:t>
      </w:r>
      <w:r w:rsidRPr="003D274A" w:rsidR="00096A3C">
        <w:t xml:space="preserve">wire transfer, </w:t>
      </w:r>
      <w:r w:rsidRPr="003D274A">
        <w:t xml:space="preserve">credit card, </w:t>
      </w:r>
      <w:r w:rsidRPr="003D274A" w:rsidR="00096A3C">
        <w:t xml:space="preserve">or </w:t>
      </w:r>
      <w:r w:rsidRPr="003D274A">
        <w:t xml:space="preserve">ACH (Automated Clearing House) debit from a bank account using the Commission’s Fee Filer (the </w:t>
      </w:r>
      <w:r w:rsidRPr="003D274A">
        <w:t>Commission’s online payment system)</w:t>
      </w:r>
      <w:r w:rsidRPr="003D274A" w:rsidR="00096A3C">
        <w:t>.</w:t>
      </w:r>
      <w:r>
        <w:rPr>
          <w:rStyle w:val="FootnoteReference"/>
        </w:rPr>
        <w:footnoteReference w:id="52"/>
      </w:r>
      <w:r w:rsidRPr="003D274A">
        <w:t xml:space="preserve">  The Commission no longer accepts forfeiture payments by check or money order.  Below are instructions that payors should follow based on the form of payment selected:</w:t>
      </w:r>
      <w:r>
        <w:rPr>
          <w:vertAlign w:val="superscript"/>
        </w:rPr>
        <w:footnoteReference w:id="53"/>
      </w:r>
      <w:r w:rsidRPr="003D274A">
        <w:tab/>
      </w:r>
    </w:p>
    <w:p w:rsidR="00073978" w:rsidP="00F3725E" w14:paraId="649979B4" w14:textId="2BF07483">
      <w:pPr>
        <w:numPr>
          <w:ilvl w:val="0"/>
          <w:numId w:val="5"/>
        </w:numPr>
        <w:spacing w:after="240"/>
      </w:pPr>
      <w:r w:rsidRPr="003D274A">
        <w:t xml:space="preserve">Payment by wire transfer must be made to ABA Number 021030004, receiving bank TREAS/NYC, and Account Number 27000001.  A completed Form 159 must be faxed to the Federal Communications Commission at 202-418-2843 or emailed to </w:t>
      </w:r>
      <w:hyperlink r:id="rId8" w:history="1">
        <w:r w:rsidRPr="003D274A" w:rsidR="003D274A">
          <w:rPr>
            <w:rStyle w:val="Hyperlink"/>
            <w:color w:val="auto"/>
          </w:rPr>
          <w:t>RROGWireFaxes@fcc.gov</w:t>
        </w:r>
      </w:hyperlink>
      <w:r w:rsidRPr="003D274A">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54"/>
      </w:r>
      <w:r w:rsidRPr="003D274A">
        <w:t xml:space="preserve">  For additional detail and wire transfer instructions, go to </w:t>
      </w:r>
      <w:hyperlink r:id="rId9" w:history="1">
        <w:r w:rsidRPr="003D274A">
          <w:rPr>
            <w:rStyle w:val="Hyperlink"/>
            <w:rFonts w:eastAsiaTheme="minorHAnsi"/>
            <w:color w:val="auto"/>
          </w:rPr>
          <w:t>https://www.fcc.gov/licensing-databases/fees/wire-transfer</w:t>
        </w:r>
      </w:hyperlink>
      <w:r w:rsidRPr="003D274A">
        <w:t>.</w:t>
      </w:r>
    </w:p>
    <w:p w:rsidR="00AB3FD0" w:rsidRPr="003D274A" w:rsidP="00AF70C1" w14:paraId="37537704" w14:textId="35143DF4">
      <w:pPr>
        <w:numPr>
          <w:ilvl w:val="0"/>
          <w:numId w:val="5"/>
        </w:numPr>
        <w:spacing w:after="240"/>
      </w:pPr>
      <w:r w:rsidRPr="003D274A">
        <w:t xml:space="preserve">Payment by credit card must be made by using the Commission’s Fee Filer website at </w:t>
      </w:r>
      <w:hyperlink r:id="rId10" w:history="1">
        <w:r w:rsidRPr="003D274A">
          <w:rPr>
            <w:rStyle w:val="Hyperlink"/>
            <w:color w:val="auto"/>
          </w:rPr>
          <w:t>https://apps.fcc.gov/FeeFiler/login.cfm</w:t>
        </w:r>
      </w:hyperlink>
      <w:r w:rsidRPr="003D274A">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AB3FD0" w:rsidRPr="003D274A" w:rsidP="00AF70C1" w14:paraId="1809A215" w14:textId="39CB0AB4">
      <w:pPr>
        <w:numPr>
          <w:ilvl w:val="0"/>
          <w:numId w:val="4"/>
        </w:numPr>
        <w:spacing w:after="240"/>
        <w:rPr>
          <w:b/>
        </w:rPr>
      </w:pPr>
      <w:r w:rsidRPr="003D274A">
        <w:t xml:space="preserve">Payment by ACH must be made by using the Commission’s Fee Filer website at </w:t>
      </w:r>
      <w:hyperlink r:id="rId10" w:history="1">
        <w:r w:rsidRPr="003D274A">
          <w:rPr>
            <w:rStyle w:val="Hyperlink"/>
            <w:rFonts w:eastAsiaTheme="minorHAnsi"/>
            <w:color w:val="auto"/>
          </w:rPr>
          <w:t>https://apps.fcc.gov/FeeFiler/login.cfm</w:t>
        </w:r>
      </w:hyperlink>
      <w:r w:rsidRPr="003D274A">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B3FD0" w:rsidRPr="003D274A" w:rsidP="00AF70C1" w14:paraId="449BBA00" w14:textId="6A689116">
      <w:pPr>
        <w:pStyle w:val="ParaNum"/>
        <w:spacing w:after="240"/>
      </w:pPr>
      <w:r w:rsidRPr="003D274A">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55"/>
      </w:r>
      <w:r w:rsidRPr="003D274A">
        <w:t xml:space="preserve">  Questions regarding payment procedures should be directed to the Financial Operations Group Help Desk by phone, 1-877-480-3201, or by email, </w:t>
      </w:r>
      <w:hyperlink r:id="rId11" w:history="1">
        <w:r w:rsidRPr="003D274A" w:rsidR="003D274A">
          <w:rPr>
            <w:rStyle w:val="Hyperlink"/>
            <w:color w:val="auto"/>
          </w:rPr>
          <w:t>ARINQUIRIES@fcc.gov</w:t>
        </w:r>
      </w:hyperlink>
      <w:r w:rsidRPr="003D274A">
        <w:t>.</w:t>
      </w:r>
    </w:p>
    <w:p w:rsidR="00AB3FD0" w:rsidRPr="003D274A" w:rsidP="00AF70C1" w14:paraId="253B5896" w14:textId="38399F3C">
      <w:pPr>
        <w:pStyle w:val="ParaNum"/>
        <w:spacing w:after="240"/>
      </w:pPr>
      <w:r w:rsidRPr="003D274A">
        <w:t xml:space="preserve">The written statement seeking reduction or cancellation of the proposed forfeiture, if any, must include a detailed factual statement supported by appropriate documentation and affidavits pursuant to </w:t>
      </w:r>
      <w:r w:rsidR="005722C2">
        <w:t>s</w:t>
      </w:r>
      <w:r w:rsidRPr="003D274A">
        <w:t xml:space="preserve">ections 1.16 and 1.80(f)(3) of the </w:t>
      </w:r>
      <w:r w:rsidRPr="003D274A" w:rsidR="007E35F9">
        <w:t>r</w:t>
      </w:r>
      <w:r w:rsidRPr="003D274A">
        <w:t>ules.</w:t>
      </w:r>
      <w:r>
        <w:rPr>
          <w:vertAlign w:val="superscript"/>
        </w:rPr>
        <w:footnoteReference w:id="56"/>
      </w:r>
      <w:r w:rsidRPr="003D274A">
        <w:t xml:space="preserve">  The written statement must be mailed </w:t>
      </w:r>
      <w:r w:rsidR="00E665D3">
        <w:t>to the Federal Communications Commission in one of the following two ways.  It may be mailed v</w:t>
      </w:r>
      <w:r w:rsidR="000E75D2">
        <w:t xml:space="preserve">ia the U.S. Postal </w:t>
      </w:r>
      <w:r w:rsidR="000E75D2">
        <w:t>Service to</w:t>
      </w:r>
      <w:r w:rsidRPr="003D274A">
        <w:t xml:space="preserve"> the Office of the Secretary, Federal Communications Commission, 445 12th Street, SW, Washington, DC 20554, ATTN:  Enforcement Bureau</w:t>
      </w:r>
      <w:r w:rsidRPr="003D274A" w:rsidR="00F14AEB">
        <w:t xml:space="preserve">, </w:t>
      </w:r>
      <w:r w:rsidRPr="003D274A" w:rsidR="00254387">
        <w:t>Investigations and Hearings Division</w:t>
      </w:r>
      <w:r w:rsidRPr="003D274A">
        <w:t xml:space="preserve">, and must include the NAL/Account Number referenced in the caption.  </w:t>
      </w:r>
      <w:r w:rsidR="00E665D3">
        <w:t xml:space="preserve">Alternatively, it may be mailed </w:t>
      </w:r>
      <w:r w:rsidR="000E75D2">
        <w:t>via commercial overnight mail</w:t>
      </w:r>
      <w:r w:rsidR="00E665D3">
        <w:t xml:space="preserve"> </w:t>
      </w:r>
      <w:r w:rsidR="000E75D2">
        <w:t xml:space="preserve">to </w:t>
      </w:r>
      <w:r w:rsidRPr="003D274A" w:rsidR="00E665D3">
        <w:t>Office of the Secretary, Federal Communications Commission</w:t>
      </w:r>
      <w:r w:rsidR="00E665D3">
        <w:t xml:space="preserve">, </w:t>
      </w:r>
      <w:r w:rsidR="000E75D2">
        <w:t>9050 Junction Drive, Annapolis Junction, MD</w:t>
      </w:r>
      <w:r w:rsidR="00E665D3">
        <w:t>,</w:t>
      </w:r>
      <w:r w:rsidR="000E75D2">
        <w:t xml:space="preserve"> 20701</w:t>
      </w:r>
      <w:r w:rsidR="00E665D3">
        <w:t xml:space="preserve"> </w:t>
      </w:r>
      <w:r w:rsidRPr="003D274A" w:rsidR="00E665D3">
        <w:t>ATTN:  Enforcement Bureau, Investigations and Hearings Division, and must include the NAL/Account Number referenced in the caption</w:t>
      </w:r>
      <w:r w:rsidR="000E75D2">
        <w:t xml:space="preserve">. </w:t>
      </w:r>
      <w:r w:rsidR="0038588C">
        <w:t xml:space="preserve"> </w:t>
      </w:r>
      <w:r w:rsidRPr="003D274A">
        <w:t xml:space="preserve">The statement must also be emailed to </w:t>
      </w:r>
      <w:r w:rsidRPr="003D274A" w:rsidR="000469F1">
        <w:t xml:space="preserve">Jeffrey Gee, Pam Slipakoff, and Ryan McDonald of the Enforcement Bureau, Federal Communications Commission, at </w:t>
      </w:r>
      <w:hyperlink r:id="rId5" w:history="1">
        <w:r w:rsidRPr="003D274A" w:rsidR="003D274A">
          <w:rPr>
            <w:rStyle w:val="Hyperlink"/>
            <w:color w:val="auto"/>
          </w:rPr>
          <w:t>Jeffrey.Gee@fcc.gov</w:t>
        </w:r>
      </w:hyperlink>
      <w:r w:rsidRPr="003D274A" w:rsidR="000469F1">
        <w:t xml:space="preserve">, </w:t>
      </w:r>
      <w:hyperlink r:id="rId6" w:history="1">
        <w:r w:rsidRPr="003D274A" w:rsidR="003D274A">
          <w:rPr>
            <w:rStyle w:val="Hyperlink"/>
            <w:color w:val="auto"/>
          </w:rPr>
          <w:t>Pam.Slipakoff@fcc.gov</w:t>
        </w:r>
      </w:hyperlink>
      <w:r w:rsidRPr="003D274A" w:rsidR="000469F1">
        <w:t xml:space="preserve">, and </w:t>
      </w:r>
      <w:hyperlink r:id="rId7" w:history="1">
        <w:r w:rsidRPr="003D274A" w:rsidR="000469F1">
          <w:rPr>
            <w:rStyle w:val="Hyperlink"/>
            <w:color w:val="auto"/>
          </w:rPr>
          <w:t>Ryan.McDonald@fcc.gov</w:t>
        </w:r>
      </w:hyperlink>
      <w:r w:rsidRPr="003D274A" w:rsidR="00254387">
        <w:t>.</w:t>
      </w:r>
      <w:r w:rsidRPr="003D274A" w:rsidR="000469F1">
        <w:t xml:space="preserve"> </w:t>
      </w:r>
      <w:r w:rsidR="00883606">
        <w:t xml:space="preserve"> Until further notice</w:t>
      </w:r>
      <w:r w:rsidR="00B67B62">
        <w:t>, the Commission will not accept any hand or messenger delivered filings.</w:t>
      </w:r>
    </w:p>
    <w:p w:rsidR="00073978" w:rsidRPr="0079744A" w:rsidP="00F3725E" w14:paraId="72834C2B" w14:textId="6760F00E">
      <w:pPr>
        <w:pStyle w:val="ParaNum"/>
        <w:spacing w:after="240"/>
      </w:pPr>
      <w:r w:rsidRPr="003D274A">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r w:rsidRPr="003D274A" w:rsidR="00286950">
        <w:t>.</w:t>
      </w:r>
    </w:p>
    <w:bookmarkEnd w:id="2"/>
    <w:p w:rsidR="00286950" w:rsidRPr="0079744A" w:rsidP="00F16686" w14:paraId="5B3EB0F8" w14:textId="434367C9">
      <w:pPr>
        <w:pStyle w:val="ParaNum"/>
        <w:spacing w:after="240"/>
        <w:rPr>
          <w:rStyle w:val="Strong"/>
          <w:b w:val="0"/>
          <w:bCs w:val="0"/>
        </w:rPr>
      </w:pPr>
      <w:r w:rsidRPr="0079744A">
        <w:rPr>
          <w:b/>
        </w:rPr>
        <w:t>IT IS FURTHER ORDERED</w:t>
      </w:r>
      <w:r w:rsidRPr="0079744A">
        <w:t xml:space="preserve"> that </w:t>
      </w:r>
      <w:r w:rsidR="00C90823">
        <w:t>a</w:t>
      </w:r>
      <w:r w:rsidR="00044B79">
        <w:t xml:space="preserve"> copy of </w:t>
      </w:r>
      <w:r w:rsidR="00C90823">
        <w:t>this</w:t>
      </w:r>
      <w:r w:rsidR="00044B79">
        <w:t xml:space="preserve"> Notice of Apparent Liability for Forfeiture shall be sent, by Certified Mail Return Receipt Requested, to </w:t>
      </w:r>
      <w:r w:rsidRPr="0079744A" w:rsidR="00AF70C1">
        <w:rPr>
          <w:rStyle w:val="Strong"/>
          <w:b w:val="0"/>
        </w:rPr>
        <w:t>John Leary</w:t>
      </w:r>
      <w:r w:rsidR="00044B79">
        <w:rPr>
          <w:rStyle w:val="Strong"/>
          <w:b w:val="0"/>
        </w:rPr>
        <w:t>,</w:t>
      </w:r>
      <w:r w:rsidR="00504342">
        <w:rPr>
          <w:rStyle w:val="Strong"/>
          <w:b w:val="0"/>
        </w:rPr>
        <w:t xml:space="preserve"> Westfield Gas and Electric Light Department</w:t>
      </w:r>
      <w:r w:rsidR="00044B79">
        <w:rPr>
          <w:rStyle w:val="Strong"/>
          <w:b w:val="0"/>
        </w:rPr>
        <w:t>,</w:t>
      </w:r>
      <w:r w:rsidR="00504342">
        <w:rPr>
          <w:rStyle w:val="Strong"/>
          <w:b w:val="0"/>
        </w:rPr>
        <w:t xml:space="preserve"> </w:t>
      </w:r>
      <w:r w:rsidRPr="003D274A" w:rsidR="00044B79">
        <w:rPr>
          <w:rStyle w:val="Strong"/>
          <w:b w:val="0"/>
        </w:rPr>
        <w:t>100 Elm Street, Westfield, MA 01085</w:t>
      </w:r>
      <w:r w:rsidRPr="0079744A" w:rsidR="00AF70C1">
        <w:rPr>
          <w:rStyle w:val="Strong"/>
          <w:b w:val="0"/>
        </w:rPr>
        <w:t>.</w:t>
      </w:r>
    </w:p>
    <w:p w:rsidR="00F16686" w:rsidRPr="0079744A" w:rsidP="00F16686" w14:paraId="4A2F7157" w14:textId="77777777">
      <w:pPr>
        <w:pStyle w:val="ParaNum"/>
        <w:numPr>
          <w:ilvl w:val="0"/>
          <w:numId w:val="0"/>
        </w:numPr>
        <w:spacing w:after="240"/>
      </w:pPr>
    </w:p>
    <w:p w:rsidR="00F16686" w:rsidRPr="003D274A" w:rsidP="00F16686" w14:paraId="6114C960" w14:textId="77777777">
      <w:pPr>
        <w:tabs>
          <w:tab w:val="left" w:pos="-720"/>
        </w:tabs>
        <w:suppressAutoHyphens/>
        <w:spacing w:line="240" w:lineRule="atLeast"/>
        <w:jc w:val="both"/>
      </w:pPr>
    </w:p>
    <w:p w:rsidR="00286950" w:rsidRPr="003D274A" w:rsidP="00F16686" w14:paraId="0F17F8E2" w14:textId="191BF864">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FEDERAL COMMUNICATIONS COMMISSION</w:t>
      </w:r>
    </w:p>
    <w:p w:rsidR="00286950" w:rsidRPr="003D274A" w:rsidP="00F16686" w14:paraId="28DF2453" w14:textId="3EBDE9BA">
      <w:pPr>
        <w:tabs>
          <w:tab w:val="left" w:pos="-720"/>
        </w:tabs>
        <w:suppressAutoHyphens/>
        <w:spacing w:line="240" w:lineRule="atLeast"/>
        <w:jc w:val="both"/>
      </w:pPr>
    </w:p>
    <w:p w:rsidR="00F16686" w:rsidRPr="003D274A" w:rsidP="00F16686" w14:paraId="16BC6BE6" w14:textId="13553304">
      <w:pPr>
        <w:tabs>
          <w:tab w:val="left" w:pos="-720"/>
        </w:tabs>
        <w:suppressAutoHyphens/>
        <w:spacing w:line="240" w:lineRule="atLeast"/>
        <w:jc w:val="both"/>
      </w:pPr>
    </w:p>
    <w:p w:rsidR="00F16686" w:rsidRPr="003D274A" w:rsidP="00F16686" w14:paraId="4692EA08" w14:textId="0D291CFC">
      <w:pPr>
        <w:tabs>
          <w:tab w:val="left" w:pos="-720"/>
        </w:tabs>
        <w:suppressAutoHyphens/>
        <w:spacing w:line="240" w:lineRule="atLeast"/>
        <w:jc w:val="both"/>
      </w:pPr>
    </w:p>
    <w:p w:rsidR="00F16686" w:rsidRPr="003D274A" w:rsidP="00F16686" w14:paraId="7D49AE7C" w14:textId="5C28E9CA">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________________________</w:t>
      </w:r>
    </w:p>
    <w:p w:rsidR="00286950" w:rsidRPr="003D274A" w:rsidP="00F16686" w14:paraId="13814CE9" w14:textId="77777777">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 xml:space="preserve">Rosemary C. Harold </w:t>
      </w:r>
    </w:p>
    <w:p w:rsidR="00C213B1" w:rsidRPr="003D274A" w:rsidP="00F16686" w14:paraId="3403CFD8" w14:textId="2B7701C1">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t xml:space="preserve">Chief </w:t>
      </w:r>
    </w:p>
    <w:p w:rsidR="00286950" w:rsidRPr="003D274A" w:rsidP="00F16686" w14:paraId="6270486E" w14:textId="200374F4">
      <w:pPr>
        <w:tabs>
          <w:tab w:val="left" w:pos="-720"/>
        </w:tabs>
        <w:suppressAutoHyphens/>
        <w:spacing w:line="240" w:lineRule="atLeast"/>
        <w:jc w:val="both"/>
      </w:pPr>
      <w:r w:rsidRPr="003D274A">
        <w:tab/>
      </w:r>
      <w:r w:rsidRPr="003D274A">
        <w:tab/>
      </w:r>
      <w:r w:rsidRPr="003D274A">
        <w:tab/>
      </w:r>
      <w:r w:rsidRPr="003D274A">
        <w:tab/>
      </w:r>
      <w:r w:rsidRPr="003D274A">
        <w:tab/>
      </w:r>
      <w:r w:rsidRPr="003D274A">
        <w:tab/>
      </w:r>
      <w:r w:rsidRPr="003D274A">
        <w:t xml:space="preserve">Enforcement Bureau </w:t>
      </w:r>
    </w:p>
    <w:sectPr w:rsidSect="0055614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9796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7EB2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2D3DE1" w14:paraId="62BDA904" w14:textId="77777777">
    <w:pPr>
      <w:pStyle w:val="Footer"/>
      <w:jc w:val="center"/>
    </w:pPr>
    <w:r w:rsidRPr="002D3DE1">
      <w:fldChar w:fldCharType="begin"/>
    </w:r>
    <w:r w:rsidRPr="002D3DE1">
      <w:instrText xml:space="preserve"> PAGE   \* MERGEFORMAT </w:instrText>
    </w:r>
    <w:r w:rsidRPr="002D3DE1">
      <w:fldChar w:fldCharType="separate"/>
    </w:r>
    <w:r w:rsidRPr="002D3DE1">
      <w:rPr>
        <w:noProof/>
      </w:rPr>
      <w:t>2</w:t>
    </w:r>
    <w:r w:rsidRPr="002D3DE1">
      <w:rPr>
        <w:noProof/>
      </w:rPr>
      <w:fldChar w:fldCharType="end"/>
    </w:r>
  </w:p>
  <w:p w:rsidR="00D25FB5" w:rsidRPr="002D3DE1" w14:paraId="2109F70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DE1" w:rsidRPr="002D3DE1" w:rsidP="00AD3E32" w14:paraId="63DCFE5D" w14:textId="1F6F28CE">
    <w:pPr>
      <w:pStyle w:val="Footer"/>
      <w:rPr>
        <w:caps/>
        <w:noProof/>
      </w:rPr>
    </w:pPr>
  </w:p>
  <w:p w:rsidR="00D25FB5" w:rsidRPr="002D3DE1" w14:paraId="30172D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1124" w:rsidP="00286950" w14:paraId="4DEE4B46" w14:textId="77777777">
      <w:r>
        <w:separator/>
      </w:r>
    </w:p>
  </w:footnote>
  <w:footnote w:type="continuationSeparator" w:id="1">
    <w:p w:rsidR="00371124" w:rsidP="00286950" w14:paraId="7A727811" w14:textId="77777777">
      <w:r>
        <w:continuationSeparator/>
      </w:r>
    </w:p>
  </w:footnote>
  <w:footnote w:type="continuationNotice" w:id="2">
    <w:p w:rsidR="00371124" w14:paraId="697517DA" w14:textId="77777777"/>
  </w:footnote>
  <w:footnote w:id="3">
    <w:p w:rsidR="00286950" w:rsidRPr="003D274A" w:rsidP="00286950" w14:paraId="41436CEF" w14:textId="77777777">
      <w:pPr>
        <w:pStyle w:val="FootnoteText"/>
      </w:pPr>
      <w:r w:rsidRPr="003D274A">
        <w:rPr>
          <w:rStyle w:val="FootnoteReference"/>
          <w:rFonts w:eastAsia="Calibri"/>
        </w:rPr>
        <w:footnoteRef/>
      </w:r>
      <w:r w:rsidRPr="003D274A">
        <w:t xml:space="preserve"> </w:t>
      </w:r>
      <w:r w:rsidRPr="003D274A">
        <w:rPr>
          <w:shd w:val="clear" w:color="auto" w:fill="FFFFFF"/>
        </w:rPr>
        <w:t>The Connect America Fund Phase II is part of the Commission’s reform and modernization of its universal service support programs.</w:t>
      </w:r>
    </w:p>
  </w:footnote>
  <w:footnote w:id="4">
    <w:p w:rsidR="007F6B9D" w:rsidRPr="003D274A" w:rsidP="007F6B9D" w14:paraId="38BEC667" w14:textId="60316612">
      <w:pPr>
        <w:pStyle w:val="FootnoteText"/>
      </w:pPr>
      <w:r w:rsidRPr="003D274A">
        <w:rPr>
          <w:rStyle w:val="FootnoteReference"/>
          <w:rFonts w:eastAsia="Calibri"/>
        </w:rPr>
        <w:footnoteRef/>
      </w:r>
      <w:r w:rsidRPr="003D274A">
        <w:t xml:space="preserve"> Any entity that is a “Small Business Concern” as defined in the Small Business Act (Pub. L. 85-536, as amended) may avail itself of rights set forth in that Act, including rights set forth in 15 U.S.C. </w:t>
      </w:r>
      <w:r w:rsidRPr="003D274A" w:rsidR="00056D73">
        <w:t>§</w:t>
      </w:r>
      <w:r w:rsidRPr="003D274A">
        <w:t xml:space="preserve"> 657, “Oversight of Regulatory Enforcement,” in addition to other rights set forth herein.</w:t>
      </w:r>
    </w:p>
  </w:footnote>
  <w:footnote w:id="5">
    <w:p w:rsidR="001E4F2E" w:rsidRPr="003D274A" w:rsidP="001E4F2E" w14:paraId="35213723" w14:textId="50D06A88">
      <w:pPr>
        <w:pStyle w:val="FootnoteText"/>
      </w:pPr>
      <w:r w:rsidRPr="003D274A">
        <w:rPr>
          <w:rStyle w:val="FootnoteReference"/>
        </w:rPr>
        <w:footnoteRef/>
      </w:r>
      <w:r w:rsidRPr="003D274A">
        <w:t xml:space="preserve"> </w:t>
      </w:r>
      <w:r w:rsidRPr="003D274A" w:rsidR="0013651D">
        <w:rPr>
          <w:i/>
        </w:rPr>
        <w:t>Connect America Fund Phase II Auction Scheduled for July 24, 2018 Notice and Filing Requirements and Other Procedures for Auction 903</w:t>
      </w:r>
      <w:r w:rsidRPr="003D274A" w:rsidR="0013651D">
        <w:t xml:space="preserve">, </w:t>
      </w:r>
      <w:r w:rsidRPr="003D274A" w:rsidR="0013651D">
        <w:rPr>
          <w:shd w:val="clear" w:color="auto" w:fill="FFFFFF"/>
        </w:rPr>
        <w:t xml:space="preserve">Public Notice, </w:t>
      </w:r>
      <w:r w:rsidRPr="003D274A" w:rsidR="0013651D">
        <w:rPr>
          <w:bdr w:val="none" w:sz="0" w:space="0" w:color="auto" w:frame="1"/>
          <w:shd w:val="clear" w:color="auto" w:fill="FFFFFF"/>
        </w:rPr>
        <w:t>AU Docket No. 17-182, WC Docket No. 10-90</w:t>
      </w:r>
      <w:r w:rsidRPr="003D274A" w:rsidR="0013651D">
        <w:rPr>
          <w:shd w:val="clear" w:color="auto" w:fill="FFFFFF"/>
        </w:rPr>
        <w:t xml:space="preserve">, 33 FCC </w:t>
      </w:r>
      <w:r w:rsidRPr="003D274A" w:rsidR="0013651D">
        <w:rPr>
          <w:shd w:val="clear" w:color="auto" w:fill="FFFFFF"/>
        </w:rPr>
        <w:t>Rcd</w:t>
      </w:r>
      <w:r w:rsidRPr="003D274A" w:rsidR="0013651D">
        <w:rPr>
          <w:shd w:val="clear" w:color="auto" w:fill="FFFFFF"/>
        </w:rPr>
        <w:t xml:space="preserve"> 14</w:t>
      </w:r>
      <w:r w:rsidR="0013651D">
        <w:rPr>
          <w:shd w:val="clear" w:color="auto" w:fill="FFFFFF"/>
        </w:rPr>
        <w:t>32</w:t>
      </w:r>
      <w:r w:rsidRPr="003D274A" w:rsidR="0013651D">
        <w:rPr>
          <w:shd w:val="clear" w:color="auto" w:fill="FFFFFF"/>
        </w:rPr>
        <w:t xml:space="preserve">, </w:t>
      </w:r>
      <w:r w:rsidRPr="003D274A" w:rsidR="0013651D">
        <w:t>para. 1</w:t>
      </w:r>
      <w:r w:rsidR="0013651D">
        <w:t>0</w:t>
      </w:r>
      <w:r w:rsidRPr="003D274A" w:rsidR="0013651D">
        <w:t xml:space="preserve"> </w:t>
      </w:r>
      <w:r w:rsidRPr="003D274A" w:rsidR="0013651D">
        <w:rPr>
          <w:shd w:val="clear" w:color="auto" w:fill="FFFFFF"/>
        </w:rPr>
        <w:t>(</w:t>
      </w:r>
      <w:r w:rsidRPr="003D274A" w:rsidR="0013651D">
        <w:rPr>
          <w:rStyle w:val="cosearchterm"/>
          <w:bCs/>
          <w:bdr w:val="none" w:sz="0" w:space="0" w:color="auto" w:frame="1"/>
        </w:rPr>
        <w:t xml:space="preserve">2018), </w:t>
      </w:r>
      <w:r w:rsidRPr="003D274A" w:rsidR="0013651D">
        <w:t>(</w:t>
      </w:r>
      <w:r w:rsidRPr="003D274A" w:rsidR="0013651D">
        <w:rPr>
          <w:i/>
        </w:rPr>
        <w:t>Phase II Auction Procedures Public Notice</w:t>
      </w:r>
      <w:r w:rsidRPr="0013651D" w:rsidR="0013651D">
        <w:rPr>
          <w:i/>
          <w:iCs/>
        </w:rPr>
        <w:t>).</w:t>
      </w:r>
    </w:p>
  </w:footnote>
  <w:footnote w:id="6">
    <w:p w:rsidR="001E4F2E" w:rsidRPr="003D274A" w:rsidP="001E4F2E" w14:paraId="5E96F136" w14:textId="77777777">
      <w:pPr>
        <w:pStyle w:val="FootnoteText"/>
      </w:pPr>
      <w:r w:rsidRPr="003D274A">
        <w:rPr>
          <w:rStyle w:val="FootnoteReference"/>
          <w:rFonts w:eastAsia="Calibri"/>
        </w:rPr>
        <w:footnoteRef/>
      </w:r>
      <w:r w:rsidRPr="003D274A">
        <w:t xml:space="preserve"> </w:t>
      </w:r>
      <w:r w:rsidRPr="003D274A">
        <w:rPr>
          <w:i/>
        </w:rPr>
        <w:t>Connect America Fund et al.</w:t>
      </w:r>
      <w:r w:rsidRPr="003D274A">
        <w:t xml:space="preserve">, Report and Order and Further Notice of Proposed Rulemaking, 31 FCC </w:t>
      </w:r>
      <w:r w:rsidRPr="003D274A">
        <w:t>Rcd</w:t>
      </w:r>
      <w:r w:rsidRPr="003D274A">
        <w:t xml:space="preserve"> 5949, 6000, para. 143 (2016), (</w:t>
      </w:r>
      <w:r w:rsidRPr="003D274A">
        <w:rPr>
          <w:i/>
        </w:rPr>
        <w:t>Phase II Auction Order and/or FNPRM</w:t>
      </w:r>
      <w:r w:rsidRPr="003D274A">
        <w:t xml:space="preserve">); </w:t>
      </w:r>
      <w:r w:rsidRPr="003D274A">
        <w:rPr>
          <w:i/>
        </w:rPr>
        <w:t xml:space="preserve">Phase II Auction Procedures Public Notice, </w:t>
      </w:r>
      <w:r w:rsidRPr="003D274A">
        <w:rPr>
          <w:shd w:val="clear" w:color="auto" w:fill="FFFFFF"/>
        </w:rPr>
        <w:t xml:space="preserve">33 FCC </w:t>
      </w:r>
      <w:r w:rsidRPr="003D274A">
        <w:rPr>
          <w:shd w:val="clear" w:color="auto" w:fill="FFFFFF"/>
        </w:rPr>
        <w:t>Rcd</w:t>
      </w:r>
      <w:r w:rsidRPr="003D274A">
        <w:rPr>
          <w:shd w:val="clear" w:color="auto" w:fill="FFFFFF"/>
        </w:rPr>
        <w:t xml:space="preserve"> at 1471-2,</w:t>
      </w:r>
      <w:r w:rsidRPr="003D274A">
        <w:t xml:space="preserve"> paras. 111-119. </w:t>
      </w:r>
    </w:p>
  </w:footnote>
  <w:footnote w:id="7">
    <w:p w:rsidR="002E127C" w:rsidRPr="003D274A" w:rsidP="002E127C" w14:paraId="5D9AC6D6" w14:textId="77777777">
      <w:pPr>
        <w:pStyle w:val="FootnoteText"/>
      </w:pPr>
      <w:r w:rsidRPr="003D274A">
        <w:rPr>
          <w:rStyle w:val="FootnoteReference"/>
          <w:rFonts w:eastAsia="Calibri"/>
        </w:rPr>
        <w:footnoteRef/>
      </w:r>
      <w:r w:rsidRPr="003D274A">
        <w:t xml:space="preserve"> </w:t>
      </w:r>
      <w:r w:rsidRPr="003D274A">
        <w:rPr>
          <w:i/>
        </w:rPr>
        <w:t xml:space="preserve">Phase II Auction Procedures Public Notice, </w:t>
      </w:r>
      <w:r w:rsidRPr="003D274A">
        <w:rPr>
          <w:shd w:val="clear" w:color="auto" w:fill="FFFFFF"/>
        </w:rPr>
        <w:t xml:space="preserve">33 FCC </w:t>
      </w:r>
      <w:r w:rsidRPr="003D274A">
        <w:rPr>
          <w:shd w:val="clear" w:color="auto" w:fill="FFFFFF"/>
        </w:rPr>
        <w:t>Rcd</w:t>
      </w:r>
      <w:r w:rsidRPr="003D274A">
        <w:rPr>
          <w:shd w:val="clear" w:color="auto" w:fill="FFFFFF"/>
        </w:rPr>
        <w:t xml:space="preserve"> at 1520,</w:t>
      </w:r>
      <w:r w:rsidRPr="003D274A">
        <w:t xml:space="preserve"> para. 314</w:t>
      </w:r>
    </w:p>
  </w:footnote>
  <w:footnote w:id="8">
    <w:p w:rsidR="003C0786" w:rsidRPr="003D274A" w:rsidP="003C0786" w14:paraId="75E69107" w14:textId="592C97CB">
      <w:pPr>
        <w:pStyle w:val="FootnoteText"/>
      </w:pPr>
      <w:r w:rsidRPr="003D274A">
        <w:rPr>
          <w:rStyle w:val="FootnoteReference"/>
        </w:rPr>
        <w:footnoteRef/>
      </w:r>
      <w:r w:rsidRPr="003D274A">
        <w:t xml:space="preserve"> </w:t>
      </w:r>
      <w:r w:rsidR="00045540">
        <w:rPr>
          <w:i/>
        </w:rPr>
        <w:t>Id.</w:t>
      </w:r>
      <w:r w:rsidRPr="003D274A" w:rsidR="0050576B">
        <w:rPr>
          <w:shd w:val="clear" w:color="auto" w:fill="FFFFFF"/>
        </w:rPr>
        <w:t xml:space="preserve"> at 1432, para. 10.</w:t>
      </w:r>
    </w:p>
  </w:footnote>
  <w:footnote w:id="9">
    <w:p w:rsidR="003C0786" w:rsidRPr="003D274A" w:rsidP="003C0786" w14:paraId="2956BFAB" w14:textId="77777777">
      <w:pPr>
        <w:pStyle w:val="FootnoteText"/>
      </w:pPr>
      <w:r w:rsidRPr="003D274A">
        <w:rPr>
          <w:rStyle w:val="FootnoteReference"/>
          <w:rFonts w:eastAsia="Calibri"/>
        </w:rPr>
        <w:footnoteRef/>
      </w:r>
      <w:r w:rsidRPr="003D274A">
        <w:t xml:space="preserve"> </w:t>
      </w:r>
      <w:r w:rsidRPr="003D274A">
        <w:rPr>
          <w:i/>
        </w:rPr>
        <w:t>Id.</w:t>
      </w:r>
      <w:r w:rsidRPr="003D274A">
        <w:rPr>
          <w:shd w:val="clear" w:color="auto" w:fill="FFFFFF"/>
        </w:rPr>
        <w:t xml:space="preserve"> at 1438-9,</w:t>
      </w:r>
      <w:r w:rsidRPr="003D274A">
        <w:t xml:space="preserve"> para. 21.</w:t>
      </w:r>
    </w:p>
  </w:footnote>
  <w:footnote w:id="10">
    <w:p w:rsidR="004A79CA" w:rsidRPr="003D274A" w:rsidP="004A79CA" w14:paraId="3497481C" w14:textId="358F9E5C">
      <w:pPr>
        <w:pStyle w:val="FootnoteText"/>
      </w:pPr>
      <w:r w:rsidRPr="003D274A">
        <w:rPr>
          <w:rStyle w:val="FootnoteReference"/>
          <w:rFonts w:eastAsia="Calibri"/>
        </w:rPr>
        <w:footnoteRef/>
      </w:r>
      <w:r w:rsidRPr="003D274A">
        <w:t xml:space="preserve"> </w:t>
      </w:r>
      <w:r w:rsidRPr="003D274A">
        <w:rPr>
          <w:i/>
        </w:rPr>
        <w:t xml:space="preserve">See </w:t>
      </w:r>
      <w:r w:rsidRPr="003D274A">
        <w:t xml:space="preserve">47 U.S.C. § 503(b)(1)(B); 47 CFR § 1.80(a)(1); </w:t>
      </w:r>
      <w:r w:rsidRPr="003D274A">
        <w:rPr>
          <w:i/>
        </w:rPr>
        <w:t xml:space="preserve">see also </w:t>
      </w:r>
      <w:r w:rsidRPr="003D274A">
        <w:t xml:space="preserve">47 U.S.C. § 503(b)(1)(D) (forfeitures for violation of 18 U.S.C. § 1464).  Section 312(f)(1) of the Act defines willful as “the conscious and deliberate commission or omission of [any] act, irrespective of any intent to violate” the law.  47 U.S.C. § 312(f)(1).  The legislative history to </w:t>
      </w:r>
      <w:r>
        <w:t>s</w:t>
      </w:r>
      <w:r w:rsidRPr="003D274A">
        <w:t xml:space="preserve">ection 312(f)(1) of the Act clarifies that this definition of willful applies to both </w:t>
      </w:r>
      <w:r>
        <w:t>s</w:t>
      </w:r>
      <w:r w:rsidRPr="003D274A">
        <w:t>ections 312 and 503(b) of the Act, H.R. Rep. No. 97-765, 97</w:t>
      </w:r>
      <w:r w:rsidRPr="003D274A">
        <w:rPr>
          <w:vertAlign w:val="superscript"/>
        </w:rPr>
        <w:t>th</w:t>
      </w:r>
      <w:r w:rsidRPr="003D274A">
        <w:t xml:space="preserve"> Cong. 2d Sess. 51 (1982), and the Commission has so interpreted the term in the </w:t>
      </w:r>
      <w:r>
        <w:t>s</w:t>
      </w:r>
      <w:r w:rsidRPr="003D274A">
        <w:t xml:space="preserve">ection 503(b) context.  </w:t>
      </w:r>
      <w:r w:rsidRPr="003D274A">
        <w:rPr>
          <w:i/>
        </w:rPr>
        <w:t>See, e.g., Southern California Broadcasting Co.</w:t>
      </w:r>
      <w:r w:rsidRPr="003D274A">
        <w:t xml:space="preserve">, Memorandum Opinion and Order, 6 FCC </w:t>
      </w:r>
      <w:r w:rsidRPr="003D274A">
        <w:t>Rcd</w:t>
      </w:r>
      <w:r w:rsidRPr="003D274A">
        <w:t xml:space="preserve"> 4387, 4388 (1991) (</w:t>
      </w:r>
      <w:r w:rsidRPr="003D274A">
        <w:rPr>
          <w:i/>
        </w:rPr>
        <w:t>Southern California Broadcasting Co.</w:t>
      </w:r>
      <w:r w:rsidRPr="003D274A">
        <w:t xml:space="preserve">).     </w:t>
      </w:r>
    </w:p>
  </w:footnote>
  <w:footnote w:id="11">
    <w:p w:rsidR="004A79CA" w:rsidRPr="003D274A" w:rsidP="004A79CA" w14:paraId="2AB638BC" w14:textId="77777777">
      <w:pPr>
        <w:pStyle w:val="FootnoteText"/>
      </w:pPr>
      <w:r w:rsidRPr="003D274A">
        <w:rPr>
          <w:rStyle w:val="FootnoteReference"/>
          <w:rFonts w:eastAsia="Calibri"/>
        </w:rPr>
        <w:footnoteRef/>
      </w:r>
      <w:r w:rsidRPr="003D274A">
        <w:t xml:space="preserve"> </w:t>
      </w:r>
      <w:r w:rsidRPr="003D274A">
        <w:rPr>
          <w:i/>
        </w:rPr>
        <w:t xml:space="preserve">See </w:t>
      </w:r>
      <w:r w:rsidRPr="003D274A">
        <w:t>47 U.S.C. § 503(b); 47 CFR § 1.80(f).</w:t>
      </w:r>
    </w:p>
  </w:footnote>
  <w:footnote w:id="12">
    <w:p w:rsidR="004A79CA" w:rsidRPr="003D274A" w:rsidP="004A79CA" w14:paraId="2BAB409E" w14:textId="77777777">
      <w:pPr>
        <w:pStyle w:val="FootnoteText"/>
      </w:pPr>
      <w:r w:rsidRPr="003D274A">
        <w:rPr>
          <w:rStyle w:val="FootnoteReference"/>
          <w:rFonts w:eastAsia="Calibri"/>
        </w:rPr>
        <w:footnoteRef/>
      </w:r>
      <w:r w:rsidRPr="003D274A">
        <w:t xml:space="preserve"> </w:t>
      </w:r>
      <w:r w:rsidRPr="003D274A">
        <w:rPr>
          <w:i/>
        </w:rPr>
        <w:t xml:space="preserve">See, e.g., SBC Communications, Inc., </w:t>
      </w:r>
      <w:r w:rsidRPr="003D274A">
        <w:t xml:space="preserve">Forfeiture Order, 17 FCC </w:t>
      </w:r>
      <w:r w:rsidRPr="003D274A">
        <w:t>Rcd</w:t>
      </w:r>
      <w:r w:rsidRPr="003D274A">
        <w:t xml:space="preserve"> 7589, 7591, para. 4 (2002) (forfeiture paid). </w:t>
      </w:r>
    </w:p>
  </w:footnote>
  <w:footnote w:id="13">
    <w:p w:rsidR="005115D3" w:rsidRPr="003D274A" w:rsidP="005115D3" w14:paraId="4C0AF4C9" w14:textId="5B544F91">
      <w:pPr>
        <w:pStyle w:val="FootnoteText"/>
      </w:pPr>
      <w:r w:rsidRPr="003D274A">
        <w:rPr>
          <w:rStyle w:val="FootnoteReference"/>
          <w:rFonts w:eastAsia="Calibri"/>
        </w:rPr>
        <w:footnoteRef/>
      </w:r>
      <w:r w:rsidRPr="003D274A">
        <w:rPr>
          <w:i/>
        </w:rPr>
        <w:t xml:space="preserve"> The Commission’s Forfeiture Policy Statement and Amendment of Section 1.80 of the Rules to Incorporate the Forfeiture Guidelines</w:t>
      </w:r>
      <w:r w:rsidRPr="003D274A">
        <w:t xml:space="preserve">, 12 FCC </w:t>
      </w:r>
      <w:r w:rsidRPr="003D274A">
        <w:t>Rcd</w:t>
      </w:r>
      <w:r w:rsidRPr="003D274A">
        <w:t xml:space="preserve"> 17,087, 17,113 (1997), </w:t>
      </w:r>
      <w:r w:rsidRPr="003D274A">
        <w:rPr>
          <w:i/>
        </w:rPr>
        <w:t>recons. denied</w:t>
      </w:r>
      <w:r w:rsidRPr="003D274A">
        <w:t xml:space="preserve"> 15</w:t>
      </w:r>
      <w:r>
        <w:t xml:space="preserve"> </w:t>
      </w:r>
      <w:r w:rsidRPr="003D274A">
        <w:t xml:space="preserve">FCC </w:t>
      </w:r>
      <w:r w:rsidRPr="003D274A">
        <w:t>Rcd</w:t>
      </w:r>
      <w:r w:rsidRPr="003D274A">
        <w:t xml:space="preserve"> 303 (1999) (</w:t>
      </w:r>
      <w:r w:rsidRPr="003D274A">
        <w:rPr>
          <w:i/>
        </w:rPr>
        <w:t>Forfeiture Policy Statement</w:t>
      </w:r>
      <w:r w:rsidRPr="003D274A">
        <w:t>);</w:t>
      </w:r>
      <w:r w:rsidRPr="003D274A">
        <w:rPr>
          <w:i/>
        </w:rPr>
        <w:t xml:space="preserve"> </w:t>
      </w:r>
      <w:r w:rsidRPr="003D274A">
        <w:t xml:space="preserve">47 CFR § 1.80(b).  </w:t>
      </w:r>
    </w:p>
  </w:footnote>
  <w:footnote w:id="14">
    <w:p w:rsidR="005115D3" w:rsidRPr="003D274A" w:rsidP="005115D3" w14:paraId="5B5DA34D" w14:textId="77777777">
      <w:pPr>
        <w:pStyle w:val="FootnoteText"/>
      </w:pPr>
      <w:r w:rsidRPr="003D274A">
        <w:rPr>
          <w:rStyle w:val="FootnoteReference"/>
          <w:rFonts w:eastAsia="Calibri"/>
        </w:rPr>
        <w:footnoteRef/>
      </w:r>
      <w:r w:rsidRPr="003D274A">
        <w:t xml:space="preserve"> </w:t>
      </w:r>
      <w:r w:rsidRPr="003D274A">
        <w:rPr>
          <w:i/>
        </w:rPr>
        <w:t xml:space="preserve">Forfeiture Policy Statement, </w:t>
      </w:r>
      <w:r w:rsidRPr="003D274A">
        <w:t xml:space="preserve">12 FCC </w:t>
      </w:r>
      <w:r w:rsidRPr="003D274A">
        <w:t>Rcd</w:t>
      </w:r>
      <w:r w:rsidRPr="003D274A">
        <w:rPr>
          <w:i/>
        </w:rPr>
        <w:t xml:space="preserve"> </w:t>
      </w:r>
      <w:r w:rsidRPr="003D274A">
        <w:t>at 17,100-101, para. 27.</w:t>
      </w:r>
    </w:p>
  </w:footnote>
  <w:footnote w:id="15">
    <w:p w:rsidR="005115D3" w:rsidRPr="003D274A" w:rsidP="005115D3" w14:paraId="324EAA79" w14:textId="77777777">
      <w:pPr>
        <w:pStyle w:val="FootnoteText"/>
      </w:pPr>
      <w:r w:rsidRPr="003D274A">
        <w:rPr>
          <w:rStyle w:val="FootnoteReference"/>
          <w:rFonts w:eastAsia="Calibri"/>
        </w:rPr>
        <w:footnoteRef/>
      </w:r>
      <w:r w:rsidRPr="003D274A">
        <w:t xml:space="preserve"> 47 U.S.C. § 312(f)(1) (emphasis added).  The legislative history to Section 312(f)(1) of the Act clarifies that this definition of willful applies to both </w:t>
      </w:r>
      <w:r>
        <w:t>s</w:t>
      </w:r>
      <w:r w:rsidRPr="003D274A">
        <w:t>ections 312 and 503(b) of the Act, H.R. Rep. No. 97-765, 97</w:t>
      </w:r>
      <w:r w:rsidRPr="003D274A">
        <w:rPr>
          <w:vertAlign w:val="superscript"/>
        </w:rPr>
        <w:t>th</w:t>
      </w:r>
      <w:r w:rsidRPr="003D274A">
        <w:t xml:space="preserve"> Cong. 2d Sess. 51 (1982), and the Commission has so interpreted the term in the </w:t>
      </w:r>
      <w:r>
        <w:t>s</w:t>
      </w:r>
      <w:r w:rsidRPr="003D274A">
        <w:t xml:space="preserve">ection 503(b) context.  </w:t>
      </w:r>
      <w:r w:rsidRPr="003D274A">
        <w:rPr>
          <w:i/>
        </w:rPr>
        <w:t>See, e.g., Southern California Broadcasting Co.</w:t>
      </w:r>
      <w:r w:rsidRPr="003D274A">
        <w:t xml:space="preserve">, Memorandum Opinion and Order, 6 FCC </w:t>
      </w:r>
      <w:r w:rsidRPr="003D274A">
        <w:t>Rcd</w:t>
      </w:r>
      <w:r w:rsidRPr="003D274A">
        <w:t xml:space="preserve"> 4387, 4388 (1991).</w:t>
      </w:r>
    </w:p>
  </w:footnote>
  <w:footnote w:id="16">
    <w:p w:rsidR="001D3017" w:rsidRPr="003D274A" w:rsidP="001D3017" w14:paraId="1072327A" w14:textId="77777777">
      <w:pPr>
        <w:pStyle w:val="FootnoteText"/>
      </w:pPr>
      <w:r w:rsidRPr="003D274A">
        <w:rPr>
          <w:rStyle w:val="FootnoteReference"/>
        </w:rPr>
        <w:footnoteRef/>
      </w:r>
      <w:r w:rsidRPr="003D274A">
        <w:t xml:space="preserve"> </w:t>
      </w:r>
      <w:r w:rsidRPr="003D274A">
        <w:rPr>
          <w:i/>
        </w:rPr>
        <w:t xml:space="preserve">See </w:t>
      </w:r>
      <w:r w:rsidRPr="003D274A">
        <w:t xml:space="preserve">Westfield, </w:t>
      </w:r>
      <w:r w:rsidRPr="003D274A">
        <w:rPr>
          <w:i/>
        </w:rPr>
        <w:t>History</w:t>
      </w:r>
      <w:r w:rsidRPr="003D274A">
        <w:t xml:space="preserve">, </w:t>
      </w:r>
      <w:r w:rsidRPr="003D274A">
        <w:rPr>
          <w:rStyle w:val="Hyperlink"/>
          <w:color w:val="auto"/>
          <w:shd w:val="clear" w:color="auto" w:fill="FFFFFF"/>
        </w:rPr>
        <w:t>https://www.wgeld.org/pages/about-wge/history/</w:t>
      </w:r>
      <w:r w:rsidRPr="003D274A">
        <w:t xml:space="preserve"> (last visited Feb. 12, 2020). </w:t>
      </w:r>
    </w:p>
  </w:footnote>
  <w:footnote w:id="17">
    <w:p w:rsidR="001D3017" w:rsidRPr="003D274A" w:rsidP="001D3017" w14:paraId="08073430" w14:textId="77777777">
      <w:pPr>
        <w:pStyle w:val="FootnoteText"/>
      </w:pPr>
      <w:r w:rsidRPr="003D274A">
        <w:rPr>
          <w:rStyle w:val="FootnoteReference"/>
        </w:rPr>
        <w:footnoteRef/>
      </w:r>
      <w:r w:rsidRPr="003D274A">
        <w:t xml:space="preserve"> </w:t>
      </w:r>
      <w:r w:rsidRPr="003D274A">
        <w:rPr>
          <w:i/>
        </w:rPr>
        <w:t>See</w:t>
      </w:r>
      <w:r w:rsidRPr="003D274A">
        <w:t xml:space="preserve"> Whip City Fiber, </w:t>
      </w:r>
      <w:r w:rsidRPr="003D274A">
        <w:rPr>
          <w:i/>
        </w:rPr>
        <w:t>FAQ</w:t>
      </w:r>
      <w:r w:rsidRPr="003D274A">
        <w:t xml:space="preserve">, </w:t>
      </w:r>
      <w:hyperlink r:id="rId1" w:history="1">
        <w:r w:rsidRPr="003D274A">
          <w:rPr>
            <w:rStyle w:val="Hyperlink"/>
            <w:color w:val="auto"/>
          </w:rPr>
          <w:t>https://www.whipcityfiber.com/pages/faq/</w:t>
        </w:r>
      </w:hyperlink>
      <w:r w:rsidRPr="003D274A">
        <w:t xml:space="preserve"> (last visited Feb. 12, 2020). </w:t>
      </w:r>
    </w:p>
  </w:footnote>
  <w:footnote w:id="18">
    <w:p w:rsidR="00286950" w:rsidRPr="00AC0646" w:rsidP="00286950" w14:paraId="52B6EA7C" w14:textId="098F669A">
      <w:pPr>
        <w:pStyle w:val="FootnoteText"/>
      </w:pPr>
      <w:r w:rsidRPr="003D274A">
        <w:rPr>
          <w:rStyle w:val="FootnoteReference"/>
          <w:rFonts w:eastAsia="Calibri"/>
        </w:rPr>
        <w:footnoteRef/>
      </w:r>
      <w:r w:rsidRPr="003D274A">
        <w:t xml:space="preserve"> </w:t>
      </w:r>
      <w:r w:rsidRPr="003177F3" w:rsidR="00AC0646">
        <w:rPr>
          <w:i/>
        </w:rPr>
        <w:t>See Wireline Competition Bureau Releases List and Map of Eligible Census Blocks for the Connect America Fund Phase II Auction (Auction 903)</w:t>
      </w:r>
      <w:r w:rsidRPr="003177F3" w:rsidR="00AC0646">
        <w:t xml:space="preserve">, </w:t>
      </w:r>
      <w:r w:rsidRPr="003177F3" w:rsidR="00AC0646">
        <w:rPr>
          <w:bdr w:val="none" w:sz="0" w:space="0" w:color="auto" w:frame="1"/>
          <w:shd w:val="clear" w:color="auto" w:fill="FFFFFF"/>
        </w:rPr>
        <w:t xml:space="preserve">AU Docket No. 17-182, WC Docket No. 10-90, </w:t>
      </w:r>
      <w:r w:rsidRPr="003177F3" w:rsidR="00AC0646">
        <w:t xml:space="preserve">Public Notice, 32 FCC </w:t>
      </w:r>
      <w:r w:rsidRPr="003177F3" w:rsidR="00AC0646">
        <w:t>Rcd</w:t>
      </w:r>
      <w:r w:rsidRPr="003177F3" w:rsidR="00AC0646">
        <w:t xml:space="preserve"> 10381 (</w:t>
      </w:r>
      <w:r w:rsidRPr="003177F3" w:rsidR="00AC0646">
        <w:t>WCB</w:t>
      </w:r>
      <w:r w:rsidRPr="003177F3" w:rsidR="00AC0646">
        <w:t xml:space="preserve"> 2017) (</w:t>
      </w:r>
      <w:r w:rsidRPr="003177F3" w:rsidR="00AC0646">
        <w:rPr>
          <w:i/>
        </w:rPr>
        <w:t xml:space="preserve">Eligible Census </w:t>
      </w:r>
      <w:r w:rsidRPr="00AC0646" w:rsidR="00AC0646">
        <w:rPr>
          <w:i/>
        </w:rPr>
        <w:t>Block List Public Notice</w:t>
      </w:r>
      <w:r w:rsidRPr="00AC0646" w:rsidR="00AC0646">
        <w:t>)</w:t>
      </w:r>
      <w:r w:rsidRPr="00AC0646" w:rsidR="00AC0646">
        <w:rPr>
          <w:i/>
        </w:rPr>
        <w:t>.</w:t>
      </w:r>
      <w:r w:rsidRPr="00AC0646" w:rsidR="00AC0646">
        <w:t xml:space="preserve">  </w:t>
      </w:r>
      <w:r w:rsidRPr="00AC0646" w:rsidR="00AC0646">
        <w:rPr>
          <w:szCs w:val="22"/>
        </w:rPr>
        <w:t xml:space="preserve">The list of census blocks can be found at </w:t>
      </w:r>
      <w:hyperlink r:id="rId2" w:history="1">
        <w:r w:rsidRPr="00AC0646" w:rsidR="00AC0646">
          <w:rPr>
            <w:rStyle w:val="Hyperlink"/>
            <w:color w:val="auto"/>
            <w:szCs w:val="22"/>
          </w:rPr>
          <w:t>https://www.fcc.gov/files/caf2auctionpublishblockcsv</w:t>
        </w:r>
      </w:hyperlink>
      <w:r w:rsidRPr="00AC0646" w:rsidR="00AC0646">
        <w:rPr>
          <w:szCs w:val="22"/>
        </w:rPr>
        <w:t xml:space="preserve">. </w:t>
      </w:r>
    </w:p>
  </w:footnote>
  <w:footnote w:id="19">
    <w:p w:rsidR="00286950" w:rsidRPr="003D274A" w:rsidP="00286950" w14:paraId="4E4E72D5" w14:textId="61ED8102">
      <w:pPr>
        <w:pStyle w:val="FootnoteText"/>
      </w:pPr>
      <w:r w:rsidRPr="003D274A">
        <w:rPr>
          <w:rStyle w:val="FootnoteReference"/>
          <w:rFonts w:eastAsia="Calibri"/>
        </w:rPr>
        <w:footnoteRef/>
      </w:r>
      <w:r w:rsidRPr="003D274A">
        <w:t xml:space="preserve"> </w:t>
      </w:r>
      <w:r w:rsidRPr="003D274A" w:rsidR="007F6D32">
        <w:rPr>
          <w:i/>
        </w:rPr>
        <w:t>Phase II Auction Procedures Public Notice</w:t>
      </w:r>
      <w:r w:rsidRPr="003D274A" w:rsidR="005A3F82">
        <w:rPr>
          <w:shd w:val="clear" w:color="auto" w:fill="FFFFFF"/>
        </w:rPr>
        <w:t xml:space="preserve">, </w:t>
      </w:r>
      <w:r w:rsidRPr="003D274A">
        <w:rPr>
          <w:shd w:val="clear" w:color="auto" w:fill="FFFFFF"/>
        </w:rPr>
        <w:t xml:space="preserve">33 FCC </w:t>
      </w:r>
      <w:r w:rsidRPr="003D274A">
        <w:rPr>
          <w:shd w:val="clear" w:color="auto" w:fill="FFFFFF"/>
        </w:rPr>
        <w:t>Rcd</w:t>
      </w:r>
      <w:r w:rsidRPr="003D274A">
        <w:rPr>
          <w:shd w:val="clear" w:color="auto" w:fill="FFFFFF"/>
        </w:rPr>
        <w:t xml:space="preserve"> 1428</w:t>
      </w:r>
      <w:r w:rsidRPr="003D274A" w:rsidR="005A3F82">
        <w:rPr>
          <w:shd w:val="clear" w:color="auto" w:fill="FFFFFF"/>
        </w:rPr>
        <w:t>,</w:t>
      </w:r>
      <w:r w:rsidRPr="003D274A">
        <w:rPr>
          <w:shd w:val="clear" w:color="auto" w:fill="FFFFFF"/>
        </w:rPr>
        <w:t xml:space="preserve"> </w:t>
      </w:r>
      <w:r w:rsidRPr="003D274A">
        <w:t xml:space="preserve">para. 1 </w:t>
      </w:r>
      <w:r w:rsidRPr="003D274A" w:rsidR="005A3F82">
        <w:rPr>
          <w:shd w:val="clear" w:color="auto" w:fill="FFFFFF"/>
        </w:rPr>
        <w:t>(</w:t>
      </w:r>
      <w:r w:rsidRPr="003D274A" w:rsidR="005A3F82">
        <w:rPr>
          <w:rStyle w:val="cosearchterm"/>
          <w:bCs/>
          <w:bdr w:val="none" w:sz="0" w:space="0" w:color="auto" w:frame="1"/>
        </w:rPr>
        <w:t>2018)</w:t>
      </w:r>
      <w:r w:rsidR="007F6D32">
        <w:rPr>
          <w:rStyle w:val="cosearchterm"/>
          <w:bCs/>
          <w:bdr w:val="none" w:sz="0" w:space="0" w:color="auto" w:frame="1"/>
        </w:rPr>
        <w:t>.</w:t>
      </w:r>
    </w:p>
  </w:footnote>
  <w:footnote w:id="20">
    <w:p w:rsidR="006D29EF" w:rsidRPr="003D274A" w:rsidP="006D29EF" w14:paraId="1B100C67" w14:textId="77777777">
      <w:pPr>
        <w:pStyle w:val="FootnoteText"/>
      </w:pPr>
      <w:r w:rsidRPr="003D274A">
        <w:rPr>
          <w:rStyle w:val="FootnoteReference"/>
          <w:rFonts w:eastAsia="Calibri"/>
        </w:rPr>
        <w:footnoteRef/>
      </w:r>
      <w:r w:rsidRPr="003D274A">
        <w:t xml:space="preserve"> </w:t>
      </w:r>
      <w:r w:rsidRPr="003D274A">
        <w:rPr>
          <w:i/>
        </w:rPr>
        <w:t>See</w:t>
      </w:r>
      <w:r w:rsidRPr="003D274A">
        <w:t xml:space="preserve"> </w:t>
      </w:r>
      <w:r w:rsidRPr="003D274A">
        <w:rPr>
          <w:i/>
        </w:rPr>
        <w:t>220 Applicants Qualified to Bid in the Connect America Fund Phase II Auction (Auction 903)</w:t>
      </w:r>
      <w:r w:rsidRPr="003D274A">
        <w:t xml:space="preserve">, </w:t>
      </w:r>
      <w:r w:rsidRPr="003D274A">
        <w:rPr>
          <w:i/>
        </w:rPr>
        <w:t xml:space="preserve">Bidding to Begin on July 24, 2018, </w:t>
      </w:r>
      <w:r w:rsidRPr="003D274A">
        <w:t xml:space="preserve">Public Notice, AU Docket No. 17-182, WC Docket No. 10-90, 33 FCC </w:t>
      </w:r>
      <w:r w:rsidRPr="003D274A">
        <w:t>Rcd</w:t>
      </w:r>
      <w:r w:rsidRPr="003D274A">
        <w:t xml:space="preserve"> 6171, 6176, paras. 27-28 (2018) (</w:t>
      </w:r>
      <w:r w:rsidRPr="003D274A">
        <w:rPr>
          <w:i/>
        </w:rPr>
        <w:t>Qualified Bidders Public Notice</w:t>
      </w:r>
      <w:r w:rsidRPr="003D274A">
        <w:t>).</w:t>
      </w:r>
    </w:p>
  </w:footnote>
  <w:footnote w:id="21">
    <w:p w:rsidR="00286950" w:rsidRPr="003D274A" w:rsidP="00286950" w14:paraId="329842C6" w14:textId="77777777">
      <w:pPr>
        <w:pStyle w:val="FootnoteText"/>
      </w:pPr>
      <w:r w:rsidRPr="003D274A">
        <w:rPr>
          <w:rStyle w:val="FootnoteReference"/>
          <w:rFonts w:eastAsia="Calibri"/>
        </w:rPr>
        <w:footnoteRef/>
      </w:r>
      <w:r w:rsidRPr="003D274A">
        <w:t xml:space="preserve"> </w:t>
      </w:r>
      <w:r w:rsidRPr="003D274A">
        <w:rPr>
          <w:i/>
        </w:rPr>
        <w:t>Id</w:t>
      </w:r>
      <w:r w:rsidRPr="003D274A">
        <w:t>.</w:t>
      </w:r>
      <w:r w:rsidRPr="003D274A">
        <w:rPr>
          <w:shd w:val="clear" w:color="auto" w:fill="FFFFFF"/>
        </w:rPr>
        <w:t xml:space="preserve"> at 1428, paras.</w:t>
      </w:r>
      <w:r w:rsidRPr="003D274A">
        <w:t xml:space="preserve"> 1-2.</w:t>
      </w:r>
    </w:p>
  </w:footnote>
  <w:footnote w:id="22">
    <w:p w:rsidR="00180801" w:rsidRPr="003D274A" w:rsidP="00180801" w14:paraId="797C64A0" w14:textId="77777777">
      <w:pPr>
        <w:pStyle w:val="FootnoteText"/>
      </w:pPr>
      <w:r w:rsidRPr="003D274A">
        <w:rPr>
          <w:rStyle w:val="FootnoteReference"/>
          <w:rFonts w:eastAsia="Calibri"/>
        </w:rPr>
        <w:footnoteRef/>
      </w:r>
      <w:r w:rsidRPr="003D274A">
        <w:t xml:space="preserve"> </w:t>
      </w:r>
      <w:r w:rsidRPr="003D274A">
        <w:rPr>
          <w:i/>
        </w:rPr>
        <w:t xml:space="preserve">Phase II Auction Procedures Public Notice, </w:t>
      </w:r>
      <w:r w:rsidRPr="003D274A">
        <w:rPr>
          <w:shd w:val="clear" w:color="auto" w:fill="FFFFFF"/>
        </w:rPr>
        <w:t xml:space="preserve">33 FCC </w:t>
      </w:r>
      <w:r w:rsidRPr="003D274A">
        <w:rPr>
          <w:shd w:val="clear" w:color="auto" w:fill="FFFFFF"/>
        </w:rPr>
        <w:t>Rcd</w:t>
      </w:r>
      <w:r w:rsidRPr="003D274A">
        <w:rPr>
          <w:shd w:val="clear" w:color="auto" w:fill="FFFFFF"/>
        </w:rPr>
        <w:t xml:space="preserve"> at 1493,</w:t>
      </w:r>
      <w:r w:rsidRPr="003D274A">
        <w:t xml:space="preserve"> para 199.</w:t>
      </w:r>
    </w:p>
  </w:footnote>
  <w:footnote w:id="23">
    <w:p w:rsidR="00286950" w:rsidRPr="00AC0646" w:rsidP="00286950" w14:paraId="11F9A1EF" w14:textId="6D877074">
      <w:pPr>
        <w:pStyle w:val="FootnoteText"/>
      </w:pPr>
      <w:r w:rsidRPr="003D274A">
        <w:rPr>
          <w:rStyle w:val="FootnoteReference"/>
          <w:rFonts w:eastAsia="Calibri"/>
        </w:rPr>
        <w:footnoteRef/>
      </w:r>
      <w:r w:rsidRPr="003D274A">
        <w:t xml:space="preserve"> </w:t>
      </w:r>
      <w:r w:rsidRPr="003177F3" w:rsidR="00AC0646">
        <w:rPr>
          <w:i/>
        </w:rPr>
        <w:t xml:space="preserve">See Eligible Census Block List Public Notice, </w:t>
      </w:r>
      <w:r w:rsidRPr="003177F3" w:rsidR="00AC0646">
        <w:t xml:space="preserve">32 FCC </w:t>
      </w:r>
      <w:r w:rsidRPr="003177F3" w:rsidR="00AC0646">
        <w:t>Rcd</w:t>
      </w:r>
      <w:r w:rsidRPr="003177F3" w:rsidR="00AC0646">
        <w:t xml:space="preserve"> at 10381.</w:t>
      </w:r>
    </w:p>
  </w:footnote>
  <w:footnote w:id="24">
    <w:p w:rsidR="00286950" w:rsidRPr="003D274A" w:rsidP="00286950" w14:paraId="30C5FFE1" w14:textId="77777777">
      <w:pPr>
        <w:pStyle w:val="FootnoteText"/>
      </w:pPr>
      <w:r w:rsidRPr="003D274A">
        <w:rPr>
          <w:rStyle w:val="FootnoteReference"/>
          <w:rFonts w:eastAsia="Calibri"/>
        </w:rPr>
        <w:footnoteRef/>
      </w:r>
      <w:r w:rsidRPr="003D274A">
        <w:t xml:space="preserve"> </w:t>
      </w:r>
      <w:r w:rsidRPr="003D274A">
        <w:rPr>
          <w:i/>
        </w:rPr>
        <w:t>Id.</w:t>
      </w:r>
    </w:p>
  </w:footnote>
  <w:footnote w:id="25">
    <w:p w:rsidR="00286950" w:rsidRPr="003D274A" w:rsidP="00286950" w14:paraId="36F61B1A" w14:textId="61FE779F">
      <w:pPr>
        <w:pStyle w:val="FootnoteText"/>
      </w:pPr>
      <w:r w:rsidRPr="003D274A">
        <w:rPr>
          <w:rStyle w:val="FootnoteReference"/>
          <w:rFonts w:eastAsia="Calibri"/>
        </w:rPr>
        <w:footnoteRef/>
      </w:r>
      <w:r w:rsidRPr="003D274A">
        <w:t xml:space="preserve"> </w:t>
      </w:r>
      <w:r w:rsidRPr="003D274A">
        <w:rPr>
          <w:i/>
        </w:rPr>
        <w:t xml:space="preserve">See </w:t>
      </w:r>
      <w:r w:rsidRPr="003D274A">
        <w:rPr>
          <w:rStyle w:val="cosearchterm"/>
          <w:bCs/>
          <w:i/>
          <w:iCs/>
          <w:bdr w:val="none" w:sz="0" w:space="0" w:color="auto" w:frame="1"/>
          <w:shd w:val="clear" w:color="auto" w:fill="FFFFFF"/>
        </w:rPr>
        <w:t>Connect</w:t>
      </w:r>
      <w:r w:rsidRPr="003D274A">
        <w:rPr>
          <w:rStyle w:val="Emphasis"/>
          <w:bdr w:val="none" w:sz="0" w:space="0" w:color="auto" w:frame="1"/>
          <w:shd w:val="clear" w:color="auto" w:fill="FFFFFF"/>
        </w:rPr>
        <w:t xml:space="preserve"> </w:t>
      </w:r>
      <w:r w:rsidRPr="003D274A">
        <w:rPr>
          <w:rStyle w:val="cosearchterm"/>
          <w:bCs/>
          <w:i/>
          <w:iCs/>
          <w:bdr w:val="none" w:sz="0" w:space="0" w:color="auto" w:frame="1"/>
          <w:shd w:val="clear" w:color="auto" w:fill="FFFFFF"/>
        </w:rPr>
        <w:t>America</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Fund</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Phase</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II</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Auction</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Auction</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903</w:t>
      </w:r>
      <w:r w:rsidRPr="003D274A">
        <w:rPr>
          <w:rStyle w:val="Emphasis"/>
          <w:bdr w:val="none" w:sz="0" w:space="0" w:color="auto" w:frame="1"/>
          <w:shd w:val="clear" w:color="auto" w:fill="FFFFFF"/>
        </w:rPr>
        <w:t>) Closes; </w:t>
      </w:r>
      <w:r w:rsidRPr="003D274A">
        <w:rPr>
          <w:rStyle w:val="cosearchterm"/>
          <w:bCs/>
          <w:i/>
          <w:iCs/>
          <w:bdr w:val="none" w:sz="0" w:space="0" w:color="auto" w:frame="1"/>
          <w:shd w:val="clear" w:color="auto" w:fill="FFFFFF"/>
        </w:rPr>
        <w:t>Winning</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Bidders</w:t>
      </w:r>
      <w:r w:rsidRPr="003D274A">
        <w:rPr>
          <w:rStyle w:val="Emphasis"/>
          <w:bdr w:val="none" w:sz="0" w:space="0" w:color="auto" w:frame="1"/>
          <w:shd w:val="clear" w:color="auto" w:fill="FFFFFF"/>
        </w:rPr>
        <w:t> </w:t>
      </w:r>
      <w:r w:rsidRPr="003D274A">
        <w:rPr>
          <w:rStyle w:val="cosearchterm"/>
          <w:bCs/>
          <w:i/>
          <w:iCs/>
          <w:bdr w:val="none" w:sz="0" w:space="0" w:color="auto" w:frame="1"/>
          <w:shd w:val="clear" w:color="auto" w:fill="FFFFFF"/>
        </w:rPr>
        <w:t>Announced</w:t>
      </w:r>
      <w:r w:rsidRPr="003D274A">
        <w:rPr>
          <w:rStyle w:val="Emphasis"/>
          <w:bdr w:val="none" w:sz="0" w:space="0" w:color="auto" w:frame="1"/>
          <w:shd w:val="clear" w:color="auto" w:fill="FFFFFF"/>
        </w:rPr>
        <w:t>; FCC Form 683 Due October 15, 2018</w:t>
      </w:r>
      <w:r w:rsidRPr="003D274A">
        <w:rPr>
          <w:bdr w:val="none" w:sz="0" w:space="0" w:color="auto" w:frame="1"/>
          <w:shd w:val="clear" w:color="auto" w:fill="FFFFFF"/>
        </w:rPr>
        <w:t xml:space="preserve">, Public Notice, </w:t>
      </w:r>
      <w:r w:rsidRPr="003D274A" w:rsidR="005A3F82">
        <w:t xml:space="preserve">AU Docket No. 17-182, WC Docket No. 10-90, </w:t>
      </w:r>
      <w:r w:rsidRPr="003D274A">
        <w:rPr>
          <w:bdr w:val="none" w:sz="0" w:space="0" w:color="auto" w:frame="1"/>
          <w:shd w:val="clear" w:color="auto" w:fill="FFFFFF"/>
        </w:rPr>
        <w:t xml:space="preserve">33 FCC </w:t>
      </w:r>
      <w:r w:rsidRPr="003D274A">
        <w:rPr>
          <w:bdr w:val="none" w:sz="0" w:space="0" w:color="auto" w:frame="1"/>
          <w:shd w:val="clear" w:color="auto" w:fill="FFFFFF"/>
        </w:rPr>
        <w:t>Rcd</w:t>
      </w:r>
      <w:r w:rsidRPr="003D274A">
        <w:rPr>
          <w:bdr w:val="none" w:sz="0" w:space="0" w:color="auto" w:frame="1"/>
          <w:shd w:val="clear" w:color="auto" w:fill="FFFFFF"/>
        </w:rPr>
        <w:t xml:space="preserve"> 8257 (2018)</w:t>
      </w:r>
      <w:r w:rsidRPr="003D274A">
        <w:rPr>
          <w:shd w:val="clear" w:color="auto" w:fill="FFFFFF"/>
        </w:rPr>
        <w:t xml:space="preserve"> (</w:t>
      </w:r>
      <w:r w:rsidRPr="003D274A">
        <w:rPr>
          <w:rStyle w:val="cosearchterm"/>
          <w:bCs/>
          <w:i/>
          <w:iCs/>
          <w:bdr w:val="none" w:sz="0" w:space="0" w:color="auto" w:frame="1"/>
          <w:shd w:val="clear" w:color="auto" w:fill="FFFFFF"/>
        </w:rPr>
        <w:t xml:space="preserve">Auction 903 </w:t>
      </w:r>
      <w:r w:rsidRPr="003D274A">
        <w:rPr>
          <w:rStyle w:val="Emphasis"/>
          <w:bdr w:val="none" w:sz="0" w:space="0" w:color="auto" w:frame="1"/>
          <w:shd w:val="clear" w:color="auto" w:fill="FFFFFF"/>
        </w:rPr>
        <w:t>Closing Public Notice</w:t>
      </w:r>
      <w:r w:rsidRPr="003D274A">
        <w:rPr>
          <w:rStyle w:val="Emphasis"/>
          <w:i w:val="0"/>
          <w:bdr w:val="none" w:sz="0" w:space="0" w:color="auto" w:frame="1"/>
          <w:shd w:val="clear" w:color="auto" w:fill="FFFFFF"/>
        </w:rPr>
        <w:t>).</w:t>
      </w:r>
    </w:p>
  </w:footnote>
  <w:footnote w:id="26">
    <w:p w:rsidR="00286950" w:rsidRPr="003D274A" w:rsidP="00286950" w14:paraId="1A7A8F69" w14:textId="52CC11EE">
      <w:pPr>
        <w:pStyle w:val="FootnoteText"/>
      </w:pPr>
      <w:r w:rsidRPr="003D274A">
        <w:rPr>
          <w:rStyle w:val="FootnoteReference"/>
          <w:rFonts w:eastAsia="Calibri"/>
        </w:rPr>
        <w:footnoteRef/>
      </w:r>
      <w:r w:rsidRPr="003D274A">
        <w:t xml:space="preserve"> </w:t>
      </w:r>
      <w:r w:rsidRPr="003D274A" w:rsidR="005A3F82">
        <w:rPr>
          <w:rStyle w:val="cosearchterm"/>
          <w:bCs/>
          <w:i/>
          <w:iCs/>
          <w:bdr w:val="none" w:sz="0" w:space="0" w:color="auto" w:frame="1"/>
          <w:shd w:val="clear" w:color="auto" w:fill="FFFFFF"/>
        </w:rPr>
        <w:t xml:space="preserve">Id. </w:t>
      </w:r>
      <w:r w:rsidRPr="003D274A" w:rsidR="005A3F82">
        <w:rPr>
          <w:rStyle w:val="cosearchterm"/>
          <w:bCs/>
          <w:iCs/>
          <w:bdr w:val="none" w:sz="0" w:space="0" w:color="auto" w:frame="1"/>
          <w:shd w:val="clear" w:color="auto" w:fill="FFFFFF"/>
        </w:rPr>
        <w:t>at</w:t>
      </w:r>
      <w:r w:rsidRPr="003D274A">
        <w:rPr>
          <w:rStyle w:val="Emphasis"/>
          <w:i w:val="0"/>
          <w:bdr w:val="none" w:sz="0" w:space="0" w:color="auto" w:frame="1"/>
          <w:shd w:val="clear" w:color="auto" w:fill="FFFFFF"/>
        </w:rPr>
        <w:t xml:space="preserve"> 8259-60, paras. 9-13.</w:t>
      </w:r>
    </w:p>
  </w:footnote>
  <w:footnote w:id="27">
    <w:p w:rsidR="00286950" w:rsidRPr="003D274A" w:rsidP="00286950" w14:paraId="6ADC7640" w14:textId="71F49661">
      <w:pPr>
        <w:pStyle w:val="FootnoteText"/>
      </w:pPr>
      <w:r w:rsidRPr="003D274A">
        <w:rPr>
          <w:rStyle w:val="FootnoteReference"/>
          <w:rFonts w:eastAsia="Calibri"/>
        </w:rPr>
        <w:footnoteRef/>
      </w:r>
      <w:r w:rsidRPr="003D274A">
        <w:t xml:space="preserve"> </w:t>
      </w:r>
      <w:r w:rsidRPr="003D274A">
        <w:rPr>
          <w:shd w:val="clear" w:color="auto" w:fill="FFFFFF"/>
        </w:rPr>
        <w:t xml:space="preserve">Additionally, letter of credit commitment letters, and detailed technology and system design descriptions were due November 5, 2018.  Winning bidders were also required to produce Eligible Telecommunications Carrier designations from state governments and certification letters by February 25, 2019.  </w:t>
      </w:r>
    </w:p>
  </w:footnote>
  <w:footnote w:id="28">
    <w:p w:rsidR="00286950" w:rsidRPr="003D274A" w:rsidP="00286950" w14:paraId="26B15D8D" w14:textId="50B0DFE9">
      <w:pPr>
        <w:pStyle w:val="FootnoteText"/>
      </w:pPr>
      <w:r w:rsidRPr="003D274A">
        <w:rPr>
          <w:rStyle w:val="FootnoteReference"/>
          <w:rFonts w:eastAsia="Calibri"/>
        </w:rPr>
        <w:footnoteRef/>
      </w:r>
      <w:r w:rsidRPr="003D274A">
        <w:t xml:space="preserve"> </w:t>
      </w:r>
      <w:r w:rsidRPr="003D274A">
        <w:rPr>
          <w:i/>
        </w:rPr>
        <w:t>See</w:t>
      </w:r>
      <w:r w:rsidRPr="003D274A">
        <w:t xml:space="preserve"> Application to Participate in Connect America Fund Phase II Auction, FCC Form 183, Filed by </w:t>
      </w:r>
      <w:r w:rsidRPr="003D274A" w:rsidR="00F713E8">
        <w:t>Westfield Gas and Elec</w:t>
      </w:r>
      <w:r w:rsidRPr="003D274A" w:rsidR="003047AE">
        <w:t>.</w:t>
      </w:r>
      <w:r w:rsidR="0079744A">
        <w:t xml:space="preserve"> Light Dep’t</w:t>
      </w:r>
      <w:r w:rsidRPr="003D274A">
        <w:t xml:space="preserve">, File No. </w:t>
      </w:r>
      <w:r w:rsidRPr="003D274A" w:rsidR="003047AE">
        <w:t>0008155575</w:t>
      </w:r>
      <w:r w:rsidRPr="003D274A">
        <w:t xml:space="preserve">, (filed </w:t>
      </w:r>
      <w:r w:rsidRPr="003D274A" w:rsidR="003047AE">
        <w:t>Mar. 30</w:t>
      </w:r>
      <w:r w:rsidRPr="003D274A">
        <w:t>, 2018)</w:t>
      </w:r>
      <w:r w:rsidRPr="003D274A" w:rsidR="005C18ED">
        <w:t>.</w:t>
      </w:r>
      <w:r w:rsidRPr="003D274A">
        <w:t xml:space="preserve">  The </w:t>
      </w:r>
      <w:r w:rsidR="006D5023">
        <w:t>Company</w:t>
      </w:r>
      <w:r w:rsidRPr="003D274A">
        <w:t xml:space="preserve"> </w:t>
      </w:r>
      <w:r w:rsidR="006D5023">
        <w:t>was</w:t>
      </w:r>
      <w:r w:rsidRPr="003D274A">
        <w:t xml:space="preserve"> classified as eligible to participate in the auction.  </w:t>
      </w:r>
      <w:r w:rsidRPr="003D274A">
        <w:rPr>
          <w:i/>
        </w:rPr>
        <w:t>See</w:t>
      </w:r>
      <w:r w:rsidR="006D5023">
        <w:rPr>
          <w:i/>
        </w:rPr>
        <w:t xml:space="preserve"> Qualified Bidders Public Notice</w:t>
      </w:r>
      <w:r w:rsidR="006D5023">
        <w:rPr>
          <w:iCs/>
        </w:rPr>
        <w:t>, 33 FCC 6184-95 (Attach. A: Qualified Bidders sorted by applicant name)</w:t>
      </w:r>
      <w:r w:rsidRPr="003D274A">
        <w:t>.</w:t>
      </w:r>
    </w:p>
  </w:footnote>
  <w:footnote w:id="29">
    <w:p w:rsidR="00D1414C" w:rsidRPr="003D274A" w14:paraId="371BD123" w14:textId="101F426F">
      <w:pPr>
        <w:pStyle w:val="FootnoteText"/>
      </w:pPr>
      <w:r w:rsidRPr="003D274A">
        <w:rPr>
          <w:rStyle w:val="FootnoteReference"/>
        </w:rPr>
        <w:footnoteRef/>
      </w:r>
      <w:r w:rsidRPr="003D274A">
        <w:t xml:space="preserve"> </w:t>
      </w:r>
      <w:r w:rsidRPr="003D274A">
        <w:rPr>
          <w:i/>
        </w:rPr>
        <w:t>See</w:t>
      </w:r>
      <w:r w:rsidRPr="003D274A">
        <w:t xml:space="preserve"> Application to Participate in Connect America Fund Phase II Auction, FCC Form 683, Filed by Westfield Gas and Elec.</w:t>
      </w:r>
      <w:r w:rsidR="0079744A">
        <w:t xml:space="preserve"> Light Dep’t</w:t>
      </w:r>
      <w:r w:rsidRPr="003D274A">
        <w:t>, File No. 0008402255 (filed Oct. 15, 2018).</w:t>
      </w:r>
    </w:p>
  </w:footnote>
  <w:footnote w:id="30">
    <w:p w:rsidR="00286950" w:rsidRPr="003D274A" w:rsidP="00286950" w14:paraId="7D5EBE10" w14:textId="48E1A3AC">
      <w:pPr>
        <w:pStyle w:val="FootnoteText"/>
      </w:pPr>
      <w:r w:rsidRPr="003D274A">
        <w:rPr>
          <w:rStyle w:val="FootnoteReference"/>
          <w:rFonts w:eastAsia="Calibri"/>
        </w:rPr>
        <w:footnoteRef/>
      </w:r>
      <w:r w:rsidRPr="003D274A">
        <w:t xml:space="preserve"> </w:t>
      </w:r>
      <w:r w:rsidRPr="003D274A" w:rsidR="00E665F3">
        <w:t>Letter</w:t>
      </w:r>
      <w:r w:rsidRPr="003D274A">
        <w:t xml:space="preserve"> from </w:t>
      </w:r>
      <w:r w:rsidRPr="003D274A" w:rsidR="00E665F3">
        <w:t>John J. Leary</w:t>
      </w:r>
      <w:r w:rsidRPr="003D274A">
        <w:t xml:space="preserve">, </w:t>
      </w:r>
      <w:r w:rsidRPr="003D274A" w:rsidR="00E665F3">
        <w:t>Westfield Gas and Elec</w:t>
      </w:r>
      <w:r w:rsidRPr="003D274A">
        <w:t>.</w:t>
      </w:r>
      <w:r w:rsidR="0079744A">
        <w:t xml:space="preserve"> Light Dep’t</w:t>
      </w:r>
      <w:r w:rsidRPr="003D274A">
        <w:t xml:space="preserve">, to </w:t>
      </w:r>
      <w:r w:rsidRPr="003D274A" w:rsidR="00E665F3">
        <w:t>Federal</w:t>
      </w:r>
      <w:r w:rsidRPr="003D274A">
        <w:t xml:space="preserve"> Communications Commission, </w:t>
      </w:r>
      <w:r w:rsidRPr="003D274A" w:rsidR="00B36DCF">
        <w:t>(</w:t>
      </w:r>
      <w:r w:rsidRPr="003D274A" w:rsidR="00E665F3">
        <w:t>Nov. 18, 2019</w:t>
      </w:r>
      <w:r w:rsidRPr="003D274A" w:rsidR="00B36DCF">
        <w:t>)</w:t>
      </w:r>
      <w:r w:rsidRPr="003D274A">
        <w:t>.</w:t>
      </w:r>
    </w:p>
  </w:footnote>
  <w:footnote w:id="31">
    <w:p w:rsidR="008749D2" w:rsidRPr="003D274A" w14:paraId="21965905" w14:textId="00044D3D">
      <w:pPr>
        <w:pStyle w:val="FootnoteText"/>
      </w:pPr>
      <w:r w:rsidRPr="003D274A">
        <w:rPr>
          <w:rStyle w:val="FootnoteReference"/>
        </w:rPr>
        <w:footnoteRef/>
      </w:r>
      <w:r w:rsidRPr="003D274A">
        <w:t xml:space="preserve"> </w:t>
      </w:r>
      <w:r w:rsidRPr="003D274A">
        <w:rPr>
          <w:i/>
          <w:iCs/>
        </w:rPr>
        <w:t>See id.</w:t>
      </w:r>
    </w:p>
  </w:footnote>
  <w:footnote w:id="32">
    <w:p w:rsidR="00286950" w:rsidRPr="003D274A" w:rsidP="00286950" w14:paraId="5DEB3655" w14:textId="1A444563">
      <w:pPr>
        <w:rPr>
          <w:sz w:val="20"/>
        </w:rPr>
      </w:pPr>
      <w:r w:rsidRPr="003D274A">
        <w:rPr>
          <w:rStyle w:val="FootnoteReference"/>
        </w:rPr>
        <w:footnoteRef/>
      </w:r>
      <w:r w:rsidRPr="003D274A">
        <w:t xml:space="preserve"> </w:t>
      </w:r>
      <w:r w:rsidRPr="003D274A">
        <w:rPr>
          <w:i/>
          <w:sz w:val="20"/>
        </w:rPr>
        <w:t xml:space="preserve">See Connect America Fund Phase II Auction Support for </w:t>
      </w:r>
      <w:r w:rsidRPr="003D274A" w:rsidR="00E22455">
        <w:rPr>
          <w:i/>
          <w:sz w:val="20"/>
        </w:rPr>
        <w:t>2,121</w:t>
      </w:r>
      <w:r w:rsidRPr="003D274A">
        <w:rPr>
          <w:i/>
          <w:sz w:val="20"/>
        </w:rPr>
        <w:t xml:space="preserve"> Winning Bids Ready to be Authorized; </w:t>
      </w:r>
      <w:r w:rsidRPr="003D274A" w:rsidR="00E22455">
        <w:rPr>
          <w:i/>
          <w:sz w:val="20"/>
        </w:rPr>
        <w:t>Listed Auction 903 Long-Form Applications Must Submit Letters of Credit and Legal Counsel’s Opinion Letters by Friday, January 10, 2020</w:t>
      </w:r>
      <w:r w:rsidRPr="003D274A">
        <w:rPr>
          <w:i/>
          <w:sz w:val="20"/>
        </w:rPr>
        <w:t xml:space="preserve">, </w:t>
      </w:r>
      <w:r w:rsidRPr="003D274A">
        <w:rPr>
          <w:sz w:val="20"/>
        </w:rPr>
        <w:t xml:space="preserve">Public Notice, </w:t>
      </w:r>
      <w:r w:rsidRPr="003D274A" w:rsidR="00E22455">
        <w:rPr>
          <w:sz w:val="20"/>
        </w:rPr>
        <w:t xml:space="preserve">2019 WL 7168109 </w:t>
      </w:r>
      <w:r w:rsidRPr="003D274A">
        <w:rPr>
          <w:sz w:val="20"/>
        </w:rPr>
        <w:t xml:space="preserve">and </w:t>
      </w:r>
      <w:r w:rsidRPr="003D274A" w:rsidR="00AB3A3D">
        <w:rPr>
          <w:sz w:val="20"/>
        </w:rPr>
        <w:t>Attach</w:t>
      </w:r>
      <w:r w:rsidR="00AB3A3D">
        <w:rPr>
          <w:sz w:val="20"/>
        </w:rPr>
        <w:t>.</w:t>
      </w:r>
      <w:r w:rsidRPr="003D274A" w:rsidR="00AB3A3D">
        <w:rPr>
          <w:sz w:val="20"/>
        </w:rPr>
        <w:t xml:space="preserve"> </w:t>
      </w:r>
      <w:r w:rsidRPr="003D274A">
        <w:rPr>
          <w:sz w:val="20"/>
        </w:rPr>
        <w:t>B (2019) (</w:t>
      </w:r>
      <w:r w:rsidRPr="003D274A">
        <w:rPr>
          <w:i/>
          <w:sz w:val="20"/>
        </w:rPr>
        <w:t>Auction 903 Authorization &amp; Default Public Notice).</w:t>
      </w:r>
    </w:p>
    <w:p w:rsidR="00286950" w:rsidRPr="003D274A" w:rsidP="00286950" w14:paraId="23903F6F" w14:textId="77777777">
      <w:pPr>
        <w:rPr>
          <w:b/>
        </w:rPr>
      </w:pPr>
    </w:p>
  </w:footnote>
  <w:footnote w:id="33">
    <w:p w:rsidR="00286950" w:rsidRPr="003D274A" w:rsidP="00286950" w14:paraId="3F96EFB5" w14:textId="4B79A7B0">
      <w:pPr>
        <w:pStyle w:val="FootnoteText"/>
      </w:pPr>
      <w:r w:rsidRPr="003D274A">
        <w:rPr>
          <w:rStyle w:val="FootnoteReference"/>
          <w:rFonts w:eastAsia="Calibri"/>
        </w:rPr>
        <w:footnoteRef/>
      </w:r>
      <w:r w:rsidRPr="003D274A">
        <w:t xml:space="preserve"> </w:t>
      </w:r>
      <w:r w:rsidRPr="003D274A">
        <w:rPr>
          <w:i/>
        </w:rPr>
        <w:t xml:space="preserve">See </w:t>
      </w:r>
      <w:r w:rsidRPr="003D274A">
        <w:t xml:space="preserve">47 U.S.C. § 503(b)(1)(B); 47 CFR § 1.80(a)(1); </w:t>
      </w:r>
      <w:r w:rsidRPr="003D274A">
        <w:rPr>
          <w:i/>
        </w:rPr>
        <w:t xml:space="preserve">see also </w:t>
      </w:r>
      <w:r w:rsidRPr="003D274A">
        <w:t>47 U.S.C. § 503(b)(1)(D)</w:t>
      </w:r>
      <w:r w:rsidRPr="003D274A" w:rsidR="001171AC">
        <w:t xml:space="preserve"> </w:t>
      </w:r>
      <w:r w:rsidRPr="003D274A">
        <w:t xml:space="preserve">(forfeitures for violation of 18 U.S.C. § 1464).  Section 312(f)(1) of the Act defines willful as “the conscious and deliberate commission or omission of [any] act, irrespective of any intent to violate” the law.  47 U.S.C. § 312(f)(1).  The legislative history to </w:t>
      </w:r>
      <w:r w:rsidR="005722C2">
        <w:t>s</w:t>
      </w:r>
      <w:r w:rsidRPr="003D274A">
        <w:t xml:space="preserve">ection 312(f)(1) of the Act clarifies that this definition of willful applies to both </w:t>
      </w:r>
      <w:r w:rsidR="005722C2">
        <w:t>s</w:t>
      </w:r>
      <w:r w:rsidRPr="003D274A">
        <w:t>ections 312 and 503(b) of the Act, H.R. Rep. No. 97-765, 97</w:t>
      </w:r>
      <w:r w:rsidRPr="003D274A">
        <w:rPr>
          <w:vertAlign w:val="superscript"/>
        </w:rPr>
        <w:t>th</w:t>
      </w:r>
      <w:r w:rsidRPr="003D274A">
        <w:t xml:space="preserve"> Cong. 2d Sess. 51 (1982), and the Commission has so interpreted the term in the </w:t>
      </w:r>
      <w:r w:rsidR="005722C2">
        <w:t>s</w:t>
      </w:r>
      <w:r w:rsidRPr="003D274A">
        <w:t xml:space="preserve">ection 503(b) context.  </w:t>
      </w:r>
      <w:r w:rsidRPr="003D274A">
        <w:rPr>
          <w:i/>
        </w:rPr>
        <w:t>See, e.g., Southern California Broadcasting Co.</w:t>
      </w:r>
      <w:r w:rsidR="00321EF4">
        <w:rPr>
          <w:iCs/>
        </w:rPr>
        <w:t>,</w:t>
      </w:r>
      <w:r w:rsidRPr="003D274A">
        <w:t xml:space="preserve"> 6 FCC </w:t>
      </w:r>
      <w:r w:rsidRPr="003D274A">
        <w:t>Rcd</w:t>
      </w:r>
      <w:r w:rsidRPr="003D274A">
        <w:t xml:space="preserve"> 4387, 4388</w:t>
      </w:r>
      <w:r w:rsidR="00321EF4">
        <w:t xml:space="preserve">, para. </w:t>
      </w:r>
      <w:r w:rsidR="00DC6E1A">
        <w:t>5</w:t>
      </w:r>
      <w:r w:rsidR="00321EF4">
        <w:t xml:space="preserve">. </w:t>
      </w:r>
    </w:p>
  </w:footnote>
  <w:footnote w:id="34">
    <w:p w:rsidR="00286950" w:rsidRPr="003D274A" w:rsidP="00286950" w14:paraId="1C76D031" w14:textId="586D9688">
      <w:pPr>
        <w:pStyle w:val="FootnoteText"/>
      </w:pPr>
      <w:r w:rsidRPr="003D274A">
        <w:rPr>
          <w:rStyle w:val="FootnoteReference"/>
          <w:rFonts w:eastAsia="Calibri"/>
        </w:rPr>
        <w:footnoteRef/>
      </w:r>
      <w:r w:rsidRPr="003D274A">
        <w:t xml:space="preserve"> </w:t>
      </w:r>
      <w:r w:rsidRPr="003D274A">
        <w:rPr>
          <w:i/>
        </w:rPr>
        <w:t xml:space="preserve">See </w:t>
      </w:r>
      <w:r w:rsidRPr="003D274A">
        <w:t>47 U.S.C. § 503(b); 47 CFR § 1.80(f).</w:t>
      </w:r>
    </w:p>
  </w:footnote>
  <w:footnote w:id="35">
    <w:p w:rsidR="00286950" w:rsidRPr="003D274A" w:rsidP="00286950" w14:paraId="151DAEB0" w14:textId="77777777">
      <w:pPr>
        <w:pStyle w:val="FootnoteText"/>
      </w:pPr>
      <w:r w:rsidRPr="003D274A">
        <w:rPr>
          <w:rStyle w:val="FootnoteReference"/>
          <w:rFonts w:eastAsia="Calibri"/>
        </w:rPr>
        <w:footnoteRef/>
      </w:r>
      <w:r w:rsidRPr="003D274A">
        <w:t xml:space="preserve"> </w:t>
      </w:r>
      <w:r w:rsidRPr="003D274A">
        <w:rPr>
          <w:i/>
        </w:rPr>
        <w:t xml:space="preserve">See, e.g., SBC Communications, Inc., </w:t>
      </w:r>
      <w:r w:rsidRPr="003D274A">
        <w:t xml:space="preserve">Forfeiture Order, 17 FCC </w:t>
      </w:r>
      <w:r w:rsidRPr="003D274A">
        <w:t>Rcd</w:t>
      </w:r>
      <w:r w:rsidRPr="003D274A">
        <w:t xml:space="preserve"> 7589, 7591, para. 4 (2002) (forfeiture paid). </w:t>
      </w:r>
    </w:p>
  </w:footnote>
  <w:footnote w:id="36">
    <w:p w:rsidR="00286950" w:rsidRPr="003D274A" w:rsidP="00286950" w14:paraId="2EC342F9" w14:textId="365FFD7E">
      <w:pPr>
        <w:pStyle w:val="FootnoteText"/>
      </w:pPr>
      <w:r w:rsidRPr="003D274A">
        <w:rPr>
          <w:rStyle w:val="FootnoteReference"/>
          <w:rFonts w:eastAsia="Calibri"/>
        </w:rPr>
        <w:footnoteRef/>
      </w:r>
      <w:r w:rsidRPr="003D274A">
        <w:t xml:space="preserve"> </w:t>
      </w:r>
      <w:r w:rsidRPr="003D274A">
        <w:rPr>
          <w:i/>
        </w:rPr>
        <w:t xml:space="preserve">Phase II Auction Procedures Public Notice, </w:t>
      </w:r>
      <w:r w:rsidRPr="003D274A">
        <w:rPr>
          <w:shd w:val="clear" w:color="auto" w:fill="FFFFFF"/>
        </w:rPr>
        <w:t xml:space="preserve">33 FCC </w:t>
      </w:r>
      <w:r w:rsidRPr="003D274A">
        <w:rPr>
          <w:shd w:val="clear" w:color="auto" w:fill="FFFFFF"/>
        </w:rPr>
        <w:t>Rcd</w:t>
      </w:r>
      <w:r w:rsidRPr="003D274A">
        <w:rPr>
          <w:shd w:val="clear" w:color="auto" w:fill="FFFFFF"/>
        </w:rPr>
        <w:t xml:space="preserve"> at 1520-22,</w:t>
      </w:r>
      <w:r w:rsidRPr="003D274A">
        <w:t xml:space="preserve"> paras. 314-31</w:t>
      </w:r>
      <w:r w:rsidRPr="003D274A" w:rsidR="00FF58AF">
        <w:t>6</w:t>
      </w:r>
      <w:r w:rsidRPr="003D274A">
        <w:t>.</w:t>
      </w:r>
    </w:p>
  </w:footnote>
  <w:footnote w:id="37">
    <w:p w:rsidR="00286950" w:rsidRPr="003D274A" w:rsidP="00286950" w14:paraId="13ED044E" w14:textId="77777777">
      <w:pPr>
        <w:pStyle w:val="FootnoteText"/>
      </w:pPr>
      <w:r w:rsidRPr="003D274A">
        <w:rPr>
          <w:rStyle w:val="FootnoteReference"/>
          <w:rFonts w:eastAsia="Calibri"/>
        </w:rPr>
        <w:footnoteRef/>
      </w:r>
      <w:r w:rsidRPr="003D274A">
        <w:t xml:space="preserve"> 47 CFR § 1.21004.</w:t>
      </w:r>
    </w:p>
  </w:footnote>
  <w:footnote w:id="38">
    <w:p w:rsidR="00286950" w:rsidRPr="005655FA" w:rsidP="005655FA" w14:paraId="3013893C" w14:textId="6DC5E414">
      <w:pPr>
        <w:tabs>
          <w:tab w:val="center" w:pos="4680"/>
        </w:tabs>
        <w:suppressAutoHyphens/>
        <w:spacing w:after="120"/>
        <w:rPr>
          <w:i/>
          <w:iCs/>
          <w:sz w:val="20"/>
        </w:rPr>
      </w:pPr>
      <w:r w:rsidRPr="003D274A">
        <w:rPr>
          <w:rStyle w:val="FootnoteReference"/>
        </w:rPr>
        <w:footnoteRef/>
      </w:r>
      <w:r w:rsidRPr="003D274A">
        <w:t xml:space="preserve"> </w:t>
      </w:r>
      <w:r w:rsidRPr="003D274A">
        <w:rPr>
          <w:i/>
          <w:sz w:val="20"/>
        </w:rPr>
        <w:t>Phase II Auction Order</w:t>
      </w:r>
      <w:r w:rsidRPr="003D274A">
        <w:rPr>
          <w:sz w:val="20"/>
        </w:rPr>
        <w:t xml:space="preserve">, 31 FCC </w:t>
      </w:r>
      <w:r w:rsidRPr="003D274A">
        <w:rPr>
          <w:sz w:val="20"/>
        </w:rPr>
        <w:t>Rcd</w:t>
      </w:r>
      <w:r w:rsidRPr="003D274A">
        <w:rPr>
          <w:i/>
          <w:sz w:val="20"/>
        </w:rPr>
        <w:t xml:space="preserve"> </w:t>
      </w:r>
      <w:r w:rsidRPr="003D274A">
        <w:rPr>
          <w:sz w:val="20"/>
        </w:rPr>
        <w:t xml:space="preserve">at 6000, para. 143; </w:t>
      </w:r>
      <w:r w:rsidRPr="003D274A">
        <w:rPr>
          <w:i/>
          <w:sz w:val="20"/>
        </w:rPr>
        <w:t>Phase II Auction Procedures Public Notice</w:t>
      </w:r>
      <w:r w:rsidRPr="003D274A">
        <w:rPr>
          <w:sz w:val="20"/>
        </w:rPr>
        <w:t xml:space="preserve">, 33 FCC </w:t>
      </w:r>
      <w:r w:rsidRPr="003D274A">
        <w:rPr>
          <w:sz w:val="20"/>
        </w:rPr>
        <w:t>Rcd</w:t>
      </w:r>
      <w:r w:rsidRPr="003D274A">
        <w:rPr>
          <w:sz w:val="20"/>
        </w:rPr>
        <w:t xml:space="preserve"> at 1521, para. 315.</w:t>
      </w:r>
    </w:p>
  </w:footnote>
  <w:footnote w:id="39">
    <w:p w:rsidR="001171AC" w:rsidRPr="003D274A" w14:paraId="47FFBE54" w14:textId="6FA0255A">
      <w:pPr>
        <w:pStyle w:val="FootnoteText"/>
        <w:rPr>
          <w:i/>
        </w:rPr>
      </w:pPr>
      <w:r w:rsidRPr="003D274A">
        <w:rPr>
          <w:rStyle w:val="FootnoteReference"/>
        </w:rPr>
        <w:footnoteRef/>
      </w:r>
      <w:r w:rsidRPr="003D274A">
        <w:t xml:space="preserve"> </w:t>
      </w:r>
      <w:r w:rsidRPr="003D274A" w:rsidR="00CA38D9">
        <w:rPr>
          <w:i/>
        </w:rPr>
        <w:t>Phase II Auction Procedures Public Notice</w:t>
      </w:r>
      <w:r w:rsidRPr="003D274A" w:rsidR="00CA38D9">
        <w:t xml:space="preserve">, 33 FCC </w:t>
      </w:r>
      <w:r w:rsidRPr="003D274A" w:rsidR="00CA38D9">
        <w:t>Rcd</w:t>
      </w:r>
      <w:r w:rsidRPr="003D274A" w:rsidR="005C25FE">
        <w:t xml:space="preserve"> </w:t>
      </w:r>
      <w:r w:rsidRPr="003D274A">
        <w:t>at 1521, para. 314.</w:t>
      </w:r>
    </w:p>
  </w:footnote>
  <w:footnote w:id="40">
    <w:p w:rsidR="008B148E" w:rsidRPr="003D274A" w14:paraId="1C7CC3BB" w14:textId="78561658">
      <w:pPr>
        <w:pStyle w:val="FootnoteText"/>
      </w:pPr>
      <w:r w:rsidRPr="003D274A">
        <w:rPr>
          <w:rStyle w:val="FootnoteReference"/>
        </w:rPr>
        <w:footnoteRef/>
      </w:r>
      <w:r w:rsidRPr="003D274A">
        <w:t xml:space="preserve"> </w:t>
      </w:r>
      <w:r w:rsidRPr="003D274A">
        <w:rPr>
          <w:i/>
        </w:rPr>
        <w:t>Phase II Auction Order</w:t>
      </w:r>
      <w:r w:rsidRPr="003D274A">
        <w:t xml:space="preserve">, 31 FCC </w:t>
      </w:r>
      <w:r w:rsidRPr="003D274A">
        <w:t>Rcd</w:t>
      </w:r>
      <w:r w:rsidRPr="003D274A">
        <w:rPr>
          <w:i/>
        </w:rPr>
        <w:t xml:space="preserve"> </w:t>
      </w:r>
      <w:r w:rsidRPr="003D274A">
        <w:t>at 6001, para. 145.</w:t>
      </w:r>
    </w:p>
  </w:footnote>
  <w:footnote w:id="41">
    <w:p w:rsidR="005115D3" w:rsidRPr="003D274A" w:rsidP="005115D3" w14:paraId="376D4F4E" w14:textId="77777777">
      <w:pPr>
        <w:pStyle w:val="FootnoteText"/>
      </w:pPr>
      <w:r w:rsidRPr="003D274A">
        <w:rPr>
          <w:rStyle w:val="FootnoteReference"/>
          <w:rFonts w:eastAsia="Calibri"/>
        </w:rPr>
        <w:footnoteRef/>
      </w:r>
      <w:r w:rsidRPr="003D274A">
        <w:t xml:space="preserve"> </w:t>
      </w:r>
      <w:r w:rsidRPr="003D274A">
        <w:rPr>
          <w:i/>
        </w:rPr>
        <w:t xml:space="preserve">Forfeiture Policy Statement, </w:t>
      </w:r>
      <w:r w:rsidRPr="003D274A">
        <w:t xml:space="preserve">12 FCC </w:t>
      </w:r>
      <w:r w:rsidRPr="003D274A">
        <w:t>Rcd</w:t>
      </w:r>
      <w:r w:rsidRPr="003D274A">
        <w:rPr>
          <w:i/>
        </w:rPr>
        <w:t xml:space="preserve"> </w:t>
      </w:r>
      <w:r w:rsidRPr="003D274A">
        <w:t>at 17,100-101, para. 27.</w:t>
      </w:r>
    </w:p>
  </w:footnote>
  <w:footnote w:id="42">
    <w:p w:rsidR="00A43A5B" w:rsidRPr="003D274A" w:rsidP="00A43A5B" w14:paraId="133A1A2B" w14:textId="0DF042CC">
      <w:pPr>
        <w:pStyle w:val="FootnoteText"/>
      </w:pPr>
      <w:r w:rsidRPr="003D274A">
        <w:rPr>
          <w:rStyle w:val="FootnoteReference"/>
          <w:rFonts w:eastAsia="Calibri"/>
        </w:rPr>
        <w:footnoteRef/>
      </w:r>
      <w:r w:rsidRPr="003D274A">
        <w:t xml:space="preserve"> 47 U.S.C. § 312(f)(1) (emphasis added).  The legislative history to Section 312(f)(1) of the Act clarifies that this definition of willful applies to both </w:t>
      </w:r>
      <w:r>
        <w:t>s</w:t>
      </w:r>
      <w:r w:rsidRPr="003D274A">
        <w:t>ections 312 and 503(b) of the Act, H.R. Rep. No. 97-765, 97</w:t>
      </w:r>
      <w:r w:rsidRPr="003D274A">
        <w:rPr>
          <w:vertAlign w:val="superscript"/>
        </w:rPr>
        <w:t>th</w:t>
      </w:r>
      <w:r w:rsidRPr="003D274A">
        <w:t xml:space="preserve"> Cong. 2d Sess. 51 (1982), and the Commission has so interpreted the term in the </w:t>
      </w:r>
      <w:r>
        <w:t>s</w:t>
      </w:r>
      <w:r w:rsidRPr="003D274A">
        <w:t xml:space="preserve">ection 503(b) context.  </w:t>
      </w:r>
      <w:r w:rsidRPr="003D274A">
        <w:rPr>
          <w:i/>
        </w:rPr>
        <w:t>See, e.g., Southern California Broadcasting Co.</w:t>
      </w:r>
      <w:r w:rsidRPr="006933EF">
        <w:t>,</w:t>
      </w:r>
      <w:r w:rsidRPr="003D274A">
        <w:t xml:space="preserve"> 6 FCC </w:t>
      </w:r>
      <w:r w:rsidRPr="003D274A">
        <w:t>Rcd</w:t>
      </w:r>
      <w:r w:rsidRPr="003D274A">
        <w:t xml:space="preserve"> 4387, 4388</w:t>
      </w:r>
      <w:r w:rsidR="00DC6E1A">
        <w:t>, para. 5</w:t>
      </w:r>
      <w:r w:rsidRPr="003D274A">
        <w:t>.</w:t>
      </w:r>
    </w:p>
  </w:footnote>
  <w:footnote w:id="43">
    <w:p w:rsidR="00286950" w:rsidRPr="003D274A" w:rsidP="00286950" w14:paraId="6B58D1B6" w14:textId="78E97FE0">
      <w:pPr>
        <w:pStyle w:val="FootnoteText"/>
      </w:pPr>
      <w:r w:rsidRPr="003D274A">
        <w:rPr>
          <w:rStyle w:val="FootnoteReference"/>
          <w:rFonts w:eastAsia="Calibri"/>
        </w:rPr>
        <w:footnoteRef/>
      </w:r>
      <w:r w:rsidRPr="003D274A">
        <w:t xml:space="preserve"> </w:t>
      </w:r>
      <w:r w:rsidR="00EE45B6">
        <w:rPr>
          <w:i/>
          <w:iCs/>
          <w:snapToGrid w:val="0"/>
        </w:rPr>
        <w:t xml:space="preserve">Phase II Auction Procedures Public Notice, </w:t>
      </w:r>
      <w:r w:rsidR="00EE45B6">
        <w:rPr>
          <w:snapToGrid w:val="0"/>
          <w:color w:val="000000"/>
          <w:shd w:val="clear" w:color="auto" w:fill="FFFFFF"/>
        </w:rPr>
        <w:t xml:space="preserve">33 FCC </w:t>
      </w:r>
      <w:r w:rsidR="00EE45B6">
        <w:rPr>
          <w:snapToGrid w:val="0"/>
          <w:color w:val="000000"/>
          <w:shd w:val="clear" w:color="auto" w:fill="FFFFFF"/>
        </w:rPr>
        <w:t>Rcd</w:t>
      </w:r>
      <w:r w:rsidR="00EE45B6">
        <w:rPr>
          <w:snapToGrid w:val="0"/>
          <w:color w:val="000000"/>
          <w:shd w:val="clear" w:color="auto" w:fill="FFFFFF"/>
        </w:rPr>
        <w:t xml:space="preserve"> at 1471-2, 1521,</w:t>
      </w:r>
      <w:r w:rsidR="00EE45B6">
        <w:rPr>
          <w:snapToGrid w:val="0"/>
        </w:rPr>
        <w:t xml:space="preserve"> paras. 111-119, 315.</w:t>
      </w:r>
      <w:bookmarkStart w:id="1" w:name="_GoBack"/>
      <w:bookmarkEnd w:id="1"/>
    </w:p>
  </w:footnote>
  <w:footnote w:id="44">
    <w:p w:rsidR="00286950" w:rsidRPr="003D274A" w:rsidP="00286950" w14:paraId="1B1EFEA8" w14:textId="77777777">
      <w:pPr>
        <w:pStyle w:val="FootnoteText"/>
      </w:pPr>
      <w:r w:rsidRPr="003D274A">
        <w:rPr>
          <w:rStyle w:val="FootnoteReference"/>
          <w:rFonts w:eastAsia="Calibri"/>
        </w:rPr>
        <w:footnoteRef/>
      </w:r>
      <w:r w:rsidRPr="003D274A">
        <w:t xml:space="preserve"> </w:t>
      </w:r>
      <w:r w:rsidRPr="003D274A">
        <w:rPr>
          <w:i/>
        </w:rPr>
        <w:t>Phase II Auction Order</w:t>
      </w:r>
      <w:r w:rsidRPr="003D274A">
        <w:t xml:space="preserve">, 31 FCC </w:t>
      </w:r>
      <w:r w:rsidRPr="003D274A">
        <w:t>Rcd</w:t>
      </w:r>
      <w:r w:rsidRPr="003D274A">
        <w:t xml:space="preserve"> at 6000-01, para. 144; </w:t>
      </w:r>
      <w:r w:rsidRPr="003D274A">
        <w:rPr>
          <w:i/>
        </w:rPr>
        <w:t>Phase II Auction Procedures Public Notice</w:t>
      </w:r>
      <w:r w:rsidRPr="003D274A">
        <w:t xml:space="preserve">, 33 FCC </w:t>
      </w:r>
      <w:r w:rsidRPr="003D274A">
        <w:t>Rcd</w:t>
      </w:r>
      <w:r w:rsidRPr="003D274A">
        <w:t xml:space="preserve"> at 1521, para. 315.  This would occur in situations where the dollar amount associated with the bid is low.  For example, assume Bidder A’s winning bid includes 100 CBGs for $100,000 over the 10-year support term.  We may impose a base forfeiture of $5,000 (5% of $100,000) because otherwise the base forfeiture would be $300,000 ($3,000 x 100 CBGs), which is three times the entire bid amount.  In contrast, if Bidder B’s winning bid includes 100 CBGs for $7,000,000 over the support term, we may impose a base forfeiture of $300,000 ($3,000 x 100 CBGs), which is 4.3% of the total bid.</w:t>
      </w:r>
    </w:p>
  </w:footnote>
  <w:footnote w:id="45">
    <w:p w:rsidR="00286950" w:rsidRPr="003D274A" w:rsidP="00286950" w14:paraId="0F1C4648" w14:textId="77777777">
      <w:pPr>
        <w:pStyle w:val="FootnoteText"/>
      </w:pPr>
      <w:r w:rsidRPr="003D274A">
        <w:rPr>
          <w:rStyle w:val="FootnoteReference"/>
          <w:rFonts w:eastAsia="Calibri"/>
        </w:rPr>
        <w:footnoteRef/>
      </w:r>
      <w:r w:rsidRPr="003D274A">
        <w:t xml:space="preserve"> </w:t>
      </w:r>
      <w:r w:rsidRPr="003D274A">
        <w:rPr>
          <w:i/>
        </w:rPr>
        <w:t>Mobility Fund Phase I Auction Procedures Public Notice</w:t>
      </w:r>
      <w:r w:rsidRPr="003D274A">
        <w:t xml:space="preserve">, 27 FCC </w:t>
      </w:r>
      <w:r w:rsidRPr="003D274A">
        <w:t>Rcd</w:t>
      </w:r>
      <w:r w:rsidRPr="003D274A">
        <w:t xml:space="preserve"> at 4777, para. 187; </w:t>
      </w:r>
      <w:r w:rsidRPr="003D274A">
        <w:rPr>
          <w:i/>
        </w:rPr>
        <w:t>Tribal Mobility Fund Phase I Auction Procedures Public Notice</w:t>
      </w:r>
      <w:r w:rsidRPr="003D274A">
        <w:t xml:space="preserve">, 28 FCC </w:t>
      </w:r>
      <w:r w:rsidRPr="003D274A">
        <w:t>Rcd</w:t>
      </w:r>
      <w:r w:rsidRPr="003D274A">
        <w:t xml:space="preserve"> at 11692, para. 214. </w:t>
      </w:r>
    </w:p>
  </w:footnote>
  <w:footnote w:id="46">
    <w:p w:rsidR="00286950" w:rsidRPr="003D274A" w:rsidP="00286950" w14:paraId="4AC0E410" w14:textId="77777777">
      <w:pPr>
        <w:pStyle w:val="FootnoteText"/>
      </w:pPr>
      <w:r w:rsidRPr="003D274A">
        <w:rPr>
          <w:rStyle w:val="FootnoteReference"/>
          <w:rFonts w:eastAsia="Calibri"/>
        </w:rPr>
        <w:footnoteRef/>
      </w:r>
      <w:r w:rsidRPr="003D274A">
        <w:t xml:space="preserve"> </w:t>
      </w:r>
      <w:r w:rsidRPr="003D274A">
        <w:rPr>
          <w:i/>
        </w:rPr>
        <w:t>See</w:t>
      </w:r>
      <w:r w:rsidRPr="003D274A">
        <w:t xml:space="preserve"> 47 U.S.C. § 503(b)(2)(B); 47 CFR § 1.80(b)(8), note to paragraph (b)(8); </w:t>
      </w:r>
      <w:r w:rsidRPr="003D274A">
        <w:rPr>
          <w:i/>
        </w:rPr>
        <w:t>Phase II Auction Order</w:t>
      </w:r>
      <w:r w:rsidRPr="003D274A">
        <w:t xml:space="preserve">, 31 FCC </w:t>
      </w:r>
      <w:r w:rsidRPr="003D274A">
        <w:t>Rcd</w:t>
      </w:r>
      <w:r w:rsidRPr="003D274A">
        <w:t xml:space="preserve"> at 6000-01, para. 143; </w:t>
      </w:r>
      <w:r w:rsidRPr="003D274A">
        <w:rPr>
          <w:i/>
        </w:rPr>
        <w:t>Phase II Auction Procedures Public Notice</w:t>
      </w:r>
      <w:r w:rsidRPr="003D274A">
        <w:t xml:space="preserve">, 33 FCC </w:t>
      </w:r>
      <w:r w:rsidRPr="003D274A">
        <w:t>Rcd</w:t>
      </w:r>
      <w:r w:rsidRPr="003D274A">
        <w:t xml:space="preserve"> at 1521, para. 315.</w:t>
      </w:r>
    </w:p>
  </w:footnote>
  <w:footnote w:id="47">
    <w:p w:rsidR="00286950" w:rsidRPr="003D274A" w:rsidP="00286950" w14:paraId="64FA2495" w14:textId="5F2CD503">
      <w:pPr>
        <w:pStyle w:val="FootnoteText"/>
        <w:rPr>
          <w:i/>
        </w:rPr>
      </w:pPr>
      <w:r w:rsidRPr="003D274A">
        <w:rPr>
          <w:rStyle w:val="FootnoteReference"/>
          <w:rFonts w:eastAsia="Calibri"/>
        </w:rPr>
        <w:footnoteRef/>
      </w:r>
      <w:r w:rsidRPr="003D274A">
        <w:t xml:space="preserve"> </w:t>
      </w:r>
      <w:r w:rsidRPr="003D274A">
        <w:rPr>
          <w:i/>
        </w:rPr>
        <w:t>See, e.g., Star Wireless, LLC and Northeast Communications of Wisconsin, Inc.</w:t>
      </w:r>
      <w:r w:rsidRPr="003D274A">
        <w:t xml:space="preserve">, Order on Review, 22 FCC </w:t>
      </w:r>
      <w:r w:rsidRPr="003D274A">
        <w:t>Rcd</w:t>
      </w:r>
      <w:r w:rsidRPr="003D274A">
        <w:t xml:space="preserve"> 8943 (2007), </w:t>
      </w:r>
      <w:r w:rsidRPr="003D274A">
        <w:rPr>
          <w:i/>
        </w:rPr>
        <w:t>appeal denied</w:t>
      </w:r>
      <w:r w:rsidRPr="003D274A">
        <w:t>,</w:t>
      </w:r>
      <w:r w:rsidRPr="003D274A">
        <w:rPr>
          <w:i/>
        </w:rPr>
        <w:t xml:space="preserve"> Star Wireless, LLC v. FCC &amp; USA</w:t>
      </w:r>
      <w:r w:rsidRPr="003D274A">
        <w:t xml:space="preserve">, No. 07-1190 (D.C. Cir. April 22. 2008).  In the </w:t>
      </w:r>
      <w:r w:rsidRPr="003D274A">
        <w:rPr>
          <w:i/>
        </w:rPr>
        <w:t>Order on Review</w:t>
      </w:r>
      <w:r w:rsidRPr="003D274A">
        <w:t>,</w:t>
      </w:r>
      <w:r w:rsidRPr="003D274A">
        <w:rPr>
          <w:i/>
        </w:rPr>
        <w:t xml:space="preserve"> </w:t>
      </w:r>
      <w:r w:rsidRPr="003D274A">
        <w:t xml:space="preserve">the Commission affirmed the Bureau’s determination that Star Wireless and Northeast Communications were each liable for a monetary forfeiture for violating </w:t>
      </w:r>
      <w:r w:rsidR="005722C2">
        <w:t>s</w:t>
      </w:r>
      <w:r w:rsidRPr="003D274A">
        <w:t>ection 1.2105(c) of the Commission’s rules, but reduced the forfeiture from $100,000 to $75,000 in light of each company’s past history of compliance with Commission rules</w:t>
      </w:r>
      <w:r w:rsidRPr="003D274A">
        <w:rPr>
          <w:i/>
        </w:rPr>
        <w:t>.</w:t>
      </w:r>
    </w:p>
  </w:footnote>
  <w:footnote w:id="48">
    <w:p w:rsidR="007E35F9" w:rsidRPr="003D274A" w14:paraId="645C4ECE" w14:textId="02A44212">
      <w:pPr>
        <w:pStyle w:val="FootnoteText"/>
      </w:pPr>
      <w:r w:rsidRPr="003D274A">
        <w:rPr>
          <w:rStyle w:val="FootnoteReference"/>
        </w:rPr>
        <w:footnoteRef/>
      </w:r>
      <w:r w:rsidRPr="003D274A">
        <w:t xml:space="preserve"> 47 U.S.C. § 503(b).</w:t>
      </w:r>
    </w:p>
  </w:footnote>
  <w:footnote w:id="49">
    <w:p w:rsidR="007E35F9" w:rsidRPr="003D274A" w14:paraId="0C36CD16" w14:textId="708EADBC">
      <w:pPr>
        <w:pStyle w:val="FootnoteText"/>
      </w:pPr>
      <w:r w:rsidRPr="003D274A">
        <w:rPr>
          <w:rStyle w:val="FootnoteReference"/>
        </w:rPr>
        <w:footnoteRef/>
      </w:r>
      <w:r w:rsidRPr="003D274A">
        <w:t xml:space="preserve"> 47 CFR § 1.80.</w:t>
      </w:r>
    </w:p>
  </w:footnote>
  <w:footnote w:id="50">
    <w:p w:rsidR="00096A3C" w:rsidRPr="003D274A" w14:paraId="2C8107F8" w14:textId="079F7DD3">
      <w:pPr>
        <w:pStyle w:val="FootnoteText"/>
      </w:pPr>
      <w:r w:rsidRPr="003D274A">
        <w:rPr>
          <w:rStyle w:val="FootnoteReference"/>
        </w:rPr>
        <w:footnoteRef/>
      </w:r>
      <w:r w:rsidRPr="003D274A">
        <w:t xml:space="preserve"> 47 CFR § 1.21004(b).</w:t>
      </w:r>
    </w:p>
  </w:footnote>
  <w:footnote w:id="51">
    <w:p w:rsidR="00096A3C" w:rsidRPr="003D274A" w14:paraId="02770414" w14:textId="0084E704">
      <w:pPr>
        <w:pStyle w:val="FootnoteText"/>
      </w:pPr>
      <w:r w:rsidRPr="003D274A">
        <w:rPr>
          <w:rStyle w:val="FootnoteReference"/>
        </w:rPr>
        <w:footnoteRef/>
      </w:r>
      <w:r w:rsidRPr="003D274A">
        <w:t xml:space="preserve"> 47 CFR § 1.80.</w:t>
      </w:r>
    </w:p>
  </w:footnote>
  <w:footnote w:id="52">
    <w:p w:rsidR="00AB3FD0" w:rsidRPr="003D274A" w:rsidP="00AB3FD0" w14:paraId="63D2A5C8" w14:textId="77777777">
      <w:pPr>
        <w:pStyle w:val="FootnoteText"/>
      </w:pPr>
      <w:r w:rsidRPr="003D274A">
        <w:rPr>
          <w:rStyle w:val="FootnoteReference"/>
        </w:rPr>
        <w:footnoteRef/>
      </w:r>
      <w:r w:rsidRPr="003D274A">
        <w:t xml:space="preserve"> Payments made using the Commission’s Fee Filer system do not require the submission of an FCC Form 159.</w:t>
      </w:r>
    </w:p>
  </w:footnote>
  <w:footnote w:id="53">
    <w:p w:rsidR="00AB3FD0" w:rsidRPr="003D274A" w:rsidP="00AB3FD0" w14:paraId="232ECAB1" w14:textId="253807F3">
      <w:pPr>
        <w:pStyle w:val="FootnoteText"/>
        <w:rPr>
          <w:sz w:val="22"/>
          <w:szCs w:val="22"/>
        </w:rPr>
      </w:pPr>
      <w:r w:rsidRPr="003D274A">
        <w:rPr>
          <w:rStyle w:val="FootnoteReference"/>
        </w:rPr>
        <w:footnoteRef/>
      </w:r>
      <w:r w:rsidRPr="003D274A">
        <w:t xml:space="preserve"> For questions regarding payment procedures, please contact the Financial Operations Group Help Desk by phone at 1-877-480-3201 (option #6), or by email at </w:t>
      </w:r>
      <w:hyperlink r:id="rId3" w:history="1">
        <w:r w:rsidRPr="003D274A">
          <w:rPr>
            <w:rStyle w:val="Hyperlink"/>
            <w:color w:val="auto"/>
          </w:rPr>
          <w:t>ARINQUIRIES@fcc.gov</w:t>
        </w:r>
      </w:hyperlink>
      <w:r w:rsidRPr="003D274A">
        <w:t>.</w:t>
      </w:r>
    </w:p>
  </w:footnote>
  <w:footnote w:id="54">
    <w:p w:rsidR="00AB3FD0" w:rsidRPr="003D274A" w:rsidP="00AB3FD0" w14:paraId="5522A464" w14:textId="77777777">
      <w:pPr>
        <w:pStyle w:val="FootnoteText"/>
      </w:pPr>
      <w:r w:rsidRPr="003D274A">
        <w:rPr>
          <w:rStyle w:val="FootnoteReference"/>
        </w:rPr>
        <w:footnoteRef/>
      </w:r>
      <w:r w:rsidRPr="003D274A">
        <w:t xml:space="preserve"> Instructions for completing the form may be obtained at </w:t>
      </w:r>
      <w:hyperlink r:id="rId4" w:history="1">
        <w:r w:rsidRPr="003D274A">
          <w:rPr>
            <w:rStyle w:val="Hyperlink"/>
            <w:color w:val="auto"/>
          </w:rPr>
          <w:t>http://www.fcc.gov/Forms/Form159/159.pdf</w:t>
        </w:r>
      </w:hyperlink>
      <w:r w:rsidRPr="003D274A">
        <w:t xml:space="preserve">. </w:t>
      </w:r>
    </w:p>
  </w:footnote>
  <w:footnote w:id="55">
    <w:p w:rsidR="00AB3FD0" w:rsidRPr="003D274A" w:rsidP="00AB3FD0" w14:paraId="2D098418" w14:textId="77777777">
      <w:pPr>
        <w:pStyle w:val="FootnoteText"/>
      </w:pPr>
      <w:r w:rsidRPr="003D274A">
        <w:rPr>
          <w:rStyle w:val="FootnoteReference"/>
        </w:rPr>
        <w:footnoteRef/>
      </w:r>
      <w:r w:rsidRPr="003D274A">
        <w:t xml:space="preserve"> </w:t>
      </w:r>
      <w:r w:rsidRPr="003D274A">
        <w:rPr>
          <w:i/>
        </w:rPr>
        <w:t>See</w:t>
      </w:r>
      <w:r w:rsidRPr="003D274A">
        <w:t xml:space="preserve"> 47 CFR § 1.1914.</w:t>
      </w:r>
    </w:p>
  </w:footnote>
  <w:footnote w:id="56">
    <w:p w:rsidR="00AB3FD0" w:rsidRPr="003D274A" w:rsidP="00AB3FD0" w14:paraId="611D588B" w14:textId="77777777">
      <w:pPr>
        <w:pStyle w:val="FootnoteText"/>
      </w:pPr>
      <w:r w:rsidRPr="003D274A">
        <w:rPr>
          <w:rStyle w:val="FootnoteReference"/>
        </w:rPr>
        <w:footnoteRef/>
      </w:r>
      <w:r w:rsidRPr="003D274A">
        <w:t xml:space="preserve"> 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24EA8" w14:paraId="0572C14A" w14:textId="0476CEE5">
    <w:pPr>
      <w:pStyle w:val="Header"/>
    </w:pPr>
    <w:r>
      <w:tab/>
      <w:t>Federal Communications Commission</w:t>
    </w:r>
    <w:r>
      <w:tab/>
    </w:r>
    <w:bookmarkStart w:id="3" w:name="_Hlk15301506"/>
    <w:r>
      <w:t>DA</w:t>
    </w:r>
    <w:bookmarkEnd w:id="3"/>
    <w:r w:rsidR="0038527B">
      <w:t xml:space="preserve"> 20-332</w:t>
    </w:r>
  </w:p>
  <w:p w:rsidR="00D25FB5" w14:paraId="1E6DE3C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8C78C4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35545" w:rsidP="00224EA8" w14:paraId="7EF955EE" w14:textId="1B5D78AD">
    <w:pPr>
      <w:pStyle w:val="Header"/>
    </w:pPr>
    <w:r w:rsidRPr="00224EA8">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224EA8">
      <w:tab/>
      <w:t>Federal Communications Commission</w:t>
    </w:r>
    <w:r w:rsidRPr="00224EA8">
      <w:tab/>
    </w:r>
    <w:r>
      <w:t>DA</w:t>
    </w:r>
    <w:r w:rsidR="00443B31">
      <w:t xml:space="preserve"> 20-332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6D3F9A"/>
    <w:multiLevelType w:val="hybridMultilevel"/>
    <w:tmpl w:val="5FBE71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7"/>
  </w:num>
  <w:num w:numId="2">
    <w:abstractNumId w:val="4"/>
  </w:num>
  <w:num w:numId="3">
    <w:abstractNumId w:val="8"/>
  </w:num>
  <w:num w:numId="4">
    <w:abstractNumId w:val="6"/>
  </w:num>
  <w:num w:numId="5">
    <w:abstractNumId w:val="1"/>
  </w:num>
  <w:num w:numId="6">
    <w:abstractNumId w:val="9"/>
  </w:num>
  <w:num w:numId="7">
    <w:abstractNumId w:val="7"/>
  </w:num>
  <w:num w:numId="8">
    <w:abstractNumId w:val="7"/>
  </w:num>
  <w:num w:numId="9">
    <w:abstractNumId w:val="7"/>
  </w:num>
  <w:num w:numId="10">
    <w:abstractNumId w:val="7"/>
  </w:num>
  <w:num w:numId="11">
    <w:abstractNumId w:val="7"/>
  </w:num>
  <w:num w:numId="12">
    <w:abstractNumId w:val="2"/>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attachedTemplate r:id="rId1"/>
  <w:linkStyles/>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50"/>
    <w:rsid w:val="00011CA2"/>
    <w:rsid w:val="000218A8"/>
    <w:rsid w:val="00022BCE"/>
    <w:rsid w:val="00030879"/>
    <w:rsid w:val="00044B79"/>
    <w:rsid w:val="00045540"/>
    <w:rsid w:val="00045BC4"/>
    <w:rsid w:val="000469F1"/>
    <w:rsid w:val="0004717C"/>
    <w:rsid w:val="000504EB"/>
    <w:rsid w:val="00056D73"/>
    <w:rsid w:val="00073978"/>
    <w:rsid w:val="000742D4"/>
    <w:rsid w:val="00077625"/>
    <w:rsid w:val="00090BC1"/>
    <w:rsid w:val="00094BAA"/>
    <w:rsid w:val="00096A3C"/>
    <w:rsid w:val="000A3EF1"/>
    <w:rsid w:val="000A50F6"/>
    <w:rsid w:val="000B160A"/>
    <w:rsid w:val="000C349B"/>
    <w:rsid w:val="000D11BD"/>
    <w:rsid w:val="000D73ED"/>
    <w:rsid w:val="000E75D2"/>
    <w:rsid w:val="000F472C"/>
    <w:rsid w:val="001171AC"/>
    <w:rsid w:val="0013651D"/>
    <w:rsid w:val="00171A22"/>
    <w:rsid w:val="00173D69"/>
    <w:rsid w:val="00180801"/>
    <w:rsid w:val="00186BB5"/>
    <w:rsid w:val="00191878"/>
    <w:rsid w:val="001B29DB"/>
    <w:rsid w:val="001B5BBD"/>
    <w:rsid w:val="001D0994"/>
    <w:rsid w:val="001D3017"/>
    <w:rsid w:val="001E4F2E"/>
    <w:rsid w:val="001F4660"/>
    <w:rsid w:val="00202055"/>
    <w:rsid w:val="00220268"/>
    <w:rsid w:val="00223989"/>
    <w:rsid w:val="00224EA8"/>
    <w:rsid w:val="00226F18"/>
    <w:rsid w:val="00246A7A"/>
    <w:rsid w:val="00254387"/>
    <w:rsid w:val="00261A48"/>
    <w:rsid w:val="00284E72"/>
    <w:rsid w:val="00286950"/>
    <w:rsid w:val="00287642"/>
    <w:rsid w:val="002A0E2F"/>
    <w:rsid w:val="002A434D"/>
    <w:rsid w:val="002B7424"/>
    <w:rsid w:val="002D3DE1"/>
    <w:rsid w:val="002E127C"/>
    <w:rsid w:val="002E4F77"/>
    <w:rsid w:val="002F34EC"/>
    <w:rsid w:val="003047AE"/>
    <w:rsid w:val="00304CF1"/>
    <w:rsid w:val="003177F3"/>
    <w:rsid w:val="00321EF4"/>
    <w:rsid w:val="0033514C"/>
    <w:rsid w:val="003377CF"/>
    <w:rsid w:val="00341030"/>
    <w:rsid w:val="00342EF6"/>
    <w:rsid w:val="00352689"/>
    <w:rsid w:val="00354F56"/>
    <w:rsid w:val="00356C54"/>
    <w:rsid w:val="00371124"/>
    <w:rsid w:val="003732A5"/>
    <w:rsid w:val="00380D33"/>
    <w:rsid w:val="00383E54"/>
    <w:rsid w:val="0038527B"/>
    <w:rsid w:val="0038588C"/>
    <w:rsid w:val="003861E5"/>
    <w:rsid w:val="003965E1"/>
    <w:rsid w:val="003C0786"/>
    <w:rsid w:val="003D274A"/>
    <w:rsid w:val="003D428D"/>
    <w:rsid w:val="003D4728"/>
    <w:rsid w:val="003E4E93"/>
    <w:rsid w:val="00416362"/>
    <w:rsid w:val="00427BEF"/>
    <w:rsid w:val="00430767"/>
    <w:rsid w:val="00435545"/>
    <w:rsid w:val="00443B31"/>
    <w:rsid w:val="00444009"/>
    <w:rsid w:val="00451B75"/>
    <w:rsid w:val="00451D74"/>
    <w:rsid w:val="00473658"/>
    <w:rsid w:val="00475EFB"/>
    <w:rsid w:val="004811CD"/>
    <w:rsid w:val="00483B48"/>
    <w:rsid w:val="00485618"/>
    <w:rsid w:val="0048642D"/>
    <w:rsid w:val="00495673"/>
    <w:rsid w:val="004A3F29"/>
    <w:rsid w:val="004A79CA"/>
    <w:rsid w:val="004B2307"/>
    <w:rsid w:val="004D5B9A"/>
    <w:rsid w:val="004F1474"/>
    <w:rsid w:val="004F572D"/>
    <w:rsid w:val="004F5948"/>
    <w:rsid w:val="004F5BB8"/>
    <w:rsid w:val="004F6F2D"/>
    <w:rsid w:val="00504342"/>
    <w:rsid w:val="0050576B"/>
    <w:rsid w:val="005077EE"/>
    <w:rsid w:val="005115D3"/>
    <w:rsid w:val="00514D9F"/>
    <w:rsid w:val="00517C02"/>
    <w:rsid w:val="0052280D"/>
    <w:rsid w:val="00536D1C"/>
    <w:rsid w:val="005424EA"/>
    <w:rsid w:val="00546AF5"/>
    <w:rsid w:val="00550F3B"/>
    <w:rsid w:val="0055614C"/>
    <w:rsid w:val="00560874"/>
    <w:rsid w:val="005655FA"/>
    <w:rsid w:val="005722C2"/>
    <w:rsid w:val="005725B5"/>
    <w:rsid w:val="0057379D"/>
    <w:rsid w:val="00593E5E"/>
    <w:rsid w:val="005A3F82"/>
    <w:rsid w:val="005C18ED"/>
    <w:rsid w:val="005C25FE"/>
    <w:rsid w:val="005C6CEA"/>
    <w:rsid w:val="005D13EA"/>
    <w:rsid w:val="005D4C4A"/>
    <w:rsid w:val="005E4F9B"/>
    <w:rsid w:val="005E74D3"/>
    <w:rsid w:val="006016BE"/>
    <w:rsid w:val="00610CFF"/>
    <w:rsid w:val="00624D5A"/>
    <w:rsid w:val="00652D59"/>
    <w:rsid w:val="00677F5A"/>
    <w:rsid w:val="006862C7"/>
    <w:rsid w:val="0068736F"/>
    <w:rsid w:val="0069215A"/>
    <w:rsid w:val="00692FBC"/>
    <w:rsid w:val="006933EF"/>
    <w:rsid w:val="006B11CD"/>
    <w:rsid w:val="006D29EF"/>
    <w:rsid w:val="006D4B1B"/>
    <w:rsid w:val="006D5023"/>
    <w:rsid w:val="006E14F6"/>
    <w:rsid w:val="006E30B4"/>
    <w:rsid w:val="006F61A5"/>
    <w:rsid w:val="00712626"/>
    <w:rsid w:val="00716999"/>
    <w:rsid w:val="007334B1"/>
    <w:rsid w:val="00744F36"/>
    <w:rsid w:val="007705CB"/>
    <w:rsid w:val="00776C3C"/>
    <w:rsid w:val="007916BC"/>
    <w:rsid w:val="0079744A"/>
    <w:rsid w:val="007A08DE"/>
    <w:rsid w:val="007C2FF2"/>
    <w:rsid w:val="007D123B"/>
    <w:rsid w:val="007D4010"/>
    <w:rsid w:val="007E35F9"/>
    <w:rsid w:val="007F6B9D"/>
    <w:rsid w:val="007F6D32"/>
    <w:rsid w:val="008022EF"/>
    <w:rsid w:val="0081431C"/>
    <w:rsid w:val="00823AFB"/>
    <w:rsid w:val="00862E1E"/>
    <w:rsid w:val="00866630"/>
    <w:rsid w:val="00871E52"/>
    <w:rsid w:val="008749D2"/>
    <w:rsid w:val="00875695"/>
    <w:rsid w:val="00876186"/>
    <w:rsid w:val="00883606"/>
    <w:rsid w:val="00893127"/>
    <w:rsid w:val="008A66EF"/>
    <w:rsid w:val="008B148E"/>
    <w:rsid w:val="008B2CCE"/>
    <w:rsid w:val="008D1A5D"/>
    <w:rsid w:val="008D3573"/>
    <w:rsid w:val="008D7A2A"/>
    <w:rsid w:val="008E66C5"/>
    <w:rsid w:val="008F4DD6"/>
    <w:rsid w:val="009032F5"/>
    <w:rsid w:val="00903E02"/>
    <w:rsid w:val="00903ED8"/>
    <w:rsid w:val="00914F0C"/>
    <w:rsid w:val="00925895"/>
    <w:rsid w:val="00960E47"/>
    <w:rsid w:val="00965464"/>
    <w:rsid w:val="00967137"/>
    <w:rsid w:val="00967360"/>
    <w:rsid w:val="0097071E"/>
    <w:rsid w:val="00972065"/>
    <w:rsid w:val="009809DB"/>
    <w:rsid w:val="009861A2"/>
    <w:rsid w:val="009C7FBF"/>
    <w:rsid w:val="009D7308"/>
    <w:rsid w:val="009E56E6"/>
    <w:rsid w:val="009F2849"/>
    <w:rsid w:val="009F4359"/>
    <w:rsid w:val="00A03CB6"/>
    <w:rsid w:val="00A229E3"/>
    <w:rsid w:val="00A26ADF"/>
    <w:rsid w:val="00A36333"/>
    <w:rsid w:val="00A43044"/>
    <w:rsid w:val="00A43A5B"/>
    <w:rsid w:val="00A44260"/>
    <w:rsid w:val="00A733F5"/>
    <w:rsid w:val="00A95C7E"/>
    <w:rsid w:val="00AB3A3D"/>
    <w:rsid w:val="00AB3FD0"/>
    <w:rsid w:val="00AC0646"/>
    <w:rsid w:val="00AC65E0"/>
    <w:rsid w:val="00AD3E32"/>
    <w:rsid w:val="00AD4AED"/>
    <w:rsid w:val="00AF70C1"/>
    <w:rsid w:val="00B12F72"/>
    <w:rsid w:val="00B16365"/>
    <w:rsid w:val="00B276B0"/>
    <w:rsid w:val="00B33BB8"/>
    <w:rsid w:val="00B36DCF"/>
    <w:rsid w:val="00B41D5C"/>
    <w:rsid w:val="00B4272E"/>
    <w:rsid w:val="00B5235C"/>
    <w:rsid w:val="00B55462"/>
    <w:rsid w:val="00B67B62"/>
    <w:rsid w:val="00B86D0C"/>
    <w:rsid w:val="00BA11C3"/>
    <w:rsid w:val="00BA7AA5"/>
    <w:rsid w:val="00BB17EC"/>
    <w:rsid w:val="00BC1C47"/>
    <w:rsid w:val="00BD6C35"/>
    <w:rsid w:val="00BF1AED"/>
    <w:rsid w:val="00C213B1"/>
    <w:rsid w:val="00C21AB5"/>
    <w:rsid w:val="00C21AF4"/>
    <w:rsid w:val="00C23161"/>
    <w:rsid w:val="00C23F98"/>
    <w:rsid w:val="00C27B5F"/>
    <w:rsid w:val="00C5415B"/>
    <w:rsid w:val="00C74773"/>
    <w:rsid w:val="00C81F2A"/>
    <w:rsid w:val="00C87551"/>
    <w:rsid w:val="00C90823"/>
    <w:rsid w:val="00C959D1"/>
    <w:rsid w:val="00CA38D9"/>
    <w:rsid w:val="00CB6AC4"/>
    <w:rsid w:val="00CD1D60"/>
    <w:rsid w:val="00CD28E7"/>
    <w:rsid w:val="00CE2236"/>
    <w:rsid w:val="00CF01FE"/>
    <w:rsid w:val="00CF14CA"/>
    <w:rsid w:val="00D1414C"/>
    <w:rsid w:val="00D25FB5"/>
    <w:rsid w:val="00D27A8B"/>
    <w:rsid w:val="00D329A9"/>
    <w:rsid w:val="00D436A4"/>
    <w:rsid w:val="00D52DDC"/>
    <w:rsid w:val="00D5670D"/>
    <w:rsid w:val="00D61561"/>
    <w:rsid w:val="00D641D3"/>
    <w:rsid w:val="00D820C9"/>
    <w:rsid w:val="00D904BB"/>
    <w:rsid w:val="00D94F60"/>
    <w:rsid w:val="00D9666F"/>
    <w:rsid w:val="00DB1092"/>
    <w:rsid w:val="00DC6E1A"/>
    <w:rsid w:val="00DD2F08"/>
    <w:rsid w:val="00DE66D4"/>
    <w:rsid w:val="00DE7496"/>
    <w:rsid w:val="00E00835"/>
    <w:rsid w:val="00E01D9B"/>
    <w:rsid w:val="00E041BD"/>
    <w:rsid w:val="00E11989"/>
    <w:rsid w:val="00E13A41"/>
    <w:rsid w:val="00E1622D"/>
    <w:rsid w:val="00E16FC7"/>
    <w:rsid w:val="00E20D31"/>
    <w:rsid w:val="00E22455"/>
    <w:rsid w:val="00E2518A"/>
    <w:rsid w:val="00E25632"/>
    <w:rsid w:val="00E3215D"/>
    <w:rsid w:val="00E3675E"/>
    <w:rsid w:val="00E4251D"/>
    <w:rsid w:val="00E55E4E"/>
    <w:rsid w:val="00E60F2B"/>
    <w:rsid w:val="00E64891"/>
    <w:rsid w:val="00E665D3"/>
    <w:rsid w:val="00E665F3"/>
    <w:rsid w:val="00E70ACC"/>
    <w:rsid w:val="00E903B0"/>
    <w:rsid w:val="00ED09FD"/>
    <w:rsid w:val="00ED563F"/>
    <w:rsid w:val="00ED6C2B"/>
    <w:rsid w:val="00ED6D50"/>
    <w:rsid w:val="00EE2C64"/>
    <w:rsid w:val="00EE45B6"/>
    <w:rsid w:val="00EE7965"/>
    <w:rsid w:val="00F059B0"/>
    <w:rsid w:val="00F07950"/>
    <w:rsid w:val="00F14AEB"/>
    <w:rsid w:val="00F16686"/>
    <w:rsid w:val="00F24652"/>
    <w:rsid w:val="00F3725E"/>
    <w:rsid w:val="00F607D8"/>
    <w:rsid w:val="00F713E8"/>
    <w:rsid w:val="00F73AAF"/>
    <w:rsid w:val="00F80230"/>
    <w:rsid w:val="00FA0A2E"/>
    <w:rsid w:val="00FB1A0D"/>
    <w:rsid w:val="00FD7E86"/>
    <w:rsid w:val="00FE10A4"/>
    <w:rsid w:val="00FF58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36A920-4486-4023-9974-AADCA589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B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B33BB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33BB8"/>
    <w:pPr>
      <w:keepNext/>
      <w:numPr>
        <w:ilvl w:val="1"/>
        <w:numId w:val="2"/>
      </w:numPr>
      <w:spacing w:after="120"/>
      <w:outlineLvl w:val="1"/>
    </w:pPr>
    <w:rPr>
      <w:b/>
    </w:rPr>
  </w:style>
  <w:style w:type="paragraph" w:styleId="Heading3">
    <w:name w:val="heading 3"/>
    <w:basedOn w:val="Normal"/>
    <w:next w:val="ParaNum"/>
    <w:link w:val="Heading3Char"/>
    <w:qFormat/>
    <w:rsid w:val="00B33BB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33BB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33BB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33BB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33BB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33BB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33BB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3B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BB8"/>
  </w:style>
  <w:style w:type="character" w:customStyle="1" w:styleId="Heading1Char">
    <w:name w:val="Heading 1 Char"/>
    <w:basedOn w:val="DefaultParagraphFont"/>
    <w:link w:val="Heading1"/>
    <w:rsid w:val="002869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869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869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869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869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869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869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869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86950"/>
    <w:rPr>
      <w:rFonts w:ascii="Times New Roman" w:eastAsia="Times New Roman" w:hAnsi="Times New Roman" w:cs="Times New Roman"/>
      <w:b/>
      <w:snapToGrid w:val="0"/>
      <w:kern w:val="28"/>
      <w:szCs w:val="20"/>
    </w:rPr>
  </w:style>
  <w:style w:type="paragraph" w:customStyle="1" w:styleId="ParaNum">
    <w:name w:val="ParaNum"/>
    <w:basedOn w:val="Normal"/>
    <w:link w:val="ParaNumCharChar1"/>
    <w:rsid w:val="00B33BB8"/>
    <w:pPr>
      <w:numPr>
        <w:numId w:val="1"/>
      </w:numPr>
      <w:tabs>
        <w:tab w:val="clear" w:pos="1080"/>
        <w:tab w:val="num" w:pos="1440"/>
      </w:tabs>
      <w:spacing w:after="120"/>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2"/>
    <w:rsid w:val="00B33BB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1 Char Char,Footnote Text Char1 Char Char Char Char,Style 5 Char Char Char,Style Char,fn Char,rrfootnote Char Char Char"/>
    <w:basedOn w:val="DefaultParagraphFont"/>
    <w:rsid w:val="00286950"/>
    <w:rPr>
      <w:rFonts w:ascii="Calibri" w:eastAsia="Calibri" w:hAnsi="Calibri"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B33BB8"/>
    <w:rPr>
      <w:rFonts w:ascii="Times New Roman" w:hAnsi="Times New Roman"/>
      <w:dstrike w:val="0"/>
      <w:color w:val="auto"/>
      <w:sz w:val="20"/>
      <w:vertAlign w:val="superscript"/>
    </w:rPr>
  </w:style>
  <w:style w:type="paragraph" w:styleId="TOAHeading">
    <w:name w:val="toa heading"/>
    <w:basedOn w:val="Normal"/>
    <w:next w:val="Normal"/>
    <w:semiHidden/>
    <w:rsid w:val="00B33BB8"/>
    <w:pPr>
      <w:tabs>
        <w:tab w:val="right" w:pos="9360"/>
      </w:tabs>
      <w:suppressAutoHyphens/>
    </w:pPr>
  </w:style>
  <w:style w:type="paragraph" w:styleId="Header">
    <w:name w:val="header"/>
    <w:basedOn w:val="Normal"/>
    <w:link w:val="HeaderChar"/>
    <w:autoRedefine/>
    <w:rsid w:val="00B33BB8"/>
    <w:pPr>
      <w:tabs>
        <w:tab w:val="center" w:pos="4680"/>
        <w:tab w:val="right" w:pos="9360"/>
      </w:tabs>
    </w:pPr>
    <w:rPr>
      <w:b/>
    </w:rPr>
  </w:style>
  <w:style w:type="character" w:customStyle="1" w:styleId="HeaderChar">
    <w:name w:val="Header Char"/>
    <w:basedOn w:val="DefaultParagraphFont"/>
    <w:link w:val="Header"/>
    <w:rsid w:val="00286950"/>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B33BB8"/>
    <w:pPr>
      <w:tabs>
        <w:tab w:val="center" w:pos="4320"/>
        <w:tab w:val="right" w:pos="8640"/>
      </w:tabs>
    </w:pPr>
  </w:style>
  <w:style w:type="character" w:customStyle="1" w:styleId="FooterChar">
    <w:name w:val="Footer Char"/>
    <w:link w:val="Footer"/>
    <w:uiPriority w:val="99"/>
    <w:rsid w:val="00B33BB8"/>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B33BB8"/>
    <w:pPr>
      <w:jc w:val="center"/>
    </w:pPr>
    <w:rPr>
      <w:rFonts w:ascii="Times New Roman Bold" w:hAnsi="Times New Roman Bold"/>
      <w:b/>
      <w:bCs/>
      <w:caps/>
      <w:szCs w:val="22"/>
    </w:rPr>
  </w:style>
  <w:style w:type="character" w:styleId="Hyperlink">
    <w:name w:val="Hyperlink"/>
    <w:rsid w:val="00B33BB8"/>
    <w:rPr>
      <w:color w:val="0000FF"/>
      <w:u w:val="single"/>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fn Char1"/>
    <w:link w:val="FootnoteText"/>
    <w:rsid w:val="00286950"/>
    <w:rPr>
      <w:rFonts w:ascii="Times New Roman" w:eastAsia="Times New Roman" w:hAnsi="Times New Roman" w:cs="Times New Roman"/>
      <w:sz w:val="20"/>
      <w:szCs w:val="20"/>
    </w:rPr>
  </w:style>
  <w:style w:type="character" w:styleId="Strong">
    <w:name w:val="Strong"/>
    <w:uiPriority w:val="22"/>
    <w:qFormat/>
    <w:rsid w:val="00286950"/>
    <w:rPr>
      <w:b/>
      <w:bCs/>
    </w:rPr>
  </w:style>
  <w:style w:type="character" w:customStyle="1" w:styleId="ParaNumCharChar1">
    <w:name w:val="ParaNum Char Char1"/>
    <w:link w:val="ParaNum"/>
    <w:locked/>
    <w:rsid w:val="00286950"/>
    <w:rPr>
      <w:rFonts w:ascii="Times New Roman" w:eastAsia="Times New Roman" w:hAnsi="Times New Roman" w:cs="Times New Roman"/>
      <w:snapToGrid w:val="0"/>
      <w:kern w:val="28"/>
      <w:szCs w:val="20"/>
    </w:rPr>
  </w:style>
  <w:style w:type="character" w:customStyle="1" w:styleId="cosearchterm">
    <w:name w:val="co_searchterm"/>
    <w:basedOn w:val="DefaultParagraphFont"/>
    <w:rsid w:val="00286950"/>
  </w:style>
  <w:style w:type="character" w:styleId="Emphasis">
    <w:name w:val="Emphasis"/>
    <w:basedOn w:val="DefaultParagraphFont"/>
    <w:uiPriority w:val="20"/>
    <w:qFormat/>
    <w:rsid w:val="00286950"/>
    <w:rPr>
      <w:i/>
      <w:iCs/>
    </w:rPr>
  </w:style>
  <w:style w:type="character" w:styleId="CommentReference">
    <w:name w:val="annotation reference"/>
    <w:basedOn w:val="DefaultParagraphFont"/>
    <w:uiPriority w:val="99"/>
    <w:semiHidden/>
    <w:unhideWhenUsed/>
    <w:rsid w:val="00E64891"/>
    <w:rPr>
      <w:sz w:val="16"/>
      <w:szCs w:val="16"/>
    </w:rPr>
  </w:style>
  <w:style w:type="paragraph" w:styleId="CommentText">
    <w:name w:val="annotation text"/>
    <w:basedOn w:val="Normal"/>
    <w:link w:val="CommentTextChar"/>
    <w:uiPriority w:val="99"/>
    <w:semiHidden/>
    <w:unhideWhenUsed/>
    <w:rsid w:val="00E64891"/>
    <w:rPr>
      <w:sz w:val="20"/>
    </w:rPr>
  </w:style>
  <w:style w:type="character" w:customStyle="1" w:styleId="CommentTextChar">
    <w:name w:val="Comment Text Char"/>
    <w:basedOn w:val="DefaultParagraphFont"/>
    <w:link w:val="CommentText"/>
    <w:uiPriority w:val="99"/>
    <w:semiHidden/>
    <w:rsid w:val="00E648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891"/>
    <w:rPr>
      <w:b/>
      <w:bCs/>
    </w:rPr>
  </w:style>
  <w:style w:type="character" w:customStyle="1" w:styleId="CommentSubjectChar">
    <w:name w:val="Comment Subject Char"/>
    <w:basedOn w:val="CommentTextChar"/>
    <w:link w:val="CommentSubject"/>
    <w:uiPriority w:val="99"/>
    <w:semiHidden/>
    <w:rsid w:val="00E648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91"/>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D7A2A"/>
    <w:rPr>
      <w:color w:val="605E5C"/>
      <w:shd w:val="clear" w:color="auto" w:fill="E1DFDD"/>
    </w:rPr>
  </w:style>
  <w:style w:type="character" w:customStyle="1" w:styleId="ParaNumChar">
    <w:name w:val="ParaNum Char"/>
    <w:locked/>
    <w:rsid w:val="00893127"/>
    <w:rPr>
      <w:snapToGrid w:val="0"/>
      <w:kern w:val="28"/>
      <w:szCs w:val="20"/>
    </w:rPr>
  </w:style>
  <w:style w:type="paragraph" w:customStyle="1" w:styleId="Paranum0">
    <w:name w:val="Paranum"/>
    <w:uiPriority w:val="99"/>
    <w:rsid w:val="00AB3FD0"/>
    <w:pPr>
      <w:numPr>
        <w:numId w:val="6"/>
      </w:numPr>
      <w:tabs>
        <w:tab w:val="left" w:pos="1440"/>
      </w:tabs>
      <w:spacing w:after="240" w:line="240" w:lineRule="auto"/>
      <w:jc w:val="both"/>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C0646"/>
    <w:rPr>
      <w:color w:val="954F72" w:themeColor="followedHyperlink"/>
      <w:u w:val="single"/>
    </w:rPr>
  </w:style>
  <w:style w:type="paragraph" w:styleId="EndnoteText">
    <w:name w:val="endnote text"/>
    <w:basedOn w:val="Normal"/>
    <w:link w:val="EndnoteTextChar"/>
    <w:semiHidden/>
    <w:rsid w:val="00B33BB8"/>
    <w:rPr>
      <w:sz w:val="20"/>
    </w:rPr>
  </w:style>
  <w:style w:type="character" w:customStyle="1" w:styleId="EndnoteTextChar">
    <w:name w:val="Endnote Text Char"/>
    <w:basedOn w:val="DefaultParagraphFont"/>
    <w:link w:val="EndnoteText"/>
    <w:semiHidden/>
    <w:rsid w:val="00304CF1"/>
    <w:rPr>
      <w:rFonts w:ascii="Times New Roman" w:eastAsia="Times New Roman" w:hAnsi="Times New Roman" w:cs="Times New Roman"/>
      <w:snapToGrid w:val="0"/>
      <w:kern w:val="28"/>
      <w:sz w:val="20"/>
      <w:szCs w:val="20"/>
    </w:rPr>
  </w:style>
  <w:style w:type="character" w:styleId="EndnoteReference">
    <w:name w:val="endnote reference"/>
    <w:semiHidden/>
    <w:rsid w:val="00B33BB8"/>
    <w:rPr>
      <w:vertAlign w:val="superscript"/>
    </w:rPr>
  </w:style>
  <w:style w:type="paragraph" w:styleId="TOC1">
    <w:name w:val="toc 1"/>
    <w:basedOn w:val="Normal"/>
    <w:next w:val="Normal"/>
    <w:semiHidden/>
    <w:rsid w:val="00B33B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3BB8"/>
    <w:pPr>
      <w:tabs>
        <w:tab w:val="left" w:pos="720"/>
        <w:tab w:val="right" w:leader="dot" w:pos="9360"/>
      </w:tabs>
      <w:suppressAutoHyphens/>
      <w:ind w:left="720" w:right="720" w:hanging="360"/>
    </w:pPr>
    <w:rPr>
      <w:noProof/>
    </w:rPr>
  </w:style>
  <w:style w:type="paragraph" w:styleId="TOC3">
    <w:name w:val="toc 3"/>
    <w:basedOn w:val="Normal"/>
    <w:next w:val="Normal"/>
    <w:semiHidden/>
    <w:rsid w:val="00B33B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3B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3B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3B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3B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3B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3BB8"/>
    <w:pPr>
      <w:tabs>
        <w:tab w:val="left" w:pos="3240"/>
        <w:tab w:val="right" w:leader="dot" w:pos="9360"/>
      </w:tabs>
      <w:suppressAutoHyphens/>
      <w:ind w:left="3240" w:hanging="360"/>
    </w:pPr>
    <w:rPr>
      <w:noProof/>
    </w:rPr>
  </w:style>
  <w:style w:type="character" w:customStyle="1" w:styleId="EquationCaption">
    <w:name w:val="_Equation Caption"/>
    <w:rsid w:val="00B33BB8"/>
  </w:style>
  <w:style w:type="character" w:styleId="PageNumber">
    <w:name w:val="page number"/>
    <w:basedOn w:val="DefaultParagraphFont"/>
    <w:rsid w:val="00B33BB8"/>
  </w:style>
  <w:style w:type="paragraph" w:styleId="BlockText">
    <w:name w:val="Block Text"/>
    <w:basedOn w:val="Normal"/>
    <w:rsid w:val="00B33BB8"/>
    <w:pPr>
      <w:spacing w:after="240"/>
      <w:ind w:left="1440" w:right="1440"/>
    </w:pPr>
  </w:style>
  <w:style w:type="paragraph" w:customStyle="1" w:styleId="Paratitle">
    <w:name w:val="Para title"/>
    <w:basedOn w:val="Normal"/>
    <w:rsid w:val="00B33BB8"/>
    <w:pPr>
      <w:tabs>
        <w:tab w:val="center" w:pos="9270"/>
      </w:tabs>
      <w:spacing w:after="240"/>
    </w:pPr>
    <w:rPr>
      <w:spacing w:val="-2"/>
    </w:rPr>
  </w:style>
  <w:style w:type="paragraph" w:customStyle="1" w:styleId="Bullet">
    <w:name w:val="Bullet"/>
    <w:basedOn w:val="Normal"/>
    <w:rsid w:val="00B33BB8"/>
    <w:pPr>
      <w:tabs>
        <w:tab w:val="left" w:pos="2160"/>
      </w:tabs>
      <w:spacing w:after="220"/>
      <w:ind w:left="2160" w:hanging="720"/>
    </w:pPr>
  </w:style>
  <w:style w:type="paragraph" w:customStyle="1" w:styleId="TableFormat">
    <w:name w:val="TableFormat"/>
    <w:basedOn w:val="Bullet"/>
    <w:rsid w:val="00B33BB8"/>
    <w:pPr>
      <w:tabs>
        <w:tab w:val="clear" w:pos="2160"/>
        <w:tab w:val="left" w:pos="5040"/>
      </w:tabs>
      <w:ind w:left="5040" w:hanging="3600"/>
    </w:pPr>
  </w:style>
  <w:style w:type="paragraph" w:customStyle="1" w:styleId="TOCTitle">
    <w:name w:val="TOC Title"/>
    <w:basedOn w:val="Normal"/>
    <w:rsid w:val="00B33BB8"/>
    <w:pPr>
      <w:spacing w:before="240" w:after="240"/>
      <w:jc w:val="center"/>
    </w:pPr>
    <w:rPr>
      <w:rFonts w:ascii="Times New Roman Bold" w:hAnsi="Times New Roman Bold"/>
      <w:b/>
      <w:caps/>
      <w:spacing w:val="-2"/>
    </w:rPr>
  </w:style>
  <w:style w:type="paragraph" w:styleId="Revision">
    <w:name w:val="Revision"/>
    <w:hidden/>
    <w:uiPriority w:val="99"/>
    <w:semiHidden/>
    <w:rsid w:val="00044B79"/>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FeeFiler/login.cfm" TargetMode="External" /><Relationship Id="rId11" Type="http://schemas.openxmlformats.org/officeDocument/2006/relationships/hyperlink" Target="mailto:ARINQUIRIE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Pam.Slipakoff@fcc.gov" TargetMode="External" /><Relationship Id="rId7" Type="http://schemas.openxmlformats.org/officeDocument/2006/relationships/hyperlink" Target="mailto:Ryan.McDonald@fcc.gov"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pcityfiber.com/pages/faq/" TargetMode="External" /><Relationship Id="rId2" Type="http://schemas.openxmlformats.org/officeDocument/2006/relationships/hyperlink" Target="https://www.fcc.gov/files/caf2auctionpublishblockcsv" TargetMode="External" /><Relationship Id="rId3" Type="http://schemas.openxmlformats.org/officeDocument/2006/relationships/hyperlink" Target="mailto:ARINQUIRIES@fcc.gov" TargetMode="External" /><Relationship Id="rId4"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