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4061E2" w:rsidP="005F036C" w14:paraId="26FFF887" w14:textId="33C47C6B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FC528B">
        <w:rPr>
          <w:b/>
          <w:sz w:val="24"/>
        </w:rPr>
        <w:t>20</w:t>
      </w:r>
      <w:r>
        <w:rPr>
          <w:b/>
          <w:sz w:val="24"/>
        </w:rPr>
        <w:t>-</w:t>
      </w:r>
      <w:r w:rsidR="00BD4B1F">
        <w:rPr>
          <w:b/>
          <w:sz w:val="24"/>
        </w:rPr>
        <w:t>334</w:t>
      </w:r>
    </w:p>
    <w:p w:rsidR="00013A8B" w:rsidRPr="004061E2" w:rsidP="00013A8B" w14:paraId="44EE0AF1" w14:textId="3E48EE52">
      <w:pPr>
        <w:spacing w:before="60"/>
        <w:jc w:val="right"/>
        <w:rPr>
          <w:b/>
          <w:sz w:val="24"/>
        </w:rPr>
      </w:pPr>
      <w:r w:rsidRPr="004061E2">
        <w:rPr>
          <w:b/>
          <w:sz w:val="24"/>
        </w:rPr>
        <w:t xml:space="preserve">Released:  </w:t>
      </w:r>
      <w:r w:rsidR="0074063F">
        <w:rPr>
          <w:b/>
          <w:sz w:val="24"/>
        </w:rPr>
        <w:t>March</w:t>
      </w:r>
      <w:r w:rsidR="005F036C">
        <w:rPr>
          <w:b/>
          <w:sz w:val="24"/>
        </w:rPr>
        <w:t xml:space="preserve"> 25</w:t>
      </w:r>
      <w:r w:rsidRPr="004061E2">
        <w:rPr>
          <w:b/>
          <w:sz w:val="24"/>
        </w:rPr>
        <w:t>, 20</w:t>
      </w:r>
      <w:r w:rsidR="0074063F">
        <w:rPr>
          <w:b/>
          <w:sz w:val="24"/>
        </w:rPr>
        <w:t>20</w:t>
      </w:r>
    </w:p>
    <w:p w:rsidR="00013A8B" w:rsidRPr="004061E2" w:rsidP="00013A8B" w14:paraId="7B26865B" w14:textId="77777777">
      <w:pPr>
        <w:jc w:val="right"/>
        <w:rPr>
          <w:sz w:val="24"/>
        </w:rPr>
      </w:pPr>
    </w:p>
    <w:p w:rsidR="00013A8B" w:rsidRPr="00897FBE" w:rsidP="00013A8B" w14:paraId="0FFD43DA" w14:textId="01C26697">
      <w:pPr>
        <w:spacing w:after="240"/>
        <w:jc w:val="center"/>
        <w:rPr>
          <w:b/>
          <w:caps/>
          <w:sz w:val="24"/>
        </w:rPr>
      </w:pPr>
      <w:r w:rsidRPr="00897FBE">
        <w:rPr>
          <w:b/>
          <w:caps/>
          <w:sz w:val="24"/>
        </w:rPr>
        <w:t xml:space="preserve">OFFICE OF ENGINEERING AND TECHNOLOGY </w:t>
      </w:r>
      <w:r w:rsidRPr="00EC724F" w:rsidR="00EC724F">
        <w:rPr>
          <w:b/>
          <w:sz w:val="24"/>
        </w:rPr>
        <w:t>EXTEND</w:t>
      </w:r>
      <w:r w:rsidR="00C10F6D">
        <w:rPr>
          <w:b/>
          <w:sz w:val="24"/>
        </w:rPr>
        <w:t>S</w:t>
      </w:r>
      <w:r w:rsidRPr="00EC724F" w:rsidR="00EC724F">
        <w:rPr>
          <w:b/>
          <w:sz w:val="24"/>
        </w:rPr>
        <w:t xml:space="preserve"> </w:t>
      </w:r>
      <w:r w:rsidR="00C10F6D">
        <w:rPr>
          <w:b/>
          <w:sz w:val="24"/>
        </w:rPr>
        <w:t xml:space="preserve">REPLY </w:t>
      </w:r>
      <w:r w:rsidRPr="00EC724F" w:rsidR="00EC724F">
        <w:rPr>
          <w:b/>
          <w:sz w:val="24"/>
        </w:rPr>
        <w:t xml:space="preserve">COMMENT DEADLINE </w:t>
      </w:r>
      <w:r w:rsidR="00C10F6D">
        <w:rPr>
          <w:b/>
          <w:sz w:val="24"/>
        </w:rPr>
        <w:t>FOR</w:t>
      </w:r>
      <w:r w:rsidRPr="00EC724F" w:rsidR="00EC724F">
        <w:rPr>
          <w:b/>
          <w:sz w:val="24"/>
        </w:rPr>
        <w:t xml:space="preserve"> </w:t>
      </w:r>
      <w:r w:rsidRPr="00C10F6D" w:rsidR="00C10F6D">
        <w:rPr>
          <w:b/>
          <w:sz w:val="24"/>
        </w:rPr>
        <w:t>U</w:t>
      </w:r>
      <w:r w:rsidR="00C10F6D">
        <w:rPr>
          <w:b/>
          <w:sz w:val="24"/>
        </w:rPr>
        <w:t xml:space="preserve">SE OF THE </w:t>
      </w:r>
      <w:r w:rsidRPr="00C10F6D" w:rsidR="00C10F6D">
        <w:rPr>
          <w:b/>
          <w:sz w:val="24"/>
        </w:rPr>
        <w:t>5.850-5.925 GHz B</w:t>
      </w:r>
      <w:r w:rsidR="00C10F6D">
        <w:rPr>
          <w:b/>
          <w:sz w:val="24"/>
        </w:rPr>
        <w:t>AND PROCEEDING</w:t>
      </w:r>
    </w:p>
    <w:p w:rsidR="00013A8B" w:rsidRPr="0074063F" w:rsidP="00013A8B" w14:paraId="0220C02A" w14:textId="1D8FAF63">
      <w:pPr>
        <w:jc w:val="center"/>
        <w:rPr>
          <w:b/>
          <w:sz w:val="24"/>
          <w:szCs w:val="24"/>
        </w:rPr>
      </w:pPr>
      <w:r w:rsidRPr="0074063F">
        <w:rPr>
          <w:b/>
          <w:sz w:val="24"/>
          <w:szCs w:val="24"/>
        </w:rPr>
        <w:t>ET</w:t>
      </w:r>
      <w:r w:rsidRPr="0074063F" w:rsidR="006E4B7A">
        <w:rPr>
          <w:b/>
          <w:sz w:val="24"/>
          <w:szCs w:val="24"/>
        </w:rPr>
        <w:t xml:space="preserve"> Docket No. 1</w:t>
      </w:r>
      <w:r w:rsidRPr="0074063F">
        <w:rPr>
          <w:b/>
          <w:sz w:val="24"/>
          <w:szCs w:val="24"/>
        </w:rPr>
        <w:t>9</w:t>
      </w:r>
      <w:r w:rsidRPr="0074063F" w:rsidR="006E4B7A">
        <w:rPr>
          <w:b/>
          <w:sz w:val="24"/>
          <w:szCs w:val="24"/>
        </w:rPr>
        <w:t>-</w:t>
      </w:r>
      <w:r w:rsidRPr="0074063F">
        <w:rPr>
          <w:b/>
          <w:sz w:val="24"/>
          <w:szCs w:val="24"/>
        </w:rPr>
        <w:t>138</w:t>
      </w:r>
      <w:r w:rsidRPr="0074063F" w:rsidR="006E4B7A">
        <w:rPr>
          <w:b/>
          <w:sz w:val="24"/>
          <w:szCs w:val="24"/>
        </w:rPr>
        <w:br/>
      </w:r>
    </w:p>
    <w:p w:rsidR="005A42C3" w:rsidRPr="0074063F" w:rsidP="00F96F63" w14:paraId="5D79159D" w14:textId="32CC6A46">
      <w:pPr>
        <w:rPr>
          <w:b/>
          <w:sz w:val="24"/>
          <w:szCs w:val="24"/>
        </w:rPr>
      </w:pPr>
      <w:bookmarkStart w:id="0" w:name="TOChere"/>
      <w:r w:rsidRPr="0074063F">
        <w:rPr>
          <w:b/>
          <w:sz w:val="24"/>
          <w:szCs w:val="24"/>
        </w:rPr>
        <w:t xml:space="preserve">Revised </w:t>
      </w:r>
      <w:r w:rsidRPr="0074063F" w:rsidR="00E53A98">
        <w:rPr>
          <w:b/>
          <w:sz w:val="24"/>
          <w:szCs w:val="24"/>
        </w:rPr>
        <w:t xml:space="preserve">Reply Comment Date: </w:t>
      </w:r>
      <w:r w:rsidR="00B922CC">
        <w:rPr>
          <w:b/>
          <w:sz w:val="24"/>
          <w:szCs w:val="24"/>
        </w:rPr>
        <w:t>April 27</w:t>
      </w:r>
      <w:r w:rsidRPr="0074063F" w:rsidR="00E53A98">
        <w:rPr>
          <w:b/>
          <w:sz w:val="24"/>
          <w:szCs w:val="24"/>
        </w:rPr>
        <w:t>, 20</w:t>
      </w:r>
      <w:r w:rsidRPr="0074063F" w:rsidR="0074063F">
        <w:rPr>
          <w:b/>
          <w:sz w:val="24"/>
          <w:szCs w:val="24"/>
        </w:rPr>
        <w:t>20</w:t>
      </w:r>
    </w:p>
    <w:p w:rsidR="005B02C3" w:rsidP="00F96F63" w14:paraId="093F1B5A" w14:textId="77777777">
      <w:pPr>
        <w:rPr>
          <w:sz w:val="24"/>
        </w:rPr>
      </w:pPr>
    </w:p>
    <w:p w:rsidR="008A0829" w:rsidP="005F036C" w14:paraId="58540893" w14:textId="152EBB23">
      <w:pPr>
        <w:autoSpaceDE w:val="0"/>
        <w:autoSpaceDN w:val="0"/>
        <w:adjustRightInd w:val="0"/>
        <w:spacing w:after="240"/>
        <w:ind w:firstLine="720"/>
        <w:rPr>
          <w:color w:val="010101"/>
        </w:rPr>
      </w:pPr>
      <w:r w:rsidRPr="00897FBE">
        <w:rPr>
          <w:color w:val="010101"/>
        </w:rPr>
        <w:t>The Office of Engineering and Technology (OET</w:t>
      </w:r>
      <w:r w:rsidR="0074063F">
        <w:rPr>
          <w:color w:val="010101"/>
        </w:rPr>
        <w:t xml:space="preserve">) </w:t>
      </w:r>
      <w:r>
        <w:rPr>
          <w:color w:val="010101"/>
        </w:rPr>
        <w:t>extend</w:t>
      </w:r>
      <w:r w:rsidR="0074063F">
        <w:rPr>
          <w:color w:val="010101"/>
        </w:rPr>
        <w:t>s</w:t>
      </w:r>
      <w:r>
        <w:rPr>
          <w:color w:val="010101"/>
        </w:rPr>
        <w:t xml:space="preserve"> the </w:t>
      </w:r>
      <w:r w:rsidR="0074063F">
        <w:rPr>
          <w:color w:val="010101"/>
        </w:rPr>
        <w:t xml:space="preserve">reply </w:t>
      </w:r>
      <w:r w:rsidRPr="00897FBE">
        <w:rPr>
          <w:color w:val="010101"/>
        </w:rPr>
        <w:t xml:space="preserve">comment </w:t>
      </w:r>
      <w:r>
        <w:rPr>
          <w:color w:val="010101"/>
        </w:rPr>
        <w:t xml:space="preserve">deadline </w:t>
      </w:r>
      <w:r w:rsidRPr="00897FBE">
        <w:rPr>
          <w:color w:val="010101"/>
        </w:rPr>
        <w:t xml:space="preserve">on the </w:t>
      </w:r>
      <w:r w:rsidR="0074063F">
        <w:rPr>
          <w:color w:val="010101"/>
        </w:rPr>
        <w:t xml:space="preserve">Notice of Proposed Rulemaking, Use of the 5.850-5.925 GHz Band, released on December 17, 2019 </w:t>
      </w:r>
      <w:r>
        <w:rPr>
          <w:color w:val="010101"/>
        </w:rPr>
        <w:t>(</w:t>
      </w:r>
      <w:r w:rsidR="0074063F">
        <w:rPr>
          <w:color w:val="010101"/>
        </w:rPr>
        <w:t>NPRM</w:t>
      </w:r>
      <w:r>
        <w:rPr>
          <w:color w:val="010101"/>
        </w:rPr>
        <w:t>).</w:t>
      </w:r>
      <w:r>
        <w:rPr>
          <w:rStyle w:val="FootnoteReference"/>
        </w:rPr>
        <w:footnoteReference w:id="2"/>
      </w:r>
      <w:r>
        <w:rPr>
          <w:color w:val="010101"/>
        </w:rPr>
        <w:t xml:space="preserve">  </w:t>
      </w:r>
      <w:r w:rsidR="003650AA">
        <w:rPr>
          <w:color w:val="010101"/>
        </w:rPr>
        <w:t xml:space="preserve">The NPRM was published in the Federal Register on February 6, 2020, </w:t>
      </w:r>
      <w:r w:rsidR="0052580D">
        <w:rPr>
          <w:color w:val="010101"/>
        </w:rPr>
        <w:t>establishing the</w:t>
      </w:r>
      <w:r w:rsidR="003650AA">
        <w:rPr>
          <w:color w:val="010101"/>
        </w:rPr>
        <w:t xml:space="preserve"> co</w:t>
      </w:r>
      <w:r w:rsidR="009B7C90">
        <w:rPr>
          <w:color w:val="010101"/>
        </w:rPr>
        <w:t xml:space="preserve">mment due </w:t>
      </w:r>
      <w:r w:rsidR="0052580D">
        <w:rPr>
          <w:color w:val="010101"/>
        </w:rPr>
        <w:t xml:space="preserve">date of </w:t>
      </w:r>
      <w:r w:rsidR="003650AA">
        <w:rPr>
          <w:color w:val="010101"/>
        </w:rPr>
        <w:t>March 9</w:t>
      </w:r>
      <w:r w:rsidR="009B7C90">
        <w:rPr>
          <w:color w:val="010101"/>
        </w:rPr>
        <w:t>, 20</w:t>
      </w:r>
      <w:r w:rsidR="003650AA">
        <w:rPr>
          <w:color w:val="010101"/>
        </w:rPr>
        <w:t>20</w:t>
      </w:r>
      <w:r w:rsidR="009B7C90">
        <w:rPr>
          <w:color w:val="010101"/>
        </w:rPr>
        <w:t xml:space="preserve">, and reply comment due </w:t>
      </w:r>
      <w:r w:rsidR="0052580D">
        <w:rPr>
          <w:color w:val="010101"/>
        </w:rPr>
        <w:t xml:space="preserve">date of </w:t>
      </w:r>
      <w:r w:rsidR="003650AA">
        <w:rPr>
          <w:color w:val="010101"/>
        </w:rPr>
        <w:t>April</w:t>
      </w:r>
      <w:r w:rsidR="009B7C90">
        <w:rPr>
          <w:color w:val="010101"/>
        </w:rPr>
        <w:t xml:space="preserve"> </w:t>
      </w:r>
      <w:r w:rsidR="003650AA">
        <w:rPr>
          <w:color w:val="010101"/>
        </w:rPr>
        <w:t>6</w:t>
      </w:r>
      <w:r w:rsidR="009B7C90">
        <w:rPr>
          <w:color w:val="010101"/>
        </w:rPr>
        <w:t>, 20</w:t>
      </w:r>
      <w:r w:rsidR="003650AA">
        <w:rPr>
          <w:color w:val="010101"/>
        </w:rPr>
        <w:t>20</w:t>
      </w:r>
      <w:r w:rsidR="009B7C90">
        <w:rPr>
          <w:color w:val="010101"/>
        </w:rPr>
        <w:t>.</w:t>
      </w:r>
      <w:r>
        <w:rPr>
          <w:rStyle w:val="FootnoteReference"/>
        </w:rPr>
        <w:footnoteReference w:id="3"/>
      </w:r>
      <w:r w:rsidR="009B7C90">
        <w:rPr>
          <w:color w:val="010101"/>
        </w:rPr>
        <w:t xml:space="preserve">  </w:t>
      </w:r>
      <w:r>
        <w:t xml:space="preserve">On </w:t>
      </w:r>
      <w:r w:rsidR="006044F1">
        <w:t>March 20, 2020</w:t>
      </w:r>
      <w:r>
        <w:t xml:space="preserve">, </w:t>
      </w:r>
      <w:r w:rsidR="006044F1">
        <w:t xml:space="preserve">the </w:t>
      </w:r>
      <w:r w:rsidRPr="006044F1" w:rsidR="006044F1">
        <w:t>American Association of State Highway and Transportation Officials (AASHTO)</w:t>
      </w:r>
      <w:r w:rsidR="006044F1">
        <w:t xml:space="preserve"> </w:t>
      </w:r>
      <w:r w:rsidR="00E66507">
        <w:t xml:space="preserve">and </w:t>
      </w:r>
      <w:r w:rsidRPr="00F552ED" w:rsidR="00E66507">
        <w:t xml:space="preserve">the </w:t>
      </w:r>
      <w:r w:rsidR="00E66507">
        <w:t xml:space="preserve">Intelligent Transportation Society of America (ITS America) </w:t>
      </w:r>
      <w:r w:rsidR="006044F1">
        <w:t xml:space="preserve">each </w:t>
      </w:r>
      <w:r>
        <w:t xml:space="preserve">sought </w:t>
      </w:r>
      <w:r w:rsidRPr="005322E4">
        <w:rPr>
          <w:snapToGrid/>
          <w:kern w:val="0"/>
        </w:rPr>
        <w:t xml:space="preserve">a </w:t>
      </w:r>
      <w:r w:rsidR="006044F1">
        <w:rPr>
          <w:snapToGrid/>
          <w:kern w:val="0"/>
        </w:rPr>
        <w:t>90</w:t>
      </w:r>
      <w:r w:rsidRPr="005322E4">
        <w:rPr>
          <w:snapToGrid/>
          <w:kern w:val="0"/>
        </w:rPr>
        <w:t xml:space="preserve">-day extension of the </w:t>
      </w:r>
      <w:r w:rsidR="006044F1">
        <w:rPr>
          <w:snapToGrid/>
          <w:kern w:val="0"/>
        </w:rPr>
        <w:t xml:space="preserve">reply </w:t>
      </w:r>
      <w:r w:rsidRPr="005322E4">
        <w:rPr>
          <w:snapToGrid/>
          <w:kern w:val="0"/>
        </w:rPr>
        <w:t>comment filing date</w:t>
      </w:r>
      <w:r w:rsidR="006044F1">
        <w:rPr>
          <w:snapToGrid/>
          <w:kern w:val="0"/>
        </w:rPr>
        <w:t>.</w:t>
      </w:r>
      <w:r>
        <w:rPr>
          <w:rStyle w:val="FootnoteReference"/>
          <w:snapToGrid/>
          <w:kern w:val="0"/>
        </w:rPr>
        <w:footnoteReference w:id="4"/>
      </w:r>
      <w:r w:rsidR="006044F1">
        <w:rPr>
          <w:snapToGrid/>
          <w:kern w:val="0"/>
        </w:rPr>
        <w:t xml:space="preserve"> </w:t>
      </w:r>
      <w:r w:rsidR="003B006F">
        <w:rPr>
          <w:snapToGrid/>
          <w:kern w:val="0"/>
        </w:rPr>
        <w:t xml:space="preserve"> </w:t>
      </w:r>
      <w:bookmarkStart w:id="2" w:name="_Hlk36035433"/>
      <w:r w:rsidR="003B006F">
        <w:rPr>
          <w:snapToGrid/>
          <w:kern w:val="0"/>
        </w:rPr>
        <w:t>AASHTO and ITS America each ask for the extension to review and reply to the extensive</w:t>
      </w:r>
      <w:r w:rsidR="00246DE9">
        <w:rPr>
          <w:snapToGrid/>
          <w:kern w:val="0"/>
        </w:rPr>
        <w:t xml:space="preserve"> record generated by the comments in the midst of the disruptions </w:t>
      </w:r>
      <w:r w:rsidRPr="00246DE9" w:rsidR="00246DE9">
        <w:rPr>
          <w:snapToGrid/>
          <w:kern w:val="0"/>
        </w:rPr>
        <w:t xml:space="preserve">necessitated by </w:t>
      </w:r>
      <w:r w:rsidR="00B51EE9">
        <w:rPr>
          <w:snapToGrid/>
          <w:kern w:val="0"/>
        </w:rPr>
        <w:t xml:space="preserve">the </w:t>
      </w:r>
      <w:r w:rsidRPr="00246DE9" w:rsidR="00246DE9">
        <w:rPr>
          <w:snapToGrid/>
          <w:kern w:val="0"/>
        </w:rPr>
        <w:t>COV</w:t>
      </w:r>
      <w:r w:rsidR="00BD4B1F">
        <w:rPr>
          <w:snapToGrid/>
          <w:kern w:val="0"/>
        </w:rPr>
        <w:t>ID</w:t>
      </w:r>
      <w:bookmarkStart w:id="3" w:name="_GoBack"/>
      <w:bookmarkEnd w:id="3"/>
      <w:r w:rsidRPr="00246DE9" w:rsidR="00246DE9">
        <w:rPr>
          <w:snapToGrid/>
          <w:kern w:val="0"/>
        </w:rPr>
        <w:t>-19</w:t>
      </w:r>
      <w:r w:rsidR="00B51EE9">
        <w:rPr>
          <w:snapToGrid/>
          <w:kern w:val="0"/>
        </w:rPr>
        <w:t xml:space="preserve"> pandemic</w:t>
      </w:r>
      <w:r w:rsidR="005F036C">
        <w:rPr>
          <w:snapToGrid/>
          <w:kern w:val="0"/>
        </w:rPr>
        <w:t>.</w:t>
      </w:r>
      <w:bookmarkEnd w:id="2"/>
    </w:p>
    <w:p w:rsidR="008A0829" w:rsidP="005F036C" w14:paraId="2AD9C9EB" w14:textId="58FD42DF">
      <w:pPr>
        <w:autoSpaceDE w:val="0"/>
        <w:autoSpaceDN w:val="0"/>
        <w:adjustRightInd w:val="0"/>
        <w:spacing w:after="240"/>
        <w:ind w:firstLine="720"/>
      </w:pPr>
      <w:r w:rsidRPr="008635E4">
        <w:rPr>
          <w:szCs w:val="22"/>
        </w:rPr>
        <w:t>It is the general policy of the Commission that extensions of time shall not be routinely granted.</w:t>
      </w:r>
      <w:r>
        <w:rPr>
          <w:szCs w:val="22"/>
          <w:vertAlign w:val="superscript"/>
        </w:rPr>
        <w:footnoteReference w:id="5"/>
      </w:r>
      <w:r w:rsidRPr="008635E4">
        <w:rPr>
          <w:szCs w:val="22"/>
        </w:rPr>
        <w:t xml:space="preserve">  </w:t>
      </w:r>
      <w:r>
        <w:t>Under the circumstances</w:t>
      </w:r>
      <w:r w:rsidR="009B7C90">
        <w:t xml:space="preserve"> presented,</w:t>
      </w:r>
      <w:r>
        <w:t xml:space="preserve"> we conclude that a limited </w:t>
      </w:r>
      <w:r w:rsidR="009D62AA">
        <w:t>21</w:t>
      </w:r>
      <w:r>
        <w:t xml:space="preserve">-day extension of the </w:t>
      </w:r>
      <w:r w:rsidR="009D62AA">
        <w:t xml:space="preserve">reply </w:t>
      </w:r>
      <w:r>
        <w:t xml:space="preserve">comment deadline is warranted </w:t>
      </w:r>
      <w:r w:rsidR="009B7C90">
        <w:t>in order to develop the record to the fullest extent possible</w:t>
      </w:r>
      <w:r w:rsidRPr="009D62AA" w:rsidR="009D62AA">
        <w:t xml:space="preserve"> </w:t>
      </w:r>
      <w:r w:rsidR="009D62AA">
        <w:t>in this proceeding</w:t>
      </w:r>
      <w:r>
        <w:t>.</w:t>
      </w:r>
      <w:r w:rsidR="009D62AA">
        <w:t xml:space="preserve">  </w:t>
      </w:r>
      <w:r w:rsidRPr="00433C7A" w:rsidR="00433C7A">
        <w:t>Interested parties can use this time to develop complete, fully supported reply comments</w:t>
      </w:r>
      <w:r>
        <w:t xml:space="preserve">.  </w:t>
      </w:r>
      <w:r w:rsidRPr="008635E4">
        <w:rPr>
          <w:szCs w:val="22"/>
        </w:rPr>
        <w:t>Accordingly, pursuant to Section 4(i) of the Communications Act of 1934, as amended,</w:t>
      </w:r>
      <w:r>
        <w:rPr>
          <w:szCs w:val="22"/>
          <w:vertAlign w:val="superscript"/>
        </w:rPr>
        <w:footnoteReference w:id="6"/>
      </w:r>
      <w:r w:rsidRPr="008635E4">
        <w:rPr>
          <w:szCs w:val="22"/>
        </w:rPr>
        <w:t xml:space="preserve"> and Section 1.46 of the Commission's rules,</w:t>
      </w:r>
      <w:r>
        <w:rPr>
          <w:szCs w:val="22"/>
          <w:vertAlign w:val="superscript"/>
        </w:rPr>
        <w:footnoteReference w:id="7"/>
      </w:r>
      <w:r w:rsidRPr="008635E4">
        <w:rPr>
          <w:szCs w:val="22"/>
        </w:rPr>
        <w:t xml:space="preserve"> we extend the deadline for filing </w:t>
      </w:r>
      <w:r>
        <w:rPr>
          <w:szCs w:val="22"/>
        </w:rPr>
        <w:t xml:space="preserve">reply comments until </w:t>
      </w:r>
      <w:r w:rsidR="00B922CC">
        <w:rPr>
          <w:szCs w:val="22"/>
        </w:rPr>
        <w:t>April 27</w:t>
      </w:r>
      <w:r w:rsidR="00882E30">
        <w:rPr>
          <w:szCs w:val="22"/>
        </w:rPr>
        <w:t>,</w:t>
      </w:r>
      <w:r>
        <w:rPr>
          <w:szCs w:val="22"/>
        </w:rPr>
        <w:t xml:space="preserve"> 20</w:t>
      </w:r>
      <w:r w:rsidR="00882E30">
        <w:rPr>
          <w:szCs w:val="22"/>
        </w:rPr>
        <w:t>20</w:t>
      </w:r>
      <w:r>
        <w:rPr>
          <w:szCs w:val="22"/>
        </w:rPr>
        <w:t>.</w:t>
      </w:r>
    </w:p>
    <w:p w:rsidR="000C76E8" w:rsidRPr="009D6643" w:rsidP="005F036C" w14:paraId="00240009" w14:textId="06FB4CB7">
      <w:pPr>
        <w:spacing w:after="120"/>
        <w:ind w:firstLine="720"/>
        <w:rPr>
          <w:szCs w:val="22"/>
        </w:rPr>
      </w:pPr>
      <w:r w:rsidRPr="009D6643">
        <w:rPr>
          <w:szCs w:val="22"/>
        </w:rPr>
        <w:t xml:space="preserve">For further information, contact </w:t>
      </w:r>
      <w:r w:rsidR="0074063F">
        <w:rPr>
          <w:color w:val="010101"/>
        </w:rPr>
        <w:t>Howard Griboff</w:t>
      </w:r>
      <w:r>
        <w:rPr>
          <w:color w:val="010101"/>
        </w:rPr>
        <w:t>, Office of Engineering and Technology</w:t>
      </w:r>
      <w:r w:rsidR="009F67DC">
        <w:rPr>
          <w:color w:val="010101"/>
        </w:rPr>
        <w:t>, at (202) 418-</w:t>
      </w:r>
      <w:r w:rsidR="0074063F">
        <w:rPr>
          <w:color w:val="010101"/>
        </w:rPr>
        <w:t>0657</w:t>
      </w:r>
      <w:r w:rsidR="009B7C90">
        <w:rPr>
          <w:color w:val="010101"/>
        </w:rPr>
        <w:t>.</w:t>
      </w:r>
    </w:p>
    <w:p w:rsidR="000C76E8" w:rsidRPr="009D6643" w:rsidP="000C76E8" w14:paraId="00220D93" w14:textId="6D2933D8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</w:t>
      </w:r>
      <w:r w:rsidR="00882E30">
        <w:rPr>
          <w:szCs w:val="22"/>
        </w:rPr>
        <w:t>Actin</w:t>
      </w:r>
      <w:r w:rsidR="00866D52">
        <w:rPr>
          <w:szCs w:val="22"/>
        </w:rPr>
        <w:t>g</w:t>
      </w:r>
      <w:r w:rsidR="00882E30">
        <w:rPr>
          <w:szCs w:val="22"/>
        </w:rPr>
        <w:t xml:space="preserve"> </w:t>
      </w:r>
      <w:r w:rsidRPr="009D6643">
        <w:rPr>
          <w:szCs w:val="22"/>
        </w:rPr>
        <w:t xml:space="preserve">Chief, </w:t>
      </w:r>
      <w:r>
        <w:rPr>
          <w:szCs w:val="22"/>
        </w:rPr>
        <w:t>Office of Engineering and Technology</w:t>
      </w:r>
      <w:r w:rsidRPr="009D6643">
        <w:rPr>
          <w:szCs w:val="22"/>
        </w:rPr>
        <w:t>.</w:t>
      </w:r>
    </w:p>
    <w:p w:rsidR="00930ECF" w:rsidRPr="004061E2" w:rsidP="004061E2" w14:paraId="3A436C0B" w14:textId="77777777">
      <w:pPr>
        <w:rPr>
          <w:sz w:val="24"/>
        </w:rPr>
      </w:pPr>
      <w:r w:rsidRPr="00897FBE">
        <w:rPr>
          <w:color w:val="010101"/>
        </w:rPr>
        <w:t xml:space="preserve">                                                                                    -FCC-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893BB7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68A97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111FC0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3B30E2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C5546" w14:paraId="178A20AD" w14:textId="77777777">
      <w:r>
        <w:separator/>
      </w:r>
    </w:p>
  </w:footnote>
  <w:footnote w:type="continuationSeparator" w:id="1">
    <w:p w:rsidR="00BC5546" w14:paraId="08480996" w14:textId="77777777">
      <w:r>
        <w:continuationSeparator/>
      </w:r>
    </w:p>
  </w:footnote>
  <w:footnote w:id="2">
    <w:p w:rsidR="008A0829" w14:paraId="14DFD366" w14:textId="71C10783">
      <w:pPr>
        <w:pStyle w:val="FootnoteText"/>
      </w:pPr>
      <w:r>
        <w:rPr>
          <w:rStyle w:val="FootnoteReference"/>
        </w:rPr>
        <w:footnoteRef/>
      </w:r>
      <w:r w:rsidR="000865B1">
        <w:t xml:space="preserve"> </w:t>
      </w:r>
      <w:bookmarkStart w:id="1" w:name="_Hlk35961167"/>
      <w:r w:rsidRPr="000865B1" w:rsidR="000865B1">
        <w:rPr>
          <w:i/>
          <w:iCs/>
        </w:rPr>
        <w:t>Use of the 5.850-5.925 GHz Band</w:t>
      </w:r>
      <w:r>
        <w:t xml:space="preserve">, </w:t>
      </w:r>
      <w:r w:rsidR="000865B1">
        <w:t>ET</w:t>
      </w:r>
      <w:r>
        <w:t xml:space="preserve"> Docket No. 1</w:t>
      </w:r>
      <w:r w:rsidR="000865B1">
        <w:t>9</w:t>
      </w:r>
      <w:r>
        <w:t>-</w:t>
      </w:r>
      <w:r w:rsidR="000865B1">
        <w:t>138, Notice of Proposed Rulemaking</w:t>
      </w:r>
      <w:r w:rsidR="00B27E4E">
        <w:t xml:space="preserve">, </w:t>
      </w:r>
      <w:bookmarkEnd w:id="1"/>
      <w:r w:rsidR="000865B1">
        <w:t>34 FCC Rcd 12</w:t>
      </w:r>
      <w:r w:rsidR="004C6421">
        <w:t>60</w:t>
      </w:r>
      <w:r w:rsidR="000865B1">
        <w:t>3</w:t>
      </w:r>
      <w:r w:rsidR="00B27E4E">
        <w:t xml:space="preserve"> </w:t>
      </w:r>
      <w:r w:rsidR="000865B1">
        <w:t>(2019</w:t>
      </w:r>
      <w:r>
        <w:t>)</w:t>
      </w:r>
      <w:r w:rsidR="00B27E4E">
        <w:t xml:space="preserve"> (NPRM)</w:t>
      </w:r>
      <w:r>
        <w:t>.</w:t>
      </w:r>
    </w:p>
  </w:footnote>
  <w:footnote w:id="3">
    <w:p w:rsidR="009B7C90" w14:paraId="69BDB06A" w14:textId="566C0C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FA1">
        <w:t xml:space="preserve">Federal Communications Commission, </w:t>
      </w:r>
      <w:r w:rsidRPr="00ED6FA1" w:rsidR="003650AA">
        <w:t>Use of the 5.850-5.925 GHz Band,</w:t>
      </w:r>
      <w:r w:rsidR="003650AA">
        <w:t xml:space="preserve"> 85 F</w:t>
      </w:r>
      <w:r w:rsidR="00ED6FA1">
        <w:t xml:space="preserve">ed. </w:t>
      </w:r>
      <w:r w:rsidR="003650AA">
        <w:t>R</w:t>
      </w:r>
      <w:r w:rsidR="00ED6FA1">
        <w:t>eg.</w:t>
      </w:r>
      <w:r w:rsidR="003650AA">
        <w:t xml:space="preserve"> 6841 (Feb</w:t>
      </w:r>
      <w:r w:rsidR="00E66507">
        <w:t>.</w:t>
      </w:r>
      <w:r w:rsidR="003650AA">
        <w:t xml:space="preserve"> 6, 2020</w:t>
      </w:r>
      <w:r>
        <w:t>).</w:t>
      </w:r>
    </w:p>
  </w:footnote>
  <w:footnote w:id="4">
    <w:p w:rsidR="006044F1" w:rsidP="006044F1" w14:paraId="1A542A52" w14:textId="12C688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6507">
        <w:t xml:space="preserve">AASHTO, </w:t>
      </w:r>
      <w:r w:rsidRPr="00E66507" w:rsidR="00E66507">
        <w:t>Extension on Reply Comments</w:t>
      </w:r>
      <w:r w:rsidR="00E66507">
        <w:t>,</w:t>
      </w:r>
      <w:r w:rsidRPr="00E66507" w:rsidR="00E66507">
        <w:t xml:space="preserve"> ET Docket No. 19-138</w:t>
      </w:r>
      <w:r w:rsidR="00E66507">
        <w:t xml:space="preserve"> (filed Mar. 20, 2020);</w:t>
      </w:r>
      <w:r w:rsidRPr="00E66507" w:rsidR="00E66507">
        <w:t xml:space="preserve"> </w:t>
      </w:r>
      <w:r w:rsidR="00E66507">
        <w:t xml:space="preserve">ITS America, </w:t>
      </w:r>
      <w:r w:rsidRPr="006044F1">
        <w:t>R</w:t>
      </w:r>
      <w:r>
        <w:t xml:space="preserve">equest </w:t>
      </w:r>
      <w:r w:rsidRPr="006044F1" w:rsidR="006E4B7A">
        <w:t>for</w:t>
      </w:r>
      <w:r w:rsidRPr="006044F1">
        <w:t xml:space="preserve"> E</w:t>
      </w:r>
      <w:r>
        <w:t>xtension of</w:t>
      </w:r>
      <w:r w:rsidRPr="006044F1">
        <w:t xml:space="preserve"> R</w:t>
      </w:r>
      <w:r>
        <w:t>eply</w:t>
      </w:r>
      <w:r w:rsidRPr="006044F1">
        <w:t xml:space="preserve"> C</w:t>
      </w:r>
      <w:r>
        <w:t>omment</w:t>
      </w:r>
      <w:r w:rsidRPr="006044F1">
        <w:t xml:space="preserve"> D</w:t>
      </w:r>
      <w:r>
        <w:t xml:space="preserve">eadline, ET Docket No. 19-138 (filed </w:t>
      </w:r>
      <w:r w:rsidR="00E66507">
        <w:t>Mar</w:t>
      </w:r>
      <w:r>
        <w:t xml:space="preserve">. </w:t>
      </w:r>
      <w:r w:rsidR="00E66507">
        <w:t>20</w:t>
      </w:r>
      <w:r>
        <w:t>, 20</w:t>
      </w:r>
      <w:r w:rsidR="00E66507">
        <w:t>20</w:t>
      </w:r>
      <w:r>
        <w:t xml:space="preserve">). </w:t>
      </w:r>
      <w:r w:rsidRPr="0082369C" w:rsidR="0082369C">
        <w:t xml:space="preserve">The Alliance for Automotive Innovation </w:t>
      </w:r>
      <w:r w:rsidR="0082369C">
        <w:t xml:space="preserve">(Auto Innovators) filed a </w:t>
      </w:r>
      <w:r w:rsidRPr="0082369C" w:rsidR="0082369C">
        <w:t>letter in suppo</w:t>
      </w:r>
      <w:r w:rsidR="0082369C">
        <w:t xml:space="preserve">rt of </w:t>
      </w:r>
      <w:r w:rsidRPr="0082369C" w:rsidR="0082369C">
        <w:t>AASHTO</w:t>
      </w:r>
      <w:r w:rsidR="0082369C">
        <w:t xml:space="preserve">’s request.  </w:t>
      </w:r>
      <w:r w:rsidRPr="003B006F" w:rsidR="0082369C">
        <w:rPr>
          <w:i/>
          <w:iCs/>
        </w:rPr>
        <w:t>See</w:t>
      </w:r>
      <w:r w:rsidR="0082369C">
        <w:t xml:space="preserve"> Auto Innovators, </w:t>
      </w:r>
      <w:r w:rsidRPr="0082369C" w:rsidR="0082369C">
        <w:t>Extension on Reply Comments</w:t>
      </w:r>
      <w:r w:rsidR="0082369C">
        <w:t>, ET Docket No. 19-138 (filed Mar. 20, 2020).</w:t>
      </w:r>
    </w:p>
  </w:footnote>
  <w:footnote w:id="5">
    <w:p w:rsidR="000C76E8" w:rsidRPr="00C92AD1" w:rsidP="000C76E8" w14:paraId="1F3C7FDA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1.46(a).</w:t>
      </w:r>
    </w:p>
  </w:footnote>
  <w:footnote w:id="6">
    <w:p w:rsidR="000C76E8" w:rsidRPr="00C92AD1" w:rsidP="000C76E8" w14:paraId="6F019021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U.S.C. § 154(i).</w:t>
      </w:r>
    </w:p>
  </w:footnote>
  <w:footnote w:id="7">
    <w:p w:rsidR="000C76E8" w:rsidRPr="00C92AD1" w:rsidP="000C76E8" w14:paraId="2A033C33" w14:textId="0BF9E4BB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800451" w14:paraId="31B02B10" w14:textId="77777777">
    <w:pPr>
      <w:tabs>
        <w:tab w:val="center" w:pos="4680"/>
        <w:tab w:val="right" w:pos="9360"/>
      </w:tabs>
      <w:rPr>
        <w:rFonts w:ascii="Arial" w:hAnsi="Arial" w:cs="Arial"/>
        <w:b/>
        <w:sz w:val="20"/>
      </w:rPr>
    </w:pPr>
    <w:r w:rsidRPr="009838BC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D4C538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1BD27AF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4C4283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2448126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11652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6F7393" w:rsidRPr="005F036C" w:rsidP="005F036C" w14:paraId="3CEB1B16" w14:textId="040D4BDB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2D4B859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55070E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A075A1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8"/>
    <w:rsid w:val="00013A8B"/>
    <w:rsid w:val="00073D58"/>
    <w:rsid w:val="000865B1"/>
    <w:rsid w:val="000C4D4F"/>
    <w:rsid w:val="000C76E8"/>
    <w:rsid w:val="000D0013"/>
    <w:rsid w:val="000E5884"/>
    <w:rsid w:val="00246DE9"/>
    <w:rsid w:val="002A31CD"/>
    <w:rsid w:val="002F5B9A"/>
    <w:rsid w:val="00357D50"/>
    <w:rsid w:val="003650AA"/>
    <w:rsid w:val="003B006F"/>
    <w:rsid w:val="004061E2"/>
    <w:rsid w:val="00433C7A"/>
    <w:rsid w:val="004C6421"/>
    <w:rsid w:val="0052580D"/>
    <w:rsid w:val="005322E4"/>
    <w:rsid w:val="0055614C"/>
    <w:rsid w:val="005A42C3"/>
    <w:rsid w:val="005B02C3"/>
    <w:rsid w:val="005F036C"/>
    <w:rsid w:val="006044F1"/>
    <w:rsid w:val="006E4B7A"/>
    <w:rsid w:val="006F7393"/>
    <w:rsid w:val="007033AC"/>
    <w:rsid w:val="0074063F"/>
    <w:rsid w:val="00762828"/>
    <w:rsid w:val="00777220"/>
    <w:rsid w:val="007C2965"/>
    <w:rsid w:val="00800451"/>
    <w:rsid w:val="0082369C"/>
    <w:rsid w:val="008252FD"/>
    <w:rsid w:val="00855264"/>
    <w:rsid w:val="008635E4"/>
    <w:rsid w:val="00866D52"/>
    <w:rsid w:val="00882E30"/>
    <w:rsid w:val="00897FBE"/>
    <w:rsid w:val="008A0829"/>
    <w:rsid w:val="00910F12"/>
    <w:rsid w:val="00930ECF"/>
    <w:rsid w:val="009838BC"/>
    <w:rsid w:val="009B7C90"/>
    <w:rsid w:val="009D62AA"/>
    <w:rsid w:val="009D6643"/>
    <w:rsid w:val="009F67DC"/>
    <w:rsid w:val="00A1243F"/>
    <w:rsid w:val="00A66D34"/>
    <w:rsid w:val="00A866AC"/>
    <w:rsid w:val="00B27E4E"/>
    <w:rsid w:val="00B42798"/>
    <w:rsid w:val="00B51EE9"/>
    <w:rsid w:val="00B922CC"/>
    <w:rsid w:val="00BC5546"/>
    <w:rsid w:val="00BD4B1F"/>
    <w:rsid w:val="00C10F6D"/>
    <w:rsid w:val="00C81A49"/>
    <w:rsid w:val="00C82B6B"/>
    <w:rsid w:val="00C86B30"/>
    <w:rsid w:val="00C92AD1"/>
    <w:rsid w:val="00D216CD"/>
    <w:rsid w:val="00E53A98"/>
    <w:rsid w:val="00E66507"/>
    <w:rsid w:val="00EB61AE"/>
    <w:rsid w:val="00EC724F"/>
    <w:rsid w:val="00ED6FA1"/>
    <w:rsid w:val="00F552ED"/>
    <w:rsid w:val="00F96F63"/>
    <w:rsid w:val="00FC52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0CD3F2-E8B1-4BC6-A85D-18384BF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B1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D4B1F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D4B1F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D4B1F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D4B1F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D4B1F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D4B1F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D4B1F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D4B1F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D4B1F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BD4B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4B1F"/>
  </w:style>
  <w:style w:type="paragraph" w:customStyle="1" w:styleId="ParaNum">
    <w:name w:val="ParaNum"/>
    <w:basedOn w:val="Normal"/>
    <w:rsid w:val="00BD4B1F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BD4B1F"/>
    <w:rPr>
      <w:sz w:val="20"/>
    </w:rPr>
  </w:style>
  <w:style w:type="character" w:styleId="EndnoteReference">
    <w:name w:val="endnote reference"/>
    <w:semiHidden/>
    <w:rsid w:val="00BD4B1F"/>
    <w:rPr>
      <w:vertAlign w:val="superscript"/>
    </w:rPr>
  </w:style>
  <w:style w:type="paragraph" w:styleId="FootnoteText">
    <w:name w:val="footnote text"/>
    <w:semiHidden/>
    <w:rsid w:val="00BD4B1F"/>
    <w:pPr>
      <w:spacing w:after="120"/>
    </w:pPr>
  </w:style>
  <w:style w:type="character" w:styleId="FootnoteReference">
    <w:name w:val="footnote reference"/>
    <w:semiHidden/>
    <w:rsid w:val="00BD4B1F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BD4B1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D4B1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D4B1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D4B1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D4B1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D4B1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D4B1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D4B1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D4B1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D4B1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D4B1F"/>
  </w:style>
  <w:style w:type="paragraph" w:styleId="Header">
    <w:name w:val="header"/>
    <w:basedOn w:val="Normal"/>
    <w:autoRedefine/>
    <w:rsid w:val="00BD4B1F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BD4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B1F"/>
  </w:style>
  <w:style w:type="paragraph" w:styleId="BlockText">
    <w:name w:val="Block Text"/>
    <w:basedOn w:val="Normal"/>
    <w:rsid w:val="00BD4B1F"/>
    <w:pPr>
      <w:spacing w:after="240"/>
      <w:ind w:left="1440" w:right="1440"/>
    </w:pPr>
  </w:style>
  <w:style w:type="paragraph" w:customStyle="1" w:styleId="Paratitle">
    <w:name w:val="Para title"/>
    <w:basedOn w:val="Normal"/>
    <w:rsid w:val="00BD4B1F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D4B1F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D4B1F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D4B1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D4B1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D4B1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D4B1F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C3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5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58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8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9558B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rsid w:val="00767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