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2C9675F3" w14:textId="189D5CEB">
      <w:pPr>
        <w:jc w:val="right"/>
        <w:rPr>
          <w:b/>
          <w:sz w:val="24"/>
        </w:rPr>
      </w:pPr>
      <w:r>
        <w:rPr>
          <w:b/>
          <w:sz w:val="24"/>
        </w:rPr>
        <w:t>DA 20-335</w:t>
      </w:r>
    </w:p>
    <w:p w:rsidR="00013A8B" w:rsidRPr="00B20363" w:rsidP="00013A8B" w14:paraId="2337BAEE" w14:textId="3A78CBC6">
      <w:pPr>
        <w:spacing w:before="60"/>
        <w:jc w:val="right"/>
        <w:rPr>
          <w:b/>
          <w:sz w:val="24"/>
        </w:rPr>
      </w:pPr>
      <w:r>
        <w:rPr>
          <w:b/>
          <w:sz w:val="24"/>
        </w:rPr>
        <w:t xml:space="preserve">Released:  </w:t>
      </w:r>
      <w:r w:rsidR="006D23E7">
        <w:rPr>
          <w:b/>
          <w:sz w:val="24"/>
        </w:rPr>
        <w:t>March 25, 2020</w:t>
      </w:r>
    </w:p>
    <w:p w:rsidR="00013A8B" w:rsidP="00013A8B" w14:paraId="2C0AF329" w14:textId="77777777">
      <w:pPr>
        <w:jc w:val="right"/>
        <w:rPr>
          <w:sz w:val="24"/>
        </w:rPr>
      </w:pPr>
    </w:p>
    <w:p w:rsidR="00013A8B" w:rsidRPr="00B20363" w:rsidP="00013A8B" w14:paraId="3B1F364D" w14:textId="4A26D8D8">
      <w:pPr>
        <w:spacing w:after="240"/>
        <w:jc w:val="center"/>
        <w:rPr>
          <w:rFonts w:ascii="Times New Roman Bold" w:hAnsi="Times New Roman Bold"/>
          <w:b/>
          <w:caps/>
          <w:sz w:val="24"/>
        </w:rPr>
      </w:pPr>
      <w:r w:rsidRPr="006D23E7">
        <w:rPr>
          <w:rFonts w:ascii="Times New Roman Bold" w:hAnsi="Times New Roman Bold"/>
          <w:b/>
          <w:caps/>
          <w:sz w:val="24"/>
        </w:rPr>
        <w:t>MEDIA BUREAU PROVIDES GUIDANCE ON POLITICAL ADVERTISING LOWEST UNIT CHARGE DURING CORONAVIRUS (COVID-19) PANDEMIC</w:t>
      </w:r>
    </w:p>
    <w:p w:rsidR="00013A8B" w:rsidP="006D23E7" w14:paraId="4E78E402" w14:textId="42A1A3AC">
      <w:pPr>
        <w:spacing w:after="240"/>
        <w:jc w:val="center"/>
        <w:rPr>
          <w:b/>
          <w:sz w:val="24"/>
        </w:rPr>
      </w:pPr>
      <w:r w:rsidRPr="006D23E7">
        <w:rPr>
          <w:b/>
          <w:sz w:val="24"/>
        </w:rPr>
        <w:t>Free Advertisements Need Not be Included in Lowest Unit Charge Calculation</w:t>
      </w:r>
    </w:p>
    <w:p w:rsidR="00643038" w:rsidP="00643038" w14:paraId="4F27FCA7" w14:textId="3EBA9D09">
      <w:pPr>
        <w:pStyle w:val="NormalWeb"/>
        <w:spacing w:before="0" w:beforeAutospacing="0" w:after="220" w:afterAutospacing="0"/>
        <w:ind w:firstLine="720"/>
        <w:rPr>
          <w:color w:val="000000"/>
          <w:sz w:val="22"/>
          <w:szCs w:val="22"/>
          <w:bdr w:val="none" w:sz="0" w:space="0" w:color="auto" w:frame="1"/>
        </w:rPr>
      </w:pPr>
      <w:r>
        <w:rPr>
          <w:color w:val="000000"/>
          <w:sz w:val="22"/>
          <w:szCs w:val="22"/>
          <w:bdr w:val="none" w:sz="0" w:space="0" w:color="auto" w:frame="1"/>
        </w:rPr>
        <w:t xml:space="preserve">The Media Bureau herein provides guidance on the calculation of the lowest unit charge for political advertising under the circumstances created by the coronavirus (COVID-19) pandemic. </w:t>
      </w:r>
    </w:p>
    <w:p w:rsidR="00643038" w:rsidP="00643038" w14:paraId="46FDE41D" w14:textId="72B5ACFF">
      <w:pPr>
        <w:pStyle w:val="NormalWeb"/>
        <w:spacing w:before="0" w:beforeAutospacing="0" w:after="220" w:afterAutospacing="0"/>
        <w:ind w:firstLine="720"/>
        <w:rPr>
          <w:color w:val="000000"/>
          <w:sz w:val="22"/>
          <w:szCs w:val="22"/>
          <w:bdr w:val="none" w:sz="0" w:space="0" w:color="auto" w:frame="1"/>
        </w:rPr>
      </w:pPr>
      <w:r>
        <w:rPr>
          <w:color w:val="000000"/>
          <w:sz w:val="22"/>
          <w:szCs w:val="22"/>
          <w:bdr w:val="none" w:sz="0" w:space="0" w:color="auto" w:frame="1"/>
        </w:rPr>
        <w:t>Under the Communications Act of 1934, as amended, broadcast licensees must charge legally qualified candidates who use their facilities in connection with their campaigns no more than the lowest unit charge for the same class and time during the same period.</w:t>
      </w:r>
      <w:r>
        <w:rPr>
          <w:rStyle w:val="FootnoteReference"/>
          <w:color w:val="000000"/>
          <w:szCs w:val="22"/>
          <w:bdr w:val="none" w:sz="0" w:space="0" w:color="auto" w:frame="1"/>
        </w:rPr>
        <w:footnoteReference w:id="3"/>
      </w:r>
      <w:r>
        <w:rPr>
          <w:color w:val="000000"/>
          <w:sz w:val="22"/>
          <w:szCs w:val="22"/>
          <w:bdr w:val="none" w:sz="0" w:space="0" w:color="auto" w:frame="1"/>
        </w:rPr>
        <w:t xml:space="preserve">  The lowest unit charge requirement is applicable</w:t>
      </w:r>
      <w:r>
        <w:rPr>
          <w:rStyle w:val="apple-converted-space"/>
          <w:color w:val="000000"/>
          <w:szCs w:val="22"/>
          <w:bdr w:val="none" w:sz="0" w:space="0" w:color="auto" w:frame="1"/>
        </w:rPr>
        <w:t> </w:t>
      </w:r>
      <w:r>
        <w:rPr>
          <w:color w:val="000000"/>
          <w:sz w:val="22"/>
          <w:szCs w:val="22"/>
          <w:bdr w:val="none" w:sz="0" w:space="0" w:color="auto" w:frame="1"/>
        </w:rPr>
        <w:t>during the 45 days preceding a primary or primary runoff election, and during the 60 days preceding a general or special election.</w:t>
      </w:r>
      <w:r>
        <w:rPr>
          <w:rStyle w:val="FootnoteReference"/>
          <w:color w:val="000000"/>
          <w:szCs w:val="22"/>
          <w:bdr w:val="none" w:sz="0" w:space="0" w:color="auto" w:frame="1"/>
        </w:rPr>
        <w:footnoteReference w:id="4"/>
      </w:r>
    </w:p>
    <w:p w:rsidR="00643038" w:rsidRPr="00643038" w:rsidP="00643038" w14:paraId="488681A4" w14:textId="05143158">
      <w:pPr>
        <w:pStyle w:val="NormalWeb"/>
        <w:spacing w:before="0" w:beforeAutospacing="0" w:after="220" w:afterAutospacing="0"/>
        <w:ind w:firstLine="720"/>
        <w:rPr>
          <w:color w:val="000000"/>
          <w:sz w:val="22"/>
          <w:szCs w:val="22"/>
        </w:rPr>
      </w:pPr>
      <w:r>
        <w:rPr>
          <w:color w:val="000000"/>
          <w:sz w:val="22"/>
          <w:szCs w:val="22"/>
        </w:rPr>
        <w:t xml:space="preserve">The National Association of Broadcasters and </w:t>
      </w:r>
      <w:r>
        <w:rPr>
          <w:color w:val="000000"/>
          <w:sz w:val="22"/>
          <w:szCs w:val="22"/>
        </w:rPr>
        <w:t>a number of</w:t>
      </w:r>
      <w:r>
        <w:rPr>
          <w:color w:val="000000"/>
          <w:sz w:val="22"/>
          <w:szCs w:val="22"/>
        </w:rPr>
        <w:t xml:space="preserve"> broadcast station group owners have informed the Commission staff that, because of current financial difficulties arising from the coronavirus (COVID-19) pandemic, many commercial customers are cancelling their advertising contracts with broadcast radio and television stations, in whole or significant part.  To fill excess inventory and build goodwill, broadcasters are seeking to air free advertisements for merchants.  They have asked for guidance on whether such free advertisements must be included in the calculation of the lowest unit charge.</w:t>
      </w:r>
    </w:p>
    <w:p w:rsidR="00643038" w:rsidRPr="00643038" w:rsidP="00643038" w14:paraId="05178CE6" w14:textId="1827396A">
      <w:pPr>
        <w:pStyle w:val="NormalWeb"/>
        <w:spacing w:before="0" w:beforeAutospacing="0" w:after="220" w:afterAutospacing="0"/>
        <w:ind w:firstLine="720"/>
        <w:rPr>
          <w:color w:val="201F1E"/>
          <w:sz w:val="22"/>
          <w:szCs w:val="22"/>
        </w:rPr>
      </w:pPr>
      <w:r>
        <w:rPr>
          <w:color w:val="000000"/>
          <w:sz w:val="22"/>
          <w:szCs w:val="22"/>
          <w:bdr w:val="none" w:sz="0" w:space="0" w:color="auto" w:frame="1"/>
        </w:rPr>
        <w:t xml:space="preserve">Given the current circumstances, the public interest dictates that broadcasters and other </w:t>
      </w:r>
      <w:r>
        <w:rPr>
          <w:color w:val="000000"/>
          <w:sz w:val="22"/>
          <w:szCs w:val="22"/>
          <w:bdr w:val="none" w:sz="0" w:space="0" w:color="auto" w:frame="1"/>
        </w:rPr>
        <w:t>regulatees</w:t>
      </w:r>
      <w:r>
        <w:rPr>
          <w:color w:val="000000"/>
          <w:sz w:val="22"/>
          <w:szCs w:val="22"/>
          <w:bdr w:val="none" w:sz="0" w:space="0" w:color="auto" w:frame="1"/>
        </w:rPr>
        <w:t xml:space="preserve"> that are subject to Section 315(b) may exclude the free time that they provide to commercial advertisers when calculating their lowest unit charges, </w:t>
      </w:r>
      <w:r>
        <w:rPr>
          <w:i/>
          <w:iCs/>
          <w:color w:val="000000"/>
          <w:sz w:val="22"/>
          <w:szCs w:val="22"/>
          <w:bdr w:val="none" w:sz="0" w:space="0" w:color="auto" w:frame="1"/>
        </w:rPr>
        <w:t>provided</w:t>
      </w:r>
      <w:r>
        <w:rPr>
          <w:rStyle w:val="apple-converted-space"/>
          <w:i/>
          <w:iCs/>
          <w:color w:val="000000"/>
          <w:szCs w:val="22"/>
          <w:bdr w:val="none" w:sz="0" w:space="0" w:color="auto" w:frame="1"/>
        </w:rPr>
        <w:t> </w:t>
      </w:r>
      <w:r>
        <w:rPr>
          <w:color w:val="000000"/>
          <w:sz w:val="22"/>
          <w:szCs w:val="22"/>
          <w:bdr w:val="none" w:sz="0" w:space="0" w:color="auto" w:frame="1"/>
        </w:rPr>
        <w:t>the free time is not associated with an existing commercial contract for paid time or otherwise considered bonus spots.</w:t>
      </w:r>
      <w:r>
        <w:rPr>
          <w:color w:val="000000"/>
          <w:sz w:val="22"/>
          <w:szCs w:val="22"/>
        </w:rPr>
        <w:t xml:space="preserve">  We do not believe that broadcasters should be discouraged at this time from airing free advertisements because of the impact that doing so could have on the calculation of their lowest unit changes.  This guidance is also intended to assist broadcasters in understanding their obligation in calculating lowest unit charge under the current prevailing market conditions and is consistent with our interpretation of the lowest unit charge provisions in Section 315(b) of the Act.</w:t>
      </w:r>
      <w:r>
        <w:rPr>
          <w:color w:val="000000"/>
          <w:sz w:val="22"/>
          <w:szCs w:val="22"/>
          <w:vertAlign w:val="superscript"/>
        </w:rPr>
        <w:footnoteReference w:id="5"/>
      </w:r>
      <w:r>
        <w:rPr>
          <w:color w:val="000000"/>
          <w:sz w:val="22"/>
          <w:szCs w:val="22"/>
        </w:rPr>
        <w:t xml:space="preserve">  Because the pandemic is a rapidly evolving situation and information and market conditions are changing quickly, we anticipate that this guidance is applicable only to the current period and not necessarily applicable when more ordinary conditions are restored.  </w:t>
      </w:r>
    </w:p>
    <w:p w:rsidR="00643038" w:rsidP="00643038" w14:paraId="738506BA" w14:textId="77777777">
      <w:pPr>
        <w:spacing w:after="220"/>
        <w:ind w:firstLine="720"/>
        <w:rPr>
          <w:bCs/>
          <w:szCs w:val="22"/>
        </w:rPr>
      </w:pPr>
      <w:r>
        <w:rPr>
          <w:bCs/>
          <w:szCs w:val="22"/>
        </w:rPr>
        <w:t xml:space="preserve">For further information, please contact Robert Baker, Media Bureau, at (202) 418-1417, Gary Schonman, Media Bureau, at (202) 418-1795, or Sima Nilsson, Media Bureau, at (202) 418-2708. </w:t>
      </w:r>
    </w:p>
    <w:p w:rsidR="00930ECF" w:rsidRPr="00643038" w:rsidP="00643038" w14:paraId="7003BD52" w14:textId="5E62884F">
      <w:pPr>
        <w:jc w:val="center"/>
        <w:rPr>
          <w:szCs w:val="22"/>
        </w:rPr>
      </w:pPr>
      <w:r>
        <w:rPr>
          <w:b/>
          <w:szCs w:val="22"/>
        </w:rPr>
        <w:t>- FCC -</w:t>
      </w:r>
      <w:bookmarkStart w:id="0" w:name="_GoBack"/>
      <w:bookmarkEnd w:id="0"/>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9600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AFB4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6B388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BFDE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23E7" w14:paraId="5A82F7C9" w14:textId="77777777">
      <w:r>
        <w:separator/>
      </w:r>
    </w:p>
  </w:footnote>
  <w:footnote w:type="continuationSeparator" w:id="1">
    <w:p w:rsidR="006D23E7" w14:paraId="672A352D" w14:textId="77777777">
      <w:pPr>
        <w:rPr>
          <w:sz w:val="20"/>
        </w:rPr>
      </w:pPr>
      <w:r>
        <w:rPr>
          <w:sz w:val="20"/>
        </w:rPr>
        <w:t xml:space="preserve">(Continued from previous page)  </w:t>
      </w:r>
      <w:r>
        <w:rPr>
          <w:sz w:val="20"/>
        </w:rPr>
        <w:separator/>
      </w:r>
    </w:p>
  </w:footnote>
  <w:footnote w:type="continuationNotice" w:id="2">
    <w:p w:rsidR="006D23E7" w:rsidP="00910F12" w14:paraId="0F48C9A1" w14:textId="77777777">
      <w:pPr>
        <w:jc w:val="right"/>
        <w:rPr>
          <w:sz w:val="20"/>
        </w:rPr>
      </w:pPr>
      <w:r>
        <w:rPr>
          <w:sz w:val="20"/>
        </w:rPr>
        <w:t>(continued….)</w:t>
      </w:r>
    </w:p>
  </w:footnote>
  <w:footnote w:id="3">
    <w:p w:rsidR="00643038" w:rsidP="00643038" w14:paraId="23B11DB0" w14:textId="77777777">
      <w:pPr>
        <w:pStyle w:val="FootnoteText"/>
      </w:pPr>
      <w:r>
        <w:rPr>
          <w:rStyle w:val="FootnoteReference"/>
        </w:rPr>
        <w:footnoteRef/>
      </w:r>
      <w:r>
        <w:t xml:space="preserve"> </w:t>
      </w:r>
      <w:r>
        <w:rPr>
          <w:i/>
          <w:iCs/>
        </w:rPr>
        <w:t xml:space="preserve">See </w:t>
      </w:r>
      <w:r>
        <w:t>47 U.S.C. § 315(b)(1); 47 CFR § 73.1942(a)(1).</w:t>
      </w:r>
    </w:p>
  </w:footnote>
  <w:footnote w:id="4">
    <w:p w:rsidR="00643038" w:rsidP="00643038" w14:paraId="5CCCBAAF" w14:textId="77777777">
      <w:pPr>
        <w:pStyle w:val="FootnoteText"/>
      </w:pPr>
      <w:r>
        <w:rPr>
          <w:rStyle w:val="FootnoteReference"/>
        </w:rPr>
        <w:footnoteRef/>
      </w:r>
      <w:r>
        <w:t xml:space="preserve"> </w:t>
      </w:r>
      <w:r>
        <w:rPr>
          <w:i/>
          <w:iCs/>
        </w:rPr>
        <w:t xml:space="preserve">See </w:t>
      </w:r>
      <w:r>
        <w:t>47 U.S.C. § 315(b)(1)(A).</w:t>
      </w:r>
    </w:p>
  </w:footnote>
  <w:footnote w:id="5">
    <w:p w:rsidR="00643038" w:rsidP="00643038" w14:paraId="3522ABEF" w14:textId="77777777">
      <w:pPr>
        <w:pStyle w:val="FootnoteText"/>
      </w:pPr>
      <w:r>
        <w:rPr>
          <w:rStyle w:val="FootnoteReference"/>
        </w:rPr>
        <w:footnoteRef/>
      </w:r>
      <w:r>
        <w:t xml:space="preserve"> </w:t>
      </w:r>
      <w:r>
        <w:rPr>
          <w:i/>
          <w:iCs/>
          <w:color w:val="000000"/>
          <w:bdr w:val="none" w:sz="0" w:space="0" w:color="auto" w:frame="1"/>
        </w:rPr>
        <w:t>See</w:t>
      </w:r>
      <w:r>
        <w:rPr>
          <w:color w:val="000000"/>
          <w:bdr w:val="none" w:sz="0" w:space="0" w:color="auto" w:frame="1"/>
        </w:rPr>
        <w:t xml:space="preserve"> 47 CFR </w:t>
      </w:r>
      <w:r>
        <w:t xml:space="preserve">§ </w:t>
      </w:r>
      <w:r>
        <w:rPr>
          <w:color w:val="000000"/>
          <w:bdr w:val="none" w:sz="0" w:space="0" w:color="auto" w:frame="1"/>
        </w:rPr>
        <w:t>73.1942(a)(1)(</w:t>
      </w:r>
      <w:r>
        <w:rPr>
          <w:color w:val="000000"/>
          <w:bdr w:val="none" w:sz="0" w:space="0" w:color="auto" w:frame="1"/>
        </w:rPr>
        <w:t>i</w:t>
      </w:r>
      <w:r>
        <w:rPr>
          <w:color w:val="000000"/>
          <w:bdr w:val="none" w:sz="0" w:space="0" w:color="auto" w:frame="1"/>
        </w:rPr>
        <w:t xml:space="preserve">), (xi).  </w:t>
      </w:r>
      <w:r>
        <w:rPr>
          <w:i/>
          <w:iCs/>
          <w:color w:val="000000"/>
          <w:bdr w:val="none" w:sz="0" w:space="0" w:color="auto" w:frame="1"/>
        </w:rPr>
        <w:t>See also Codification of the Commission’s Political Programming Policies</w:t>
      </w:r>
      <w:r>
        <w:rPr>
          <w:color w:val="000000"/>
          <w:bdr w:val="none" w:sz="0" w:space="0" w:color="auto" w:frame="1"/>
        </w:rPr>
        <w:t xml:space="preserve">, Report and Order, 7 FCC </w:t>
      </w:r>
      <w:r>
        <w:rPr>
          <w:color w:val="000000"/>
          <w:bdr w:val="none" w:sz="0" w:space="0" w:color="auto" w:frame="1"/>
        </w:rPr>
        <w:t>Rcd</w:t>
      </w:r>
      <w:r>
        <w:rPr>
          <w:color w:val="000000"/>
          <w:bdr w:val="none" w:sz="0" w:space="0" w:color="auto" w:frame="1"/>
        </w:rPr>
        <w:t xml:space="preserve"> 678, 695, para. 102 (1991); </w:t>
      </w:r>
      <w:r>
        <w:rPr>
          <w:i/>
          <w:iCs/>
          <w:color w:val="000000"/>
          <w:bdr w:val="none" w:sz="0" w:space="0" w:color="auto" w:frame="1"/>
        </w:rPr>
        <w:t xml:space="preserve">Fred </w:t>
      </w:r>
      <w:r>
        <w:rPr>
          <w:i/>
          <w:iCs/>
          <w:color w:val="000000"/>
          <w:bdr w:val="none" w:sz="0" w:space="0" w:color="auto" w:frame="1"/>
        </w:rPr>
        <w:t>Fickenwirth</w:t>
      </w:r>
      <w:r>
        <w:rPr>
          <w:color w:val="000000"/>
          <w:bdr w:val="none" w:sz="0" w:space="0" w:color="auto" w:frame="1"/>
        </w:rPr>
        <w:t xml:space="preserve">, Letter Order 7 FCC </w:t>
      </w:r>
      <w:r>
        <w:rPr>
          <w:color w:val="000000"/>
          <w:bdr w:val="none" w:sz="0" w:space="0" w:color="auto" w:frame="1"/>
        </w:rPr>
        <w:t>Rcd</w:t>
      </w:r>
      <w:r>
        <w:rPr>
          <w:color w:val="000000"/>
          <w:bdr w:val="none" w:sz="0" w:space="0" w:color="auto" w:frame="1"/>
        </w:rPr>
        <w:t xml:space="preserve"> 4311 (MMB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FE4565B" w14:textId="5A106AA2">
    <w:pPr>
      <w:tabs>
        <w:tab w:val="center" w:pos="4680"/>
        <w:tab w:val="right" w:pos="9360"/>
      </w:tabs>
    </w:pPr>
    <w:r w:rsidRPr="009838BC">
      <w:rPr>
        <w:b/>
      </w:rPr>
      <w:tab/>
      <w:t>Federal Communications Commission</w:t>
    </w:r>
    <w:r w:rsidRPr="009838BC">
      <w:rPr>
        <w:b/>
      </w:rPr>
      <w:tab/>
    </w:r>
    <w:r w:rsidR="00643038">
      <w:rPr>
        <w:b/>
      </w:rPr>
      <w:t>DA 20-335</w:t>
    </w:r>
  </w:p>
  <w:p w:rsidR="009838BC" w:rsidRPr="009838BC" w:rsidP="009838BC" w14:paraId="25D1E03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F935AE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060135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3D86F72" w14:textId="77777777">
                <w:pPr>
                  <w:rPr>
                    <w:rFonts w:ascii="Arial" w:hAnsi="Arial"/>
                    <w:b/>
                  </w:rPr>
                </w:pPr>
                <w:r>
                  <w:rPr>
                    <w:rFonts w:ascii="Arial" w:hAnsi="Arial"/>
                    <w:b/>
                  </w:rPr>
                  <w:t>Federal Communications Commission</w:t>
                </w:r>
              </w:p>
              <w:p w:rsidR="009838BC" w:rsidP="009838BC" w14:paraId="0138537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8E7AB8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0D1D1A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E2C68F8" w14:textId="77777777">
                <w:pPr>
                  <w:spacing w:before="40"/>
                  <w:jc w:val="right"/>
                  <w:rPr>
                    <w:rFonts w:ascii="Arial" w:hAnsi="Arial"/>
                    <w:b/>
                    <w:sz w:val="16"/>
                  </w:rPr>
                </w:pPr>
                <w:r>
                  <w:rPr>
                    <w:rFonts w:ascii="Arial" w:hAnsi="Arial"/>
                    <w:b/>
                    <w:sz w:val="16"/>
                  </w:rPr>
                  <w:t>News Media Information 202 / 418-0500</w:t>
                </w:r>
              </w:p>
              <w:p w:rsidR="009838BC" w:rsidP="009838BC" w14:paraId="38C3D7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C3C6D15" w14:textId="77777777">
                <w:pPr>
                  <w:jc w:val="right"/>
                </w:pPr>
                <w:r>
                  <w:rPr>
                    <w:rFonts w:ascii="Arial" w:hAnsi="Arial"/>
                    <w:b/>
                    <w:sz w:val="16"/>
                  </w:rPr>
                  <w:t>TTY: 1-888-835-5322</w:t>
                </w:r>
              </w:p>
            </w:txbxContent>
          </v:textbox>
        </v:shape>
      </w:pict>
    </w:r>
  </w:p>
  <w:p w:rsidR="006F7393" w:rsidRPr="009838BC" w:rsidP="009838BC" w14:paraId="3C65F67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E7"/>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43038"/>
    <w:rsid w:val="00655D03"/>
    <w:rsid w:val="00683F84"/>
    <w:rsid w:val="006A6A81"/>
    <w:rsid w:val="006D23E7"/>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0A6916-945B-4D92-88E0-4D5BF810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38"/>
    <w:pPr>
      <w:widowControl w:val="0"/>
    </w:pPr>
    <w:rPr>
      <w:snapToGrid w:val="0"/>
      <w:kern w:val="28"/>
      <w:sz w:val="22"/>
    </w:rPr>
  </w:style>
  <w:style w:type="paragraph" w:styleId="Heading1">
    <w:name w:val="heading 1"/>
    <w:basedOn w:val="Normal"/>
    <w:next w:val="ParaNum"/>
    <w:qFormat/>
    <w:rsid w:val="006430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3038"/>
    <w:pPr>
      <w:keepNext/>
      <w:numPr>
        <w:ilvl w:val="1"/>
        <w:numId w:val="3"/>
      </w:numPr>
      <w:spacing w:after="120"/>
      <w:outlineLvl w:val="1"/>
    </w:pPr>
    <w:rPr>
      <w:b/>
    </w:rPr>
  </w:style>
  <w:style w:type="paragraph" w:styleId="Heading3">
    <w:name w:val="heading 3"/>
    <w:basedOn w:val="Normal"/>
    <w:next w:val="ParaNum"/>
    <w:qFormat/>
    <w:rsid w:val="00643038"/>
    <w:pPr>
      <w:keepNext/>
      <w:numPr>
        <w:ilvl w:val="2"/>
        <w:numId w:val="3"/>
      </w:numPr>
      <w:tabs>
        <w:tab w:val="left" w:pos="2160"/>
      </w:tabs>
      <w:spacing w:after="120"/>
      <w:outlineLvl w:val="2"/>
    </w:pPr>
    <w:rPr>
      <w:b/>
    </w:rPr>
  </w:style>
  <w:style w:type="paragraph" w:styleId="Heading4">
    <w:name w:val="heading 4"/>
    <w:basedOn w:val="Normal"/>
    <w:next w:val="ParaNum"/>
    <w:qFormat/>
    <w:rsid w:val="00643038"/>
    <w:pPr>
      <w:keepNext/>
      <w:numPr>
        <w:ilvl w:val="3"/>
        <w:numId w:val="3"/>
      </w:numPr>
      <w:tabs>
        <w:tab w:val="left" w:pos="2880"/>
      </w:tabs>
      <w:spacing w:after="120"/>
      <w:outlineLvl w:val="3"/>
    </w:pPr>
    <w:rPr>
      <w:b/>
    </w:rPr>
  </w:style>
  <w:style w:type="paragraph" w:styleId="Heading5">
    <w:name w:val="heading 5"/>
    <w:basedOn w:val="Normal"/>
    <w:next w:val="ParaNum"/>
    <w:qFormat/>
    <w:rsid w:val="006430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3038"/>
    <w:pPr>
      <w:numPr>
        <w:ilvl w:val="5"/>
        <w:numId w:val="3"/>
      </w:numPr>
      <w:tabs>
        <w:tab w:val="left" w:pos="4320"/>
      </w:tabs>
      <w:spacing w:after="120"/>
      <w:outlineLvl w:val="5"/>
    </w:pPr>
    <w:rPr>
      <w:b/>
    </w:rPr>
  </w:style>
  <w:style w:type="paragraph" w:styleId="Heading7">
    <w:name w:val="heading 7"/>
    <w:basedOn w:val="Normal"/>
    <w:next w:val="ParaNum"/>
    <w:qFormat/>
    <w:rsid w:val="006430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30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30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430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43038"/>
  </w:style>
  <w:style w:type="paragraph" w:customStyle="1" w:styleId="ParaNum">
    <w:name w:val="ParaNum"/>
    <w:basedOn w:val="Normal"/>
    <w:rsid w:val="00643038"/>
    <w:pPr>
      <w:numPr>
        <w:numId w:val="2"/>
      </w:numPr>
      <w:tabs>
        <w:tab w:val="clear" w:pos="1080"/>
        <w:tab w:val="num" w:pos="1440"/>
      </w:tabs>
      <w:spacing w:after="120"/>
    </w:pPr>
  </w:style>
  <w:style w:type="paragraph" w:styleId="EndnoteText">
    <w:name w:val="endnote text"/>
    <w:basedOn w:val="Normal"/>
    <w:semiHidden/>
    <w:rsid w:val="00643038"/>
    <w:rPr>
      <w:sz w:val="20"/>
    </w:rPr>
  </w:style>
  <w:style w:type="character" w:styleId="EndnoteReference">
    <w:name w:val="endnote reference"/>
    <w:semiHidden/>
    <w:rsid w:val="00643038"/>
    <w:rPr>
      <w:vertAlign w:val="superscript"/>
    </w:rPr>
  </w:style>
  <w:style w:type="paragraph" w:styleId="FootnoteText">
    <w:name w:val="footnote text"/>
    <w:link w:val="FootnoteTextChar"/>
    <w:rsid w:val="00643038"/>
    <w:pPr>
      <w:spacing w:after="120"/>
    </w:pPr>
  </w:style>
  <w:style w:type="character" w:styleId="FootnoteReference">
    <w:name w:val="footnote reference"/>
    <w:rsid w:val="00643038"/>
    <w:rPr>
      <w:rFonts w:ascii="Times New Roman" w:hAnsi="Times New Roman"/>
      <w:dstrike w:val="0"/>
      <w:color w:val="auto"/>
      <w:sz w:val="22"/>
      <w:vertAlign w:val="superscript"/>
    </w:rPr>
  </w:style>
  <w:style w:type="paragraph" w:styleId="TOC1">
    <w:name w:val="toc 1"/>
    <w:basedOn w:val="Normal"/>
    <w:next w:val="Normal"/>
    <w:uiPriority w:val="39"/>
    <w:rsid w:val="006430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3038"/>
    <w:pPr>
      <w:tabs>
        <w:tab w:val="left" w:pos="720"/>
        <w:tab w:val="right" w:leader="dot" w:pos="9360"/>
      </w:tabs>
      <w:suppressAutoHyphens/>
      <w:ind w:left="720" w:right="720" w:hanging="360"/>
    </w:pPr>
    <w:rPr>
      <w:noProof/>
    </w:rPr>
  </w:style>
  <w:style w:type="paragraph" w:styleId="TOC3">
    <w:name w:val="toc 3"/>
    <w:basedOn w:val="Normal"/>
    <w:next w:val="Normal"/>
    <w:semiHidden/>
    <w:rsid w:val="006430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30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30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30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30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30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30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3038"/>
    <w:pPr>
      <w:tabs>
        <w:tab w:val="right" w:pos="9360"/>
      </w:tabs>
      <w:suppressAutoHyphens/>
    </w:pPr>
  </w:style>
  <w:style w:type="character" w:customStyle="1" w:styleId="EquationCaption">
    <w:name w:val="_Equation Caption"/>
    <w:rsid w:val="00643038"/>
  </w:style>
  <w:style w:type="paragraph" w:styleId="Header">
    <w:name w:val="header"/>
    <w:basedOn w:val="Normal"/>
    <w:autoRedefine/>
    <w:rsid w:val="0064303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43038"/>
    <w:pPr>
      <w:tabs>
        <w:tab w:val="center" w:pos="4320"/>
        <w:tab w:val="right" w:pos="8640"/>
      </w:tabs>
    </w:pPr>
  </w:style>
  <w:style w:type="character" w:styleId="PageNumber">
    <w:name w:val="page number"/>
    <w:basedOn w:val="DefaultParagraphFont"/>
    <w:rsid w:val="00643038"/>
  </w:style>
  <w:style w:type="paragraph" w:styleId="BlockText">
    <w:name w:val="Block Text"/>
    <w:basedOn w:val="Normal"/>
    <w:rsid w:val="00643038"/>
    <w:pPr>
      <w:spacing w:after="240"/>
      <w:ind w:left="1440" w:right="1440"/>
    </w:pPr>
  </w:style>
  <w:style w:type="paragraph" w:customStyle="1" w:styleId="Paratitle">
    <w:name w:val="Para title"/>
    <w:basedOn w:val="Normal"/>
    <w:rsid w:val="00643038"/>
    <w:pPr>
      <w:tabs>
        <w:tab w:val="center" w:pos="9270"/>
      </w:tabs>
      <w:spacing w:after="240"/>
    </w:pPr>
    <w:rPr>
      <w:spacing w:val="-2"/>
    </w:rPr>
  </w:style>
  <w:style w:type="paragraph" w:customStyle="1" w:styleId="Bullet">
    <w:name w:val="Bullet"/>
    <w:basedOn w:val="Normal"/>
    <w:rsid w:val="00643038"/>
    <w:pPr>
      <w:numPr>
        <w:numId w:val="1"/>
      </w:numPr>
      <w:tabs>
        <w:tab w:val="clear" w:pos="360"/>
        <w:tab w:val="left" w:pos="2160"/>
      </w:tabs>
      <w:spacing w:after="220"/>
      <w:ind w:left="2160" w:hanging="720"/>
    </w:pPr>
  </w:style>
  <w:style w:type="paragraph" w:customStyle="1" w:styleId="TableFormat">
    <w:name w:val="TableFormat"/>
    <w:basedOn w:val="Bullet"/>
    <w:rsid w:val="00643038"/>
    <w:pPr>
      <w:numPr>
        <w:numId w:val="0"/>
      </w:numPr>
      <w:tabs>
        <w:tab w:val="clear" w:pos="2160"/>
        <w:tab w:val="left" w:pos="5040"/>
      </w:tabs>
      <w:ind w:left="5040" w:hanging="3600"/>
    </w:pPr>
  </w:style>
  <w:style w:type="paragraph" w:customStyle="1" w:styleId="TOCTitle">
    <w:name w:val="TOC Title"/>
    <w:basedOn w:val="Normal"/>
    <w:rsid w:val="006430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3038"/>
    <w:pPr>
      <w:jc w:val="center"/>
    </w:pPr>
    <w:rPr>
      <w:rFonts w:ascii="Times New Roman Bold" w:hAnsi="Times New Roman Bold"/>
      <w:b/>
      <w:bCs/>
      <w:caps/>
      <w:szCs w:val="22"/>
    </w:rPr>
  </w:style>
  <w:style w:type="character" w:styleId="Hyperlink">
    <w:name w:val="Hyperlink"/>
    <w:rsid w:val="00643038"/>
    <w:rPr>
      <w:color w:val="0000FF"/>
      <w:u w:val="single"/>
    </w:rPr>
  </w:style>
  <w:style w:type="character" w:customStyle="1" w:styleId="FooterChar">
    <w:name w:val="Footer Char"/>
    <w:link w:val="Footer"/>
    <w:uiPriority w:val="99"/>
    <w:rsid w:val="00643038"/>
    <w:rPr>
      <w:snapToGrid w:val="0"/>
      <w:kern w:val="28"/>
      <w:sz w:val="22"/>
    </w:rPr>
  </w:style>
  <w:style w:type="paragraph" w:styleId="NormalWeb">
    <w:name w:val="Normal (Web)"/>
    <w:basedOn w:val="Normal"/>
    <w:uiPriority w:val="99"/>
    <w:unhideWhenUsed/>
    <w:rsid w:val="006D23E7"/>
    <w:pPr>
      <w:widowControl/>
      <w:spacing w:before="100" w:beforeAutospacing="1" w:after="100" w:afterAutospacing="1"/>
    </w:pPr>
    <w:rPr>
      <w:snapToGrid/>
      <w:kern w:val="0"/>
      <w:sz w:val="24"/>
      <w:szCs w:val="24"/>
    </w:rPr>
  </w:style>
  <w:style w:type="character" w:customStyle="1" w:styleId="apple-converted-space">
    <w:name w:val="apple-converted-space"/>
    <w:rsid w:val="006D23E7"/>
  </w:style>
  <w:style w:type="character" w:customStyle="1" w:styleId="FootnoteTextChar">
    <w:name w:val="Footnote Text Char"/>
    <w:link w:val="FootnoteText"/>
    <w:rsid w:val="006D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