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6EA81F6E" w14:textId="5B0B5984">
      <w:pPr>
        <w:jc w:val="right"/>
        <w:rPr>
          <w:b/>
          <w:sz w:val="24"/>
        </w:rPr>
      </w:pPr>
      <w:r>
        <w:rPr>
          <w:b/>
          <w:sz w:val="24"/>
        </w:rPr>
        <w:t>DA 20-</w:t>
      </w:r>
      <w:r w:rsidR="00BE7060">
        <w:rPr>
          <w:b/>
          <w:sz w:val="24"/>
        </w:rPr>
        <w:t>336</w:t>
      </w:r>
    </w:p>
    <w:p w:rsidR="00013A8B" w:rsidRPr="00B20363" w:rsidP="00013A8B" w14:paraId="42CAC11D" w14:textId="00B34B5B">
      <w:pPr>
        <w:spacing w:before="60"/>
        <w:jc w:val="right"/>
        <w:rPr>
          <w:b/>
          <w:sz w:val="24"/>
        </w:rPr>
      </w:pPr>
      <w:r>
        <w:rPr>
          <w:b/>
          <w:sz w:val="24"/>
        </w:rPr>
        <w:t xml:space="preserve">Released:  </w:t>
      </w:r>
      <w:r w:rsidR="009B7566">
        <w:rPr>
          <w:b/>
          <w:sz w:val="24"/>
        </w:rPr>
        <w:t xml:space="preserve">March </w:t>
      </w:r>
      <w:r w:rsidR="00BE7060">
        <w:rPr>
          <w:b/>
          <w:sz w:val="24"/>
        </w:rPr>
        <w:t>25</w:t>
      </w:r>
      <w:r w:rsidR="009B7566">
        <w:rPr>
          <w:b/>
          <w:sz w:val="24"/>
        </w:rPr>
        <w:t>, 2020</w:t>
      </w:r>
    </w:p>
    <w:p w:rsidR="00013A8B" w:rsidP="00013A8B" w14:paraId="775F3CA4" w14:textId="77777777">
      <w:pPr>
        <w:jc w:val="right"/>
        <w:rPr>
          <w:sz w:val="24"/>
        </w:rPr>
      </w:pPr>
    </w:p>
    <w:p w:rsidR="00013A8B" w:rsidRPr="00B20363" w:rsidP="009B7566" w14:paraId="1BA647E1" w14:textId="77700EB4">
      <w:pPr>
        <w:spacing w:after="240"/>
        <w:jc w:val="center"/>
        <w:rPr>
          <w:rFonts w:ascii="Times New Roman Bold" w:hAnsi="Times New Roman Bold"/>
          <w:b/>
          <w:caps/>
          <w:sz w:val="24"/>
        </w:rPr>
      </w:pPr>
      <w:r>
        <w:rPr>
          <w:rFonts w:ascii="Times New Roman Bold" w:hAnsi="Times New Roman Bold"/>
          <w:b/>
          <w:caps/>
          <w:sz w:val="24"/>
        </w:rPr>
        <w:t xml:space="preserve">Guidance for </w:t>
      </w:r>
      <w:r w:rsidR="00CD503F">
        <w:rPr>
          <w:rFonts w:ascii="Times New Roman Bold" w:hAnsi="Times New Roman Bold"/>
          <w:b/>
          <w:caps/>
          <w:sz w:val="24"/>
        </w:rPr>
        <w:t xml:space="preserve">Television </w:t>
      </w:r>
      <w:r>
        <w:rPr>
          <w:rFonts w:ascii="Times New Roman Bold" w:hAnsi="Times New Roman Bold"/>
          <w:b/>
          <w:caps/>
          <w:sz w:val="24"/>
        </w:rPr>
        <w:t xml:space="preserve">stations </w:t>
      </w:r>
      <w:r w:rsidR="00CD503F">
        <w:rPr>
          <w:rFonts w:ascii="Times New Roman Bold" w:hAnsi="Times New Roman Bold"/>
          <w:b/>
          <w:caps/>
          <w:sz w:val="24"/>
        </w:rPr>
        <w:t xml:space="preserve">That are parties to </w:t>
      </w:r>
      <w:r w:rsidR="00963208">
        <w:rPr>
          <w:rFonts w:ascii="Times New Roman Bold" w:hAnsi="Times New Roman Bold"/>
          <w:b/>
          <w:caps/>
          <w:sz w:val="24"/>
        </w:rPr>
        <w:t>EXIS</w:t>
      </w:r>
      <w:r w:rsidR="00BC5FAF">
        <w:rPr>
          <w:rFonts w:ascii="Times New Roman Bold" w:hAnsi="Times New Roman Bold"/>
          <w:b/>
          <w:caps/>
          <w:sz w:val="24"/>
        </w:rPr>
        <w:t>T</w:t>
      </w:r>
      <w:r w:rsidR="00963208">
        <w:rPr>
          <w:rFonts w:ascii="Times New Roman Bold" w:hAnsi="Times New Roman Bold"/>
          <w:b/>
          <w:caps/>
          <w:sz w:val="24"/>
        </w:rPr>
        <w:t xml:space="preserve">ING </w:t>
      </w:r>
      <w:r w:rsidR="00CD503F">
        <w:rPr>
          <w:rFonts w:ascii="Times New Roman Bold" w:hAnsi="Times New Roman Bold"/>
          <w:b/>
          <w:caps/>
          <w:sz w:val="24"/>
        </w:rPr>
        <w:t xml:space="preserve">Local Marketing Agreements and/or Shared Services Agreements </w:t>
      </w:r>
      <w:r w:rsidR="00963208">
        <w:rPr>
          <w:rFonts w:ascii="Times New Roman Bold" w:hAnsi="Times New Roman Bold"/>
          <w:b/>
          <w:caps/>
          <w:sz w:val="24"/>
        </w:rPr>
        <w:t xml:space="preserve">In Light </w:t>
      </w:r>
      <w:r w:rsidR="00CD503F">
        <w:rPr>
          <w:rFonts w:ascii="Times New Roman Bold" w:hAnsi="Times New Roman Bold"/>
          <w:b/>
          <w:caps/>
          <w:sz w:val="24"/>
        </w:rPr>
        <w:t>of the</w:t>
      </w:r>
      <w:r w:rsidR="00722168">
        <w:rPr>
          <w:rFonts w:ascii="Times New Roman Bold" w:hAnsi="Times New Roman Bold"/>
          <w:b/>
          <w:caps/>
          <w:sz w:val="24"/>
        </w:rPr>
        <w:t xml:space="preserve"> </w:t>
      </w:r>
      <w:r w:rsidRPr="009B7566">
        <w:rPr>
          <w:rFonts w:ascii="Times New Roman Bold" w:hAnsi="Times New Roman Bold"/>
          <w:b/>
          <w:caps/>
          <w:sz w:val="24"/>
        </w:rPr>
        <w:t>NOVEL CORONAVIRUS (COVID-19)</w:t>
      </w:r>
      <w:r w:rsidR="0089557B">
        <w:rPr>
          <w:rFonts w:ascii="Times New Roman Bold" w:hAnsi="Times New Roman Bold"/>
          <w:b/>
          <w:caps/>
          <w:sz w:val="24"/>
        </w:rPr>
        <w:t xml:space="preserve"> OUTBREAK</w:t>
      </w:r>
      <w:r>
        <w:rPr>
          <w:rFonts w:ascii="Times New Roman Bold" w:hAnsi="Times New Roman Bold"/>
          <w:b/>
          <w:caps/>
          <w:sz w:val="24"/>
        </w:rPr>
        <w:t xml:space="preserve"> </w:t>
      </w:r>
    </w:p>
    <w:p w:rsidR="00C52A44" w:rsidP="00C52A44" w14:paraId="3966CEA8" w14:textId="3FD39FBA">
      <w:pPr>
        <w:jc w:val="center"/>
        <w:rPr>
          <w:b/>
          <w:sz w:val="24"/>
        </w:rPr>
      </w:pPr>
      <w:r>
        <w:rPr>
          <w:b/>
          <w:sz w:val="24"/>
        </w:rPr>
        <w:t xml:space="preserve">Media Bureau Establishes Temporary Waiver Process for </w:t>
      </w:r>
      <w:r w:rsidR="0082694B">
        <w:rPr>
          <w:b/>
          <w:sz w:val="24"/>
        </w:rPr>
        <w:t>Brokered</w:t>
      </w:r>
      <w:r>
        <w:rPr>
          <w:b/>
          <w:sz w:val="24"/>
        </w:rPr>
        <w:t xml:space="preserve"> Television</w:t>
      </w:r>
      <w:r w:rsidR="0082694B">
        <w:rPr>
          <w:b/>
          <w:sz w:val="24"/>
        </w:rPr>
        <w:t xml:space="preserve"> Stations </w:t>
      </w:r>
      <w:r w:rsidR="0082694B">
        <w:rPr>
          <w:b/>
          <w:sz w:val="24"/>
        </w:rPr>
        <w:t>in Light of</w:t>
      </w:r>
      <w:r w:rsidR="0082694B">
        <w:rPr>
          <w:b/>
          <w:sz w:val="24"/>
        </w:rPr>
        <w:t xml:space="preserve"> COVID-19 Outbreak</w:t>
      </w:r>
    </w:p>
    <w:p w:rsidR="0082694B" w:rsidRPr="00722168" w:rsidP="00C52A44" w14:paraId="32150647" w14:textId="77777777">
      <w:pPr>
        <w:jc w:val="center"/>
        <w:rPr>
          <w:b/>
          <w:sz w:val="24"/>
        </w:rPr>
      </w:pPr>
    </w:p>
    <w:p w:rsidR="00D56C29" w:rsidP="00BC5FAF" w14:paraId="39305BED" w14:textId="2C7A6493">
      <w:pPr>
        <w:spacing w:after="120"/>
        <w:ind w:firstLine="720"/>
      </w:pPr>
      <w:r>
        <w:t xml:space="preserve">As a result of the </w:t>
      </w:r>
      <w:r w:rsidR="00BC5FAF">
        <w:t>evolving</w:t>
      </w:r>
      <w:r>
        <w:t xml:space="preserve"> </w:t>
      </w:r>
      <w:r w:rsidR="003C74F0">
        <w:t xml:space="preserve">nature of the </w:t>
      </w:r>
      <w:r w:rsidRPr="00293ECB">
        <w:t xml:space="preserve">outbreak of </w:t>
      </w:r>
      <w:r w:rsidR="00DC4707">
        <w:t xml:space="preserve">the </w:t>
      </w:r>
      <w:r w:rsidRPr="00293ECB">
        <w:t>respiratory illness caused by a novel coronavirus (COVID-19)</w:t>
      </w:r>
      <w:r w:rsidR="003C74F0">
        <w:t xml:space="preserve"> and the federal and/or state response to local needs relating to the outbreak</w:t>
      </w:r>
      <w:r>
        <w:t>, we understand that broadcast</w:t>
      </w:r>
      <w:r w:rsidR="00141324">
        <w:t xml:space="preserve"> televis</w:t>
      </w:r>
      <w:r w:rsidR="00EF0C4A">
        <w:t>i</w:t>
      </w:r>
      <w:r w:rsidR="00141324">
        <w:t>on</w:t>
      </w:r>
      <w:r>
        <w:t xml:space="preserve"> stations may</w:t>
      </w:r>
      <w:r w:rsidR="00C21725">
        <w:t xml:space="preserve"> </w:t>
      </w:r>
      <w:r w:rsidR="002C6BA9">
        <w:t xml:space="preserve">desire to serve the public interest by </w:t>
      </w:r>
      <w:r w:rsidR="00C21725">
        <w:t>provid</w:t>
      </w:r>
      <w:r w:rsidR="002C6BA9">
        <w:t>ing</w:t>
      </w:r>
      <w:r w:rsidR="00C21725">
        <w:t xml:space="preserve"> extra local </w:t>
      </w:r>
      <w:r>
        <w:t xml:space="preserve">coverage of information that may relate to testing, triage, and/or other </w:t>
      </w:r>
      <w:r w:rsidR="00DC4707">
        <w:t>local COVID-19 issues of community concern</w:t>
      </w:r>
      <w:r>
        <w:t>.</w:t>
      </w:r>
      <w:r w:rsidR="0082694B">
        <w:t xml:space="preserve">  In certain markets, news coverage </w:t>
      </w:r>
      <w:r w:rsidR="004537BD">
        <w:t xml:space="preserve">on one </w:t>
      </w:r>
      <w:r w:rsidR="00141324">
        <w:t xml:space="preserve">television </w:t>
      </w:r>
      <w:r w:rsidR="004537BD">
        <w:t>station</w:t>
      </w:r>
      <w:r w:rsidR="002C6BA9">
        <w:t>—</w:t>
      </w:r>
      <w:r w:rsidR="00B52CBA">
        <w:t>the brokered station</w:t>
      </w:r>
      <w:r w:rsidR="002C6BA9">
        <w:t>—</w:t>
      </w:r>
      <w:r w:rsidR="0082694B">
        <w:t xml:space="preserve">may </w:t>
      </w:r>
      <w:r w:rsidR="004537BD">
        <w:t>be produced by another in-market station</w:t>
      </w:r>
      <w:r w:rsidR="0082694B">
        <w:t xml:space="preserve"> via a</w:t>
      </w:r>
      <w:r w:rsidR="00963208">
        <w:t>n existing</w:t>
      </w:r>
      <w:r w:rsidR="0082694B">
        <w:t xml:space="preserve"> Local Marketing</w:t>
      </w:r>
      <w:r w:rsidR="00DA013A">
        <w:t>,</w:t>
      </w:r>
      <w:r w:rsidR="0082694B">
        <w:t xml:space="preserve"> Shared Service</w:t>
      </w:r>
      <w:r w:rsidR="00DA013A">
        <w:t>s</w:t>
      </w:r>
      <w:r w:rsidR="0082694B">
        <w:t>,</w:t>
      </w:r>
      <w:r w:rsidR="00DA013A">
        <w:t xml:space="preserve"> or similar agreement</w:t>
      </w:r>
      <w:r w:rsidR="00BC5FAF">
        <w:t>.  Under the Commission’s rules</w:t>
      </w:r>
      <w:r w:rsidR="00B52CBA">
        <w:t xml:space="preserve"> such news programming under the terms of these agreements may not exceed 15% of the brokered station’s weekly programming hours</w:t>
      </w:r>
      <w:r w:rsidR="00EF0C4A">
        <w:t>.</w:t>
      </w:r>
      <w:r>
        <w:rPr>
          <w:rStyle w:val="FootnoteReference"/>
        </w:rPr>
        <w:footnoteReference w:id="3"/>
      </w:r>
      <w:r w:rsidR="00EF0C4A">
        <w:t xml:space="preserve">  </w:t>
      </w:r>
      <w:r w:rsidR="00BC5FAF">
        <w:t>Thus, p</w:t>
      </w:r>
      <w:r w:rsidR="00B52CBA">
        <w:t>rovision of programming in excess of 15% of the brokered</w:t>
      </w:r>
      <w:r w:rsidR="00141324">
        <w:t xml:space="preserve"> television</w:t>
      </w:r>
      <w:r w:rsidR="00B52CBA">
        <w:t xml:space="preserve"> station’s weekly programming hours may </w:t>
      </w:r>
      <w:r w:rsidR="00DC6E3E">
        <w:t>result in violation</w:t>
      </w:r>
      <w:r w:rsidR="00B52CBA">
        <w:t xml:space="preserve"> </w:t>
      </w:r>
      <w:r w:rsidR="0082694B">
        <w:t>of the Local Television Ownership Rule.</w:t>
      </w:r>
    </w:p>
    <w:p w:rsidR="004537BD" w:rsidP="004537BD" w14:paraId="45607C05" w14:textId="400EB6F5">
      <w:pPr>
        <w:spacing w:after="120"/>
      </w:pPr>
      <w:r>
        <w:tab/>
        <w:t xml:space="preserve">During the period that the COVID-19 outbreak remains a national emergency, individual licensees may request temporary waivers of the Local Television Ownership Rule to provide </w:t>
      </w:r>
      <w:r w:rsidR="00F327B5">
        <w:t>more</w:t>
      </w:r>
      <w:r>
        <w:t xml:space="preserve"> news coverage </w:t>
      </w:r>
      <w:r w:rsidRPr="00AA1DFD">
        <w:t>to brokered stations</w:t>
      </w:r>
      <w:r w:rsidRPr="00AA1DFD" w:rsidR="00963208">
        <w:t xml:space="preserve"> than is currently provided by existing Local Marketing, Shared Services, or related agreements</w:t>
      </w:r>
      <w:r w:rsidRPr="00AA1DFD" w:rsidR="00AA1DFD">
        <w:t xml:space="preserve"> if such additional coverage would exceed 15% of their current weekly programming hours</w:t>
      </w:r>
      <w:r w:rsidRPr="00AA1DFD">
        <w:t>.</w:t>
      </w:r>
      <w:r>
        <w:rPr>
          <w:rStyle w:val="FootnoteReference"/>
        </w:rPr>
        <w:footnoteReference w:id="4"/>
      </w:r>
      <w:r w:rsidRPr="00AA1DFD">
        <w:t xml:space="preserve">   To expedite determinations during this period of national emergency, we will permit such requests to be </w:t>
      </w:r>
      <w:r>
        <w:t xml:space="preserve">made via e-mail.  Such e-mails should be directed to either David Brown, Deputy Chief, Video Division at </w:t>
      </w:r>
      <w:hyperlink r:id="rId5" w:history="1">
        <w:r w:rsidRPr="00C141F7">
          <w:rPr>
            <w:rStyle w:val="Hyperlink"/>
          </w:rPr>
          <w:t>david.brown@fcc.gov</w:t>
        </w:r>
      </w:hyperlink>
      <w:r>
        <w:t xml:space="preserve"> or Barbara Kreisman, Chief, Video Division at </w:t>
      </w:r>
      <w:hyperlink r:id="rId6" w:history="1">
        <w:r w:rsidRPr="00C141F7">
          <w:rPr>
            <w:rStyle w:val="Hyperlink"/>
          </w:rPr>
          <w:t>barbara.kreisman@fcc.gov</w:t>
        </w:r>
      </w:hyperlink>
      <w:r>
        <w:t xml:space="preserve">.  </w:t>
      </w:r>
      <w:r w:rsidR="005A2E94">
        <w:t xml:space="preserve">Section 1.3 </w:t>
      </w:r>
      <w:r w:rsidR="00811484">
        <w:t xml:space="preserve">of the Commission’s rules </w:t>
      </w:r>
      <w:r w:rsidR="005A2E94">
        <w:t xml:space="preserve">permits waivers to be based on “good </w:t>
      </w:r>
      <w:r w:rsidR="005A2E94">
        <w:t xml:space="preserve">cause shown.”  This is by necessity </w:t>
      </w:r>
      <w:r w:rsidR="00DA013A">
        <w:t xml:space="preserve">a </w:t>
      </w:r>
      <w:r w:rsidR="005A2E94">
        <w:t xml:space="preserve">fact-specific determination.  In the e-mail request, licensees should describe </w:t>
      </w:r>
      <w:r w:rsidR="00DA013A">
        <w:t xml:space="preserve">how additional coverage would assist in providing community-specific information regarding COVID-19 and how such needs would be better met by allowing </w:t>
      </w:r>
      <w:r w:rsidR="00DA013A">
        <w:t>for the production of</w:t>
      </w:r>
      <w:r w:rsidR="00DA013A">
        <w:t xml:space="preserve"> additional news and/or informational programming</w:t>
      </w:r>
      <w:r w:rsidR="0019688F">
        <w:t xml:space="preserve"> by </w:t>
      </w:r>
      <w:r w:rsidR="00B52CBA">
        <w:t>the brokering station</w:t>
      </w:r>
      <w:r w:rsidR="00DA013A">
        <w:t xml:space="preserve">.  Note that the temporary waivers will be limited only to </w:t>
      </w:r>
      <w:r w:rsidR="005F5B23">
        <w:t xml:space="preserve">the </w:t>
      </w:r>
      <w:r w:rsidR="00DA013A">
        <w:t xml:space="preserve">time period during which COVID-19 remains a national </w:t>
      </w:r>
      <w:r w:rsidR="002C6BA9">
        <w:t>emergency</w:t>
      </w:r>
      <w:r w:rsidR="00DA013A">
        <w:t>.  Grants may be conditioned on compliance with the Local Television Ownership Rule once COVID-19 is no longer determined to be a national emergency.</w:t>
      </w:r>
      <w:r w:rsidR="005F5B23">
        <w:t xml:space="preserve">  Failure to abide by any conditions placed on grant of the waiver may subject </w:t>
      </w:r>
      <w:r w:rsidR="00F327B5">
        <w:t>a</w:t>
      </w:r>
      <w:r w:rsidR="005F5B23">
        <w:t xml:space="preserve"> licensee to enforcement action.</w:t>
      </w:r>
    </w:p>
    <w:p w:rsidR="00F028BA" w:rsidP="00436D72" w14:paraId="67F1721E" w14:textId="54CD13A8">
      <w:pPr>
        <w:spacing w:after="120"/>
        <w:ind w:firstLine="720"/>
      </w:pPr>
      <w:r>
        <w:t xml:space="preserve">The Commission recognizes that </w:t>
      </w:r>
      <w:r>
        <w:rPr>
          <w:szCs w:val="22"/>
        </w:rPr>
        <w:t xml:space="preserve">broadcasters play an </w:t>
      </w:r>
      <w:r w:rsidR="00A92783">
        <w:rPr>
          <w:szCs w:val="22"/>
        </w:rPr>
        <w:t xml:space="preserve">essential </w:t>
      </w:r>
      <w:r>
        <w:rPr>
          <w:szCs w:val="22"/>
        </w:rPr>
        <w:t xml:space="preserve">role in helping Americans stay safe and informed during the </w:t>
      </w:r>
      <w:r w:rsidR="004E2655">
        <w:rPr>
          <w:szCs w:val="22"/>
        </w:rPr>
        <w:t>COVID-19</w:t>
      </w:r>
      <w:r>
        <w:rPr>
          <w:szCs w:val="22"/>
        </w:rPr>
        <w:t xml:space="preserve"> outbreak</w:t>
      </w:r>
      <w:r>
        <w:t>.</w:t>
      </w:r>
      <w:r>
        <w:t xml:space="preserve">  The Commission will continue to work with broadcasters to </w:t>
      </w:r>
      <w:r>
        <w:rPr>
          <w:szCs w:val="22"/>
        </w:rPr>
        <w:t>help them address operational challenges during th</w:t>
      </w:r>
      <w:r w:rsidR="004E2655">
        <w:rPr>
          <w:szCs w:val="22"/>
        </w:rPr>
        <w:t>is difficult time</w:t>
      </w:r>
      <w:r>
        <w:rPr>
          <w:szCs w:val="22"/>
        </w:rPr>
        <w:t>.</w:t>
      </w:r>
      <w:r>
        <w:t xml:space="preserve">  </w:t>
      </w:r>
    </w:p>
    <w:p w:rsidR="008E39B6" w:rsidRPr="00F028BA" w:rsidP="00F028BA" w14:paraId="4D18F333" w14:textId="2881B208">
      <w:pPr>
        <w:ind w:firstLine="720"/>
      </w:pPr>
      <w:r>
        <w:rPr>
          <w:szCs w:val="22"/>
        </w:rPr>
        <w:t>For additional information or q</w:t>
      </w:r>
      <w:r w:rsidRPr="009614B0">
        <w:rPr>
          <w:szCs w:val="22"/>
        </w:rPr>
        <w:t>uestions</w:t>
      </w:r>
      <w:r>
        <w:rPr>
          <w:szCs w:val="22"/>
        </w:rPr>
        <w:t xml:space="preserve">, please contact </w:t>
      </w:r>
      <w:r w:rsidR="005F5B23">
        <w:rPr>
          <w:szCs w:val="22"/>
        </w:rPr>
        <w:t>David Brown</w:t>
      </w:r>
      <w:r w:rsidR="00416E3B">
        <w:rPr>
          <w:szCs w:val="22"/>
        </w:rPr>
        <w:t xml:space="preserve">, </w:t>
      </w:r>
      <w:hyperlink r:id="rId5" w:history="1">
        <w:r w:rsidRPr="00C141F7" w:rsidR="005F5B23">
          <w:rPr>
            <w:rStyle w:val="Hyperlink"/>
            <w:szCs w:val="22"/>
          </w:rPr>
          <w:t>David.Brown@fcc.gov</w:t>
        </w:r>
      </w:hyperlink>
      <w:r w:rsidR="00416E3B">
        <w:rPr>
          <w:szCs w:val="22"/>
        </w:rPr>
        <w:t xml:space="preserve"> </w:t>
      </w:r>
      <w:r w:rsidR="005F5B23">
        <w:rPr>
          <w:szCs w:val="22"/>
        </w:rPr>
        <w:t>at</w:t>
      </w:r>
      <w:r w:rsidR="00416E3B">
        <w:rPr>
          <w:szCs w:val="22"/>
        </w:rPr>
        <w:t xml:space="preserve"> (202) 418-</w:t>
      </w:r>
      <w:r w:rsidR="005F5B23">
        <w:rPr>
          <w:szCs w:val="22"/>
        </w:rPr>
        <w:t>1645</w:t>
      </w:r>
      <w:r>
        <w:rPr>
          <w:szCs w:val="22"/>
        </w:rPr>
        <w:t xml:space="preserve">.  </w:t>
      </w:r>
      <w:r w:rsidRPr="009614B0">
        <w:rPr>
          <w:szCs w:val="22"/>
        </w:rPr>
        <w:t xml:space="preserve">Press </w:t>
      </w:r>
      <w:r w:rsidR="00073047">
        <w:rPr>
          <w:szCs w:val="22"/>
        </w:rPr>
        <w:t>inquiries should be directed to</w:t>
      </w:r>
      <w:r>
        <w:rPr>
          <w:szCs w:val="22"/>
        </w:rPr>
        <w:t xml:space="preserve"> Janice Wise, </w:t>
      </w:r>
      <w:hyperlink r:id="rId7" w:history="1">
        <w:r w:rsidRPr="00376273">
          <w:rPr>
            <w:rStyle w:val="Hyperlink"/>
            <w:szCs w:val="22"/>
          </w:rPr>
          <w:t>Janice.Wise@fcc.gov</w:t>
        </w:r>
      </w:hyperlink>
      <w:r>
        <w:rPr>
          <w:szCs w:val="22"/>
        </w:rPr>
        <w:t xml:space="preserve"> or (202) 418-</w:t>
      </w:r>
      <w:r w:rsidR="004E2655">
        <w:rPr>
          <w:szCs w:val="22"/>
        </w:rPr>
        <w:t>8165</w:t>
      </w:r>
      <w:r>
        <w:rPr>
          <w:szCs w:val="22"/>
        </w:rPr>
        <w:t>.</w:t>
      </w:r>
    </w:p>
    <w:p w:rsidR="008E39B6" w:rsidP="008E39B6" w14:paraId="5136BB1A" w14:textId="77777777">
      <w:pPr>
        <w:spacing w:after="120"/>
        <w:ind w:firstLine="720"/>
        <w:rPr>
          <w:szCs w:val="22"/>
        </w:rPr>
      </w:pPr>
    </w:p>
    <w:p w:rsidR="008E39B6" w:rsidRPr="009614B0" w:rsidP="008E39B6" w14:paraId="3BB4AA8A" w14:textId="77777777">
      <w:pPr>
        <w:jc w:val="center"/>
        <w:rPr>
          <w:b/>
          <w:szCs w:val="22"/>
        </w:rPr>
      </w:pPr>
      <w:r w:rsidRPr="009614B0">
        <w:rPr>
          <w:b/>
          <w:szCs w:val="22"/>
        </w:rPr>
        <w:t xml:space="preserve">- FCC </w:t>
      </w:r>
      <w:r>
        <w:rPr>
          <w:b/>
          <w:szCs w:val="22"/>
        </w:rPr>
        <w:t>-</w:t>
      </w:r>
      <w:r w:rsidRPr="009614B0">
        <w:rPr>
          <w:b/>
          <w:szCs w:val="22"/>
        </w:rPr>
        <w:t xml:space="preserve"> </w:t>
      </w:r>
    </w:p>
    <w:p w:rsidR="008E39B6" w:rsidP="008E39B6" w14:paraId="1CFF3EA9" w14:textId="77777777"/>
    <w:p w:rsidR="00930ECF" w:rsidRPr="00930ECF" w:rsidP="00F96F63" w14:paraId="4F3C2201" w14:textId="77777777">
      <w:pPr>
        <w:rPr>
          <w:sz w:val="24"/>
        </w:rPr>
      </w:pPr>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477C318" w14:textId="77777777">
    <w:pPr>
      <w:pStyle w:val="Footer"/>
      <w:framePr w:wrap="around" w:vAnchor="text" w:hAnchor="margin" w:xAlign="center" w:y="1"/>
    </w:pPr>
  </w:p>
  <w:p w:rsidR="006F7393" w14:paraId="318477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ACB487" w14:textId="77777777">
    <w:pPr>
      <w:pStyle w:val="Footer"/>
      <w:jc w:val="center"/>
    </w:pPr>
    <w:r>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E68E8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4E7" w14:paraId="4CA46AB4" w14:textId="77777777">
      <w:r>
        <w:separator/>
      </w:r>
    </w:p>
  </w:footnote>
  <w:footnote w:type="continuationSeparator" w:id="1">
    <w:p w:rsidR="00A904E7" w14:paraId="09BC6D24" w14:textId="77777777">
      <w:pPr>
        <w:rPr>
          <w:sz w:val="20"/>
        </w:rPr>
      </w:pPr>
      <w:r>
        <w:rPr>
          <w:sz w:val="20"/>
        </w:rPr>
        <w:t xml:space="preserve">(Continued from previous page)  </w:t>
      </w:r>
      <w:r>
        <w:rPr>
          <w:sz w:val="20"/>
        </w:rPr>
        <w:separator/>
      </w:r>
    </w:p>
  </w:footnote>
  <w:footnote w:type="continuationNotice" w:id="2">
    <w:p w:rsidR="00A904E7" w:rsidP="00910F12" w14:paraId="34422B2C" w14:textId="77777777">
      <w:pPr>
        <w:jc w:val="right"/>
        <w:rPr>
          <w:sz w:val="20"/>
        </w:rPr>
      </w:pPr>
      <w:r>
        <w:rPr>
          <w:sz w:val="20"/>
        </w:rPr>
        <w:t>(continued….)</w:t>
      </w:r>
    </w:p>
  </w:footnote>
  <w:footnote w:id="3">
    <w:p w:rsidR="00BC5FAF" w:rsidRPr="004537BD" w:rsidP="00BC5FAF" w14:paraId="6034F2B7" w14:textId="0D783A66">
      <w:pPr>
        <w:pStyle w:val="psection-1"/>
        <w:shd w:val="clear" w:color="auto" w:fill="FFFFFF"/>
        <w:spacing w:before="150" w:beforeAutospacing="0" w:after="150" w:afterAutospacing="0"/>
        <w:rPr>
          <w:color w:val="333333"/>
          <w:sz w:val="22"/>
          <w:szCs w:val="22"/>
        </w:rPr>
      </w:pPr>
      <w:r>
        <w:rPr>
          <w:rStyle w:val="FootnoteReference"/>
        </w:rPr>
        <w:footnoteRef/>
      </w:r>
      <w:r>
        <w:t xml:space="preserve"> </w:t>
      </w:r>
      <w:r w:rsidRPr="0082694B">
        <w:rPr>
          <w:color w:val="333333"/>
          <w:sz w:val="20"/>
          <w:szCs w:val="20"/>
        </w:rPr>
        <w:t xml:space="preserve">Pursuant to </w:t>
      </w:r>
      <w:r>
        <w:rPr>
          <w:color w:val="333333"/>
          <w:sz w:val="20"/>
          <w:szCs w:val="20"/>
        </w:rPr>
        <w:t>s</w:t>
      </w:r>
      <w:r w:rsidRPr="0082694B">
        <w:rPr>
          <w:color w:val="333333"/>
          <w:sz w:val="20"/>
          <w:szCs w:val="20"/>
        </w:rPr>
        <w:t>ection 73.3555(b) of the Commission’s rules (Local Television Ownership Rule), an entity may directly or indirectly own, operate, or control two television stations licensed in the same Designated Market Area (DMA) (as determined by Nielsen Media Research or any successor entity) (a) if the digital noise limited service contours of the </w:t>
      </w:r>
      <w:hyperlink r:id="rId1" w:history="1">
        <w:r w:rsidRPr="0082694B">
          <w:rPr>
            <w:color w:val="333333"/>
            <w:sz w:val="20"/>
            <w:szCs w:val="20"/>
          </w:rPr>
          <w:t>stations</w:t>
        </w:r>
      </w:hyperlink>
      <w:r w:rsidRPr="0082694B">
        <w:rPr>
          <w:color w:val="333333"/>
          <w:sz w:val="20"/>
          <w:szCs w:val="20"/>
        </w:rPr>
        <w:t xml:space="preserve"> do </w:t>
      </w:r>
      <w:hyperlink r:id="rId2" w:history="1">
        <w:r w:rsidRPr="0082694B">
          <w:rPr>
            <w:color w:val="333333"/>
            <w:sz w:val="20"/>
            <w:szCs w:val="20"/>
          </w:rPr>
          <w:t>not</w:t>
        </w:r>
      </w:hyperlink>
      <w:r w:rsidRPr="0082694B">
        <w:rPr>
          <w:color w:val="333333"/>
          <w:sz w:val="20"/>
          <w:szCs w:val="20"/>
        </w:rPr>
        <w:t> overlap; or (b) at least one of the stations is </w:t>
      </w:r>
      <w:hyperlink r:id="rId2" w:history="1">
        <w:r w:rsidRPr="0082694B">
          <w:rPr>
            <w:color w:val="333333"/>
            <w:sz w:val="20"/>
            <w:szCs w:val="20"/>
          </w:rPr>
          <w:t>not</w:t>
        </w:r>
      </w:hyperlink>
      <w:r w:rsidRPr="0082694B">
        <w:rPr>
          <w:color w:val="333333"/>
          <w:sz w:val="20"/>
          <w:szCs w:val="20"/>
        </w:rPr>
        <w:t> ranked among the top four </w:t>
      </w:r>
      <w:hyperlink r:id="rId1" w:history="1">
        <w:r w:rsidRPr="0082694B">
          <w:rPr>
            <w:color w:val="333333"/>
            <w:sz w:val="20"/>
            <w:szCs w:val="20"/>
          </w:rPr>
          <w:t>stations</w:t>
        </w:r>
      </w:hyperlink>
      <w:r w:rsidRPr="0082694B">
        <w:rPr>
          <w:color w:val="333333"/>
          <w:sz w:val="20"/>
          <w:szCs w:val="20"/>
        </w:rPr>
        <w:t> in the DMA, based on the most recent all-day (9 a.m.-midnight) audience share; and at least 8 independently owned and operating, full-power commercial and noncommercial TV </w:t>
      </w:r>
      <w:hyperlink r:id="rId1" w:history="1">
        <w:r w:rsidRPr="0082694B">
          <w:rPr>
            <w:color w:val="333333"/>
            <w:sz w:val="20"/>
            <w:szCs w:val="20"/>
          </w:rPr>
          <w:t>stations</w:t>
        </w:r>
      </w:hyperlink>
      <w:r w:rsidRPr="0082694B">
        <w:rPr>
          <w:color w:val="333333"/>
          <w:sz w:val="20"/>
          <w:szCs w:val="20"/>
        </w:rPr>
        <w:t> would remain post-merger in the DMA in which the communities of license of the TV </w:t>
      </w:r>
      <w:hyperlink r:id="rId1" w:history="1">
        <w:r w:rsidRPr="0082694B">
          <w:rPr>
            <w:color w:val="333333"/>
            <w:sz w:val="20"/>
            <w:szCs w:val="20"/>
          </w:rPr>
          <w:t>stations</w:t>
        </w:r>
      </w:hyperlink>
      <w:r w:rsidRPr="0082694B">
        <w:rPr>
          <w:color w:val="333333"/>
          <w:sz w:val="20"/>
          <w:szCs w:val="20"/>
        </w:rPr>
        <w:t xml:space="preserve"> in question are located.  </w:t>
      </w:r>
      <w:r>
        <w:rPr>
          <w:color w:val="333333"/>
          <w:sz w:val="20"/>
          <w:szCs w:val="20"/>
        </w:rPr>
        <w:t xml:space="preserve">47 CFR § 73.3555(b).  </w:t>
      </w:r>
      <w:r w:rsidRPr="0082694B">
        <w:rPr>
          <w:color w:val="333333"/>
          <w:sz w:val="20"/>
          <w:szCs w:val="20"/>
        </w:rPr>
        <w:t xml:space="preserve">In determining whether the numerical ownership limits of the Local Television Ownership Rule apply, the Commission </w:t>
      </w:r>
      <w:r>
        <w:rPr>
          <w:color w:val="333333"/>
          <w:sz w:val="20"/>
          <w:szCs w:val="20"/>
        </w:rPr>
        <w:t>employs attribution</w:t>
      </w:r>
      <w:r w:rsidRPr="0082694B">
        <w:rPr>
          <w:color w:val="333333"/>
          <w:sz w:val="20"/>
          <w:szCs w:val="20"/>
        </w:rPr>
        <w:t xml:space="preserve"> standards set forth in Note 2 to </w:t>
      </w:r>
      <w:r w:rsidR="00141324">
        <w:rPr>
          <w:color w:val="333333"/>
          <w:sz w:val="20"/>
          <w:szCs w:val="20"/>
        </w:rPr>
        <w:t>s</w:t>
      </w:r>
      <w:r w:rsidRPr="0082694B">
        <w:rPr>
          <w:color w:val="333333"/>
          <w:sz w:val="20"/>
          <w:szCs w:val="20"/>
        </w:rPr>
        <w:t>ection 73.3555.  Specifically, Note 2(j)(2) states that “w</w:t>
      </w:r>
      <w:r w:rsidRPr="0082694B">
        <w:rPr>
          <w:color w:val="333333"/>
          <w:sz w:val="20"/>
          <w:szCs w:val="20"/>
          <w:shd w:val="clear" w:color="auto" w:fill="FFFFFF"/>
        </w:rPr>
        <w:t>here two television </w:t>
      </w:r>
      <w:hyperlink r:id="rId1" w:history="1">
        <w:r w:rsidRPr="0082694B">
          <w:rPr>
            <w:color w:val="333333"/>
            <w:sz w:val="20"/>
            <w:szCs w:val="20"/>
          </w:rPr>
          <w:t>stations</w:t>
        </w:r>
      </w:hyperlink>
      <w:r w:rsidRPr="0082694B">
        <w:rPr>
          <w:color w:val="333333"/>
          <w:sz w:val="20"/>
          <w:szCs w:val="20"/>
          <w:shd w:val="clear" w:color="auto" w:fill="FFFFFF"/>
        </w:rPr>
        <w:t> are both located in the same market and a </w:t>
      </w:r>
      <w:hyperlink r:id="rId3" w:history="1">
        <w:r w:rsidRPr="0082694B">
          <w:rPr>
            <w:color w:val="333333"/>
            <w:sz w:val="20"/>
            <w:szCs w:val="20"/>
          </w:rPr>
          <w:t>party</w:t>
        </w:r>
      </w:hyperlink>
      <w:r w:rsidRPr="0082694B">
        <w:rPr>
          <w:color w:val="333333"/>
          <w:sz w:val="20"/>
          <w:szCs w:val="20"/>
          <w:shd w:val="clear" w:color="auto" w:fill="FFFFFF"/>
        </w:rPr>
        <w:t xml:space="preserve"> with a cognizable interest in one such </w:t>
      </w:r>
      <w:hyperlink r:id="rId1" w:history="1">
        <w:r w:rsidRPr="0082694B">
          <w:rPr>
            <w:color w:val="333333"/>
            <w:sz w:val="20"/>
            <w:szCs w:val="20"/>
          </w:rPr>
          <w:t>s</w:t>
        </w:r>
        <w:r w:rsidRPr="0082694B">
          <w:rPr>
            <w:color w:val="333333"/>
            <w:sz w:val="20"/>
            <w:szCs w:val="20"/>
            <w:shd w:val="clear" w:color="auto" w:fill="FFFFFF"/>
          </w:rPr>
          <w:t>tati</w:t>
        </w:r>
        <w:r w:rsidRPr="0082694B">
          <w:rPr>
            <w:color w:val="333333"/>
            <w:sz w:val="20"/>
            <w:szCs w:val="20"/>
          </w:rPr>
          <w:t>on</w:t>
        </w:r>
      </w:hyperlink>
      <w:r w:rsidRPr="0082694B">
        <w:rPr>
          <w:color w:val="333333"/>
          <w:sz w:val="20"/>
          <w:szCs w:val="20"/>
          <w:shd w:val="clear" w:color="auto" w:fill="FFFFFF"/>
        </w:rPr>
        <w:t> brokers more than 15 percent of the broadcast time per week of the other such </w:t>
      </w:r>
      <w:hyperlink r:id="rId1" w:history="1">
        <w:r w:rsidRPr="0082694B">
          <w:rPr>
            <w:color w:val="333333"/>
            <w:sz w:val="20"/>
            <w:szCs w:val="20"/>
          </w:rPr>
          <w:t>station</w:t>
        </w:r>
      </w:hyperlink>
      <w:r w:rsidRPr="0082694B">
        <w:rPr>
          <w:color w:val="333333"/>
          <w:sz w:val="20"/>
          <w:szCs w:val="20"/>
          <w:shd w:val="clear" w:color="auto" w:fill="FFFFFF"/>
        </w:rPr>
        <w:t>,” the interest shall be treated as attributable to the broker for purposes of determining compliance with the Local Television Ownership Rule.</w:t>
      </w:r>
      <w:r>
        <w:rPr>
          <w:color w:val="333333"/>
          <w:sz w:val="20"/>
          <w:szCs w:val="20"/>
          <w:shd w:val="clear" w:color="auto" w:fill="FFFFFF"/>
        </w:rPr>
        <w:t xml:space="preserve">  47 CFR § 73.3555, Note 2(j)(2).</w:t>
      </w:r>
    </w:p>
  </w:footnote>
  <w:footnote w:id="4">
    <w:p w:rsidR="004537BD" w14:paraId="3C848C29" w14:textId="60B413B2">
      <w:pPr>
        <w:pStyle w:val="FootnoteText"/>
      </w:pPr>
      <w:r>
        <w:rPr>
          <w:rStyle w:val="FootnoteReference"/>
        </w:rPr>
        <w:footnoteRef/>
      </w:r>
      <w:r>
        <w:t xml:space="preserve"> 47 </w:t>
      </w:r>
      <w:r w:rsidR="005A2E94">
        <w:t>CFR § 1.3 (“</w:t>
      </w:r>
      <w:r w:rsidRPr="005A2E94" w:rsidR="005A2E94">
        <w:t xml:space="preserve">Any provision </w:t>
      </w:r>
      <w:r w:rsidR="00DA013A">
        <w:t>o</w:t>
      </w:r>
      <w:r w:rsidRPr="005A2E94" w:rsidR="005A2E94">
        <w:t>f the rules may be waived by the </w:t>
      </w:r>
      <w:hyperlink r:id="rId4" w:history="1">
        <w:r w:rsidRPr="005A2E94" w:rsidR="005A2E94">
          <w:t>Commission</w:t>
        </w:r>
      </w:hyperlink>
      <w:r w:rsidRPr="005A2E94" w:rsidR="005A2E94">
        <w:t> on its own motion or on petition if good cause therefor is shown.”).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060" w14:paraId="1446FB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139" w:rsidRPr="009838BC" w:rsidP="00EE5139" w14:paraId="7B08EBC7" w14:textId="4F405F1D">
    <w:pPr>
      <w:tabs>
        <w:tab w:val="center" w:pos="4680"/>
        <w:tab w:val="right" w:pos="9360"/>
      </w:tabs>
    </w:pPr>
    <w:r w:rsidRPr="009838BC">
      <w:rPr>
        <w:b/>
      </w:rPr>
      <w:tab/>
      <w:t>Federal Communications Commission</w:t>
    </w:r>
    <w:r w:rsidRPr="009838BC">
      <w:rPr>
        <w:b/>
      </w:rPr>
      <w:tab/>
    </w:r>
    <w:r>
      <w:rPr>
        <w:b/>
      </w:rPr>
      <w:t xml:space="preserve">DA </w:t>
    </w:r>
    <w:r>
      <w:rPr>
        <w:b/>
      </w:rPr>
      <w:t>20-</w:t>
    </w:r>
    <w:r w:rsidR="00BE7060">
      <w:rPr>
        <w:b/>
      </w:rPr>
      <w:t>336</w:t>
    </w:r>
    <w:bookmarkStart w:id="0" w:name="_GoBack"/>
    <w:bookmarkEnd w:id="0"/>
  </w:p>
  <w:p w:rsidR="00EE5139" w:rsidRPr="009838BC" w:rsidP="00EE5139" w14:paraId="204A279B" w14:textId="2247FAA3">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FF9617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6442ED4" w14:textId="1A59F53B">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7C24A1B" w14:textId="77777777">
                    <w:pPr>
                      <w:rPr>
                        <w:rFonts w:ascii="Arial" w:hAnsi="Arial"/>
                        <w:b/>
                      </w:rPr>
                    </w:pPr>
                    <w:r>
                      <w:rPr>
                        <w:rFonts w:ascii="Arial" w:hAnsi="Arial"/>
                        <w:b/>
                      </w:rPr>
                      <w:t>Federal Communications Commission</w:t>
                    </w:r>
                  </w:p>
                  <w:p w:rsidR="009838BC" w:rsidP="009838BC" w14:paraId="53A1D09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1CB0D9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166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0C56556" w14:textId="713ADB0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A9B19F9" w14:textId="77777777">
                    <w:pPr>
                      <w:spacing w:before="40"/>
                      <w:jc w:val="right"/>
                      <w:rPr>
                        <w:rFonts w:ascii="Arial" w:hAnsi="Arial"/>
                        <w:b/>
                        <w:sz w:val="16"/>
                      </w:rPr>
                    </w:pPr>
                    <w:r>
                      <w:rPr>
                        <w:rFonts w:ascii="Arial" w:hAnsi="Arial"/>
                        <w:b/>
                        <w:sz w:val="16"/>
                      </w:rPr>
                      <w:t>News Media Information 202 / 418-0500</w:t>
                    </w:r>
                  </w:p>
                  <w:p w:rsidR="009838BC" w:rsidP="009838BC" w14:paraId="6B404B22"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paraId="1C8F43DA" w14:textId="77777777">
                    <w:pPr>
                      <w:jc w:val="right"/>
                    </w:pPr>
                    <w:r>
                      <w:rPr>
                        <w:rFonts w:ascii="Arial" w:hAnsi="Arial"/>
                        <w:b/>
                        <w:sz w:val="16"/>
                      </w:rPr>
                      <w:t>TTY: 1-888-835-5322</w:t>
                    </w:r>
                  </w:p>
                </w:txbxContent>
              </v:textbox>
            </v:shape>
          </w:pict>
        </mc:Fallback>
      </mc:AlternateContent>
    </w:r>
  </w:p>
  <w:p w:rsidR="006F7393" w:rsidRPr="009838BC" w:rsidP="009838BC" w14:paraId="0FCD8AC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66"/>
    <w:rsid w:val="000072CE"/>
    <w:rsid w:val="0001029F"/>
    <w:rsid w:val="00013A8B"/>
    <w:rsid w:val="00021445"/>
    <w:rsid w:val="00036039"/>
    <w:rsid w:val="00037F90"/>
    <w:rsid w:val="00073047"/>
    <w:rsid w:val="000875BF"/>
    <w:rsid w:val="00096D8C"/>
    <w:rsid w:val="000C0B65"/>
    <w:rsid w:val="000E3D42"/>
    <w:rsid w:val="000E5884"/>
    <w:rsid w:val="00122BD5"/>
    <w:rsid w:val="00141324"/>
    <w:rsid w:val="0019688F"/>
    <w:rsid w:val="001979D9"/>
    <w:rsid w:val="001D6BCF"/>
    <w:rsid w:val="001E01CA"/>
    <w:rsid w:val="002060D9"/>
    <w:rsid w:val="00214DA8"/>
    <w:rsid w:val="00226822"/>
    <w:rsid w:val="00260594"/>
    <w:rsid w:val="00285017"/>
    <w:rsid w:val="00293ECB"/>
    <w:rsid w:val="002A2D2E"/>
    <w:rsid w:val="002C6BA9"/>
    <w:rsid w:val="00343749"/>
    <w:rsid w:val="00357D50"/>
    <w:rsid w:val="00376273"/>
    <w:rsid w:val="003925DC"/>
    <w:rsid w:val="003B0550"/>
    <w:rsid w:val="003B694F"/>
    <w:rsid w:val="003C74F0"/>
    <w:rsid w:val="003F171C"/>
    <w:rsid w:val="00407755"/>
    <w:rsid w:val="00412FC5"/>
    <w:rsid w:val="00416E3B"/>
    <w:rsid w:val="00422276"/>
    <w:rsid w:val="004242F1"/>
    <w:rsid w:val="00436D72"/>
    <w:rsid w:val="00445A00"/>
    <w:rsid w:val="00451B0F"/>
    <w:rsid w:val="004537BD"/>
    <w:rsid w:val="0046125F"/>
    <w:rsid w:val="00487524"/>
    <w:rsid w:val="00496106"/>
    <w:rsid w:val="004C12D0"/>
    <w:rsid w:val="004C2EE3"/>
    <w:rsid w:val="004E2655"/>
    <w:rsid w:val="004E4A22"/>
    <w:rsid w:val="00511968"/>
    <w:rsid w:val="00517189"/>
    <w:rsid w:val="0053431F"/>
    <w:rsid w:val="0055614C"/>
    <w:rsid w:val="005848E8"/>
    <w:rsid w:val="005A2E94"/>
    <w:rsid w:val="005F5B23"/>
    <w:rsid w:val="00607BA5"/>
    <w:rsid w:val="00626EB6"/>
    <w:rsid w:val="006353A3"/>
    <w:rsid w:val="00655D03"/>
    <w:rsid w:val="006659B4"/>
    <w:rsid w:val="00683F84"/>
    <w:rsid w:val="006A6A81"/>
    <w:rsid w:val="006E26AF"/>
    <w:rsid w:val="006F7393"/>
    <w:rsid w:val="0070224F"/>
    <w:rsid w:val="007115F7"/>
    <w:rsid w:val="00722168"/>
    <w:rsid w:val="007440DF"/>
    <w:rsid w:val="00785689"/>
    <w:rsid w:val="0079754B"/>
    <w:rsid w:val="007A1E6D"/>
    <w:rsid w:val="007B6DBC"/>
    <w:rsid w:val="00811484"/>
    <w:rsid w:val="00822CE0"/>
    <w:rsid w:val="0082694B"/>
    <w:rsid w:val="00837C62"/>
    <w:rsid w:val="00841AB1"/>
    <w:rsid w:val="0089557B"/>
    <w:rsid w:val="008C22FD"/>
    <w:rsid w:val="008E39B6"/>
    <w:rsid w:val="00910F12"/>
    <w:rsid w:val="00926503"/>
    <w:rsid w:val="00930ECF"/>
    <w:rsid w:val="009614B0"/>
    <w:rsid w:val="00963208"/>
    <w:rsid w:val="009838BC"/>
    <w:rsid w:val="009B7566"/>
    <w:rsid w:val="00A45F4F"/>
    <w:rsid w:val="00A600A9"/>
    <w:rsid w:val="00A866AC"/>
    <w:rsid w:val="00A904E7"/>
    <w:rsid w:val="00A92783"/>
    <w:rsid w:val="00AA1DFD"/>
    <w:rsid w:val="00AA55B7"/>
    <w:rsid w:val="00AA5B9E"/>
    <w:rsid w:val="00AB2407"/>
    <w:rsid w:val="00AB3424"/>
    <w:rsid w:val="00AB53DF"/>
    <w:rsid w:val="00AC3D71"/>
    <w:rsid w:val="00B04DB3"/>
    <w:rsid w:val="00B07E5C"/>
    <w:rsid w:val="00B20363"/>
    <w:rsid w:val="00B326E3"/>
    <w:rsid w:val="00B52CBA"/>
    <w:rsid w:val="00B811F7"/>
    <w:rsid w:val="00B86388"/>
    <w:rsid w:val="00BA5DC6"/>
    <w:rsid w:val="00BA6196"/>
    <w:rsid w:val="00BC24D7"/>
    <w:rsid w:val="00BC5FAF"/>
    <w:rsid w:val="00BC6D8C"/>
    <w:rsid w:val="00BE7060"/>
    <w:rsid w:val="00C141F7"/>
    <w:rsid w:val="00C16AF2"/>
    <w:rsid w:val="00C21725"/>
    <w:rsid w:val="00C31895"/>
    <w:rsid w:val="00C34006"/>
    <w:rsid w:val="00C426B1"/>
    <w:rsid w:val="00C52A44"/>
    <w:rsid w:val="00C82B6B"/>
    <w:rsid w:val="00C90D6A"/>
    <w:rsid w:val="00CC72B6"/>
    <w:rsid w:val="00CD503F"/>
    <w:rsid w:val="00CE5E39"/>
    <w:rsid w:val="00D0218D"/>
    <w:rsid w:val="00D216CD"/>
    <w:rsid w:val="00D56C29"/>
    <w:rsid w:val="00DA013A"/>
    <w:rsid w:val="00DA2529"/>
    <w:rsid w:val="00DB130A"/>
    <w:rsid w:val="00DC10A1"/>
    <w:rsid w:val="00DC4707"/>
    <w:rsid w:val="00DC655F"/>
    <w:rsid w:val="00DC6E3E"/>
    <w:rsid w:val="00DD7EBD"/>
    <w:rsid w:val="00DF0558"/>
    <w:rsid w:val="00DF62B6"/>
    <w:rsid w:val="00E07225"/>
    <w:rsid w:val="00E155B7"/>
    <w:rsid w:val="00E529A2"/>
    <w:rsid w:val="00E52B8F"/>
    <w:rsid w:val="00E5409F"/>
    <w:rsid w:val="00EC0185"/>
    <w:rsid w:val="00EE5139"/>
    <w:rsid w:val="00EF0C4A"/>
    <w:rsid w:val="00F021FA"/>
    <w:rsid w:val="00F028BA"/>
    <w:rsid w:val="00F327B5"/>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C72C4F-D23B-42F2-9C6D-362B4D1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8E39B6"/>
    <w:rPr>
      <w:color w:val="605E5C"/>
      <w:shd w:val="clear" w:color="auto" w:fill="E1DFDD"/>
    </w:rPr>
  </w:style>
  <w:style w:type="character" w:styleId="CommentReference">
    <w:name w:val="annotation reference"/>
    <w:uiPriority w:val="99"/>
    <w:semiHidden/>
    <w:unhideWhenUsed/>
    <w:rsid w:val="0053431F"/>
    <w:rPr>
      <w:sz w:val="16"/>
      <w:szCs w:val="16"/>
    </w:rPr>
  </w:style>
  <w:style w:type="paragraph" w:styleId="CommentText">
    <w:name w:val="annotation text"/>
    <w:basedOn w:val="Normal"/>
    <w:link w:val="CommentTextChar"/>
    <w:uiPriority w:val="99"/>
    <w:semiHidden/>
    <w:unhideWhenUsed/>
    <w:rsid w:val="0053431F"/>
    <w:rPr>
      <w:sz w:val="20"/>
    </w:rPr>
  </w:style>
  <w:style w:type="character" w:customStyle="1" w:styleId="CommentTextChar">
    <w:name w:val="Comment Text Char"/>
    <w:link w:val="CommentText"/>
    <w:uiPriority w:val="99"/>
    <w:semiHidden/>
    <w:rsid w:val="0053431F"/>
    <w:rPr>
      <w:snapToGrid w:val="0"/>
      <w:kern w:val="28"/>
    </w:rPr>
  </w:style>
  <w:style w:type="paragraph" w:styleId="CommentSubject">
    <w:name w:val="annotation subject"/>
    <w:basedOn w:val="CommentText"/>
    <w:next w:val="CommentText"/>
    <w:link w:val="CommentSubjectChar"/>
    <w:uiPriority w:val="99"/>
    <w:semiHidden/>
    <w:unhideWhenUsed/>
    <w:rsid w:val="0053431F"/>
    <w:rPr>
      <w:b/>
      <w:bCs/>
    </w:rPr>
  </w:style>
  <w:style w:type="character" w:customStyle="1" w:styleId="CommentSubjectChar">
    <w:name w:val="Comment Subject Char"/>
    <w:link w:val="CommentSubject"/>
    <w:uiPriority w:val="99"/>
    <w:semiHidden/>
    <w:rsid w:val="0053431F"/>
    <w:rPr>
      <w:b/>
      <w:bCs/>
      <w:snapToGrid w:val="0"/>
      <w:kern w:val="28"/>
    </w:rPr>
  </w:style>
  <w:style w:type="paragraph" w:styleId="BalloonText">
    <w:name w:val="Balloon Text"/>
    <w:basedOn w:val="Normal"/>
    <w:link w:val="BalloonTextChar"/>
    <w:uiPriority w:val="99"/>
    <w:semiHidden/>
    <w:unhideWhenUsed/>
    <w:rsid w:val="0053431F"/>
    <w:rPr>
      <w:rFonts w:ascii="Segoe UI" w:hAnsi="Segoe UI" w:cs="Segoe UI"/>
      <w:sz w:val="18"/>
      <w:szCs w:val="18"/>
    </w:rPr>
  </w:style>
  <w:style w:type="character" w:customStyle="1" w:styleId="BalloonTextChar">
    <w:name w:val="Balloon Text Char"/>
    <w:link w:val="BalloonText"/>
    <w:uiPriority w:val="99"/>
    <w:semiHidden/>
    <w:rsid w:val="0053431F"/>
    <w:rPr>
      <w:rFonts w:ascii="Segoe UI" w:hAnsi="Segoe UI" w:cs="Segoe UI"/>
      <w:snapToGrid w:val="0"/>
      <w:kern w:val="28"/>
      <w:sz w:val="18"/>
      <w:szCs w:val="18"/>
    </w:rPr>
  </w:style>
  <w:style w:type="paragraph" w:customStyle="1" w:styleId="psection-1">
    <w:name w:val="psection-1"/>
    <w:basedOn w:val="Normal"/>
    <w:rsid w:val="00AB3424"/>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brown@fcc.gov" TargetMode="External" /><Relationship Id="rId6" Type="http://schemas.openxmlformats.org/officeDocument/2006/relationships/hyperlink" Target="mailto:barbara.kreisman@fcc.gov" TargetMode="External" /><Relationship Id="rId7" Type="http://schemas.openxmlformats.org/officeDocument/2006/relationships/hyperlink" Target="about:blank"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definitions/index.php?width=840&amp;height=800&amp;iframe=true&amp;def_id=26fa67e08a4fe2b7cddd3bb2b65d3575&amp;term_occur=999&amp;term_src=Title:47:Chapter:I:Subchapter:C:Part:73:Subpart:H:73.3555" TargetMode="External" /><Relationship Id="rId2" Type="http://schemas.openxmlformats.org/officeDocument/2006/relationships/hyperlink" Target="https://www.law.cornell.edu/definitions/index.php?width=840&amp;height=800&amp;iframe=true&amp;def_id=359cc5d4e4c72f1a25bf46784babda19&amp;term_occur=999&amp;term_src=Title:47:Chapter:I:Subchapter:C:Part:73:Subpart:H:73.3555" TargetMode="External" /><Relationship Id="rId3" Type="http://schemas.openxmlformats.org/officeDocument/2006/relationships/hyperlink" Target="https://www.law.cornell.edu/definitions/index.php?width=840&amp;height=800&amp;iframe=true&amp;def_id=0f94a10d69f9f4611b6c18840a1fe07a&amp;term_occur=999&amp;term_src=Title:47:Chapter:I:Subchapter:C:Part:73:Subpart:H:73.3555" TargetMode="External" /><Relationship Id="rId4" Type="http://schemas.openxmlformats.org/officeDocument/2006/relationships/hyperlink" Target="https://www.law.cornell.edu/definitions/index.php?width=840&amp;height=800&amp;iframe=true&amp;def_id=a6297a35c9ac3fd0044718728be4adbe&amp;term_occur=999&amp;term_src=Title:47:Chapter:I:Subchapter:A:Part:1:Subpart:A:Subjgrp:147:1.3"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