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027A9" w:rsidP="00AA2282" w14:paraId="1DECFE37" w14:textId="77777777">
      <w:pPr>
        <w:ind w:left="10200"/>
        <w:jc w:val="center"/>
        <w:rPr>
          <w:b/>
          <w:sz w:val="24"/>
        </w:rPr>
      </w:pPr>
    </w:p>
    <w:p w:rsidR="008345AB" w:rsidP="008345AB" w14:paraId="27E14B6D" w14:textId="68A50756">
      <w:pPr>
        <w:jc w:val="right"/>
        <w:rPr>
          <w:b/>
          <w:sz w:val="24"/>
        </w:rPr>
      </w:pPr>
      <w:r>
        <w:rPr>
          <w:b/>
          <w:sz w:val="24"/>
        </w:rPr>
        <w:t xml:space="preserve">DA </w:t>
      </w:r>
      <w:r w:rsidR="00FF63B2">
        <w:rPr>
          <w:b/>
          <w:sz w:val="24"/>
        </w:rPr>
        <w:t>20</w:t>
      </w:r>
      <w:r>
        <w:rPr>
          <w:b/>
          <w:sz w:val="24"/>
        </w:rPr>
        <w:t>-</w:t>
      </w:r>
      <w:r w:rsidR="008766D4">
        <w:rPr>
          <w:b/>
          <w:sz w:val="24"/>
        </w:rPr>
        <w:t>344</w:t>
      </w:r>
    </w:p>
    <w:p w:rsidR="008345AB" w:rsidP="008345AB" w14:paraId="09174BB6" w14:textId="545E5B78">
      <w:pPr>
        <w:spacing w:before="60"/>
        <w:jc w:val="right"/>
        <w:rPr>
          <w:b/>
          <w:sz w:val="24"/>
        </w:rPr>
      </w:pPr>
      <w:r>
        <w:rPr>
          <w:b/>
          <w:sz w:val="24"/>
        </w:rPr>
        <w:t xml:space="preserve">Released:  </w:t>
      </w:r>
      <w:r w:rsidR="00760448">
        <w:rPr>
          <w:b/>
          <w:sz w:val="24"/>
        </w:rPr>
        <w:t>March</w:t>
      </w:r>
      <w:r w:rsidR="00BC4BB7">
        <w:rPr>
          <w:b/>
          <w:sz w:val="24"/>
        </w:rPr>
        <w:t xml:space="preserve"> </w:t>
      </w:r>
      <w:r w:rsidR="003C3520">
        <w:rPr>
          <w:b/>
          <w:sz w:val="24"/>
        </w:rPr>
        <w:t>26</w:t>
      </w:r>
      <w:r w:rsidR="00BC4BB7">
        <w:rPr>
          <w:b/>
          <w:sz w:val="24"/>
        </w:rPr>
        <w:t>, 2020</w:t>
      </w:r>
    </w:p>
    <w:p w:rsidR="008345AB" w:rsidP="008345AB" w14:paraId="5DC03C4D" w14:textId="77777777">
      <w:pPr>
        <w:jc w:val="right"/>
        <w:rPr>
          <w:sz w:val="24"/>
        </w:rPr>
      </w:pPr>
    </w:p>
    <w:p w:rsidR="008345AB" w:rsidRPr="0089456E" w:rsidP="008345AB" w14:paraId="32D63A7D" w14:textId="590C99C2">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w:t>
      </w:r>
      <w:r w:rsidRPr="009A5004">
        <w:rPr>
          <w:rFonts w:ascii="Times New Roman Bold" w:hAnsi="Times New Roman Bold"/>
          <w:b/>
          <w:caps/>
          <w:sz w:val="24"/>
          <w:szCs w:val="22"/>
        </w:rPr>
        <w:t xml:space="preserve">Technology </w:t>
      </w:r>
      <w:r w:rsidR="00F356C9">
        <w:rPr>
          <w:rFonts w:ascii="Times New Roman Bold" w:hAnsi="Times New Roman Bold"/>
          <w:b/>
          <w:caps/>
          <w:sz w:val="24"/>
          <w:szCs w:val="22"/>
        </w:rPr>
        <w:t xml:space="preserve">announce the </w:t>
      </w:r>
      <w:r w:rsidR="007834DA">
        <w:rPr>
          <w:rFonts w:ascii="Times New Roman Bold" w:hAnsi="Times New Roman Bold"/>
          <w:b/>
          <w:caps/>
          <w:sz w:val="24"/>
          <w:szCs w:val="22"/>
        </w:rPr>
        <w:t xml:space="preserve">approval </w:t>
      </w:r>
      <w:r w:rsidR="00F95D5A">
        <w:rPr>
          <w:rFonts w:ascii="Times New Roman Bold" w:hAnsi="Times New Roman Bold"/>
          <w:b/>
          <w:caps/>
          <w:sz w:val="24"/>
          <w:szCs w:val="22"/>
        </w:rPr>
        <w:t xml:space="preserve">and registration </w:t>
      </w:r>
      <w:r w:rsidR="00F356C9">
        <w:rPr>
          <w:rFonts w:ascii="Times New Roman Bold" w:hAnsi="Times New Roman Bold"/>
          <w:b/>
          <w:caps/>
          <w:sz w:val="24"/>
          <w:szCs w:val="22"/>
        </w:rPr>
        <w:t>of</w:t>
      </w:r>
      <w:r w:rsidR="00AD7002">
        <w:rPr>
          <w:rFonts w:ascii="Times New Roman Bold" w:hAnsi="Times New Roman Bold"/>
          <w:b/>
          <w:caps/>
          <w:sz w:val="24"/>
          <w:szCs w:val="22"/>
        </w:rPr>
        <w:t xml:space="preserve"> </w:t>
      </w:r>
      <w:r w:rsidR="00066FC7">
        <w:rPr>
          <w:rFonts w:ascii="Times New Roman Bold" w:hAnsi="Times New Roman Bold"/>
          <w:b/>
          <w:caps/>
          <w:sz w:val="24"/>
          <w:szCs w:val="22"/>
        </w:rPr>
        <w:t xml:space="preserve">ADDITIONAL </w:t>
      </w:r>
      <w:r w:rsidR="00FE734A">
        <w:rPr>
          <w:rFonts w:ascii="Times New Roman Bold" w:hAnsi="Times New Roman Bold"/>
          <w:b/>
          <w:caps/>
          <w:sz w:val="24"/>
          <w:szCs w:val="22"/>
        </w:rPr>
        <w:t xml:space="preserve">Environmental sensing </w:t>
      </w:r>
      <w:r w:rsidR="00774B64">
        <w:rPr>
          <w:rFonts w:ascii="Times New Roman Bold" w:hAnsi="Times New Roman Bold"/>
          <w:b/>
          <w:caps/>
          <w:sz w:val="24"/>
          <w:szCs w:val="22"/>
        </w:rPr>
        <w:t>capability Sensor</w:t>
      </w:r>
      <w:r w:rsidR="00F95D5A">
        <w:rPr>
          <w:rFonts w:ascii="Times New Roman Bold" w:hAnsi="Times New Roman Bold"/>
          <w:b/>
          <w:caps/>
          <w:sz w:val="24"/>
          <w:szCs w:val="22"/>
        </w:rPr>
        <w:t>s</w:t>
      </w:r>
      <w:r w:rsidR="00774B64">
        <w:rPr>
          <w:rFonts w:ascii="Times New Roman Bold" w:hAnsi="Times New Roman Bold"/>
          <w:b/>
          <w:caps/>
          <w:sz w:val="24"/>
          <w:szCs w:val="22"/>
        </w:rPr>
        <w:t xml:space="preserve"> </w:t>
      </w:r>
      <w:r w:rsidR="00F95D5A">
        <w:rPr>
          <w:rFonts w:ascii="Times New Roman Bold" w:hAnsi="Times New Roman Bold"/>
          <w:b/>
          <w:caps/>
          <w:sz w:val="24"/>
          <w:szCs w:val="22"/>
        </w:rPr>
        <w:t>of ESC operator</w:t>
      </w:r>
      <w:r w:rsidR="00E65C41">
        <w:rPr>
          <w:rFonts w:ascii="Times New Roman Bold" w:hAnsi="Times New Roman Bold"/>
          <w:b/>
          <w:caps/>
          <w:sz w:val="24"/>
          <w:szCs w:val="22"/>
        </w:rPr>
        <w:t>S</w:t>
      </w:r>
      <w:r w:rsidR="00F95D5A">
        <w:rPr>
          <w:rFonts w:ascii="Times New Roman Bold" w:hAnsi="Times New Roman Bold"/>
          <w:b/>
          <w:caps/>
          <w:sz w:val="24"/>
          <w:szCs w:val="22"/>
        </w:rPr>
        <w:t xml:space="preserve"> </w:t>
      </w:r>
      <w:r w:rsidR="00C72894">
        <w:rPr>
          <w:rFonts w:ascii="Times New Roman Bold" w:hAnsi="Times New Roman Bold"/>
          <w:b/>
          <w:caps/>
          <w:sz w:val="24"/>
          <w:szCs w:val="22"/>
        </w:rPr>
        <w:t>for the 3.5 ghz band</w:t>
      </w:r>
    </w:p>
    <w:p w:rsidR="008345AB" w:rsidRPr="0089456E" w:rsidP="008345AB" w14:paraId="5F8EADC4" w14:textId="77777777">
      <w:pPr>
        <w:suppressAutoHyphens/>
        <w:jc w:val="center"/>
        <w:rPr>
          <w:sz w:val="24"/>
          <w:szCs w:val="22"/>
        </w:rPr>
      </w:pPr>
    </w:p>
    <w:p w:rsidR="008345AB" w:rsidRPr="0089456E" w:rsidP="008345AB" w14:paraId="7FAD28AB" w14:textId="77777777">
      <w:pPr>
        <w:jc w:val="center"/>
        <w:rPr>
          <w:b/>
          <w:sz w:val="24"/>
        </w:rPr>
      </w:pPr>
      <w:r>
        <w:rPr>
          <w:b/>
          <w:sz w:val="24"/>
        </w:rPr>
        <w:t>GN Docket No.</w:t>
      </w:r>
      <w:r w:rsidR="00632935">
        <w:rPr>
          <w:b/>
          <w:sz w:val="24"/>
        </w:rPr>
        <w:t xml:space="preserve"> </w:t>
      </w:r>
      <w:r w:rsidRPr="0089456E" w:rsidR="002E297F">
        <w:rPr>
          <w:b/>
          <w:sz w:val="24"/>
        </w:rPr>
        <w:t>15-319</w:t>
      </w:r>
    </w:p>
    <w:p w:rsidR="008345AB" w:rsidP="008345AB" w14:paraId="30FE1A9D" w14:textId="77777777">
      <w:pPr>
        <w:rPr>
          <w:sz w:val="24"/>
        </w:rPr>
      </w:pPr>
    </w:p>
    <w:p w:rsidR="002B3B16" w:rsidRPr="002B3B16" w:rsidP="005F30CA" w14:paraId="2748FFFB" w14:textId="6F759218">
      <w:pPr>
        <w:widowControl/>
        <w:spacing w:after="120"/>
        <w:ind w:firstLine="720"/>
      </w:pPr>
      <w:bookmarkStart w:id="0" w:name="_Hlk29380096"/>
      <w:r w:rsidRPr="002B3B16">
        <w:t xml:space="preserve">With this </w:t>
      </w:r>
      <w:r w:rsidRPr="002B3B16">
        <w:rPr>
          <w:i/>
        </w:rPr>
        <w:t>Public Notice</w:t>
      </w:r>
      <w:r w:rsidRPr="002B3B16">
        <w:t>, the Wireless Telecommunications Bureau (WTB) and the Office of Engineering and Technology (OET) (collectively, WTB/OET) of the Federal Communications Commission (Commission or FCC) approve the updated Environmental Sensing Capability (ESC) sensor deployment and coverage plans (ESC Sensor Registrations) of two ESC operators, CommScope</w:t>
      </w:r>
      <w:r>
        <w:rPr>
          <w:vertAlign w:val="superscript"/>
        </w:rPr>
        <w:footnoteReference w:id="3"/>
      </w:r>
      <w:r w:rsidRPr="002B3B16">
        <w:t xml:space="preserve"> and Google.</w:t>
      </w:r>
      <w:r>
        <w:rPr>
          <w:vertAlign w:val="superscript"/>
        </w:rPr>
        <w:footnoteReference w:id="4"/>
      </w:r>
      <w:r w:rsidRPr="002B3B16">
        <w:t xml:space="preserve">  WTB/OET, in close consultatio</w:t>
      </w:r>
      <w:bookmarkStart w:id="2" w:name="_GoBack"/>
      <w:bookmarkEnd w:id="2"/>
      <w:r w:rsidRPr="002B3B16">
        <w:t xml:space="preserve">n with the National Telecommunications and Information Administration (NTIA) and the Department of Defense (DoD), reviewed and approved the updated ESC </w:t>
      </w:r>
      <w:r w:rsidRPr="002B3B16">
        <w:t>Sensor Registrations, which sufficiently describe the proposed coverage for the dynamic protection areas (DPAs)</w:t>
      </w:r>
      <w:r w:rsidRPr="002B3B16">
        <w:rPr>
          <w:vertAlign w:val="superscript"/>
        </w:rPr>
        <w:t xml:space="preserve"> </w:t>
      </w:r>
      <w:r>
        <w:rPr>
          <w:vertAlign w:val="superscript"/>
        </w:rPr>
        <w:footnoteReference w:id="5"/>
      </w:r>
      <w:r w:rsidRPr="002B3B16">
        <w:t xml:space="preserve"> listed below.</w:t>
      </w:r>
    </w:p>
    <w:p w:rsidR="00313B0D" w:rsidP="002B680E" w14:paraId="51BECB0D" w14:textId="67C87CF2">
      <w:pPr>
        <w:spacing w:after="120"/>
        <w:ind w:firstLine="720"/>
      </w:pPr>
      <w:bookmarkStart w:id="3" w:name="_Hlk29380163"/>
      <w:bookmarkEnd w:id="0"/>
      <w:r w:rsidRPr="0035668A">
        <w:rPr>
          <w:szCs w:val="22"/>
        </w:rPr>
        <w:t>CommScope and Google are authorized to operate their ESC sensors consistent with the information—including sensor locations, configuration, and DPA coverage—submitted to, and approved by, WTB/OET.</w:t>
      </w:r>
      <w:r>
        <w:rPr>
          <w:szCs w:val="22"/>
          <w:vertAlign w:val="superscript"/>
        </w:rPr>
        <w:footnoteReference w:id="6"/>
      </w:r>
      <w:r w:rsidRPr="0035668A">
        <w:rPr>
          <w:szCs w:val="22"/>
        </w:rPr>
        <w:t xml:space="preserve">  In addition, each certified ESC must operate in conjunction with at least one Spectrum Access System (SAS) that has been approved for commercial deployment by the Commission.</w:t>
      </w:r>
      <w:r>
        <w:rPr>
          <w:szCs w:val="22"/>
          <w:vertAlign w:val="superscript"/>
        </w:rPr>
        <w:footnoteReference w:id="7"/>
      </w:r>
      <w:r w:rsidRPr="0035668A">
        <w:rPr>
          <w:szCs w:val="22"/>
        </w:rPr>
        <w:t xml:space="preserve">  Before providing commercial service for any given DPA, each ESC operator must file a notification in GN Docket No. 15-319</w:t>
      </w:r>
      <w:r w:rsidR="0008435B">
        <w:rPr>
          <w:szCs w:val="22"/>
        </w:rPr>
        <w:t>, which</w:t>
      </w:r>
      <w:r w:rsidRPr="0035668A">
        <w:rPr>
          <w:szCs w:val="22"/>
        </w:rPr>
        <w:t xml:space="preserve"> must affirm that the approved sensors covering the DPA are constructed and operational and must list the approved SASs with which the ESC is communicating.</w:t>
      </w:r>
      <w:bookmarkEnd w:id="3"/>
    </w:p>
    <w:p w:rsidR="000A04E2" w:rsidP="000A04E2" w14:paraId="5D82C014" w14:textId="27CA3BCC">
      <w:pPr>
        <w:spacing w:after="120"/>
        <w:ind w:firstLine="720"/>
      </w:pPr>
      <w:bookmarkStart w:id="5" w:name="_Hlk22638151"/>
      <w:r>
        <w:t xml:space="preserve">ESC Operator </w:t>
      </w:r>
      <w:r>
        <w:rPr>
          <w:szCs w:val="22"/>
        </w:rPr>
        <w:t>CommScope</w:t>
      </w:r>
      <w:r>
        <w:rPr>
          <w:rStyle w:val="FootnoteReference"/>
          <w:szCs w:val="22"/>
        </w:rPr>
        <w:footnoteReference w:id="8"/>
      </w:r>
      <w:r>
        <w:rPr>
          <w:b/>
        </w:rPr>
        <w:t xml:space="preserve"> </w:t>
      </w:r>
      <w:r>
        <w:t>has satisfied the sensor coverage requirements for the following DPAs:</w:t>
      </w:r>
    </w:p>
    <w:p w:rsidR="00914A4A" w:rsidP="004842D1" w14:paraId="1B63059A" w14:textId="2BA44A4F">
      <w:pPr>
        <w:numPr>
          <w:ilvl w:val="0"/>
          <w:numId w:val="28"/>
        </w:numPr>
        <w:spacing w:after="120"/>
      </w:pPr>
      <w:r>
        <w:t>East DPA</w:t>
      </w:r>
      <w:r w:rsidR="00E51C82">
        <w:t>s</w:t>
      </w:r>
      <w:r>
        <w:t xml:space="preserve"> 3</w:t>
      </w:r>
      <w:r w:rsidR="00E51C82">
        <w:t xml:space="preserve">, </w:t>
      </w:r>
      <w:r w:rsidRPr="00E51C82" w:rsidR="00E51C82">
        <w:t>15 through 18</w:t>
      </w:r>
      <w:r w:rsidR="00E51C82">
        <w:t>, and 21</w:t>
      </w:r>
      <w:r>
        <w:t>;</w:t>
      </w:r>
    </w:p>
    <w:p w:rsidR="00FE32CC" w:rsidP="004842D1" w14:paraId="313B3FA3" w14:textId="4BBF2AEE">
      <w:pPr>
        <w:numPr>
          <w:ilvl w:val="0"/>
          <w:numId w:val="28"/>
        </w:numPr>
        <w:spacing w:after="120"/>
      </w:pPr>
      <w:r>
        <w:t>West</w:t>
      </w:r>
      <w:r w:rsidR="006C1C60">
        <w:t xml:space="preserve"> DPAs </w:t>
      </w:r>
      <w:r>
        <w:t>1</w:t>
      </w:r>
      <w:r w:rsidR="00AE2CED">
        <w:t xml:space="preserve"> through </w:t>
      </w:r>
      <w:r w:rsidR="008B2C2F">
        <w:t>14</w:t>
      </w:r>
      <w:r w:rsidR="000F4086">
        <w:t>;</w:t>
      </w:r>
    </w:p>
    <w:p w:rsidR="009272F7" w:rsidP="004842D1" w14:paraId="7FDED608" w14:textId="31FFB31D">
      <w:pPr>
        <w:numPr>
          <w:ilvl w:val="0"/>
          <w:numId w:val="28"/>
        </w:numPr>
        <w:spacing w:after="120"/>
      </w:pPr>
      <w:r>
        <w:t>Alameda;</w:t>
      </w:r>
    </w:p>
    <w:p w:rsidR="009272F7" w:rsidP="004842D1" w14:paraId="39873302" w14:textId="219CE468">
      <w:pPr>
        <w:numPr>
          <w:ilvl w:val="0"/>
          <w:numId w:val="28"/>
        </w:numPr>
        <w:spacing w:after="120"/>
      </w:pPr>
      <w:r>
        <w:t>Long Beach;</w:t>
      </w:r>
    </w:p>
    <w:p w:rsidR="009272F7" w:rsidP="004842D1" w14:paraId="1AF32D5F" w14:textId="74FDE2D1">
      <w:pPr>
        <w:numPr>
          <w:ilvl w:val="0"/>
          <w:numId w:val="28"/>
        </w:numPr>
        <w:spacing w:after="120"/>
      </w:pPr>
      <w:r>
        <w:t>San Diego Port;</w:t>
      </w:r>
    </w:p>
    <w:p w:rsidR="008C494F" w:rsidP="004842D1" w14:paraId="2D5AB500" w14:textId="4AF363BC">
      <w:pPr>
        <w:numPr>
          <w:ilvl w:val="0"/>
          <w:numId w:val="28"/>
        </w:numPr>
        <w:spacing w:after="120"/>
      </w:pPr>
      <w:r>
        <w:t>Pensacola</w:t>
      </w:r>
      <w:r w:rsidR="000F4086">
        <w:t xml:space="preserve">; </w:t>
      </w:r>
    </w:p>
    <w:p w:rsidR="00CB77E0" w:rsidP="009272F7" w14:paraId="24FE7B1B" w14:textId="77777777">
      <w:pPr>
        <w:numPr>
          <w:ilvl w:val="0"/>
          <w:numId w:val="28"/>
        </w:numPr>
        <w:spacing w:after="120"/>
      </w:pPr>
      <w:r>
        <w:t>Webster Field</w:t>
      </w:r>
      <w:r w:rsidR="009272F7">
        <w:t xml:space="preserve">; and </w:t>
      </w:r>
    </w:p>
    <w:p w:rsidR="00F5160D" w:rsidP="009272F7" w14:paraId="1464BF14" w14:textId="438D4969">
      <w:pPr>
        <w:numPr>
          <w:ilvl w:val="0"/>
          <w:numId w:val="28"/>
        </w:numPr>
        <w:spacing w:after="120"/>
      </w:pPr>
      <w:r w:rsidRPr="009272F7">
        <w:t>Bremerton Everett</w:t>
      </w:r>
      <w:r w:rsidR="00846288">
        <w:t>.</w:t>
      </w:r>
      <w:r>
        <w:rPr>
          <w:rStyle w:val="FootnoteReference"/>
        </w:rPr>
        <w:footnoteReference w:id="9"/>
      </w:r>
    </w:p>
    <w:bookmarkEnd w:id="5"/>
    <w:p w:rsidR="00407E72" w:rsidP="00407E72" w14:paraId="67684175" w14:textId="544D5363">
      <w:pPr>
        <w:spacing w:after="120"/>
      </w:pPr>
      <w:r>
        <w:t xml:space="preserve">ESC Operator </w:t>
      </w:r>
      <w:r>
        <w:rPr>
          <w:szCs w:val="22"/>
        </w:rPr>
        <w:t>Google</w:t>
      </w:r>
      <w:r>
        <w:rPr>
          <w:b/>
        </w:rPr>
        <w:t xml:space="preserve"> </w:t>
      </w:r>
      <w:r>
        <w:t>has satisfied the sensor coverage requirements for the following DPAs:</w:t>
      </w:r>
    </w:p>
    <w:p w:rsidR="00CB77E0" w:rsidP="00CB77E0" w14:paraId="5F6EBDCE" w14:textId="77777777">
      <w:pPr>
        <w:numPr>
          <w:ilvl w:val="0"/>
          <w:numId w:val="31"/>
        </w:numPr>
        <w:spacing w:after="120"/>
      </w:pPr>
      <w:r>
        <w:t xml:space="preserve">East DPAs 3, </w:t>
      </w:r>
      <w:r w:rsidRPr="00E51C82">
        <w:t>15 through 18</w:t>
      </w:r>
      <w:r>
        <w:t>, and 21;</w:t>
      </w:r>
    </w:p>
    <w:p w:rsidR="00CB77E0" w:rsidP="00CB77E0" w14:paraId="36745F34" w14:textId="77777777">
      <w:pPr>
        <w:numPr>
          <w:ilvl w:val="0"/>
          <w:numId w:val="31"/>
        </w:numPr>
        <w:spacing w:after="120"/>
      </w:pPr>
      <w:r>
        <w:t>West DPAs 1 through 14;</w:t>
      </w:r>
    </w:p>
    <w:p w:rsidR="00CB77E0" w:rsidP="00CB77E0" w14:paraId="29751FCA" w14:textId="77777777">
      <w:pPr>
        <w:numPr>
          <w:ilvl w:val="0"/>
          <w:numId w:val="31"/>
        </w:numPr>
        <w:spacing w:after="120"/>
      </w:pPr>
      <w:r>
        <w:t>Alameda;</w:t>
      </w:r>
    </w:p>
    <w:p w:rsidR="00CB77E0" w:rsidP="00CB77E0" w14:paraId="0D515051" w14:textId="77777777">
      <w:pPr>
        <w:numPr>
          <w:ilvl w:val="0"/>
          <w:numId w:val="31"/>
        </w:numPr>
        <w:spacing w:after="120"/>
      </w:pPr>
      <w:r>
        <w:t>Long Beach;</w:t>
      </w:r>
    </w:p>
    <w:p w:rsidR="00CB77E0" w:rsidP="00CB77E0" w14:paraId="0382F54B" w14:textId="77777777">
      <w:pPr>
        <w:numPr>
          <w:ilvl w:val="0"/>
          <w:numId w:val="31"/>
        </w:numPr>
        <w:spacing w:after="120"/>
      </w:pPr>
      <w:r>
        <w:t>San Diego Port;</w:t>
      </w:r>
    </w:p>
    <w:p w:rsidR="00CB77E0" w:rsidP="00CB77E0" w14:paraId="5208E4C2" w14:textId="77777777">
      <w:pPr>
        <w:numPr>
          <w:ilvl w:val="0"/>
          <w:numId w:val="31"/>
        </w:numPr>
        <w:spacing w:after="120"/>
      </w:pPr>
      <w:r>
        <w:t xml:space="preserve">Pensacola; </w:t>
      </w:r>
    </w:p>
    <w:p w:rsidR="00CB77E0" w:rsidP="00CB77E0" w14:paraId="3A3CCE41" w14:textId="77777777">
      <w:pPr>
        <w:numPr>
          <w:ilvl w:val="0"/>
          <w:numId w:val="31"/>
        </w:numPr>
        <w:spacing w:after="120"/>
      </w:pPr>
      <w:r>
        <w:t xml:space="preserve">Webster Field; and </w:t>
      </w:r>
    </w:p>
    <w:p w:rsidR="009C7A0B" w:rsidRPr="007E5F7A" w:rsidP="00CB77E0" w14:paraId="5A11EF4E" w14:textId="02DBC125">
      <w:pPr>
        <w:numPr>
          <w:ilvl w:val="0"/>
          <w:numId w:val="31"/>
        </w:numPr>
        <w:spacing w:after="120"/>
      </w:pPr>
      <w:r w:rsidRPr="009272F7">
        <w:t>Bremerton Everett</w:t>
      </w:r>
      <w:r w:rsidR="00846288">
        <w:t>.</w:t>
      </w:r>
      <w:r>
        <w:rPr>
          <w:vertAlign w:val="superscript"/>
        </w:rPr>
        <w:footnoteReference w:id="10"/>
      </w:r>
    </w:p>
    <w:p w:rsidR="002D4215" w:rsidP="002D4215" w14:paraId="5FEFCF4E" w14:textId="3C570209">
      <w:pPr>
        <w:keepNext/>
        <w:spacing w:after="120"/>
        <w:ind w:firstLine="720"/>
      </w:pPr>
      <w:r w:rsidRPr="00D31127">
        <w:rPr>
          <w:szCs w:val="22"/>
        </w:rPr>
        <w:t xml:space="preserve">Parties are permitted to update their ESC Sensor Registrations at any time in accordance with the process established in the </w:t>
      </w:r>
      <w:r w:rsidRPr="00D31127">
        <w:rPr>
          <w:i/>
          <w:szCs w:val="22"/>
        </w:rPr>
        <w:t>ESC Sensor Registration Public Notice</w:t>
      </w:r>
      <w:r w:rsidRPr="00D31127">
        <w:rPr>
          <w:szCs w:val="22"/>
        </w:rPr>
        <w:t xml:space="preserve">, and they must provide updates on an ongoing basis if any changes are made to the parameters of their approved ESC sensor deployments.  WTB/OET will continue to approve ESC Sensor Registrations on a rolling basis as described in the </w:t>
      </w:r>
      <w:r w:rsidRPr="00D31127">
        <w:rPr>
          <w:i/>
          <w:szCs w:val="22"/>
        </w:rPr>
        <w:t>ESC Sensor Registration Public Notice</w:t>
      </w:r>
      <w:r w:rsidRPr="00D31127">
        <w:rPr>
          <w:szCs w:val="22"/>
        </w:rPr>
        <w:t>.</w:t>
      </w:r>
      <w:r>
        <w:rPr>
          <w:szCs w:val="22"/>
          <w:vertAlign w:val="superscript"/>
        </w:rPr>
        <w:footnoteReference w:id="11"/>
      </w:r>
      <w:r w:rsidRPr="00D31127">
        <w:rPr>
          <w:szCs w:val="22"/>
        </w:rPr>
        <w:t xml:space="preserve">  We remind ESC Operators that, going forward, they must file ESC Sensor Registrations and any supplements with the Commission using the Commission’s Electronic Comment Filing System.</w:t>
      </w:r>
      <w:r>
        <w:rPr>
          <w:szCs w:val="22"/>
          <w:vertAlign w:val="superscript"/>
        </w:rPr>
        <w:footnoteReference w:id="12"/>
      </w:r>
      <w:r w:rsidRPr="00D31127">
        <w:rPr>
          <w:szCs w:val="22"/>
        </w:rPr>
        <w:t xml:space="preserve"> </w:t>
      </w:r>
      <w:r w:rsidRPr="00D31127">
        <w:rPr>
          <w:i/>
          <w:szCs w:val="22"/>
        </w:rPr>
        <w:t xml:space="preserve"> See Electronic Filing of Documents in Rulemaking Proceedings</w:t>
      </w:r>
      <w:r w:rsidRPr="00D31127">
        <w:rPr>
          <w:szCs w:val="22"/>
        </w:rPr>
        <w:t>, 63 FR 24121 (1998).  ESC Operators may request confidential treatment of information contained in their filings consistent with Section 0.459 of the Commission’s rules.</w:t>
      </w:r>
      <w:r>
        <w:rPr>
          <w:szCs w:val="22"/>
          <w:vertAlign w:val="superscript"/>
        </w:rPr>
        <w:footnoteReference w:id="13"/>
      </w:r>
      <w:r w:rsidRPr="00D31127">
        <w:rPr>
          <w:szCs w:val="22"/>
        </w:rPr>
        <w:t xml:space="preserve">  All such filings should refer to </w:t>
      </w:r>
      <w:r w:rsidRPr="00D31127">
        <w:rPr>
          <w:b/>
          <w:szCs w:val="22"/>
        </w:rPr>
        <w:t>GN Docket 15-319</w:t>
      </w:r>
      <w:r w:rsidRPr="00D31127">
        <w:rPr>
          <w:szCs w:val="22"/>
        </w:rPr>
        <w:t xml:space="preserve">.  These modified procedural requirements supersede those set forth in the </w:t>
      </w:r>
      <w:r w:rsidRPr="00D31127">
        <w:rPr>
          <w:i/>
          <w:szCs w:val="22"/>
        </w:rPr>
        <w:t>ESC Sensor Registration Public Notice</w:t>
      </w:r>
      <w:r w:rsidRPr="00D31127">
        <w:rPr>
          <w:szCs w:val="22"/>
        </w:rPr>
        <w:t>.</w:t>
      </w:r>
      <w:r>
        <w:rPr>
          <w:szCs w:val="22"/>
          <w:vertAlign w:val="superscript"/>
        </w:rPr>
        <w:footnoteReference w:id="14"/>
      </w:r>
      <w:r>
        <w:t xml:space="preserve"> </w:t>
      </w:r>
    </w:p>
    <w:p w:rsidR="002D4215" w:rsidP="002D4215" w14:paraId="0DF0D30F" w14:textId="486FD757">
      <w:pPr>
        <w:keepNext/>
        <w:spacing w:after="120"/>
        <w:ind w:firstLine="720"/>
      </w:pPr>
      <w:r>
        <w:t xml:space="preserve">By the Chief, Wireless Telecommunications Bureau, and the </w:t>
      </w:r>
      <w:r w:rsidR="003B6950">
        <w:t xml:space="preserve">Acting </w:t>
      </w:r>
      <w:r>
        <w:t xml:space="preserve">Chief, Office of Engineering and Technology.  </w:t>
      </w:r>
    </w:p>
    <w:p w:rsidR="00BD5B82" w:rsidRPr="002449B1" w:rsidP="00A42C47" w14:paraId="575AE39F" w14:textId="78B122D1">
      <w:pPr>
        <w:keepNext/>
        <w:spacing w:after="120"/>
        <w:jc w:val="center"/>
      </w:pPr>
      <w:r>
        <w:t>- FCC -</w:t>
      </w:r>
    </w:p>
    <w:sectPr w:rsidSect="000E5884">
      <w:headerReference w:type="default" r:id="rId5"/>
      <w:footerReference w:type="even" r:id="rId6"/>
      <w:footerReference w:type="default" r:id="rId7"/>
      <w:head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CA4CF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9C2D8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6F64" w:rsidP="0074675F" w14:paraId="558F663B" w14:textId="3BB12F8B">
    <w:pPr>
      <w:pStyle w:val="Footer"/>
      <w:tabs>
        <w:tab w:val="left" w:pos="180"/>
        <w:tab w:val="center" w:pos="4680"/>
      </w:tabs>
      <w:rPr>
        <w:noProof/>
      </w:rPr>
    </w:pPr>
    <w:r>
      <w:tab/>
    </w:r>
    <w:r>
      <w:tab/>
    </w:r>
    <w:r w:rsidR="002D44F6">
      <w:fldChar w:fldCharType="begin"/>
    </w:r>
    <w:r w:rsidR="002D44F6">
      <w:instrText xml:space="preserve"> PAGE   \* MERGEFORMAT </w:instrText>
    </w:r>
    <w:r w:rsidR="002D44F6">
      <w:fldChar w:fldCharType="separate"/>
    </w:r>
    <w:r w:rsidR="005B43C2">
      <w:rPr>
        <w:noProof/>
      </w:rPr>
      <w:t>3</w:t>
    </w:r>
    <w:r w:rsidR="002D44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579D" w14:paraId="796CDDB1" w14:textId="77777777">
      <w:r>
        <w:separator/>
      </w:r>
    </w:p>
  </w:footnote>
  <w:footnote w:type="continuationSeparator" w:id="1">
    <w:p w:rsidR="00D7579D" w14:paraId="6D6FEBB7" w14:textId="77777777">
      <w:pPr>
        <w:rPr>
          <w:sz w:val="20"/>
        </w:rPr>
      </w:pPr>
      <w:r>
        <w:rPr>
          <w:sz w:val="20"/>
        </w:rPr>
        <w:t xml:space="preserve">(Continued from previous page)  </w:t>
      </w:r>
      <w:r>
        <w:rPr>
          <w:sz w:val="20"/>
        </w:rPr>
        <w:separator/>
      </w:r>
    </w:p>
  </w:footnote>
  <w:footnote w:type="continuationNotice" w:id="2">
    <w:p w:rsidR="00D7579D" w:rsidP="00910F12" w14:paraId="56B09EC6" w14:textId="77777777">
      <w:pPr>
        <w:jc w:val="right"/>
        <w:rPr>
          <w:sz w:val="20"/>
        </w:rPr>
      </w:pPr>
      <w:r>
        <w:rPr>
          <w:sz w:val="20"/>
        </w:rPr>
        <w:t>(continued….)</w:t>
      </w:r>
    </w:p>
  </w:footnote>
  <w:footnote w:id="3">
    <w:p w:rsidR="002B3B16" w:rsidP="002B3B16" w14:paraId="36910AF7" w14:textId="77777777">
      <w:pPr>
        <w:pStyle w:val="FootnoteText"/>
      </w:pPr>
      <w:r>
        <w:rPr>
          <w:rStyle w:val="FootnoteReference"/>
        </w:rPr>
        <w:footnoteRef/>
      </w:r>
      <w:r>
        <w:t xml:space="preserve"> </w:t>
      </w:r>
      <w:r w:rsidRPr="002B680E">
        <w:t xml:space="preserve">CommScope announced in October 2018 that Google and CommScope entered into </w:t>
      </w:r>
      <w:r w:rsidRPr="002B680E">
        <w:t>a joint partnership</w:t>
      </w:r>
      <w:r w:rsidRPr="002B680E">
        <w:t xml:space="preserve"> to operate an ESC.  Press Release, CommScope, CommScope and Google Team Up to Drive CBRS Forward (Oct. 18, 2018), https://www.commscope.com/NewsCenter/PressReleases/CommScope-and-Google-Team-Up-to-Drive-CBRS-Forward/.  </w:t>
      </w:r>
    </w:p>
  </w:footnote>
  <w:footnote w:id="4">
    <w:p w:rsidR="002B3B16" w:rsidP="002B3B16" w14:paraId="755E63D8" w14:textId="6D36DFD1">
      <w:pPr>
        <w:pStyle w:val="FootnoteText"/>
      </w:pPr>
      <w:r>
        <w:rPr>
          <w:rStyle w:val="FootnoteReference"/>
        </w:rPr>
        <w:footnoteRef/>
      </w:r>
      <w:r>
        <w:t xml:space="preserve"> </w:t>
      </w:r>
      <w:r w:rsidRPr="00026241">
        <w:t>CommScope</w:t>
      </w:r>
      <w:r>
        <w:t xml:space="preserve"> </w:t>
      </w:r>
      <w:r w:rsidRPr="00CD7FBA">
        <w:t>and Google</w:t>
      </w:r>
      <w:r>
        <w:t xml:space="preserve"> are approved ESC operators.  </w:t>
      </w:r>
      <w:r>
        <w:rPr>
          <w:i/>
          <w:iCs/>
        </w:rPr>
        <w:t xml:space="preserve">Wireless Telecommunications Bureau and Office of Engineering and Technology </w:t>
      </w:r>
      <w:r>
        <w:rPr>
          <w:i/>
        </w:rPr>
        <w:t>Announce the Approval of Environmental Sensing Capabilities for the 3.5 GHz Band</w:t>
      </w:r>
      <w:r>
        <w:t xml:space="preserve">, Public Notice, DA 19-352, </w:t>
      </w:r>
      <w:bookmarkStart w:id="1" w:name="_Hlk22633037"/>
      <w:r>
        <w:t xml:space="preserve">34 FCC </w:t>
      </w:r>
      <w:r>
        <w:t>Rcd</w:t>
      </w:r>
      <w:r>
        <w:t xml:space="preserve"> 2792</w:t>
      </w:r>
      <w:bookmarkEnd w:id="1"/>
      <w:r>
        <w:t xml:space="preserve"> (WTB/OET Apr. 29, 2019) (</w:t>
      </w:r>
      <w:r>
        <w:rPr>
          <w:i/>
        </w:rPr>
        <w:t>ESC Operator Approval Public Notice</w:t>
      </w:r>
      <w:r>
        <w:t>).  Both ESC operators submitted ESC Sensor Registrations to WTB/OET consistent with the process described in the</w:t>
      </w:r>
      <w:r w:rsidR="00C316A8">
        <w:t xml:space="preserve"> </w:t>
      </w:r>
      <w:r w:rsidRPr="00AD10FC" w:rsidR="00AD10FC">
        <w:rPr>
          <w:i/>
        </w:rPr>
        <w:t>ESC Sensor Registration Public Notice</w:t>
      </w:r>
      <w:r w:rsidR="00650DAC">
        <w:rPr>
          <w:iCs/>
        </w:rPr>
        <w:t>,</w:t>
      </w:r>
      <w:r w:rsidRPr="00AD10FC" w:rsidR="00AD10FC">
        <w:rPr>
          <w:i/>
          <w:iCs/>
        </w:rPr>
        <w:t xml:space="preserve"> </w:t>
      </w:r>
      <w:r w:rsidR="00650DAC">
        <w:t>as</w:t>
      </w:r>
      <w:r w:rsidR="000243F6">
        <w:t xml:space="preserve"> updated in the </w:t>
      </w:r>
      <w:r w:rsidR="0038733A">
        <w:rPr>
          <w:i/>
          <w:iCs/>
        </w:rPr>
        <w:t>November 2019</w:t>
      </w:r>
      <w:r w:rsidR="00B0658D">
        <w:rPr>
          <w:i/>
          <w:iCs/>
        </w:rPr>
        <w:t xml:space="preserve"> </w:t>
      </w:r>
      <w:r>
        <w:rPr>
          <w:i/>
        </w:rPr>
        <w:t>ESC Sensor Registration Public Notice</w:t>
      </w:r>
      <w:r>
        <w:t xml:space="preserve">.  </w:t>
      </w:r>
      <w:r w:rsidR="006A3D3B">
        <w:rPr>
          <w:i/>
          <w:iCs/>
        </w:rPr>
        <w:t xml:space="preserve">See </w:t>
      </w:r>
      <w:r w:rsidRPr="00C71A34">
        <w:rPr>
          <w:iCs/>
        </w:rPr>
        <w:t>Wireless</w:t>
      </w:r>
      <w:r>
        <w:rPr>
          <w:i/>
          <w:iCs/>
        </w:rPr>
        <w:t xml:space="preserve"> Telecommunications Bureau and Office of Engineering and Technology Establish Procedure for Registering Environmental Sensing Capability Sensors</w:t>
      </w:r>
      <w:r>
        <w:t xml:space="preserve">, GN Docket No. 15-319, Public Notice, 33 FCC </w:t>
      </w:r>
      <w:r>
        <w:t>Rcd</w:t>
      </w:r>
      <w:r>
        <w:t xml:space="preserve"> 10016 (WTB/OET 2018) (</w:t>
      </w:r>
      <w:r>
        <w:rPr>
          <w:i/>
        </w:rPr>
        <w:t>ESC Sensor Registration Public Notice</w:t>
      </w:r>
      <w:r>
        <w:t>)</w:t>
      </w:r>
      <w:r w:rsidR="006A3D3B">
        <w:t xml:space="preserve">; </w:t>
      </w:r>
      <w:r w:rsidRPr="00713EBA" w:rsidR="00713EBA">
        <w:rPr>
          <w:i/>
          <w:iCs/>
        </w:rPr>
        <w:t>Wireless Telecommunications Bureau and Office of Engineering and Technology Announce the Approval and Registration Of Additional Environmental Sensing Capability Sensors of ESC Operators for the 3.5 GHz Band</w:t>
      </w:r>
      <w:r w:rsidRPr="00C71A34" w:rsidR="00713EBA">
        <w:t>, GN Docket No. 15-319, Public Notice, DA 19-1210</w:t>
      </w:r>
      <w:r w:rsidR="00F30263">
        <w:t xml:space="preserve">, 34 FCC </w:t>
      </w:r>
      <w:r w:rsidR="00F30263">
        <w:t>Rc</w:t>
      </w:r>
      <w:r w:rsidR="009F6D73">
        <w:t>d</w:t>
      </w:r>
      <w:r w:rsidR="009F6D73">
        <w:t xml:space="preserve"> 11048</w:t>
      </w:r>
      <w:r w:rsidR="00941BB1">
        <w:t>, 11050</w:t>
      </w:r>
      <w:r w:rsidRPr="00C71A34" w:rsidR="00713EBA">
        <w:t xml:space="preserve"> (WTB/OET Nov. 26, 2019)</w:t>
      </w:r>
      <w:r w:rsidRPr="006A3D3B" w:rsidR="006A3D3B">
        <w:t xml:space="preserve"> (</w:t>
      </w:r>
      <w:r w:rsidR="0038733A">
        <w:rPr>
          <w:i/>
          <w:iCs/>
        </w:rPr>
        <w:t>November</w:t>
      </w:r>
      <w:r w:rsidRPr="006A3D3B" w:rsidR="006A3D3B">
        <w:rPr>
          <w:i/>
          <w:iCs/>
        </w:rPr>
        <w:t xml:space="preserve"> 20</w:t>
      </w:r>
      <w:r w:rsidR="0038733A">
        <w:rPr>
          <w:i/>
          <w:iCs/>
        </w:rPr>
        <w:t>19</w:t>
      </w:r>
      <w:r w:rsidRPr="006A3D3B" w:rsidR="006A3D3B">
        <w:rPr>
          <w:i/>
          <w:iCs/>
        </w:rPr>
        <w:t xml:space="preserve"> </w:t>
      </w:r>
      <w:r w:rsidRPr="006A3D3B" w:rsidR="006A3D3B">
        <w:rPr>
          <w:i/>
        </w:rPr>
        <w:t xml:space="preserve">ESC Sensor Registration Public </w:t>
      </w:r>
      <w:r w:rsidRPr="006A3D3B" w:rsidR="006A3D3B">
        <w:rPr>
          <w:i/>
          <w:iCs/>
        </w:rPr>
        <w:t>Notice</w:t>
      </w:r>
      <w:r w:rsidRPr="006A3D3B" w:rsidR="006A3D3B">
        <w:t>)</w:t>
      </w:r>
      <w:r>
        <w:t xml:space="preserve">. </w:t>
      </w:r>
      <w:r>
        <w:rPr>
          <w:snapToGrid w:val="0"/>
        </w:rPr>
        <w:t xml:space="preserve"> Both ESC operators requested confidentiality when they submitted their ESC Sensor Registrations and filed a list of dynamic protection areas covered by their ESC sensors consistent with the filing instructions in the </w:t>
      </w:r>
      <w:r>
        <w:rPr>
          <w:i/>
          <w:snapToGrid w:val="0"/>
        </w:rPr>
        <w:t>ESC Sensor Registration Public Notice</w:t>
      </w:r>
      <w:r>
        <w:rPr>
          <w:snapToGrid w:val="0"/>
        </w:rPr>
        <w:t xml:space="preserve">.  </w:t>
      </w:r>
      <w:r w:rsidRPr="0056658B">
        <w:rPr>
          <w:snapToGrid w:val="0"/>
        </w:rPr>
        <w:t xml:space="preserve">Pursuant to their </w:t>
      </w:r>
      <w:r w:rsidRPr="0056658B">
        <w:rPr>
          <w:snapToGrid w:val="0"/>
        </w:rPr>
        <w:t>joint partnership</w:t>
      </w:r>
      <w:r w:rsidRPr="0056658B">
        <w:rPr>
          <w:snapToGrid w:val="0"/>
        </w:rPr>
        <w:t xml:space="preserve">, CommScope and Google submitted a </w:t>
      </w:r>
      <w:r w:rsidR="00B00223">
        <w:rPr>
          <w:snapToGrid w:val="0"/>
        </w:rPr>
        <w:t xml:space="preserve">number of </w:t>
      </w:r>
      <w:r w:rsidRPr="0056658B">
        <w:rPr>
          <w:snapToGrid w:val="0"/>
        </w:rPr>
        <w:t>joint filing</w:t>
      </w:r>
      <w:r w:rsidR="00B00223">
        <w:rPr>
          <w:snapToGrid w:val="0"/>
        </w:rPr>
        <w:t>s</w:t>
      </w:r>
      <w:r w:rsidRPr="0056658B">
        <w:rPr>
          <w:snapToGrid w:val="0"/>
        </w:rPr>
        <w:t xml:space="preserve">.  </w:t>
      </w:r>
      <w:r w:rsidRPr="003C23EC" w:rsidR="003C23EC">
        <w:rPr>
          <w:i/>
          <w:snapToGrid w:val="0"/>
        </w:rPr>
        <w:t>See</w:t>
      </w:r>
      <w:r w:rsidRPr="003C23EC" w:rsidR="003C23EC">
        <w:rPr>
          <w:snapToGrid w:val="0"/>
        </w:rPr>
        <w:t xml:space="preserve"> Letter from H. Mark Gibson, Director, Regulatory Policy, CommScope, to Marlene H. Dortch, Secretary, FCC, GN Docket No. 15-319 (filed Jan. 10, 2020), </w:t>
      </w:r>
      <w:hyperlink r:id="rId1" w:history="1">
        <w:r w:rsidRPr="003C23EC" w:rsidR="003C23EC">
          <w:rPr>
            <w:rStyle w:val="Hyperlink"/>
            <w:snapToGrid w:val="0"/>
          </w:rPr>
          <w:t>https://www.fcc.gov/ecfs/filing/101220314702379</w:t>
        </w:r>
      </w:hyperlink>
      <w:r w:rsidR="00366903">
        <w:rPr>
          <w:snapToGrid w:val="0"/>
        </w:rPr>
        <w:t>;</w:t>
      </w:r>
      <w:r w:rsidRPr="003C23EC" w:rsidR="003C23EC">
        <w:rPr>
          <w:snapToGrid w:val="0"/>
        </w:rPr>
        <w:t xml:space="preserve"> </w:t>
      </w:r>
      <w:r w:rsidR="00366903">
        <w:rPr>
          <w:snapToGrid w:val="0"/>
        </w:rPr>
        <w:t>L</w:t>
      </w:r>
      <w:r w:rsidRPr="003C23EC" w:rsidR="003C23EC">
        <w:rPr>
          <w:snapToGrid w:val="0"/>
        </w:rPr>
        <w:t xml:space="preserve">etter from H. Mark Gibson, Director, Regulatory Policy, CommScope, to Marlene H. Dortch, Secretary, FCC, GN Docket No. 15-319 (filed Jan. 20, 2020), </w:t>
      </w:r>
      <w:hyperlink r:id="rId1" w:history="1">
        <w:r w:rsidRPr="003C23EC" w:rsidR="003C23EC">
          <w:rPr>
            <w:rStyle w:val="Hyperlink"/>
            <w:snapToGrid w:val="0"/>
          </w:rPr>
          <w:t>https://www.fcc.gov/ecfs/filing/101220314702379</w:t>
        </w:r>
      </w:hyperlink>
      <w:r w:rsidR="00366903">
        <w:rPr>
          <w:snapToGrid w:val="0"/>
        </w:rPr>
        <w:t>;</w:t>
      </w:r>
      <w:r w:rsidR="00B00223">
        <w:rPr>
          <w:snapToGrid w:val="0"/>
        </w:rPr>
        <w:t xml:space="preserve"> </w:t>
      </w:r>
      <w:r w:rsidRPr="00B00223" w:rsidR="00B00223">
        <w:rPr>
          <w:snapToGrid w:val="0"/>
        </w:rPr>
        <w:t xml:space="preserve">Letter from H. Mark Gibson, Director, Regulatory Policy, CommScope, to Marlene H. Dortch, Secretary, FCC, GN Docket No. 15-319 (filed </w:t>
      </w:r>
      <w:r w:rsidR="00B00223">
        <w:rPr>
          <w:snapToGrid w:val="0"/>
        </w:rPr>
        <w:t xml:space="preserve">Feb. </w:t>
      </w:r>
      <w:r w:rsidR="00F4573D">
        <w:rPr>
          <w:snapToGrid w:val="0"/>
        </w:rPr>
        <w:t>14</w:t>
      </w:r>
      <w:r w:rsidRPr="00B00223" w:rsidR="00B00223">
        <w:rPr>
          <w:snapToGrid w:val="0"/>
        </w:rPr>
        <w:t xml:space="preserve">, 2020), </w:t>
      </w:r>
      <w:hyperlink r:id="rId2" w:history="1">
        <w:r w:rsidRPr="001D3FA4" w:rsidR="001773B7">
          <w:rPr>
            <w:rStyle w:val="Hyperlink"/>
            <w:snapToGrid w:val="0"/>
          </w:rPr>
          <w:t>https://www.fcc.gov/ecfs/filing/10214025038056</w:t>
        </w:r>
      </w:hyperlink>
      <w:r w:rsidR="00366903">
        <w:rPr>
          <w:snapToGrid w:val="0"/>
        </w:rPr>
        <w:t xml:space="preserve">; and </w:t>
      </w:r>
      <w:r w:rsidRPr="00366903" w:rsidR="00366903">
        <w:rPr>
          <w:snapToGrid w:val="0"/>
        </w:rPr>
        <w:t xml:space="preserve">Letter from H. Mark Gibson, Director, Regulatory Policy, CommScope, to Marlene H. Dortch, Secretary, FCC, GN Docket No. 15-319 (filed Mar. 10, 2020), </w:t>
      </w:r>
      <w:hyperlink r:id="rId3" w:history="1">
        <w:r w:rsidRPr="00E32033" w:rsidR="00426EF2">
          <w:rPr>
            <w:rStyle w:val="Hyperlink"/>
          </w:rPr>
          <w:t>https://www.fcc.gov/ecfs/filing/10316804319171</w:t>
        </w:r>
      </w:hyperlink>
      <w:r w:rsidR="00426EF2">
        <w:t xml:space="preserve"> </w:t>
      </w:r>
      <w:r w:rsidRPr="00417A6A">
        <w:rPr>
          <w:snapToGrid w:val="0"/>
        </w:rPr>
        <w:t>(</w:t>
      </w:r>
      <w:r>
        <w:rPr>
          <w:snapToGrid w:val="0"/>
        </w:rPr>
        <w:t xml:space="preserve">collectively, </w:t>
      </w:r>
      <w:r w:rsidRPr="00417A6A">
        <w:rPr>
          <w:snapToGrid w:val="0"/>
        </w:rPr>
        <w:t xml:space="preserve">CommScope and Google </w:t>
      </w:r>
      <w:r>
        <w:rPr>
          <w:snapToGrid w:val="0"/>
        </w:rPr>
        <w:t xml:space="preserve">Updated </w:t>
      </w:r>
      <w:r w:rsidRPr="00417A6A">
        <w:rPr>
          <w:snapToGrid w:val="0"/>
        </w:rPr>
        <w:t>Joint DPA List)</w:t>
      </w:r>
      <w:r>
        <w:t xml:space="preserve">. </w:t>
      </w:r>
    </w:p>
  </w:footnote>
  <w:footnote w:id="5">
    <w:p w:rsidR="002B3B16" w:rsidP="002B3B16" w14:paraId="41294590" w14:textId="77777777">
      <w:pPr>
        <w:pStyle w:val="FootnoteText"/>
      </w:pPr>
      <w:r>
        <w:rPr>
          <w:rStyle w:val="FootnoteReference"/>
        </w:rPr>
        <w:footnoteRef/>
      </w:r>
      <w:r>
        <w:t xml:space="preserve"> </w:t>
      </w:r>
      <w:r w:rsidRPr="003A55AD">
        <w:t xml:space="preserve">DPAs are pre-defined protection areas that extend beyond the coastline or that enclose a protected terrestrial radar facility, which may be activated or deactivated as necessary to protect DoD radar systems.  </w:t>
      </w:r>
      <w:r w:rsidRPr="003A55AD">
        <w:rPr>
          <w:i/>
          <w:iCs/>
        </w:rPr>
        <w:t>Promoting Investment in the 3550-3700 MHz Band</w:t>
      </w:r>
      <w:r w:rsidRPr="003A55AD">
        <w:t xml:space="preserve">, </w:t>
      </w:r>
      <w:r>
        <w:t xml:space="preserve">GN Docket No. 17-258, </w:t>
      </w:r>
      <w:r w:rsidRPr="003A55AD">
        <w:t>Order</w:t>
      </w:r>
      <w:r>
        <w:t xml:space="preserve">, 33 FCC </w:t>
      </w:r>
      <w:r>
        <w:t>Rcd</w:t>
      </w:r>
      <w:r>
        <w:t xml:space="preserve"> 4987</w:t>
      </w:r>
      <w:r w:rsidRPr="003A55AD">
        <w:t xml:space="preserve"> (WTB/OET 2018)</w:t>
      </w:r>
      <w:r>
        <w:t xml:space="preserve">.  NTIA depicts the DPAs in Attachment A of a letter sent by Paige R. Atkins, NTIA, to Julius P. Knapp and Donald K. Stockdale Jr. of the FCC on May 17, 2018. This letter and the specific coordinates </w:t>
      </w:r>
      <w:r w:rsidRPr="00C437E8">
        <w:t xml:space="preserve">for the DPAs are available at </w:t>
      </w:r>
      <w:r w:rsidRPr="005F467D">
        <w:rPr>
          <w:rStyle w:val="Hyperlink"/>
          <w:color w:val="auto"/>
          <w:u w:val="none"/>
        </w:rPr>
        <w:t>https://www.ntia.doc.gov/fcc-filing/2015/ntia-letter-fcc-commercial-operations-3550-3650-mhz-band</w:t>
      </w:r>
      <w:r>
        <w:rPr>
          <w:rStyle w:val="Hyperlink"/>
          <w:color w:val="auto"/>
          <w:u w:val="none"/>
        </w:rPr>
        <w:t>.</w:t>
      </w:r>
    </w:p>
  </w:footnote>
  <w:footnote w:id="6">
    <w:p w:rsidR="0035668A" w:rsidP="0035668A" w14:paraId="2AE74AB5" w14:textId="6D75F1CA">
      <w:pPr>
        <w:pStyle w:val="FootnoteText"/>
      </w:pPr>
      <w:r>
        <w:rPr>
          <w:rStyle w:val="FootnoteReference"/>
        </w:rPr>
        <w:footnoteRef/>
      </w:r>
      <w:r>
        <w:t xml:space="preserve"> </w:t>
      </w:r>
      <w:r>
        <w:rPr>
          <w:i/>
        </w:rPr>
        <w:t>ESC Operator Approval Public Notice</w:t>
      </w:r>
      <w:r>
        <w:t xml:space="preserve">, 34 FCC </w:t>
      </w:r>
      <w:r>
        <w:t>Rcd</w:t>
      </w:r>
      <w:r>
        <w:t xml:space="preserve"> at 2794 (citing </w:t>
      </w:r>
      <w:r w:rsidRPr="00FC6430">
        <w:rPr>
          <w:i/>
        </w:rPr>
        <w:t>ESC Sensor Registration Public Notice</w:t>
      </w:r>
      <w:r w:rsidRPr="00DB50CD">
        <w:t>, 33</w:t>
      </w:r>
      <w:r w:rsidRPr="000F56EA">
        <w:t xml:space="preserve"> </w:t>
      </w:r>
      <w:r w:rsidRPr="00DB50CD">
        <w:t xml:space="preserve">FCC </w:t>
      </w:r>
      <w:r w:rsidRPr="00DB50CD">
        <w:t>Rcd</w:t>
      </w:r>
      <w:r w:rsidRPr="00DB50CD">
        <w:t xml:space="preserve"> at 10016).</w:t>
      </w:r>
      <w:r w:rsidRPr="00182F77">
        <w:rPr>
          <w:rFonts w:ascii="TimesNewRomanPSMT" w:hAnsi="TimesNewRomanPSMT" w:cs="TimesNewRomanPSMT"/>
        </w:rPr>
        <w:t xml:space="preserve">  </w:t>
      </w:r>
      <w:r w:rsidRPr="0028722E">
        <w:rPr>
          <w:i/>
        </w:rPr>
        <w:t xml:space="preserve">See </w:t>
      </w:r>
      <w:r>
        <w:rPr>
          <w:i/>
        </w:rPr>
        <w:t>also</w:t>
      </w:r>
      <w:r w:rsidRPr="0028722E">
        <w:rPr>
          <w:i/>
        </w:rPr>
        <w:t xml:space="preserve"> Amendment of the Commission's Rules </w:t>
      </w:r>
      <w:r w:rsidRPr="0028722E">
        <w:rPr>
          <w:i/>
          <w:snapToGrid w:val="0"/>
        </w:rPr>
        <w:t>with</w:t>
      </w:r>
      <w:r w:rsidRPr="0028722E">
        <w:rPr>
          <w:i/>
        </w:rPr>
        <w:t xml:space="preserve"> Regard to</w:t>
      </w:r>
      <w:r w:rsidRPr="0028722E">
        <w:rPr>
          <w:i/>
        </w:rPr>
        <w:t xml:space="preserve"> Commercial Operations in the 3550-3650 MHz Band</w:t>
      </w:r>
      <w:r w:rsidRPr="0028722E">
        <w:t xml:space="preserve">, </w:t>
      </w:r>
      <w:bookmarkStart w:id="4" w:name="_Hlk5881595"/>
      <w:r>
        <w:t xml:space="preserve">GN Docket No. 12-354, </w:t>
      </w:r>
      <w:bookmarkEnd w:id="4"/>
      <w:r w:rsidRPr="0028722E">
        <w:t xml:space="preserve">Report and Order and Second Further Notice of Proposed Rulemaking, 30 FCC </w:t>
      </w:r>
      <w:r w:rsidRPr="0028722E">
        <w:t>Rcd</w:t>
      </w:r>
      <w:r w:rsidRPr="0028722E">
        <w:t xml:space="preserve"> 3959</w:t>
      </w:r>
      <w:r>
        <w:t xml:space="preserve"> </w:t>
      </w:r>
      <w:r w:rsidRPr="0028722E">
        <w:rPr>
          <w:snapToGrid w:val="0"/>
        </w:rPr>
        <w:t>at 40</w:t>
      </w:r>
      <w:r>
        <w:rPr>
          <w:snapToGrid w:val="0"/>
        </w:rPr>
        <w:t>70-71</w:t>
      </w:r>
      <w:r w:rsidRPr="0028722E">
        <w:rPr>
          <w:snapToGrid w:val="0"/>
        </w:rPr>
        <w:t xml:space="preserve">, para. </w:t>
      </w:r>
      <w:r>
        <w:rPr>
          <w:snapToGrid w:val="0"/>
        </w:rPr>
        <w:t>386</w:t>
      </w:r>
      <w:r w:rsidRPr="00AB1B56">
        <w:rPr>
          <w:b/>
        </w:rPr>
        <w:t xml:space="preserve"> </w:t>
      </w:r>
      <w:r w:rsidRPr="0028722E">
        <w:t>(</w:t>
      </w:r>
      <w:r>
        <w:rPr>
          <w:i/>
        </w:rPr>
        <w:t xml:space="preserve">2015 Report and Order </w:t>
      </w:r>
      <w:r>
        <w:t xml:space="preserve">and </w:t>
      </w:r>
      <w:r>
        <w:rPr>
          <w:i/>
        </w:rPr>
        <w:t>2015 FNPRM</w:t>
      </w:r>
      <w:r w:rsidRPr="001B6C2F">
        <w:t>,</w:t>
      </w:r>
      <w:r>
        <w:t xml:space="preserve"> respectively</w:t>
      </w:r>
      <w:r w:rsidRPr="0028722E">
        <w:t>)</w:t>
      </w:r>
      <w:r w:rsidRPr="0028722E">
        <w:rPr>
          <w:snapToGrid w:val="0"/>
        </w:rPr>
        <w:t>.</w:t>
      </w:r>
    </w:p>
  </w:footnote>
  <w:footnote w:id="7">
    <w:p w:rsidR="0035668A" w:rsidP="0035668A" w14:paraId="0629CB1D" w14:textId="77777777">
      <w:pPr>
        <w:pStyle w:val="FootnoteText"/>
      </w:pPr>
      <w:r>
        <w:rPr>
          <w:rStyle w:val="FootnoteReference"/>
        </w:rPr>
        <w:footnoteRef/>
      </w:r>
      <w:r>
        <w:t xml:space="preserve"> </w:t>
      </w:r>
      <w:r>
        <w:rPr>
          <w:i/>
        </w:rPr>
        <w:t>ESC Operator Approval Public Notice</w:t>
      </w:r>
      <w:r>
        <w:t xml:space="preserve">, 34 FCC </w:t>
      </w:r>
      <w:r>
        <w:t>Rcd</w:t>
      </w:r>
      <w:r>
        <w:t xml:space="preserve"> at 2794 (citing </w:t>
      </w:r>
      <w:r w:rsidRPr="00D76ABF">
        <w:rPr>
          <w:i/>
        </w:rPr>
        <w:t>ESC Sensor Registration Public Notice</w:t>
      </w:r>
      <w:r w:rsidRPr="00DB50CD">
        <w:t xml:space="preserve">, 33 FCC </w:t>
      </w:r>
      <w:r w:rsidRPr="00DB50CD">
        <w:t>Rcd</w:t>
      </w:r>
      <w:r w:rsidRPr="00DB50CD">
        <w:t xml:space="preserve"> at 10016).  </w:t>
      </w:r>
      <w:r w:rsidRPr="0028722E">
        <w:rPr>
          <w:i/>
        </w:rPr>
        <w:t xml:space="preserve">See </w:t>
      </w:r>
      <w:r>
        <w:rPr>
          <w:i/>
        </w:rPr>
        <w:t>also</w:t>
      </w:r>
      <w:r w:rsidRPr="0028722E">
        <w:rPr>
          <w:i/>
        </w:rPr>
        <w:t xml:space="preserve"> </w:t>
      </w:r>
      <w:r w:rsidRPr="00A862D4">
        <w:rPr>
          <w:i/>
        </w:rPr>
        <w:t>2015 Report and Order</w:t>
      </w:r>
      <w:r w:rsidRPr="0028722E">
        <w:t xml:space="preserve">, 30 FCC </w:t>
      </w:r>
      <w:r w:rsidRPr="0028722E">
        <w:t>Rcd</w:t>
      </w:r>
      <w:r w:rsidRPr="0028722E">
        <w:t xml:space="preserve"> </w:t>
      </w:r>
      <w:r w:rsidRPr="0028722E">
        <w:rPr>
          <w:snapToGrid w:val="0"/>
        </w:rPr>
        <w:t>at 40</w:t>
      </w:r>
      <w:r>
        <w:rPr>
          <w:snapToGrid w:val="0"/>
        </w:rPr>
        <w:t>70-71</w:t>
      </w:r>
      <w:r w:rsidRPr="0028722E">
        <w:rPr>
          <w:snapToGrid w:val="0"/>
        </w:rPr>
        <w:t xml:space="preserve">, para. </w:t>
      </w:r>
      <w:r>
        <w:rPr>
          <w:snapToGrid w:val="0"/>
        </w:rPr>
        <w:t>386</w:t>
      </w:r>
      <w:r>
        <w:rPr>
          <w:i/>
        </w:rPr>
        <w:t>.</w:t>
      </w:r>
    </w:p>
  </w:footnote>
  <w:footnote w:id="8">
    <w:p w:rsidR="000A04E2" w:rsidP="000A04E2" w14:paraId="7C0FB19A" w14:textId="77777777">
      <w:pPr>
        <w:pStyle w:val="FootnoteText"/>
      </w:pPr>
      <w:r>
        <w:rPr>
          <w:rStyle w:val="FootnoteReference"/>
        </w:rPr>
        <w:footnoteRef/>
      </w:r>
      <w:r>
        <w:t xml:space="preserve"> CommScope and Google jointly submitted their ESC sensor registrations with the Commission pursuant to their </w:t>
      </w:r>
      <w:r>
        <w:t>joint partnership</w:t>
      </w:r>
      <w:r>
        <w:t xml:space="preserve">.  In the event they cease their </w:t>
      </w:r>
      <w:r>
        <w:t>joint partnership</w:t>
      </w:r>
      <w:r>
        <w:t>, they must submit a filing with the Commission in GN Docket 15-319 detailing how the approved DPA sites and their management responsibilities will be assigned.</w:t>
      </w:r>
    </w:p>
  </w:footnote>
  <w:footnote w:id="9">
    <w:p w:rsidR="00371F41" w14:paraId="46D559CB" w14:textId="5EFBED82">
      <w:pPr>
        <w:pStyle w:val="FootnoteText"/>
      </w:pPr>
      <w:r>
        <w:rPr>
          <w:rStyle w:val="FootnoteReference"/>
        </w:rPr>
        <w:footnoteRef/>
      </w:r>
      <w:r>
        <w:t xml:space="preserve"> </w:t>
      </w:r>
      <w:bookmarkStart w:id="6" w:name="_Hlk36114815"/>
      <w:r w:rsidRPr="00371F41">
        <w:t>CommScope and Google Updated Joint DPA List</w:t>
      </w:r>
      <w:r w:rsidR="00C20311">
        <w:t>.</w:t>
      </w:r>
      <w:bookmarkEnd w:id="6"/>
    </w:p>
  </w:footnote>
  <w:footnote w:id="10">
    <w:p w:rsidR="000C6370" w:rsidP="000C6370" w14:paraId="5060C056" w14:textId="6D297F25">
      <w:pPr>
        <w:pStyle w:val="FootnoteText"/>
      </w:pPr>
      <w:r>
        <w:rPr>
          <w:rStyle w:val="FootnoteReference"/>
        </w:rPr>
        <w:footnoteRef/>
      </w:r>
      <w:r>
        <w:t xml:space="preserve"> </w:t>
      </w:r>
      <w:r w:rsidRPr="00371F41" w:rsidR="005F30CA">
        <w:t>CommScope and Google Updated Joint DPA List</w:t>
      </w:r>
      <w:r w:rsidR="005F30CA">
        <w:t>.</w:t>
      </w:r>
    </w:p>
  </w:footnote>
  <w:footnote w:id="11">
    <w:p w:rsidR="00D31127" w:rsidRPr="007E5F7A" w:rsidP="00D31127" w14:paraId="70F5D880" w14:textId="77777777">
      <w:pPr>
        <w:pStyle w:val="FootnoteText"/>
      </w:pPr>
      <w:r>
        <w:rPr>
          <w:rStyle w:val="FootnoteReference"/>
        </w:rPr>
        <w:footnoteRef/>
      </w:r>
      <w:r>
        <w:t xml:space="preserve"> </w:t>
      </w:r>
      <w:r w:rsidRPr="003A55AD">
        <w:rPr>
          <w:i/>
        </w:rPr>
        <w:t>ESC Sensor Registration Public Notice</w:t>
      </w:r>
      <w:r>
        <w:t xml:space="preserve">, 33 FCC </w:t>
      </w:r>
      <w:r>
        <w:t>Rcd</w:t>
      </w:r>
      <w:r>
        <w:t xml:space="preserve"> at 10017.</w:t>
      </w:r>
    </w:p>
  </w:footnote>
  <w:footnote w:id="12">
    <w:p w:rsidR="00D31127" w:rsidP="00D31127" w14:paraId="227FA069" w14:textId="4B02D053">
      <w:pPr>
        <w:pStyle w:val="FootnoteText"/>
      </w:pPr>
      <w:r>
        <w:rPr>
          <w:rStyle w:val="FootnoteReference"/>
        </w:rPr>
        <w:footnoteRef/>
      </w:r>
      <w:bookmarkStart w:id="7" w:name="_Hlk31186079"/>
      <w:r w:rsidR="005F30CA">
        <w:rPr>
          <w:i/>
          <w:iCs/>
        </w:rPr>
        <w:t xml:space="preserve"> </w:t>
      </w:r>
      <w:r w:rsidRPr="002702E9" w:rsidR="002702E9">
        <w:rPr>
          <w:i/>
          <w:iCs/>
        </w:rPr>
        <w:t xml:space="preserve">November 2019 </w:t>
      </w:r>
      <w:r w:rsidRPr="002702E9" w:rsidR="002702E9">
        <w:rPr>
          <w:i/>
        </w:rPr>
        <w:t xml:space="preserve">ESC Sensor Registration Public </w:t>
      </w:r>
      <w:r w:rsidRPr="002702E9" w:rsidR="002702E9">
        <w:rPr>
          <w:i/>
          <w:iCs/>
        </w:rPr>
        <w:t>Notice</w:t>
      </w:r>
      <w:r w:rsidR="00454B9A">
        <w:rPr>
          <w:i/>
          <w:iCs/>
        </w:rPr>
        <w:t>,</w:t>
      </w:r>
      <w:r w:rsidR="00454B9A">
        <w:t xml:space="preserve"> </w:t>
      </w:r>
      <w:r w:rsidRPr="009F6D73" w:rsidR="009F6D73">
        <w:t xml:space="preserve">34 FCC </w:t>
      </w:r>
      <w:r w:rsidRPr="009F6D73" w:rsidR="009F6D73">
        <w:t>Rcd</w:t>
      </w:r>
      <w:r w:rsidRPr="009F6D73" w:rsidR="009F6D73">
        <w:t xml:space="preserve"> </w:t>
      </w:r>
      <w:r w:rsidR="009278BF">
        <w:t xml:space="preserve">at </w:t>
      </w:r>
      <w:r w:rsidRPr="009F6D73" w:rsidR="009F6D73">
        <w:t>110</w:t>
      </w:r>
      <w:r w:rsidR="00EB2367">
        <w:t>50</w:t>
      </w:r>
      <w:r w:rsidR="002702E9">
        <w:rPr>
          <w:i/>
          <w:iCs/>
        </w:rPr>
        <w:t>.</w:t>
      </w:r>
      <w:r w:rsidRPr="002702E9" w:rsidR="002702E9">
        <w:rPr>
          <w:i/>
        </w:rPr>
        <w:t xml:space="preserve"> </w:t>
      </w:r>
      <w:bookmarkEnd w:id="7"/>
    </w:p>
  </w:footnote>
  <w:footnote w:id="13">
    <w:p w:rsidR="00D31127" w:rsidRPr="0019674D" w:rsidP="00D31127" w14:paraId="1539A401" w14:textId="77777777">
      <w:pPr>
        <w:pStyle w:val="FootnoteText"/>
      </w:pPr>
      <w:r w:rsidRPr="0019674D">
        <w:rPr>
          <w:rStyle w:val="FootnoteReference"/>
          <w:sz w:val="20"/>
        </w:rPr>
        <w:footnoteRef/>
      </w:r>
      <w:r w:rsidRPr="0019674D">
        <w:t xml:space="preserve"> </w:t>
      </w:r>
      <w:r w:rsidRPr="0019674D">
        <w:rPr>
          <w:i/>
        </w:rPr>
        <w:t xml:space="preserve">See </w:t>
      </w:r>
      <w:r w:rsidRPr="0019674D">
        <w:t>47 CFR § 0.459.</w:t>
      </w:r>
      <w:r>
        <w:t xml:space="preserve"> </w:t>
      </w:r>
    </w:p>
  </w:footnote>
  <w:footnote w:id="14">
    <w:p w:rsidR="00D31127" w:rsidP="00D31127" w14:paraId="5F557541" w14:textId="77777777">
      <w:pPr>
        <w:pStyle w:val="FootnoteText"/>
      </w:pPr>
      <w:r>
        <w:rPr>
          <w:rStyle w:val="FootnoteReference"/>
        </w:rPr>
        <w:footnoteRef/>
      </w:r>
      <w:r>
        <w:t xml:space="preserve"> </w:t>
      </w:r>
      <w:r w:rsidRPr="00053EED">
        <w:rPr>
          <w:i/>
        </w:rPr>
        <w:t>ESC Sensor Registration Public Notice</w:t>
      </w:r>
      <w:r w:rsidRPr="00053EED">
        <w:t xml:space="preserve">, 33 FCC </w:t>
      </w:r>
      <w:r w:rsidRPr="00053EED">
        <w:t>Rcd</w:t>
      </w:r>
      <w:r w:rsidRPr="00053EED">
        <w:t xml:space="preserve"> at</w:t>
      </w:r>
      <w:r>
        <w:t xml:space="preserve"> 10018.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B0C3DF2" w14:textId="654F3855">
    <w:pPr>
      <w:tabs>
        <w:tab w:val="center" w:pos="4680"/>
        <w:tab w:val="right" w:pos="9360"/>
      </w:tabs>
    </w:pPr>
    <w:r w:rsidRPr="009838BC">
      <w:rPr>
        <w:b/>
      </w:rPr>
      <w:tab/>
      <w:t>Federal Communications Commission</w:t>
    </w:r>
    <w:r w:rsidRPr="009838BC">
      <w:rPr>
        <w:b/>
      </w:rPr>
      <w:tab/>
    </w:r>
    <w:r w:rsidR="00F8384D">
      <w:rPr>
        <w:b/>
      </w:rPr>
      <w:t xml:space="preserve">DA </w:t>
    </w:r>
    <w:r w:rsidR="00E52747">
      <w:rPr>
        <w:b/>
      </w:rPr>
      <w:t>20</w:t>
    </w:r>
    <w:r w:rsidR="00F8384D">
      <w:rPr>
        <w:b/>
      </w:rPr>
      <w:t>-</w:t>
    </w:r>
    <w:r w:rsidR="008766D4">
      <w:rPr>
        <w:b/>
      </w:rPr>
      <w:t>344</w:t>
    </w:r>
  </w:p>
  <w:p w:rsidR="009838BC" w:rsidRPr="009838BC" w:rsidP="009838BC" w14:paraId="1FB1681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73F3523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F34844" w:rsidP="00F34844" w14:paraId="529C15A6"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7pt;margin-left:-0.75pt;position:absolute;visibility:visible;z-index:251659264"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8240" o:allowincell="f" stroked="f">
          <v:textbox>
            <w:txbxContent>
              <w:p w:rsidR="009838BC" w:rsidP="009838BC" w14:paraId="39AAAB9D" w14:textId="77777777">
                <w:pPr>
                  <w:rPr>
                    <w:rFonts w:ascii="Arial" w:hAnsi="Arial"/>
                    <w:b/>
                  </w:rPr>
                </w:pPr>
                <w:r>
                  <w:rPr>
                    <w:rFonts w:ascii="Arial" w:hAnsi="Arial"/>
                    <w:b/>
                  </w:rPr>
                  <w:t>Federal Communications Commission</w:t>
                </w:r>
              </w:p>
              <w:p w:rsidR="009838BC" w:rsidP="009838BC" w14:paraId="6386829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A4C0164" w14:textId="77777777">
                <w:pPr>
                  <w:rPr>
                    <w:rFonts w:ascii="Arial" w:hAnsi="Arial"/>
                    <w:sz w:val="24"/>
                  </w:rPr>
                </w:pPr>
                <w:r>
                  <w:rPr>
                    <w:rFonts w:ascii="Arial" w:hAnsi="Arial"/>
                    <w:b/>
                  </w:rPr>
                  <w:t>Washington, D.C. 20554</w:t>
                </w:r>
              </w:p>
            </w:txbxContent>
          </v:textbox>
          <w10:wrap anchorx="margin"/>
        </v:shape>
      </w:pict>
    </w:r>
    <w:r w:rsidRPr="00F34844" w:rsidR="002D44F6">
      <w:t>PUBLIC NOTICE</w:t>
    </w:r>
  </w:p>
  <w:p w:rsidR="009838BC" w:rsidRPr="00357D50" w:rsidP="009838BC" w14:paraId="48F768EE"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11264.8pt,56.7pt" to="1173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8100247" w14:textId="77777777">
                <w:pPr>
                  <w:spacing w:before="40"/>
                  <w:jc w:val="right"/>
                  <w:rPr>
                    <w:rFonts w:ascii="Arial" w:hAnsi="Arial"/>
                    <w:b/>
                    <w:sz w:val="16"/>
                  </w:rPr>
                </w:pPr>
                <w:r>
                  <w:rPr>
                    <w:rFonts w:ascii="Arial" w:hAnsi="Arial"/>
                    <w:b/>
                    <w:sz w:val="16"/>
                  </w:rPr>
                  <w:t>News Media Information 202 / 418-0500</w:t>
                </w:r>
              </w:p>
              <w:p w:rsidR="009838BC" w:rsidP="009838BC" w14:paraId="59341DDB"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3F6A4003" w14:textId="77777777">
                <w:pPr>
                  <w:jc w:val="right"/>
                </w:pPr>
                <w:r>
                  <w:rPr>
                    <w:rFonts w:ascii="Arial" w:hAnsi="Arial"/>
                    <w:b/>
                    <w:sz w:val="16"/>
                  </w:rPr>
                  <w:t>TTY: 1-888-835-5322</w:t>
                </w:r>
              </w:p>
            </w:txbxContent>
          </v:textbox>
        </v:shape>
      </w:pict>
    </w:r>
  </w:p>
  <w:p w:rsidR="006F7393" w:rsidRPr="002F7E87" w:rsidP="00F34844" w14:paraId="56815451" w14:textId="77777777">
    <w:pPr>
      <w:pStyle w:val="Head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2E26FD"/>
    <w:multiLevelType w:val="hybridMultilevel"/>
    <w:tmpl w:val="C94A9B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E9409C"/>
    <w:multiLevelType w:val="hybridMultilevel"/>
    <w:tmpl w:val="BA8C1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846325"/>
    <w:multiLevelType w:val="hybridMultilevel"/>
    <w:tmpl w:val="D728A27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CDC52C7"/>
    <w:multiLevelType w:val="hybridMultilevel"/>
    <w:tmpl w:val="9D0C607C"/>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7650E6"/>
    <w:multiLevelType w:val="hybridMultilevel"/>
    <w:tmpl w:val="A11411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5844317"/>
    <w:multiLevelType w:val="hybridMultilevel"/>
    <w:tmpl w:val="00E834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76149E3"/>
    <w:multiLevelType w:val="hybridMultilevel"/>
    <w:tmpl w:val="AFA0264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0F8377F"/>
    <w:multiLevelType w:val="hybridMultilevel"/>
    <w:tmpl w:val="9F62034E"/>
    <w:lvl w:ilvl="0">
      <w:start w:val="1"/>
      <w:numFmt w:val="decimal"/>
      <w:lvlText w:val="%1."/>
      <w:lvlJc w:val="left"/>
      <w:pPr>
        <w:ind w:left="10200" w:hanging="360"/>
      </w:pPr>
    </w:lvl>
    <w:lvl w:ilvl="1" w:tentative="1">
      <w:start w:val="1"/>
      <w:numFmt w:val="lowerLetter"/>
      <w:lvlText w:val="%2."/>
      <w:lvlJc w:val="left"/>
      <w:pPr>
        <w:ind w:left="10920" w:hanging="360"/>
      </w:pPr>
    </w:lvl>
    <w:lvl w:ilvl="2" w:tentative="1">
      <w:start w:val="1"/>
      <w:numFmt w:val="lowerRoman"/>
      <w:lvlText w:val="%3."/>
      <w:lvlJc w:val="right"/>
      <w:pPr>
        <w:ind w:left="11640" w:hanging="180"/>
      </w:pPr>
    </w:lvl>
    <w:lvl w:ilvl="3" w:tentative="1">
      <w:start w:val="1"/>
      <w:numFmt w:val="decimal"/>
      <w:lvlText w:val="%4."/>
      <w:lvlJc w:val="left"/>
      <w:pPr>
        <w:ind w:left="12360" w:hanging="360"/>
      </w:pPr>
    </w:lvl>
    <w:lvl w:ilvl="4" w:tentative="1">
      <w:start w:val="1"/>
      <w:numFmt w:val="lowerLetter"/>
      <w:lvlText w:val="%5."/>
      <w:lvlJc w:val="left"/>
      <w:pPr>
        <w:ind w:left="13080" w:hanging="360"/>
      </w:pPr>
    </w:lvl>
    <w:lvl w:ilvl="5" w:tentative="1">
      <w:start w:val="1"/>
      <w:numFmt w:val="lowerRoman"/>
      <w:lvlText w:val="%6."/>
      <w:lvlJc w:val="right"/>
      <w:pPr>
        <w:ind w:left="13800" w:hanging="180"/>
      </w:pPr>
    </w:lvl>
    <w:lvl w:ilvl="6" w:tentative="1">
      <w:start w:val="1"/>
      <w:numFmt w:val="decimal"/>
      <w:lvlText w:val="%7."/>
      <w:lvlJc w:val="left"/>
      <w:pPr>
        <w:ind w:left="14520" w:hanging="360"/>
      </w:pPr>
    </w:lvl>
    <w:lvl w:ilvl="7" w:tentative="1">
      <w:start w:val="1"/>
      <w:numFmt w:val="lowerLetter"/>
      <w:lvlText w:val="%8."/>
      <w:lvlJc w:val="left"/>
      <w:pPr>
        <w:ind w:left="15240" w:hanging="360"/>
      </w:pPr>
    </w:lvl>
    <w:lvl w:ilvl="8" w:tentative="1">
      <w:start w:val="1"/>
      <w:numFmt w:val="lowerRoman"/>
      <w:lvlText w:val="%9."/>
      <w:lvlJc w:val="right"/>
      <w:pPr>
        <w:ind w:left="1596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6">
    <w:nsid w:val="61182925"/>
    <w:multiLevelType w:val="singleLevel"/>
    <w:tmpl w:val="32540B7E"/>
    <w:lvl w:ilvl="0">
      <w:start w:val="1"/>
      <w:numFmt w:val="decimal"/>
      <w:pStyle w:val="ParaNum"/>
      <w:lvlText w:val="%1."/>
      <w:lvlJc w:val="left"/>
      <w:pPr>
        <w:tabs>
          <w:tab w:val="num" w:pos="1080"/>
        </w:tabs>
        <w:ind w:left="0" w:firstLine="720"/>
      </w:pPr>
      <w:rPr>
        <w:b w:val="0"/>
      </w:rPr>
    </w:lvl>
  </w:abstractNum>
  <w:abstractNum w:abstractNumId="17">
    <w:nsid w:val="7026295B"/>
    <w:multiLevelType w:val="hybridMultilevel"/>
    <w:tmpl w:val="E944570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8022AA4"/>
    <w:multiLevelType w:val="hybridMultilevel"/>
    <w:tmpl w:val="2D2EB1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A4F7EF8"/>
    <w:multiLevelType w:val="hybridMultilevel"/>
    <w:tmpl w:val="9E3294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D9D45B6"/>
    <w:multiLevelType w:val="hybridMultilevel"/>
    <w:tmpl w:val="175802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16"/>
  </w:num>
  <w:num w:numId="3">
    <w:abstractNumId w:val="8"/>
  </w:num>
  <w:num w:numId="4">
    <w:abstractNumId w:val="14"/>
  </w:num>
  <w:num w:numId="5">
    <w:abstractNumId w:val="7"/>
  </w:num>
  <w:num w:numId="6">
    <w:abstractNumId w:val="1"/>
  </w:num>
  <w:num w:numId="7">
    <w:abstractNumId w:val="19"/>
  </w:num>
  <w:num w:numId="8">
    <w:abstractNumId w:val="3"/>
  </w:num>
  <w:num w:numId="9">
    <w:abstractNumId w:val="1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6"/>
  </w:num>
  <w:num w:numId="15">
    <w:abstractNumId w:val="0"/>
  </w:num>
  <w:num w:numId="16">
    <w:abstractNumId w:val="20"/>
  </w:num>
  <w:num w:numId="17">
    <w:abstractNumId w:val="11"/>
  </w:num>
  <w:num w:numId="18">
    <w:abstractNumId w:val="16"/>
    <w:lvlOverride w:ilvl="0">
      <w:startOverride w:val="1"/>
    </w:lvlOverride>
  </w:num>
  <w:num w:numId="19">
    <w:abstractNumId w:val="16"/>
  </w:num>
  <w:num w:numId="20">
    <w:abstractNumId w:val="16"/>
  </w:num>
  <w:num w:numId="21">
    <w:abstractNumId w:val="16"/>
  </w:num>
  <w:num w:numId="22">
    <w:abstractNumId w:val="16"/>
  </w:num>
  <w:num w:numId="23">
    <w:abstractNumId w:val="15"/>
  </w:num>
  <w:num w:numId="24">
    <w:abstractNumId w:val="16"/>
  </w:num>
  <w:num w:numId="25">
    <w:abstractNumId w:val="16"/>
  </w:num>
  <w:num w:numId="26">
    <w:abstractNumId w:val="5"/>
  </w:num>
  <w:num w:numId="27">
    <w:abstractNumId w:val="17"/>
  </w:num>
  <w:num w:numId="28">
    <w:abstractNumId w:val="9"/>
  </w:num>
  <w:num w:numId="29">
    <w:abstractNumId w:val="2"/>
  </w:num>
  <w:num w:numId="30">
    <w:abstractNumId w:val="13"/>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E4"/>
    <w:rsid w:val="00003BB2"/>
    <w:rsid w:val="000049AF"/>
    <w:rsid w:val="00004EBE"/>
    <w:rsid w:val="000053B2"/>
    <w:rsid w:val="00006062"/>
    <w:rsid w:val="00006CF1"/>
    <w:rsid w:val="00006D69"/>
    <w:rsid w:val="000072CE"/>
    <w:rsid w:val="00007BBC"/>
    <w:rsid w:val="000111E5"/>
    <w:rsid w:val="00011466"/>
    <w:rsid w:val="00011AD7"/>
    <w:rsid w:val="00013A8B"/>
    <w:rsid w:val="00017A8C"/>
    <w:rsid w:val="00021445"/>
    <w:rsid w:val="00021A3A"/>
    <w:rsid w:val="000223C0"/>
    <w:rsid w:val="000243F6"/>
    <w:rsid w:val="00026241"/>
    <w:rsid w:val="00026A66"/>
    <w:rsid w:val="00031E8F"/>
    <w:rsid w:val="00033B81"/>
    <w:rsid w:val="0003412E"/>
    <w:rsid w:val="00036039"/>
    <w:rsid w:val="00037F90"/>
    <w:rsid w:val="00040C91"/>
    <w:rsid w:val="0004531F"/>
    <w:rsid w:val="00046564"/>
    <w:rsid w:val="0004715B"/>
    <w:rsid w:val="00052D77"/>
    <w:rsid w:val="00053E34"/>
    <w:rsid w:val="00053EED"/>
    <w:rsid w:val="00057AAA"/>
    <w:rsid w:val="00063545"/>
    <w:rsid w:val="00066E0A"/>
    <w:rsid w:val="00066FC7"/>
    <w:rsid w:val="00067E42"/>
    <w:rsid w:val="00071DAA"/>
    <w:rsid w:val="000778EA"/>
    <w:rsid w:val="0008030E"/>
    <w:rsid w:val="00080322"/>
    <w:rsid w:val="00080D95"/>
    <w:rsid w:val="0008108A"/>
    <w:rsid w:val="000811C2"/>
    <w:rsid w:val="00081D64"/>
    <w:rsid w:val="00082213"/>
    <w:rsid w:val="000822C5"/>
    <w:rsid w:val="0008356F"/>
    <w:rsid w:val="0008435B"/>
    <w:rsid w:val="00085E0B"/>
    <w:rsid w:val="000875BF"/>
    <w:rsid w:val="000908CB"/>
    <w:rsid w:val="00091CED"/>
    <w:rsid w:val="0009234F"/>
    <w:rsid w:val="000926ED"/>
    <w:rsid w:val="00092883"/>
    <w:rsid w:val="00093CF9"/>
    <w:rsid w:val="000941F3"/>
    <w:rsid w:val="00094F16"/>
    <w:rsid w:val="00095AEA"/>
    <w:rsid w:val="00095D3F"/>
    <w:rsid w:val="00096D8C"/>
    <w:rsid w:val="000970A9"/>
    <w:rsid w:val="000A04E2"/>
    <w:rsid w:val="000A2638"/>
    <w:rsid w:val="000A3320"/>
    <w:rsid w:val="000A3683"/>
    <w:rsid w:val="000A4191"/>
    <w:rsid w:val="000A6581"/>
    <w:rsid w:val="000A65DF"/>
    <w:rsid w:val="000A6614"/>
    <w:rsid w:val="000B3313"/>
    <w:rsid w:val="000B3534"/>
    <w:rsid w:val="000B4E90"/>
    <w:rsid w:val="000B5712"/>
    <w:rsid w:val="000B5CC4"/>
    <w:rsid w:val="000B6EA9"/>
    <w:rsid w:val="000B7112"/>
    <w:rsid w:val="000B759E"/>
    <w:rsid w:val="000B7D38"/>
    <w:rsid w:val="000C0B65"/>
    <w:rsid w:val="000C2B4E"/>
    <w:rsid w:val="000C403F"/>
    <w:rsid w:val="000C4562"/>
    <w:rsid w:val="000C6370"/>
    <w:rsid w:val="000D01A0"/>
    <w:rsid w:val="000D08DB"/>
    <w:rsid w:val="000D173D"/>
    <w:rsid w:val="000E0E71"/>
    <w:rsid w:val="000E1D85"/>
    <w:rsid w:val="000E3BBF"/>
    <w:rsid w:val="000E3D42"/>
    <w:rsid w:val="000E50E0"/>
    <w:rsid w:val="000E5884"/>
    <w:rsid w:val="000F042E"/>
    <w:rsid w:val="000F1379"/>
    <w:rsid w:val="000F32DB"/>
    <w:rsid w:val="000F3B41"/>
    <w:rsid w:val="000F4086"/>
    <w:rsid w:val="000F56EA"/>
    <w:rsid w:val="000F7AB1"/>
    <w:rsid w:val="00102524"/>
    <w:rsid w:val="00103D3F"/>
    <w:rsid w:val="0010649F"/>
    <w:rsid w:val="00107E8E"/>
    <w:rsid w:val="001123FB"/>
    <w:rsid w:val="00114584"/>
    <w:rsid w:val="0011588E"/>
    <w:rsid w:val="00121265"/>
    <w:rsid w:val="00122BD5"/>
    <w:rsid w:val="00124483"/>
    <w:rsid w:val="00126D36"/>
    <w:rsid w:val="00127CCC"/>
    <w:rsid w:val="00130AE6"/>
    <w:rsid w:val="00136234"/>
    <w:rsid w:val="00137453"/>
    <w:rsid w:val="00142739"/>
    <w:rsid w:val="00143DA2"/>
    <w:rsid w:val="00144C68"/>
    <w:rsid w:val="0014571B"/>
    <w:rsid w:val="0015117C"/>
    <w:rsid w:val="00151A9D"/>
    <w:rsid w:val="00152A67"/>
    <w:rsid w:val="0015385D"/>
    <w:rsid w:val="00153A58"/>
    <w:rsid w:val="00154291"/>
    <w:rsid w:val="00154C13"/>
    <w:rsid w:val="001555EE"/>
    <w:rsid w:val="00156FA9"/>
    <w:rsid w:val="00160131"/>
    <w:rsid w:val="001617E9"/>
    <w:rsid w:val="00161C39"/>
    <w:rsid w:val="00162247"/>
    <w:rsid w:val="001623B6"/>
    <w:rsid w:val="00162E16"/>
    <w:rsid w:val="0016346C"/>
    <w:rsid w:val="0016766A"/>
    <w:rsid w:val="001709B9"/>
    <w:rsid w:val="00172307"/>
    <w:rsid w:val="00172A41"/>
    <w:rsid w:val="001734DA"/>
    <w:rsid w:val="00174091"/>
    <w:rsid w:val="001766D7"/>
    <w:rsid w:val="001773B7"/>
    <w:rsid w:val="00182F77"/>
    <w:rsid w:val="001854CF"/>
    <w:rsid w:val="0018693B"/>
    <w:rsid w:val="00190F6C"/>
    <w:rsid w:val="0019233E"/>
    <w:rsid w:val="00192B01"/>
    <w:rsid w:val="0019674D"/>
    <w:rsid w:val="001979D9"/>
    <w:rsid w:val="001A2130"/>
    <w:rsid w:val="001A272C"/>
    <w:rsid w:val="001A4103"/>
    <w:rsid w:val="001A44C0"/>
    <w:rsid w:val="001A5091"/>
    <w:rsid w:val="001A625C"/>
    <w:rsid w:val="001A7534"/>
    <w:rsid w:val="001B60F9"/>
    <w:rsid w:val="001B68F9"/>
    <w:rsid w:val="001B6C2F"/>
    <w:rsid w:val="001C0856"/>
    <w:rsid w:val="001C118C"/>
    <w:rsid w:val="001C2B51"/>
    <w:rsid w:val="001C2DF5"/>
    <w:rsid w:val="001C3D11"/>
    <w:rsid w:val="001C4869"/>
    <w:rsid w:val="001C4E3E"/>
    <w:rsid w:val="001D25E7"/>
    <w:rsid w:val="001D3008"/>
    <w:rsid w:val="001D3C2C"/>
    <w:rsid w:val="001D3FA4"/>
    <w:rsid w:val="001D5780"/>
    <w:rsid w:val="001D66CF"/>
    <w:rsid w:val="001D6BCF"/>
    <w:rsid w:val="001D7350"/>
    <w:rsid w:val="001E01CA"/>
    <w:rsid w:val="001E1948"/>
    <w:rsid w:val="001E19F6"/>
    <w:rsid w:val="001E2320"/>
    <w:rsid w:val="001E663D"/>
    <w:rsid w:val="001E721E"/>
    <w:rsid w:val="001F2AF4"/>
    <w:rsid w:val="001F2DF6"/>
    <w:rsid w:val="001F308E"/>
    <w:rsid w:val="001F374F"/>
    <w:rsid w:val="001F69E9"/>
    <w:rsid w:val="001F71A8"/>
    <w:rsid w:val="0020284C"/>
    <w:rsid w:val="002032C3"/>
    <w:rsid w:val="002060D9"/>
    <w:rsid w:val="00211ED9"/>
    <w:rsid w:val="00214123"/>
    <w:rsid w:val="002211A1"/>
    <w:rsid w:val="002237D5"/>
    <w:rsid w:val="00223BD2"/>
    <w:rsid w:val="002250DB"/>
    <w:rsid w:val="00226822"/>
    <w:rsid w:val="0022686A"/>
    <w:rsid w:val="00227008"/>
    <w:rsid w:val="00227A43"/>
    <w:rsid w:val="002306D7"/>
    <w:rsid w:val="002320F3"/>
    <w:rsid w:val="00242EFD"/>
    <w:rsid w:val="00243B05"/>
    <w:rsid w:val="002449B1"/>
    <w:rsid w:val="00246793"/>
    <w:rsid w:val="00247BC2"/>
    <w:rsid w:val="00250BCB"/>
    <w:rsid w:val="002542EE"/>
    <w:rsid w:val="0025438D"/>
    <w:rsid w:val="00254C1B"/>
    <w:rsid w:val="00256F4A"/>
    <w:rsid w:val="00260594"/>
    <w:rsid w:val="002627E8"/>
    <w:rsid w:val="002702E9"/>
    <w:rsid w:val="00277554"/>
    <w:rsid w:val="00280A95"/>
    <w:rsid w:val="0028470C"/>
    <w:rsid w:val="00285017"/>
    <w:rsid w:val="00286830"/>
    <w:rsid w:val="002870ED"/>
    <w:rsid w:val="0028722E"/>
    <w:rsid w:val="00290580"/>
    <w:rsid w:val="00292051"/>
    <w:rsid w:val="002921DB"/>
    <w:rsid w:val="002934F5"/>
    <w:rsid w:val="002940BD"/>
    <w:rsid w:val="002964FE"/>
    <w:rsid w:val="00296EEB"/>
    <w:rsid w:val="002976DA"/>
    <w:rsid w:val="002A04E8"/>
    <w:rsid w:val="002A2D2E"/>
    <w:rsid w:val="002A4E8E"/>
    <w:rsid w:val="002A7D77"/>
    <w:rsid w:val="002B079E"/>
    <w:rsid w:val="002B0E68"/>
    <w:rsid w:val="002B0EF1"/>
    <w:rsid w:val="002B2DED"/>
    <w:rsid w:val="002B3B16"/>
    <w:rsid w:val="002B3D73"/>
    <w:rsid w:val="002B56BC"/>
    <w:rsid w:val="002B680E"/>
    <w:rsid w:val="002B6DD9"/>
    <w:rsid w:val="002C1858"/>
    <w:rsid w:val="002C536C"/>
    <w:rsid w:val="002C5640"/>
    <w:rsid w:val="002C6B97"/>
    <w:rsid w:val="002C6E32"/>
    <w:rsid w:val="002D0F4F"/>
    <w:rsid w:val="002D3499"/>
    <w:rsid w:val="002D4215"/>
    <w:rsid w:val="002D4388"/>
    <w:rsid w:val="002D44F6"/>
    <w:rsid w:val="002D767B"/>
    <w:rsid w:val="002E297F"/>
    <w:rsid w:val="002E338D"/>
    <w:rsid w:val="002E3A90"/>
    <w:rsid w:val="002E52C7"/>
    <w:rsid w:val="002E56C2"/>
    <w:rsid w:val="002E5F07"/>
    <w:rsid w:val="002F31C1"/>
    <w:rsid w:val="002F3E14"/>
    <w:rsid w:val="002F4282"/>
    <w:rsid w:val="002F460B"/>
    <w:rsid w:val="002F619F"/>
    <w:rsid w:val="002F7BC4"/>
    <w:rsid w:val="002F7E87"/>
    <w:rsid w:val="002F7E88"/>
    <w:rsid w:val="00300A04"/>
    <w:rsid w:val="00300EEE"/>
    <w:rsid w:val="003026FB"/>
    <w:rsid w:val="00304378"/>
    <w:rsid w:val="003050DA"/>
    <w:rsid w:val="00306A8A"/>
    <w:rsid w:val="00306F52"/>
    <w:rsid w:val="00312522"/>
    <w:rsid w:val="00313B0D"/>
    <w:rsid w:val="00314572"/>
    <w:rsid w:val="00320F8E"/>
    <w:rsid w:val="003243E4"/>
    <w:rsid w:val="003268F0"/>
    <w:rsid w:val="00332E51"/>
    <w:rsid w:val="00333EF5"/>
    <w:rsid w:val="003340F0"/>
    <w:rsid w:val="00335509"/>
    <w:rsid w:val="003410B8"/>
    <w:rsid w:val="00341382"/>
    <w:rsid w:val="003414C1"/>
    <w:rsid w:val="00343749"/>
    <w:rsid w:val="00344D71"/>
    <w:rsid w:val="00347FFD"/>
    <w:rsid w:val="00350F00"/>
    <w:rsid w:val="003520B1"/>
    <w:rsid w:val="003531FD"/>
    <w:rsid w:val="003535E3"/>
    <w:rsid w:val="003560B4"/>
    <w:rsid w:val="0035668A"/>
    <w:rsid w:val="0035744E"/>
    <w:rsid w:val="00357D50"/>
    <w:rsid w:val="00363E31"/>
    <w:rsid w:val="00365E1E"/>
    <w:rsid w:val="00366903"/>
    <w:rsid w:val="00370E3A"/>
    <w:rsid w:val="00370ED6"/>
    <w:rsid w:val="0037100E"/>
    <w:rsid w:val="003712BD"/>
    <w:rsid w:val="00371743"/>
    <w:rsid w:val="003718FA"/>
    <w:rsid w:val="00371F41"/>
    <w:rsid w:val="0037226D"/>
    <w:rsid w:val="003759CB"/>
    <w:rsid w:val="00375C49"/>
    <w:rsid w:val="0038328C"/>
    <w:rsid w:val="00385A2C"/>
    <w:rsid w:val="00386C3D"/>
    <w:rsid w:val="0038733A"/>
    <w:rsid w:val="00387B0C"/>
    <w:rsid w:val="003925DC"/>
    <w:rsid w:val="0039274A"/>
    <w:rsid w:val="00394F6A"/>
    <w:rsid w:val="003953BE"/>
    <w:rsid w:val="00397637"/>
    <w:rsid w:val="0039778C"/>
    <w:rsid w:val="00397860"/>
    <w:rsid w:val="00397F30"/>
    <w:rsid w:val="003A2F82"/>
    <w:rsid w:val="003A47F9"/>
    <w:rsid w:val="003A55AD"/>
    <w:rsid w:val="003A6274"/>
    <w:rsid w:val="003A7F24"/>
    <w:rsid w:val="003B0550"/>
    <w:rsid w:val="003B2E72"/>
    <w:rsid w:val="003B333D"/>
    <w:rsid w:val="003B405F"/>
    <w:rsid w:val="003B4555"/>
    <w:rsid w:val="003B4A50"/>
    <w:rsid w:val="003B694F"/>
    <w:rsid w:val="003B6950"/>
    <w:rsid w:val="003C1F56"/>
    <w:rsid w:val="003C23EC"/>
    <w:rsid w:val="003C3520"/>
    <w:rsid w:val="003C43C5"/>
    <w:rsid w:val="003C64A5"/>
    <w:rsid w:val="003C7FC3"/>
    <w:rsid w:val="003D02AE"/>
    <w:rsid w:val="003D0412"/>
    <w:rsid w:val="003D22DF"/>
    <w:rsid w:val="003D259C"/>
    <w:rsid w:val="003D30E4"/>
    <w:rsid w:val="003D57C9"/>
    <w:rsid w:val="003D66FF"/>
    <w:rsid w:val="003E283E"/>
    <w:rsid w:val="003E6B34"/>
    <w:rsid w:val="003F171C"/>
    <w:rsid w:val="003F3275"/>
    <w:rsid w:val="003F3AE6"/>
    <w:rsid w:val="003F64C7"/>
    <w:rsid w:val="003F78F2"/>
    <w:rsid w:val="003F7B70"/>
    <w:rsid w:val="004009EA"/>
    <w:rsid w:val="004040ED"/>
    <w:rsid w:val="00405C3B"/>
    <w:rsid w:val="00406477"/>
    <w:rsid w:val="004068DE"/>
    <w:rsid w:val="00407E72"/>
    <w:rsid w:val="0041191B"/>
    <w:rsid w:val="00412FC5"/>
    <w:rsid w:val="00414F76"/>
    <w:rsid w:val="00415857"/>
    <w:rsid w:val="00417A6A"/>
    <w:rsid w:val="00417D2C"/>
    <w:rsid w:val="00422276"/>
    <w:rsid w:val="004237A2"/>
    <w:rsid w:val="004242F1"/>
    <w:rsid w:val="00425579"/>
    <w:rsid w:val="00426EF2"/>
    <w:rsid w:val="00435454"/>
    <w:rsid w:val="00435596"/>
    <w:rsid w:val="004377A2"/>
    <w:rsid w:val="00437A2E"/>
    <w:rsid w:val="00441217"/>
    <w:rsid w:val="00444C8E"/>
    <w:rsid w:val="00445A00"/>
    <w:rsid w:val="00446CB5"/>
    <w:rsid w:val="004473D1"/>
    <w:rsid w:val="004516A8"/>
    <w:rsid w:val="004516D0"/>
    <w:rsid w:val="00451B0F"/>
    <w:rsid w:val="00454B9A"/>
    <w:rsid w:val="00455C04"/>
    <w:rsid w:val="00457B1D"/>
    <w:rsid w:val="00457F6B"/>
    <w:rsid w:val="0046125F"/>
    <w:rsid w:val="00463B29"/>
    <w:rsid w:val="00466587"/>
    <w:rsid w:val="00466659"/>
    <w:rsid w:val="00467558"/>
    <w:rsid w:val="00475DE3"/>
    <w:rsid w:val="00477B90"/>
    <w:rsid w:val="0048250D"/>
    <w:rsid w:val="00482B3C"/>
    <w:rsid w:val="00483628"/>
    <w:rsid w:val="004842D1"/>
    <w:rsid w:val="00485823"/>
    <w:rsid w:val="00487524"/>
    <w:rsid w:val="0049037A"/>
    <w:rsid w:val="0049169A"/>
    <w:rsid w:val="00491CA1"/>
    <w:rsid w:val="004927FB"/>
    <w:rsid w:val="004960EF"/>
    <w:rsid w:val="00496106"/>
    <w:rsid w:val="004A004F"/>
    <w:rsid w:val="004A03F8"/>
    <w:rsid w:val="004A0458"/>
    <w:rsid w:val="004A3082"/>
    <w:rsid w:val="004A6989"/>
    <w:rsid w:val="004A7038"/>
    <w:rsid w:val="004B17FD"/>
    <w:rsid w:val="004B1C06"/>
    <w:rsid w:val="004B62FA"/>
    <w:rsid w:val="004B6A82"/>
    <w:rsid w:val="004C12D0"/>
    <w:rsid w:val="004C2EE3"/>
    <w:rsid w:val="004C4A42"/>
    <w:rsid w:val="004C69C6"/>
    <w:rsid w:val="004D04F3"/>
    <w:rsid w:val="004D59B5"/>
    <w:rsid w:val="004D67DD"/>
    <w:rsid w:val="004E4A22"/>
    <w:rsid w:val="004E78E6"/>
    <w:rsid w:val="004F0C95"/>
    <w:rsid w:val="004F0ED1"/>
    <w:rsid w:val="004F1D55"/>
    <w:rsid w:val="004F1FDB"/>
    <w:rsid w:val="004F2292"/>
    <w:rsid w:val="004F6EE1"/>
    <w:rsid w:val="005005E4"/>
    <w:rsid w:val="00500917"/>
    <w:rsid w:val="005009C5"/>
    <w:rsid w:val="00501105"/>
    <w:rsid w:val="005013AB"/>
    <w:rsid w:val="00503770"/>
    <w:rsid w:val="0050453F"/>
    <w:rsid w:val="005045BF"/>
    <w:rsid w:val="005048F5"/>
    <w:rsid w:val="005061E6"/>
    <w:rsid w:val="00511587"/>
    <w:rsid w:val="0051173E"/>
    <w:rsid w:val="00511968"/>
    <w:rsid w:val="00513855"/>
    <w:rsid w:val="00514005"/>
    <w:rsid w:val="00517A2B"/>
    <w:rsid w:val="005215C9"/>
    <w:rsid w:val="00521B01"/>
    <w:rsid w:val="00521F6D"/>
    <w:rsid w:val="00522571"/>
    <w:rsid w:val="00523991"/>
    <w:rsid w:val="0052661F"/>
    <w:rsid w:val="0053027D"/>
    <w:rsid w:val="00535ECF"/>
    <w:rsid w:val="00536246"/>
    <w:rsid w:val="0053633B"/>
    <w:rsid w:val="00537570"/>
    <w:rsid w:val="005401F1"/>
    <w:rsid w:val="00540262"/>
    <w:rsid w:val="00540A1D"/>
    <w:rsid w:val="005412EF"/>
    <w:rsid w:val="00541668"/>
    <w:rsid w:val="00541E4D"/>
    <w:rsid w:val="00542A31"/>
    <w:rsid w:val="005510C8"/>
    <w:rsid w:val="0055270B"/>
    <w:rsid w:val="0055300F"/>
    <w:rsid w:val="00555953"/>
    <w:rsid w:val="0055614C"/>
    <w:rsid w:val="00557072"/>
    <w:rsid w:val="005625B8"/>
    <w:rsid w:val="00564C88"/>
    <w:rsid w:val="0056658B"/>
    <w:rsid w:val="00570834"/>
    <w:rsid w:val="00570AC7"/>
    <w:rsid w:val="0057273A"/>
    <w:rsid w:val="00573208"/>
    <w:rsid w:val="0057338F"/>
    <w:rsid w:val="0057348A"/>
    <w:rsid w:val="00574247"/>
    <w:rsid w:val="00577D26"/>
    <w:rsid w:val="00580B02"/>
    <w:rsid w:val="005811DB"/>
    <w:rsid w:val="00581762"/>
    <w:rsid w:val="00582588"/>
    <w:rsid w:val="00590320"/>
    <w:rsid w:val="00591456"/>
    <w:rsid w:val="0059382B"/>
    <w:rsid w:val="00594274"/>
    <w:rsid w:val="005965FD"/>
    <w:rsid w:val="005966FC"/>
    <w:rsid w:val="00596FAD"/>
    <w:rsid w:val="00597565"/>
    <w:rsid w:val="00597A27"/>
    <w:rsid w:val="005A348B"/>
    <w:rsid w:val="005A4A62"/>
    <w:rsid w:val="005A7AF1"/>
    <w:rsid w:val="005B0A84"/>
    <w:rsid w:val="005B43C2"/>
    <w:rsid w:val="005C0096"/>
    <w:rsid w:val="005C0441"/>
    <w:rsid w:val="005C09DD"/>
    <w:rsid w:val="005C2788"/>
    <w:rsid w:val="005C2C23"/>
    <w:rsid w:val="005C2CBE"/>
    <w:rsid w:val="005C2CC1"/>
    <w:rsid w:val="005C4C0E"/>
    <w:rsid w:val="005D1770"/>
    <w:rsid w:val="005D668D"/>
    <w:rsid w:val="005D6A1E"/>
    <w:rsid w:val="005E3563"/>
    <w:rsid w:val="005E53F3"/>
    <w:rsid w:val="005F001B"/>
    <w:rsid w:val="005F0252"/>
    <w:rsid w:val="005F283B"/>
    <w:rsid w:val="005F30CA"/>
    <w:rsid w:val="005F32D3"/>
    <w:rsid w:val="005F418F"/>
    <w:rsid w:val="005F467D"/>
    <w:rsid w:val="005F4F33"/>
    <w:rsid w:val="005F6638"/>
    <w:rsid w:val="005F67BA"/>
    <w:rsid w:val="00601827"/>
    <w:rsid w:val="00603B7D"/>
    <w:rsid w:val="00605180"/>
    <w:rsid w:val="00606A8A"/>
    <w:rsid w:val="00606ED6"/>
    <w:rsid w:val="00607261"/>
    <w:rsid w:val="00607BA5"/>
    <w:rsid w:val="00611BA6"/>
    <w:rsid w:val="006133E6"/>
    <w:rsid w:val="00616C3F"/>
    <w:rsid w:val="00616F2F"/>
    <w:rsid w:val="00616F6E"/>
    <w:rsid w:val="00617CBE"/>
    <w:rsid w:val="006200B4"/>
    <w:rsid w:val="00621E37"/>
    <w:rsid w:val="00622368"/>
    <w:rsid w:val="00622D1D"/>
    <w:rsid w:val="00622FB7"/>
    <w:rsid w:val="00623D11"/>
    <w:rsid w:val="00625BD2"/>
    <w:rsid w:val="00625D2E"/>
    <w:rsid w:val="00626EB6"/>
    <w:rsid w:val="006305DB"/>
    <w:rsid w:val="00630BF9"/>
    <w:rsid w:val="006318F7"/>
    <w:rsid w:val="00632935"/>
    <w:rsid w:val="00632ADA"/>
    <w:rsid w:val="006346DE"/>
    <w:rsid w:val="00635228"/>
    <w:rsid w:val="006353A3"/>
    <w:rsid w:val="00636C53"/>
    <w:rsid w:val="00637280"/>
    <w:rsid w:val="0063773A"/>
    <w:rsid w:val="00637CCE"/>
    <w:rsid w:val="00640866"/>
    <w:rsid w:val="006429D6"/>
    <w:rsid w:val="00644AF8"/>
    <w:rsid w:val="0065098F"/>
    <w:rsid w:val="00650DAC"/>
    <w:rsid w:val="00655D03"/>
    <w:rsid w:val="0065613A"/>
    <w:rsid w:val="0065647A"/>
    <w:rsid w:val="00657C13"/>
    <w:rsid w:val="006603AA"/>
    <w:rsid w:val="00660BF2"/>
    <w:rsid w:val="00660F32"/>
    <w:rsid w:val="0066167B"/>
    <w:rsid w:val="00661EE8"/>
    <w:rsid w:val="006621C1"/>
    <w:rsid w:val="006623ED"/>
    <w:rsid w:val="00662611"/>
    <w:rsid w:val="00662E88"/>
    <w:rsid w:val="00663058"/>
    <w:rsid w:val="00665D48"/>
    <w:rsid w:val="0066683C"/>
    <w:rsid w:val="00667BA3"/>
    <w:rsid w:val="00671242"/>
    <w:rsid w:val="00671965"/>
    <w:rsid w:val="00672DF1"/>
    <w:rsid w:val="00681864"/>
    <w:rsid w:val="00682111"/>
    <w:rsid w:val="0068312F"/>
    <w:rsid w:val="0068346D"/>
    <w:rsid w:val="00683F84"/>
    <w:rsid w:val="006865EB"/>
    <w:rsid w:val="00691F35"/>
    <w:rsid w:val="0069370A"/>
    <w:rsid w:val="006A046C"/>
    <w:rsid w:val="006A1BFC"/>
    <w:rsid w:val="006A3D3B"/>
    <w:rsid w:val="006A50EB"/>
    <w:rsid w:val="006A5219"/>
    <w:rsid w:val="006A637F"/>
    <w:rsid w:val="006A6A81"/>
    <w:rsid w:val="006A6AAB"/>
    <w:rsid w:val="006A709A"/>
    <w:rsid w:val="006A7C87"/>
    <w:rsid w:val="006B064D"/>
    <w:rsid w:val="006B185B"/>
    <w:rsid w:val="006B35C3"/>
    <w:rsid w:val="006B5DB7"/>
    <w:rsid w:val="006C0CCD"/>
    <w:rsid w:val="006C0F05"/>
    <w:rsid w:val="006C1C60"/>
    <w:rsid w:val="006D37CC"/>
    <w:rsid w:val="006D47CA"/>
    <w:rsid w:val="006D4CB0"/>
    <w:rsid w:val="006D622C"/>
    <w:rsid w:val="006E003D"/>
    <w:rsid w:val="006E1D33"/>
    <w:rsid w:val="006E26AF"/>
    <w:rsid w:val="006E60AA"/>
    <w:rsid w:val="006E7F49"/>
    <w:rsid w:val="006F1534"/>
    <w:rsid w:val="006F22D9"/>
    <w:rsid w:val="006F3BC7"/>
    <w:rsid w:val="006F7393"/>
    <w:rsid w:val="007004CD"/>
    <w:rsid w:val="0070224F"/>
    <w:rsid w:val="00705157"/>
    <w:rsid w:val="00705A72"/>
    <w:rsid w:val="00710A10"/>
    <w:rsid w:val="00711309"/>
    <w:rsid w:val="007113D2"/>
    <w:rsid w:val="007115F7"/>
    <w:rsid w:val="00713EBA"/>
    <w:rsid w:val="00714051"/>
    <w:rsid w:val="00714088"/>
    <w:rsid w:val="00715675"/>
    <w:rsid w:val="00715D17"/>
    <w:rsid w:val="0072160D"/>
    <w:rsid w:val="00721D23"/>
    <w:rsid w:val="0072200B"/>
    <w:rsid w:val="007227B0"/>
    <w:rsid w:val="007238C5"/>
    <w:rsid w:val="00724E53"/>
    <w:rsid w:val="00725107"/>
    <w:rsid w:val="00727960"/>
    <w:rsid w:val="0073266E"/>
    <w:rsid w:val="00733390"/>
    <w:rsid w:val="007367BD"/>
    <w:rsid w:val="00736F06"/>
    <w:rsid w:val="00737666"/>
    <w:rsid w:val="00737855"/>
    <w:rsid w:val="007406E1"/>
    <w:rsid w:val="007462AE"/>
    <w:rsid w:val="0074675F"/>
    <w:rsid w:val="00750400"/>
    <w:rsid w:val="00752E1C"/>
    <w:rsid w:val="00757659"/>
    <w:rsid w:val="00760448"/>
    <w:rsid w:val="00764B9D"/>
    <w:rsid w:val="00767A8C"/>
    <w:rsid w:val="007717B5"/>
    <w:rsid w:val="00771D28"/>
    <w:rsid w:val="00771EF6"/>
    <w:rsid w:val="00773E01"/>
    <w:rsid w:val="0077420A"/>
    <w:rsid w:val="00774B64"/>
    <w:rsid w:val="007771FA"/>
    <w:rsid w:val="00781991"/>
    <w:rsid w:val="00781CD4"/>
    <w:rsid w:val="007834DA"/>
    <w:rsid w:val="00785689"/>
    <w:rsid w:val="00785C86"/>
    <w:rsid w:val="00787222"/>
    <w:rsid w:val="00792B4E"/>
    <w:rsid w:val="0079754B"/>
    <w:rsid w:val="007A00A0"/>
    <w:rsid w:val="007A1E6D"/>
    <w:rsid w:val="007A31BA"/>
    <w:rsid w:val="007A525D"/>
    <w:rsid w:val="007A797A"/>
    <w:rsid w:val="007B5ECC"/>
    <w:rsid w:val="007B7457"/>
    <w:rsid w:val="007B7CE0"/>
    <w:rsid w:val="007C3CB6"/>
    <w:rsid w:val="007C4813"/>
    <w:rsid w:val="007C5D8E"/>
    <w:rsid w:val="007C6B55"/>
    <w:rsid w:val="007D4955"/>
    <w:rsid w:val="007D6C8B"/>
    <w:rsid w:val="007D7CB1"/>
    <w:rsid w:val="007D7FEC"/>
    <w:rsid w:val="007E53E4"/>
    <w:rsid w:val="007E57CB"/>
    <w:rsid w:val="007E5F7A"/>
    <w:rsid w:val="007F2622"/>
    <w:rsid w:val="007F4343"/>
    <w:rsid w:val="007F50E4"/>
    <w:rsid w:val="007F72D8"/>
    <w:rsid w:val="00801029"/>
    <w:rsid w:val="008030A1"/>
    <w:rsid w:val="008046BA"/>
    <w:rsid w:val="008046EE"/>
    <w:rsid w:val="00805326"/>
    <w:rsid w:val="00805CB8"/>
    <w:rsid w:val="00806873"/>
    <w:rsid w:val="00806E19"/>
    <w:rsid w:val="0081003E"/>
    <w:rsid w:val="008132B1"/>
    <w:rsid w:val="008140F9"/>
    <w:rsid w:val="008207A6"/>
    <w:rsid w:val="0082167F"/>
    <w:rsid w:val="00822CE0"/>
    <w:rsid w:val="00827212"/>
    <w:rsid w:val="00827366"/>
    <w:rsid w:val="008345AB"/>
    <w:rsid w:val="0083461C"/>
    <w:rsid w:val="00834737"/>
    <w:rsid w:val="00835130"/>
    <w:rsid w:val="0083565D"/>
    <w:rsid w:val="0083601F"/>
    <w:rsid w:val="00837C62"/>
    <w:rsid w:val="00841AB1"/>
    <w:rsid w:val="00842BD8"/>
    <w:rsid w:val="0084341D"/>
    <w:rsid w:val="00846288"/>
    <w:rsid w:val="0084669B"/>
    <w:rsid w:val="008512E8"/>
    <w:rsid w:val="00853AD8"/>
    <w:rsid w:val="00854455"/>
    <w:rsid w:val="00854BA9"/>
    <w:rsid w:val="00862B31"/>
    <w:rsid w:val="0086309F"/>
    <w:rsid w:val="00863E87"/>
    <w:rsid w:val="00866652"/>
    <w:rsid w:val="008711FE"/>
    <w:rsid w:val="008734DE"/>
    <w:rsid w:val="0087642C"/>
    <w:rsid w:val="008766D4"/>
    <w:rsid w:val="00876A63"/>
    <w:rsid w:val="008776E1"/>
    <w:rsid w:val="00884270"/>
    <w:rsid w:val="00885090"/>
    <w:rsid w:val="00887B90"/>
    <w:rsid w:val="00890A95"/>
    <w:rsid w:val="0089456E"/>
    <w:rsid w:val="008959F5"/>
    <w:rsid w:val="008A002B"/>
    <w:rsid w:val="008A041A"/>
    <w:rsid w:val="008A2AF6"/>
    <w:rsid w:val="008A5107"/>
    <w:rsid w:val="008B0794"/>
    <w:rsid w:val="008B2C2F"/>
    <w:rsid w:val="008B48FA"/>
    <w:rsid w:val="008B5FEE"/>
    <w:rsid w:val="008B7086"/>
    <w:rsid w:val="008B736D"/>
    <w:rsid w:val="008C1F58"/>
    <w:rsid w:val="008C22FD"/>
    <w:rsid w:val="008C2829"/>
    <w:rsid w:val="008C494F"/>
    <w:rsid w:val="008C5817"/>
    <w:rsid w:val="008C59CE"/>
    <w:rsid w:val="008C7004"/>
    <w:rsid w:val="008D2C71"/>
    <w:rsid w:val="008D4829"/>
    <w:rsid w:val="008E614B"/>
    <w:rsid w:val="008F18D7"/>
    <w:rsid w:val="008F263D"/>
    <w:rsid w:val="008F33F1"/>
    <w:rsid w:val="008F3921"/>
    <w:rsid w:val="008F3F69"/>
    <w:rsid w:val="008F4E3E"/>
    <w:rsid w:val="00900253"/>
    <w:rsid w:val="009048DC"/>
    <w:rsid w:val="00905BE2"/>
    <w:rsid w:val="00906093"/>
    <w:rsid w:val="009074BA"/>
    <w:rsid w:val="00907CDF"/>
    <w:rsid w:val="00910F12"/>
    <w:rsid w:val="00911975"/>
    <w:rsid w:val="00912B61"/>
    <w:rsid w:val="00913744"/>
    <w:rsid w:val="00913A4C"/>
    <w:rsid w:val="00914A4A"/>
    <w:rsid w:val="009169E0"/>
    <w:rsid w:val="00921801"/>
    <w:rsid w:val="00922F28"/>
    <w:rsid w:val="00923887"/>
    <w:rsid w:val="0092549F"/>
    <w:rsid w:val="009258B8"/>
    <w:rsid w:val="00926503"/>
    <w:rsid w:val="009272F7"/>
    <w:rsid w:val="009278BF"/>
    <w:rsid w:val="00930ECF"/>
    <w:rsid w:val="00933D45"/>
    <w:rsid w:val="009355E7"/>
    <w:rsid w:val="00936D68"/>
    <w:rsid w:val="00941BB1"/>
    <w:rsid w:val="00941BDC"/>
    <w:rsid w:val="0094430C"/>
    <w:rsid w:val="00945C8F"/>
    <w:rsid w:val="0094661F"/>
    <w:rsid w:val="00947134"/>
    <w:rsid w:val="00951F55"/>
    <w:rsid w:val="009533E7"/>
    <w:rsid w:val="009549E9"/>
    <w:rsid w:val="00955E0F"/>
    <w:rsid w:val="00957EB9"/>
    <w:rsid w:val="00963D96"/>
    <w:rsid w:val="00964585"/>
    <w:rsid w:val="00965630"/>
    <w:rsid w:val="009661CB"/>
    <w:rsid w:val="009667B7"/>
    <w:rsid w:val="009676ED"/>
    <w:rsid w:val="00973778"/>
    <w:rsid w:val="009739B8"/>
    <w:rsid w:val="00975C0F"/>
    <w:rsid w:val="00976F5D"/>
    <w:rsid w:val="00981BC5"/>
    <w:rsid w:val="009838BC"/>
    <w:rsid w:val="009840B5"/>
    <w:rsid w:val="00985A55"/>
    <w:rsid w:val="009900F5"/>
    <w:rsid w:val="0099033F"/>
    <w:rsid w:val="0099158A"/>
    <w:rsid w:val="00991738"/>
    <w:rsid w:val="009919F4"/>
    <w:rsid w:val="00991A03"/>
    <w:rsid w:val="00992E90"/>
    <w:rsid w:val="00997162"/>
    <w:rsid w:val="009A16A5"/>
    <w:rsid w:val="009A3329"/>
    <w:rsid w:val="009A5004"/>
    <w:rsid w:val="009A51AE"/>
    <w:rsid w:val="009A6539"/>
    <w:rsid w:val="009A705C"/>
    <w:rsid w:val="009B1C6A"/>
    <w:rsid w:val="009B214C"/>
    <w:rsid w:val="009B380D"/>
    <w:rsid w:val="009B3F80"/>
    <w:rsid w:val="009B418B"/>
    <w:rsid w:val="009B41CF"/>
    <w:rsid w:val="009C0B37"/>
    <w:rsid w:val="009C1F35"/>
    <w:rsid w:val="009C3EB4"/>
    <w:rsid w:val="009C7A0B"/>
    <w:rsid w:val="009D48D4"/>
    <w:rsid w:val="009D5D23"/>
    <w:rsid w:val="009D65A2"/>
    <w:rsid w:val="009E1E2F"/>
    <w:rsid w:val="009E4853"/>
    <w:rsid w:val="009E4DBB"/>
    <w:rsid w:val="009E7777"/>
    <w:rsid w:val="009F41CF"/>
    <w:rsid w:val="009F45F0"/>
    <w:rsid w:val="009F5DF3"/>
    <w:rsid w:val="009F6D73"/>
    <w:rsid w:val="00A21DB4"/>
    <w:rsid w:val="00A23CF9"/>
    <w:rsid w:val="00A24E97"/>
    <w:rsid w:val="00A255C4"/>
    <w:rsid w:val="00A25BE3"/>
    <w:rsid w:val="00A26A4F"/>
    <w:rsid w:val="00A26F8D"/>
    <w:rsid w:val="00A30400"/>
    <w:rsid w:val="00A32703"/>
    <w:rsid w:val="00A33F47"/>
    <w:rsid w:val="00A34235"/>
    <w:rsid w:val="00A3755F"/>
    <w:rsid w:val="00A37D74"/>
    <w:rsid w:val="00A425A3"/>
    <w:rsid w:val="00A42C47"/>
    <w:rsid w:val="00A439B0"/>
    <w:rsid w:val="00A45675"/>
    <w:rsid w:val="00A45F4F"/>
    <w:rsid w:val="00A46A54"/>
    <w:rsid w:val="00A46F39"/>
    <w:rsid w:val="00A47237"/>
    <w:rsid w:val="00A4761E"/>
    <w:rsid w:val="00A50A3F"/>
    <w:rsid w:val="00A5472A"/>
    <w:rsid w:val="00A55DD0"/>
    <w:rsid w:val="00A5612C"/>
    <w:rsid w:val="00A60011"/>
    <w:rsid w:val="00A600A9"/>
    <w:rsid w:val="00A616FC"/>
    <w:rsid w:val="00A63461"/>
    <w:rsid w:val="00A6400A"/>
    <w:rsid w:val="00A66354"/>
    <w:rsid w:val="00A73F0D"/>
    <w:rsid w:val="00A75D59"/>
    <w:rsid w:val="00A80E44"/>
    <w:rsid w:val="00A84EBD"/>
    <w:rsid w:val="00A862D4"/>
    <w:rsid w:val="00A90A46"/>
    <w:rsid w:val="00A91339"/>
    <w:rsid w:val="00A92CAB"/>
    <w:rsid w:val="00A9524E"/>
    <w:rsid w:val="00A9580B"/>
    <w:rsid w:val="00A97D29"/>
    <w:rsid w:val="00AA2282"/>
    <w:rsid w:val="00AA2D7D"/>
    <w:rsid w:val="00AA4446"/>
    <w:rsid w:val="00AA55B7"/>
    <w:rsid w:val="00AA5B9E"/>
    <w:rsid w:val="00AB1B56"/>
    <w:rsid w:val="00AB2407"/>
    <w:rsid w:val="00AB4127"/>
    <w:rsid w:val="00AB53DF"/>
    <w:rsid w:val="00AB55C5"/>
    <w:rsid w:val="00AC0AF1"/>
    <w:rsid w:val="00AC2B92"/>
    <w:rsid w:val="00AC640F"/>
    <w:rsid w:val="00AC67DC"/>
    <w:rsid w:val="00AD10FC"/>
    <w:rsid w:val="00AD1E60"/>
    <w:rsid w:val="00AD7002"/>
    <w:rsid w:val="00AD7685"/>
    <w:rsid w:val="00AE2CED"/>
    <w:rsid w:val="00AE6EFB"/>
    <w:rsid w:val="00AE7F3A"/>
    <w:rsid w:val="00AF05A0"/>
    <w:rsid w:val="00AF5BAF"/>
    <w:rsid w:val="00B00195"/>
    <w:rsid w:val="00B00223"/>
    <w:rsid w:val="00B04328"/>
    <w:rsid w:val="00B0549E"/>
    <w:rsid w:val="00B05701"/>
    <w:rsid w:val="00B05BFA"/>
    <w:rsid w:val="00B0658D"/>
    <w:rsid w:val="00B070E8"/>
    <w:rsid w:val="00B07E5C"/>
    <w:rsid w:val="00B12033"/>
    <w:rsid w:val="00B13CA3"/>
    <w:rsid w:val="00B14A03"/>
    <w:rsid w:val="00B15810"/>
    <w:rsid w:val="00B173B3"/>
    <w:rsid w:val="00B175D0"/>
    <w:rsid w:val="00B20386"/>
    <w:rsid w:val="00B20772"/>
    <w:rsid w:val="00B22CDC"/>
    <w:rsid w:val="00B24CD2"/>
    <w:rsid w:val="00B31ACD"/>
    <w:rsid w:val="00B326E3"/>
    <w:rsid w:val="00B33B75"/>
    <w:rsid w:val="00B3746B"/>
    <w:rsid w:val="00B37C64"/>
    <w:rsid w:val="00B37FF0"/>
    <w:rsid w:val="00B40F52"/>
    <w:rsid w:val="00B43EAE"/>
    <w:rsid w:val="00B5071E"/>
    <w:rsid w:val="00B50E0D"/>
    <w:rsid w:val="00B607C6"/>
    <w:rsid w:val="00B643C1"/>
    <w:rsid w:val="00B64A30"/>
    <w:rsid w:val="00B64F05"/>
    <w:rsid w:val="00B66E1D"/>
    <w:rsid w:val="00B7339A"/>
    <w:rsid w:val="00B7573C"/>
    <w:rsid w:val="00B802D8"/>
    <w:rsid w:val="00B804F7"/>
    <w:rsid w:val="00B811F7"/>
    <w:rsid w:val="00B82527"/>
    <w:rsid w:val="00B85BA5"/>
    <w:rsid w:val="00B85BC6"/>
    <w:rsid w:val="00B85FFC"/>
    <w:rsid w:val="00B9067A"/>
    <w:rsid w:val="00B91822"/>
    <w:rsid w:val="00B9328C"/>
    <w:rsid w:val="00B953B9"/>
    <w:rsid w:val="00B960C3"/>
    <w:rsid w:val="00B967F8"/>
    <w:rsid w:val="00BA1F0A"/>
    <w:rsid w:val="00BA2196"/>
    <w:rsid w:val="00BA4BB2"/>
    <w:rsid w:val="00BA5CDE"/>
    <w:rsid w:val="00BA5DC6"/>
    <w:rsid w:val="00BA6196"/>
    <w:rsid w:val="00BB0204"/>
    <w:rsid w:val="00BB3470"/>
    <w:rsid w:val="00BB3B7D"/>
    <w:rsid w:val="00BB561E"/>
    <w:rsid w:val="00BB6E69"/>
    <w:rsid w:val="00BC13A5"/>
    <w:rsid w:val="00BC2F92"/>
    <w:rsid w:val="00BC4930"/>
    <w:rsid w:val="00BC4BB7"/>
    <w:rsid w:val="00BC6D8C"/>
    <w:rsid w:val="00BC7FD2"/>
    <w:rsid w:val="00BD3B05"/>
    <w:rsid w:val="00BD47F5"/>
    <w:rsid w:val="00BD5B82"/>
    <w:rsid w:val="00BD6294"/>
    <w:rsid w:val="00BE0CE4"/>
    <w:rsid w:val="00BE0DEA"/>
    <w:rsid w:val="00BE1FD5"/>
    <w:rsid w:val="00BE26E0"/>
    <w:rsid w:val="00BE3A6B"/>
    <w:rsid w:val="00BE4A41"/>
    <w:rsid w:val="00BE4EE2"/>
    <w:rsid w:val="00BE5C17"/>
    <w:rsid w:val="00BF0BA0"/>
    <w:rsid w:val="00BF137D"/>
    <w:rsid w:val="00BF55A6"/>
    <w:rsid w:val="00BF67F8"/>
    <w:rsid w:val="00BF7133"/>
    <w:rsid w:val="00C005F5"/>
    <w:rsid w:val="00C01337"/>
    <w:rsid w:val="00C02332"/>
    <w:rsid w:val="00C027A9"/>
    <w:rsid w:val="00C03A10"/>
    <w:rsid w:val="00C05764"/>
    <w:rsid w:val="00C069C5"/>
    <w:rsid w:val="00C13A76"/>
    <w:rsid w:val="00C1586C"/>
    <w:rsid w:val="00C15925"/>
    <w:rsid w:val="00C159BA"/>
    <w:rsid w:val="00C16AF2"/>
    <w:rsid w:val="00C20311"/>
    <w:rsid w:val="00C20580"/>
    <w:rsid w:val="00C20A36"/>
    <w:rsid w:val="00C20D1F"/>
    <w:rsid w:val="00C2299F"/>
    <w:rsid w:val="00C2319D"/>
    <w:rsid w:val="00C24677"/>
    <w:rsid w:val="00C24A15"/>
    <w:rsid w:val="00C316A8"/>
    <w:rsid w:val="00C31EB5"/>
    <w:rsid w:val="00C33B67"/>
    <w:rsid w:val="00C34006"/>
    <w:rsid w:val="00C34F71"/>
    <w:rsid w:val="00C36563"/>
    <w:rsid w:val="00C40D9E"/>
    <w:rsid w:val="00C426B1"/>
    <w:rsid w:val="00C42F2B"/>
    <w:rsid w:val="00C437E8"/>
    <w:rsid w:val="00C44AA5"/>
    <w:rsid w:val="00C47B78"/>
    <w:rsid w:val="00C47E5B"/>
    <w:rsid w:val="00C50B11"/>
    <w:rsid w:val="00C556D5"/>
    <w:rsid w:val="00C62E2F"/>
    <w:rsid w:val="00C631ED"/>
    <w:rsid w:val="00C64C55"/>
    <w:rsid w:val="00C664E3"/>
    <w:rsid w:val="00C66744"/>
    <w:rsid w:val="00C67D11"/>
    <w:rsid w:val="00C71266"/>
    <w:rsid w:val="00C71A34"/>
    <w:rsid w:val="00C72894"/>
    <w:rsid w:val="00C73086"/>
    <w:rsid w:val="00C73849"/>
    <w:rsid w:val="00C74471"/>
    <w:rsid w:val="00C74519"/>
    <w:rsid w:val="00C74989"/>
    <w:rsid w:val="00C766CB"/>
    <w:rsid w:val="00C77F7A"/>
    <w:rsid w:val="00C80370"/>
    <w:rsid w:val="00C80557"/>
    <w:rsid w:val="00C8062B"/>
    <w:rsid w:val="00C806D2"/>
    <w:rsid w:val="00C81171"/>
    <w:rsid w:val="00C8146F"/>
    <w:rsid w:val="00C82B6B"/>
    <w:rsid w:val="00C8351D"/>
    <w:rsid w:val="00C84FC2"/>
    <w:rsid w:val="00C85B65"/>
    <w:rsid w:val="00C86CA6"/>
    <w:rsid w:val="00C87AF7"/>
    <w:rsid w:val="00C90D6A"/>
    <w:rsid w:val="00C92042"/>
    <w:rsid w:val="00C94641"/>
    <w:rsid w:val="00C97C0C"/>
    <w:rsid w:val="00C97C45"/>
    <w:rsid w:val="00CA0910"/>
    <w:rsid w:val="00CA25A4"/>
    <w:rsid w:val="00CA37FB"/>
    <w:rsid w:val="00CA6E4D"/>
    <w:rsid w:val="00CA7EDB"/>
    <w:rsid w:val="00CB02F6"/>
    <w:rsid w:val="00CB034F"/>
    <w:rsid w:val="00CB29D4"/>
    <w:rsid w:val="00CB44A7"/>
    <w:rsid w:val="00CB508E"/>
    <w:rsid w:val="00CB73FF"/>
    <w:rsid w:val="00CB77E0"/>
    <w:rsid w:val="00CC1394"/>
    <w:rsid w:val="00CC2AB2"/>
    <w:rsid w:val="00CC2C57"/>
    <w:rsid w:val="00CC5A43"/>
    <w:rsid w:val="00CC71FB"/>
    <w:rsid w:val="00CC72B6"/>
    <w:rsid w:val="00CC76A8"/>
    <w:rsid w:val="00CC7D08"/>
    <w:rsid w:val="00CD0099"/>
    <w:rsid w:val="00CD0D47"/>
    <w:rsid w:val="00CD1D64"/>
    <w:rsid w:val="00CD4AC1"/>
    <w:rsid w:val="00CD75AA"/>
    <w:rsid w:val="00CD7B92"/>
    <w:rsid w:val="00CD7FBA"/>
    <w:rsid w:val="00CE0FCE"/>
    <w:rsid w:val="00CE5DC4"/>
    <w:rsid w:val="00CE71DA"/>
    <w:rsid w:val="00CF0280"/>
    <w:rsid w:val="00CF0BB2"/>
    <w:rsid w:val="00CF1AA6"/>
    <w:rsid w:val="00CF382E"/>
    <w:rsid w:val="00CF42DE"/>
    <w:rsid w:val="00CF5E1F"/>
    <w:rsid w:val="00CF5FB1"/>
    <w:rsid w:val="00CF79C3"/>
    <w:rsid w:val="00D00641"/>
    <w:rsid w:val="00D01396"/>
    <w:rsid w:val="00D01E0A"/>
    <w:rsid w:val="00D0218D"/>
    <w:rsid w:val="00D02A74"/>
    <w:rsid w:val="00D02B11"/>
    <w:rsid w:val="00D030D5"/>
    <w:rsid w:val="00D03D00"/>
    <w:rsid w:val="00D05164"/>
    <w:rsid w:val="00D06502"/>
    <w:rsid w:val="00D0654B"/>
    <w:rsid w:val="00D104D2"/>
    <w:rsid w:val="00D1161A"/>
    <w:rsid w:val="00D1313A"/>
    <w:rsid w:val="00D13C43"/>
    <w:rsid w:val="00D1566B"/>
    <w:rsid w:val="00D1596D"/>
    <w:rsid w:val="00D173BD"/>
    <w:rsid w:val="00D17939"/>
    <w:rsid w:val="00D2050E"/>
    <w:rsid w:val="00D216CD"/>
    <w:rsid w:val="00D21A7E"/>
    <w:rsid w:val="00D2462B"/>
    <w:rsid w:val="00D26532"/>
    <w:rsid w:val="00D31127"/>
    <w:rsid w:val="00D32634"/>
    <w:rsid w:val="00D3486D"/>
    <w:rsid w:val="00D4144D"/>
    <w:rsid w:val="00D4243E"/>
    <w:rsid w:val="00D4289A"/>
    <w:rsid w:val="00D42997"/>
    <w:rsid w:val="00D465CD"/>
    <w:rsid w:val="00D50597"/>
    <w:rsid w:val="00D51C93"/>
    <w:rsid w:val="00D532FE"/>
    <w:rsid w:val="00D567ED"/>
    <w:rsid w:val="00D57524"/>
    <w:rsid w:val="00D65477"/>
    <w:rsid w:val="00D7079E"/>
    <w:rsid w:val="00D7579D"/>
    <w:rsid w:val="00D76ABF"/>
    <w:rsid w:val="00D76F4C"/>
    <w:rsid w:val="00D809F0"/>
    <w:rsid w:val="00D81FC2"/>
    <w:rsid w:val="00D825E3"/>
    <w:rsid w:val="00D82920"/>
    <w:rsid w:val="00D8559E"/>
    <w:rsid w:val="00D86F25"/>
    <w:rsid w:val="00D90182"/>
    <w:rsid w:val="00D9052C"/>
    <w:rsid w:val="00D91064"/>
    <w:rsid w:val="00D95997"/>
    <w:rsid w:val="00D96F33"/>
    <w:rsid w:val="00DA14A7"/>
    <w:rsid w:val="00DA201C"/>
    <w:rsid w:val="00DA2529"/>
    <w:rsid w:val="00DB130A"/>
    <w:rsid w:val="00DB2063"/>
    <w:rsid w:val="00DB48CB"/>
    <w:rsid w:val="00DB4B76"/>
    <w:rsid w:val="00DB50CD"/>
    <w:rsid w:val="00DB7CA0"/>
    <w:rsid w:val="00DC10A1"/>
    <w:rsid w:val="00DC12C8"/>
    <w:rsid w:val="00DC1383"/>
    <w:rsid w:val="00DC2010"/>
    <w:rsid w:val="00DC4488"/>
    <w:rsid w:val="00DC624C"/>
    <w:rsid w:val="00DC63C9"/>
    <w:rsid w:val="00DC6464"/>
    <w:rsid w:val="00DC655F"/>
    <w:rsid w:val="00DC7EF8"/>
    <w:rsid w:val="00DD197A"/>
    <w:rsid w:val="00DD3097"/>
    <w:rsid w:val="00DD3D29"/>
    <w:rsid w:val="00DD47C3"/>
    <w:rsid w:val="00DD7EBD"/>
    <w:rsid w:val="00DE038B"/>
    <w:rsid w:val="00DE13F5"/>
    <w:rsid w:val="00DE38A3"/>
    <w:rsid w:val="00DE4ED3"/>
    <w:rsid w:val="00DE5810"/>
    <w:rsid w:val="00DE76C6"/>
    <w:rsid w:val="00DE7E4A"/>
    <w:rsid w:val="00DF0115"/>
    <w:rsid w:val="00DF27D3"/>
    <w:rsid w:val="00DF3B68"/>
    <w:rsid w:val="00DF5582"/>
    <w:rsid w:val="00DF62B6"/>
    <w:rsid w:val="00DF71FC"/>
    <w:rsid w:val="00E01F11"/>
    <w:rsid w:val="00E04796"/>
    <w:rsid w:val="00E04961"/>
    <w:rsid w:val="00E07225"/>
    <w:rsid w:val="00E076AB"/>
    <w:rsid w:val="00E07A4E"/>
    <w:rsid w:val="00E10453"/>
    <w:rsid w:val="00E10D4A"/>
    <w:rsid w:val="00E119A2"/>
    <w:rsid w:val="00E11A5C"/>
    <w:rsid w:val="00E124B1"/>
    <w:rsid w:val="00E139A6"/>
    <w:rsid w:val="00E14CDE"/>
    <w:rsid w:val="00E155B7"/>
    <w:rsid w:val="00E16B9A"/>
    <w:rsid w:val="00E21BF7"/>
    <w:rsid w:val="00E23332"/>
    <w:rsid w:val="00E236DB"/>
    <w:rsid w:val="00E25AA8"/>
    <w:rsid w:val="00E25F87"/>
    <w:rsid w:val="00E26D6E"/>
    <w:rsid w:val="00E26FFA"/>
    <w:rsid w:val="00E30CF1"/>
    <w:rsid w:val="00E31CD2"/>
    <w:rsid w:val="00E32033"/>
    <w:rsid w:val="00E32EDB"/>
    <w:rsid w:val="00E3415A"/>
    <w:rsid w:val="00E346DA"/>
    <w:rsid w:val="00E40020"/>
    <w:rsid w:val="00E41274"/>
    <w:rsid w:val="00E41528"/>
    <w:rsid w:val="00E41B35"/>
    <w:rsid w:val="00E421B8"/>
    <w:rsid w:val="00E4490C"/>
    <w:rsid w:val="00E44CA1"/>
    <w:rsid w:val="00E44FE5"/>
    <w:rsid w:val="00E452F0"/>
    <w:rsid w:val="00E47399"/>
    <w:rsid w:val="00E51C82"/>
    <w:rsid w:val="00E52375"/>
    <w:rsid w:val="00E52747"/>
    <w:rsid w:val="00E5409F"/>
    <w:rsid w:val="00E547A1"/>
    <w:rsid w:val="00E566E3"/>
    <w:rsid w:val="00E57279"/>
    <w:rsid w:val="00E61465"/>
    <w:rsid w:val="00E6339F"/>
    <w:rsid w:val="00E65C41"/>
    <w:rsid w:val="00E7058D"/>
    <w:rsid w:val="00E70A3B"/>
    <w:rsid w:val="00E71D2B"/>
    <w:rsid w:val="00E768B6"/>
    <w:rsid w:val="00E77B49"/>
    <w:rsid w:val="00E81A86"/>
    <w:rsid w:val="00E82131"/>
    <w:rsid w:val="00E828DF"/>
    <w:rsid w:val="00E837BF"/>
    <w:rsid w:val="00E901E4"/>
    <w:rsid w:val="00E90266"/>
    <w:rsid w:val="00E91E3B"/>
    <w:rsid w:val="00E939DF"/>
    <w:rsid w:val="00E93BA8"/>
    <w:rsid w:val="00E950B6"/>
    <w:rsid w:val="00E96A7B"/>
    <w:rsid w:val="00E9757D"/>
    <w:rsid w:val="00EA1847"/>
    <w:rsid w:val="00EA37AC"/>
    <w:rsid w:val="00EA3AFB"/>
    <w:rsid w:val="00EA5B7C"/>
    <w:rsid w:val="00EA60B7"/>
    <w:rsid w:val="00EA6E36"/>
    <w:rsid w:val="00EB0E17"/>
    <w:rsid w:val="00EB2367"/>
    <w:rsid w:val="00EB413B"/>
    <w:rsid w:val="00EB4C03"/>
    <w:rsid w:val="00EB4D3E"/>
    <w:rsid w:val="00EB7BA6"/>
    <w:rsid w:val="00EC0185"/>
    <w:rsid w:val="00EC3951"/>
    <w:rsid w:val="00ED1B05"/>
    <w:rsid w:val="00ED245E"/>
    <w:rsid w:val="00ED2A58"/>
    <w:rsid w:val="00ED4615"/>
    <w:rsid w:val="00ED6C04"/>
    <w:rsid w:val="00ED706C"/>
    <w:rsid w:val="00ED7DC0"/>
    <w:rsid w:val="00EE19A3"/>
    <w:rsid w:val="00EE4409"/>
    <w:rsid w:val="00EF3BDC"/>
    <w:rsid w:val="00F021FA"/>
    <w:rsid w:val="00F0337A"/>
    <w:rsid w:val="00F03EF1"/>
    <w:rsid w:val="00F057E6"/>
    <w:rsid w:val="00F06697"/>
    <w:rsid w:val="00F067AA"/>
    <w:rsid w:val="00F110A6"/>
    <w:rsid w:val="00F147BC"/>
    <w:rsid w:val="00F15090"/>
    <w:rsid w:val="00F16243"/>
    <w:rsid w:val="00F16A56"/>
    <w:rsid w:val="00F209E6"/>
    <w:rsid w:val="00F21700"/>
    <w:rsid w:val="00F2364F"/>
    <w:rsid w:val="00F254F6"/>
    <w:rsid w:val="00F30263"/>
    <w:rsid w:val="00F31864"/>
    <w:rsid w:val="00F3281C"/>
    <w:rsid w:val="00F33969"/>
    <w:rsid w:val="00F33987"/>
    <w:rsid w:val="00F3398A"/>
    <w:rsid w:val="00F34844"/>
    <w:rsid w:val="00F34D1A"/>
    <w:rsid w:val="00F35305"/>
    <w:rsid w:val="00F356C9"/>
    <w:rsid w:val="00F4009B"/>
    <w:rsid w:val="00F41B66"/>
    <w:rsid w:val="00F42439"/>
    <w:rsid w:val="00F4455E"/>
    <w:rsid w:val="00F44BD2"/>
    <w:rsid w:val="00F4573D"/>
    <w:rsid w:val="00F4598D"/>
    <w:rsid w:val="00F46255"/>
    <w:rsid w:val="00F47954"/>
    <w:rsid w:val="00F47C3E"/>
    <w:rsid w:val="00F514C7"/>
    <w:rsid w:val="00F5160D"/>
    <w:rsid w:val="00F5227D"/>
    <w:rsid w:val="00F532AB"/>
    <w:rsid w:val="00F5535C"/>
    <w:rsid w:val="00F56C9E"/>
    <w:rsid w:val="00F56DBE"/>
    <w:rsid w:val="00F576E1"/>
    <w:rsid w:val="00F57ACA"/>
    <w:rsid w:val="00F6202B"/>
    <w:rsid w:val="00F62E97"/>
    <w:rsid w:val="00F64133"/>
    <w:rsid w:val="00F64209"/>
    <w:rsid w:val="00F65921"/>
    <w:rsid w:val="00F730C7"/>
    <w:rsid w:val="00F73348"/>
    <w:rsid w:val="00F762EF"/>
    <w:rsid w:val="00F82291"/>
    <w:rsid w:val="00F83708"/>
    <w:rsid w:val="00F8384D"/>
    <w:rsid w:val="00F84A2A"/>
    <w:rsid w:val="00F85756"/>
    <w:rsid w:val="00F86176"/>
    <w:rsid w:val="00F87375"/>
    <w:rsid w:val="00F902CB"/>
    <w:rsid w:val="00F92060"/>
    <w:rsid w:val="00F936F4"/>
    <w:rsid w:val="00F93BF5"/>
    <w:rsid w:val="00F9410C"/>
    <w:rsid w:val="00F94258"/>
    <w:rsid w:val="00F94D9C"/>
    <w:rsid w:val="00F9579C"/>
    <w:rsid w:val="00F95D5A"/>
    <w:rsid w:val="00F9618A"/>
    <w:rsid w:val="00F96F63"/>
    <w:rsid w:val="00FA4566"/>
    <w:rsid w:val="00FA4DB3"/>
    <w:rsid w:val="00FB29D2"/>
    <w:rsid w:val="00FB403F"/>
    <w:rsid w:val="00FB412D"/>
    <w:rsid w:val="00FB61CE"/>
    <w:rsid w:val="00FB6F64"/>
    <w:rsid w:val="00FC02C6"/>
    <w:rsid w:val="00FC06DA"/>
    <w:rsid w:val="00FC0B50"/>
    <w:rsid w:val="00FC0D8B"/>
    <w:rsid w:val="00FC219A"/>
    <w:rsid w:val="00FC353F"/>
    <w:rsid w:val="00FC4682"/>
    <w:rsid w:val="00FC511E"/>
    <w:rsid w:val="00FC6430"/>
    <w:rsid w:val="00FC6825"/>
    <w:rsid w:val="00FD1980"/>
    <w:rsid w:val="00FD43EE"/>
    <w:rsid w:val="00FD662A"/>
    <w:rsid w:val="00FD7470"/>
    <w:rsid w:val="00FE32CC"/>
    <w:rsid w:val="00FE3A1A"/>
    <w:rsid w:val="00FE48D9"/>
    <w:rsid w:val="00FE4FAC"/>
    <w:rsid w:val="00FE734A"/>
    <w:rsid w:val="00FF4829"/>
    <w:rsid w:val="00FF63B2"/>
  </w:rsids>
  <m:mathPr>
    <m:mathFont m:val="Cambria Math"/>
    <m:wrapRight/>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1E6A14-A35C-4D32-98DC-2069AA68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AB"/>
    <w:pPr>
      <w:widowControl w:val="0"/>
      <w:snapToGrid w:val="0"/>
    </w:pPr>
    <w:rPr>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34844"/>
    <w:pPr>
      <w:tabs>
        <w:tab w:val="center" w:pos="4680"/>
        <w:tab w:val="right" w:pos="9360"/>
      </w:tabs>
      <w:ind w:firstLine="1080"/>
    </w:pPr>
    <w:rPr>
      <w:rFonts w:ascii="News Gothic MT" w:hAnsi="News Gothic MT"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rsid w:val="003D30E4"/>
    <w:rPr>
      <w:rFonts w:ascii="Times New Roman Bold" w:hAnsi="Times New Roman Bold"/>
      <w:b/>
      <w:caps/>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3D30E4"/>
  </w:style>
  <w:style w:type="character" w:customStyle="1" w:styleId="ParaNumChar">
    <w:name w:val="ParaNum Char"/>
    <w:link w:val="ParaNum"/>
    <w:locked/>
    <w:rsid w:val="003D30E4"/>
    <w:rPr>
      <w:snapToGrid w:val="0"/>
      <w:kern w:val="28"/>
      <w:sz w:val="22"/>
    </w:rPr>
  </w:style>
  <w:style w:type="character" w:styleId="CommentReference">
    <w:name w:val="annotation reference"/>
    <w:uiPriority w:val="99"/>
    <w:semiHidden/>
    <w:unhideWhenUsed/>
    <w:rsid w:val="003D30E4"/>
    <w:rPr>
      <w:sz w:val="16"/>
      <w:szCs w:val="16"/>
    </w:rPr>
  </w:style>
  <w:style w:type="paragraph" w:styleId="CommentText">
    <w:name w:val="annotation text"/>
    <w:basedOn w:val="Normal"/>
    <w:link w:val="CommentTextChar"/>
    <w:uiPriority w:val="99"/>
    <w:semiHidden/>
    <w:unhideWhenUsed/>
    <w:rsid w:val="003D30E4"/>
    <w:rPr>
      <w:sz w:val="20"/>
    </w:rPr>
  </w:style>
  <w:style w:type="character" w:customStyle="1" w:styleId="CommentTextChar">
    <w:name w:val="Comment Text Char"/>
    <w:link w:val="CommentText"/>
    <w:uiPriority w:val="99"/>
    <w:semiHidden/>
    <w:rsid w:val="003D30E4"/>
    <w:rPr>
      <w:snapToGrid w:val="0"/>
      <w:kern w:val="28"/>
    </w:rPr>
  </w:style>
  <w:style w:type="paragraph" w:styleId="BalloonText">
    <w:name w:val="Balloon Text"/>
    <w:basedOn w:val="Normal"/>
    <w:link w:val="BalloonTextChar"/>
    <w:uiPriority w:val="99"/>
    <w:semiHidden/>
    <w:unhideWhenUsed/>
    <w:rsid w:val="003D30E4"/>
    <w:rPr>
      <w:rFonts w:ascii="Segoe UI" w:hAnsi="Segoe UI" w:cs="Segoe UI"/>
      <w:sz w:val="18"/>
      <w:szCs w:val="18"/>
    </w:rPr>
  </w:style>
  <w:style w:type="character" w:customStyle="1" w:styleId="BalloonTextChar">
    <w:name w:val="Balloon Text Char"/>
    <w:link w:val="BalloonText"/>
    <w:uiPriority w:val="99"/>
    <w:semiHidden/>
    <w:rsid w:val="003D30E4"/>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991A03"/>
    <w:rPr>
      <w:b/>
      <w:bCs/>
    </w:rPr>
  </w:style>
  <w:style w:type="character" w:customStyle="1" w:styleId="CommentSubjectChar">
    <w:name w:val="Comment Subject Char"/>
    <w:link w:val="CommentSubject"/>
    <w:uiPriority w:val="99"/>
    <w:semiHidden/>
    <w:rsid w:val="00991A03"/>
    <w:rPr>
      <w:b/>
      <w:bCs/>
      <w:snapToGrid w:val="0"/>
      <w:kern w:val="28"/>
    </w:rPr>
  </w:style>
  <w:style w:type="paragraph" w:styleId="Revision">
    <w:name w:val="Revision"/>
    <w:hidden/>
    <w:uiPriority w:val="99"/>
    <w:semiHidden/>
    <w:rsid w:val="00C027A9"/>
    <w:rPr>
      <w:kern w:val="28"/>
      <w:sz w:val="22"/>
    </w:rPr>
  </w:style>
  <w:style w:type="paragraph" w:styleId="ListParagraph">
    <w:name w:val="List Paragraph"/>
    <w:basedOn w:val="Normal"/>
    <w:uiPriority w:val="34"/>
    <w:qFormat/>
    <w:rsid w:val="004B6A82"/>
    <w:pPr>
      <w:widowControl/>
      <w:snapToGrid/>
      <w:spacing w:after="200" w:line="276" w:lineRule="auto"/>
      <w:ind w:left="720"/>
      <w:contextualSpacing/>
    </w:pPr>
    <w:rPr>
      <w:rFonts w:ascii="Calibri" w:eastAsia="Calibri" w:hAnsi="Calibri"/>
      <w:kern w:val="0"/>
      <w:szCs w:val="22"/>
    </w:rPr>
  </w:style>
  <w:style w:type="character" w:styleId="FollowedHyperlink">
    <w:name w:val="FollowedHyperlink"/>
    <w:uiPriority w:val="99"/>
    <w:semiHidden/>
    <w:unhideWhenUsed/>
    <w:rsid w:val="004B62FA"/>
    <w:rPr>
      <w:color w:val="954F72"/>
      <w:u w:val="single"/>
    </w:rPr>
  </w:style>
  <w:style w:type="character" w:customStyle="1" w:styleId="UnresolvedMention1">
    <w:name w:val="Unresolved Mention1"/>
    <w:uiPriority w:val="99"/>
    <w:semiHidden/>
    <w:unhideWhenUsed/>
    <w:rsid w:val="00250BCB"/>
    <w:rPr>
      <w:color w:val="605E5C"/>
      <w:shd w:val="clear" w:color="auto" w:fill="E1DFDD"/>
    </w:rPr>
  </w:style>
  <w:style w:type="character" w:customStyle="1" w:styleId="UnresolvedMention2">
    <w:name w:val="Unresolved Mention2"/>
    <w:uiPriority w:val="99"/>
    <w:rsid w:val="00387B0C"/>
    <w:rPr>
      <w:color w:val="605E5C"/>
      <w:shd w:val="clear" w:color="auto" w:fill="E1DFDD"/>
    </w:rPr>
  </w:style>
  <w:style w:type="character" w:customStyle="1" w:styleId="item-value">
    <w:name w:val="item-value"/>
    <w:rsid w:val="00B070E8"/>
  </w:style>
  <w:style w:type="character" w:customStyle="1" w:styleId="UnresolvedMention">
    <w:name w:val="Unresolved Mention"/>
    <w:uiPriority w:val="99"/>
    <w:rsid w:val="00DB7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1220314702379" TargetMode="External" /><Relationship Id="rId2" Type="http://schemas.openxmlformats.org/officeDocument/2006/relationships/hyperlink" Target="https://www.fcc.gov/ecfs/filing/10214025038056" TargetMode="External" /><Relationship Id="rId3" Type="http://schemas.openxmlformats.org/officeDocument/2006/relationships/hyperlink" Target="https://www.fcc.gov/ecfs/filing/10316804319171"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