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273E3" w:rsidRPr="00BE70CC" w:rsidP="002C6607">
      <w:pPr>
        <w:widowControl/>
        <w:jc w:val="center"/>
        <w:rPr>
          <w:b/>
        </w:rPr>
      </w:pPr>
      <w:r>
        <w:rPr>
          <w:b/>
          <w:kern w:val="0"/>
          <w:szCs w:val="22"/>
        </w:rPr>
        <w:br/>
      </w:r>
      <w:r w:rsidRPr="00BE70CC">
        <w:rPr>
          <w:b/>
          <w:kern w:val="0"/>
          <w:szCs w:val="22"/>
        </w:rPr>
        <w:t>Before</w:t>
      </w:r>
      <w:r w:rsidRPr="00BE70CC">
        <w:rPr>
          <w:b/>
        </w:rPr>
        <w:t xml:space="preserve"> the</w:t>
      </w:r>
    </w:p>
    <w:p w:rsidR="00E273E3" w:rsidRPr="00BE70CC" w:rsidP="002C660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2C6607">
      <w:pPr>
        <w:pStyle w:val="StyleBoldCentered"/>
        <w:widowControl/>
        <w:rPr>
          <w:rFonts w:ascii="Times New Roman" w:hAnsi="Times New Roman"/>
        </w:rPr>
      </w:pPr>
      <w:smartTag w:uri="urn:schemas-microsoft-com:office:smarttags" w:element="place">
        <w:smartTag w:uri="urn:schemas-microsoft-com:office:smarttags" w:element="City">
          <w:r w:rsidRPr="00BE70CC">
            <w:rPr>
              <w:rFonts w:ascii="Times New Roman" w:hAnsi="Times New Roman"/>
              <w:caps w:val="0"/>
            </w:rPr>
            <w:t>Washington</w:t>
          </w:r>
        </w:smartTag>
      </w:smartTag>
      <w:r w:rsidR="00BD0B73">
        <w:rPr>
          <w:rFonts w:ascii="Times New Roman" w:hAnsi="Times New Roman"/>
        </w:rPr>
        <w:t>, DC</w:t>
      </w:r>
      <w:r w:rsidRPr="00BE70CC">
        <w:rPr>
          <w:rFonts w:ascii="Times New Roman" w:hAnsi="Times New Roman"/>
        </w:rPr>
        <w:t xml:space="preserve"> </w:t>
      </w:r>
      <w:smartTag w:uri="urn:schemas-microsoft-com:office:smarttags" w:element="PersonName">
        <w:smartTag w:uri="urn:schemas-microsoft-com:office:smarttags" w:element="PostalCode">
          <w:r w:rsidRPr="00BE70CC">
            <w:rPr>
              <w:rFonts w:ascii="Times New Roman" w:hAnsi="Times New Roman"/>
            </w:rPr>
            <w:t>20554</w:t>
          </w:r>
        </w:smartTag>
      </w:smartTag>
    </w:p>
    <w:p w:rsidR="00E273E3" w:rsidRPr="00BE70CC" w:rsidP="002C6607">
      <w:pPr>
        <w:widowControl/>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E273E3" w:rsidRPr="00BE70CC" w:rsidP="002C6607">
            <w:pPr>
              <w:widowControl/>
              <w:suppressAutoHyphens/>
              <w:rPr>
                <w:spacing w:val="-2"/>
              </w:rPr>
            </w:pPr>
            <w:r w:rsidRPr="00BE70CC">
              <w:rPr>
                <w:spacing w:val="-2"/>
              </w:rPr>
              <w:t>In the Matter of</w:t>
            </w:r>
          </w:p>
          <w:p w:rsidR="00E273E3" w:rsidRPr="00BE70CC" w:rsidP="002C6607">
            <w:pPr>
              <w:widowControl/>
              <w:suppressAutoHyphens/>
              <w:rPr>
                <w:spacing w:val="-2"/>
              </w:rPr>
            </w:pPr>
          </w:p>
          <w:p w:rsidR="00E273E3" w:rsidRPr="00BE70CC" w:rsidP="002C6607">
            <w:pPr>
              <w:widowControl/>
              <w:suppressAutoHyphens/>
              <w:rPr>
                <w:spacing w:val="-2"/>
              </w:rPr>
            </w:pPr>
            <w:r>
              <w:rPr>
                <w:spacing w:val="-2"/>
              </w:rPr>
              <w:t>Neymar Candy Grocery Corp.</w:t>
            </w:r>
          </w:p>
        </w:tc>
        <w:tc>
          <w:tcPr>
            <w:tcW w:w="630" w:type="dxa"/>
          </w:tcPr>
          <w:p w:rsidR="00E273E3" w:rsidRPr="00BE70CC" w:rsidP="002C6607">
            <w:pPr>
              <w:widowControl/>
              <w:suppressAutoHyphens/>
              <w:rPr>
                <w:spacing w:val="-2"/>
              </w:rPr>
            </w:pPr>
            <w:r w:rsidRPr="00BE70CC">
              <w:rPr>
                <w:spacing w:val="-2"/>
              </w:rPr>
              <w:t>)</w:t>
            </w:r>
          </w:p>
          <w:p w:rsidR="00E273E3" w:rsidRPr="00BE70CC" w:rsidP="002C6607">
            <w:pPr>
              <w:widowControl/>
              <w:suppressAutoHyphens/>
              <w:rPr>
                <w:spacing w:val="-2"/>
              </w:rPr>
            </w:pPr>
            <w:r w:rsidRPr="00BE70CC">
              <w:rPr>
                <w:spacing w:val="-2"/>
              </w:rPr>
              <w:t>)</w:t>
            </w:r>
          </w:p>
          <w:p w:rsidR="00E273E3" w:rsidRPr="00BE70CC" w:rsidP="002C6607">
            <w:pPr>
              <w:widowControl/>
              <w:suppressAutoHyphens/>
              <w:rPr>
                <w:spacing w:val="-2"/>
              </w:rPr>
            </w:pPr>
            <w:r w:rsidRPr="00BE70CC">
              <w:rPr>
                <w:spacing w:val="-2"/>
              </w:rPr>
              <w:t>)</w:t>
            </w:r>
          </w:p>
          <w:p w:rsidR="00E273E3" w:rsidRPr="00BE70CC" w:rsidP="002C6607">
            <w:pPr>
              <w:widowControl/>
              <w:suppressAutoHyphens/>
              <w:rPr>
                <w:spacing w:val="-2"/>
              </w:rPr>
            </w:pPr>
            <w:r w:rsidRPr="00BE70CC">
              <w:rPr>
                <w:spacing w:val="-2"/>
              </w:rPr>
              <w:t>)</w:t>
            </w:r>
          </w:p>
          <w:p w:rsidR="00E273E3" w:rsidRPr="00BE70CC" w:rsidP="002C6607">
            <w:pPr>
              <w:widowControl/>
              <w:suppressAutoHyphens/>
              <w:rPr>
                <w:spacing w:val="-2"/>
              </w:rPr>
            </w:pPr>
          </w:p>
        </w:tc>
        <w:tc>
          <w:tcPr>
            <w:tcW w:w="4248" w:type="dxa"/>
          </w:tcPr>
          <w:p w:rsidR="00E273E3" w:rsidRPr="00BE70CC" w:rsidP="002C6607">
            <w:pPr>
              <w:widowControl/>
              <w:suppressAutoHyphens/>
              <w:rPr>
                <w:spacing w:val="-2"/>
              </w:rPr>
            </w:pPr>
          </w:p>
          <w:p w:rsidR="00E273E3" w:rsidRPr="00BE70CC" w:rsidP="002C6607">
            <w:pPr>
              <w:widowControl/>
              <w:suppressAutoHyphens/>
              <w:rPr>
                <w:spacing w:val="-2"/>
              </w:rPr>
            </w:pPr>
          </w:p>
          <w:p w:rsidR="00E273E3" w:rsidRPr="00BE70CC" w:rsidP="002C6607">
            <w:pPr>
              <w:widowControl/>
              <w:suppressAutoHyphens/>
              <w:ind w:left="432"/>
              <w:rPr>
                <w:spacing w:val="-2"/>
              </w:rPr>
            </w:pPr>
            <w:r w:rsidRPr="00BE70CC">
              <w:rPr>
                <w:spacing w:val="-2"/>
              </w:rPr>
              <w:t>File No.:  EB-</w:t>
            </w:r>
            <w:r w:rsidR="004D7744">
              <w:rPr>
                <w:spacing w:val="-2"/>
              </w:rPr>
              <w:t>FIELDNER-18-</w:t>
            </w:r>
            <w:bookmarkStart w:id="0" w:name="_GoBack"/>
            <w:bookmarkEnd w:id="0"/>
            <w:r w:rsidR="004D7744">
              <w:rPr>
                <w:spacing w:val="-2"/>
              </w:rPr>
              <w:t>00027</w:t>
            </w:r>
            <w:r>
              <w:rPr>
                <w:spacing w:val="-2"/>
              </w:rPr>
              <w:t>991</w:t>
            </w:r>
          </w:p>
        </w:tc>
      </w:tr>
    </w:tbl>
    <w:p w:rsidR="00E273E3" w:rsidRPr="00BE70CC" w:rsidP="002C6607">
      <w:pPr>
        <w:pStyle w:val="StyleBoldCentered"/>
        <w:widowControl/>
        <w:spacing w:after="220"/>
      </w:pPr>
      <w:r w:rsidRPr="00BE70CC">
        <w:t>CITATION AND ORDER</w:t>
      </w:r>
    </w:p>
    <w:p w:rsidR="004D7744" w:rsidP="002C6607">
      <w:pPr>
        <w:widowControl/>
        <w:spacing w:before="120"/>
        <w:jc w:val="center"/>
        <w:rPr>
          <w:b/>
          <w:color w:val="000000"/>
          <w:spacing w:val="-2"/>
          <w:szCs w:val="22"/>
        </w:rPr>
      </w:pPr>
      <w:r w:rsidRPr="00972667">
        <w:rPr>
          <w:b/>
          <w:color w:val="000000"/>
          <w:spacing w:val="-2"/>
          <w:szCs w:val="22"/>
        </w:rPr>
        <w:t>Surveillance Device Causing Harmful Interference to LTE Communications</w:t>
      </w:r>
    </w:p>
    <w:p w:rsidR="004D7744" w:rsidRPr="00972667" w:rsidP="002C6607">
      <w:pPr>
        <w:widowControl/>
        <w:spacing w:before="120"/>
        <w:jc w:val="center"/>
        <w:rPr>
          <w:b/>
          <w:color w:val="000000"/>
          <w:spacing w:val="-2"/>
          <w:szCs w:val="22"/>
        </w:rPr>
      </w:pPr>
    </w:p>
    <w:p w:rsidR="00E273E3" w:rsidRPr="00BE70CC" w:rsidP="002C6607">
      <w:pPr>
        <w:widowControl/>
        <w:tabs>
          <w:tab w:val="right" w:pos="9360"/>
        </w:tabs>
        <w:suppressAutoHyphens/>
        <w:rPr>
          <w:spacing w:val="-2"/>
        </w:rPr>
      </w:pPr>
      <w:r w:rsidRPr="00BE70CC">
        <w:rPr>
          <w:b/>
          <w:spacing w:val="-2"/>
        </w:rPr>
        <w:t xml:space="preserve">Adopted:  </w:t>
      </w:r>
      <w:r w:rsidR="0057602A">
        <w:rPr>
          <w:b/>
          <w:spacing w:val="-2"/>
        </w:rPr>
        <w:t>March 3</w:t>
      </w:r>
      <w:r>
        <w:rPr>
          <w:b/>
          <w:spacing w:val="-2"/>
        </w:rPr>
        <w:t>1</w:t>
      </w:r>
      <w:r w:rsidR="0057602A">
        <w:rPr>
          <w:b/>
          <w:spacing w:val="-2"/>
        </w:rPr>
        <w:t>, 2020</w:t>
      </w:r>
      <w:r w:rsidRPr="00BE70CC" w:rsidR="006D2212">
        <w:rPr>
          <w:b/>
          <w:spacing w:val="-2"/>
        </w:rPr>
        <w:tab/>
        <w:t xml:space="preserve">Released:  </w:t>
      </w:r>
      <w:r w:rsidR="0057602A">
        <w:rPr>
          <w:b/>
          <w:spacing w:val="-2"/>
        </w:rPr>
        <w:t>March 31, 2020</w:t>
      </w:r>
    </w:p>
    <w:p w:rsidR="00E273E3" w:rsidRPr="00BE70CC" w:rsidP="002C6607">
      <w:pPr>
        <w:widowControl/>
        <w:jc w:val="center"/>
      </w:pPr>
    </w:p>
    <w:p w:rsidR="004D7744" w:rsidP="002C6607">
      <w:pPr>
        <w:widowControl/>
      </w:pPr>
      <w:r w:rsidRPr="00BE70CC">
        <w:t>By the</w:t>
      </w:r>
      <w:r>
        <w:t xml:space="preserve"> Regional Director, Region One, Enforcement Bureau:</w:t>
      </w:r>
    </w:p>
    <w:p w:rsidR="00E273E3" w:rsidRPr="00BE70CC" w:rsidP="002C6607">
      <w:pPr>
        <w:widowControl/>
        <w:rPr>
          <w:spacing w:val="-2"/>
        </w:rPr>
      </w:pPr>
    </w:p>
    <w:p w:rsidR="00E273E3" w:rsidRPr="00BE70CC" w:rsidP="002C6607">
      <w:pPr>
        <w:pStyle w:val="Heading1"/>
        <w:widowControl/>
      </w:pPr>
      <w:bookmarkStart w:id="1" w:name="_Toc379288998"/>
      <w:bookmarkStart w:id="2" w:name="_Toc379365499"/>
      <w:r w:rsidRPr="00BE70CC">
        <w:t>NOTICE OF CITATION</w:t>
      </w:r>
      <w:bookmarkEnd w:id="1"/>
      <w:bookmarkEnd w:id="2"/>
    </w:p>
    <w:p w:rsidR="00A204BA" w:rsidRPr="00BE70CC" w:rsidP="002C6607">
      <w:pPr>
        <w:pStyle w:val="ParaNum"/>
        <w:widowControl/>
        <w:tabs>
          <w:tab w:val="clear" w:pos="1080"/>
        </w:tabs>
      </w:pPr>
      <w:r w:rsidRPr="00534B85">
        <w:t>Today the Federal Communications Commission’s Enforcement Bureau (Bureau) takes another step in the Commission’s ongoing effort to</w:t>
      </w:r>
      <w:r>
        <w:t xml:space="preserve"> end harmful interference </w:t>
      </w:r>
      <w:r w:rsidRPr="004D7744">
        <w:rPr>
          <w:szCs w:val="22"/>
        </w:rPr>
        <w:t>to licensed radio operations</w:t>
      </w:r>
      <w:r w:rsidRPr="00534B85">
        <w:t xml:space="preserve">. </w:t>
      </w:r>
      <w:r>
        <w:t xml:space="preserve"> </w:t>
      </w:r>
      <w:r w:rsidR="0077224C">
        <w:t>T</w:t>
      </w:r>
      <w:r w:rsidRPr="00BE70CC" w:rsidR="00500FF2">
        <w:t xml:space="preserve">his </w:t>
      </w:r>
      <w:r w:rsidRPr="004D7744" w:rsidR="00500FF2">
        <w:rPr>
          <w:b/>
        </w:rPr>
        <w:t>CITATION AND ORDER</w:t>
      </w:r>
      <w:r w:rsidRPr="004D7744" w:rsidR="00716E89">
        <w:rPr>
          <w:b/>
        </w:rPr>
        <w:t xml:space="preserve"> </w:t>
      </w:r>
      <w:r w:rsidRPr="00BE70CC" w:rsidR="00716E89">
        <w:t>(Citation)</w:t>
      </w:r>
      <w:r w:rsidR="0077224C">
        <w:t>, notifies</w:t>
      </w:r>
      <w:r w:rsidRPr="00BE70CC" w:rsidR="00500FF2">
        <w:t xml:space="preserve"> </w:t>
      </w:r>
      <w:r w:rsidR="004D7744">
        <w:t xml:space="preserve">Neymar Candy Grocery Corp. (Neymar) that </w:t>
      </w:r>
      <w:r w:rsidR="00382491">
        <w:rPr>
          <w:szCs w:val="22"/>
        </w:rPr>
        <w:t>it is</w:t>
      </w:r>
      <w:r w:rsidRPr="004D7744" w:rsidR="004D7744">
        <w:rPr>
          <w:szCs w:val="22"/>
        </w:rPr>
        <w:t xml:space="preserve"> operating a device that is causing harmful interference to </w:t>
      </w:r>
      <w:r>
        <w:rPr>
          <w:szCs w:val="22"/>
        </w:rPr>
        <w:t>T-Mobile USA, Inc. (T-Mobile)</w:t>
      </w:r>
      <w:r w:rsidRPr="004D7744" w:rsidR="004D7744">
        <w:rPr>
          <w:szCs w:val="22"/>
        </w:rPr>
        <w:t>.</w:t>
      </w:r>
      <w:r>
        <w:rPr>
          <w:rStyle w:val="FootnoteReference"/>
        </w:rPr>
        <w:footnoteReference w:id="3"/>
      </w:r>
      <w:r w:rsidRPr="00BE70CC" w:rsidR="00500FF2">
        <w:t xml:space="preserve">  We therefore direct </w:t>
      </w:r>
      <w:r w:rsidR="004D7744">
        <w:t xml:space="preserve">Neymar </w:t>
      </w:r>
      <w:r w:rsidRPr="00BE70CC" w:rsidR="00500FF2">
        <w:t xml:space="preserve">to take immediate steps to comply </w:t>
      </w:r>
      <w:r w:rsidRPr="00972667" w:rsidR="004D7744">
        <w:rPr>
          <w:szCs w:val="22"/>
        </w:rPr>
        <w:t>with federal rules and regulations related to radio frequency devices</w:t>
      </w:r>
      <w:r w:rsidR="004D7744">
        <w:rPr>
          <w:szCs w:val="22"/>
        </w:rPr>
        <w:t xml:space="preserve"> and eliminate the harmful interference caused to T-Mobile USA by the operation of its surveillance cameras.  </w:t>
      </w:r>
      <w:r w:rsidRPr="00BE70CC" w:rsidR="00500FF2">
        <w:t>If</w:t>
      </w:r>
      <w:r w:rsidR="004D7744">
        <w:t xml:space="preserve"> Neymar f</w:t>
      </w:r>
      <w:r w:rsidRPr="00BE70CC" w:rsidR="00500FF2">
        <w:t>ails to comply with these laws, it may be liable for significant fines</w:t>
      </w:r>
      <w:r w:rsidRPr="00BE70CC" w:rsidR="008C0FB2">
        <w:t xml:space="preserve"> </w:t>
      </w:r>
      <w:r w:rsidR="004D7744">
        <w:t xml:space="preserve">up to $19,639 per day. </w:t>
      </w:r>
    </w:p>
    <w:p w:rsidR="00F6754D" w:rsidRPr="00036350" w:rsidP="002C6607">
      <w:pPr>
        <w:pStyle w:val="ParaNum"/>
        <w:widowControl/>
        <w:tabs>
          <w:tab w:val="clear" w:pos="1080"/>
          <w:tab w:val="num" w:pos="1440"/>
        </w:tabs>
      </w:pPr>
      <w:r w:rsidRPr="00BE70CC">
        <w:rPr>
          <w:b/>
          <w:i/>
        </w:rPr>
        <w:t>Notice of Duty to Comply with the Law</w:t>
      </w:r>
      <w:r w:rsidRPr="00BE70CC">
        <w:t xml:space="preserve">:  </w:t>
      </w:r>
      <w:r w:rsidRPr="00BE70CC" w:rsidR="00716E89">
        <w:t xml:space="preserve">We issue this Citation pursuant to </w:t>
      </w:r>
      <w:r w:rsidR="004D7744">
        <w:t>s</w:t>
      </w:r>
      <w:r w:rsidRPr="00BE70CC" w:rsidR="00716E89">
        <w:t xml:space="preserve">ection 503(b)(5) of the Communications Act of 1934, as amended (Act), which </w:t>
      </w:r>
      <w:r w:rsidRPr="00BE70CC" w:rsidR="00727F4F">
        <w:t xml:space="preserve">states that the Commission may not impose </w:t>
      </w:r>
      <w:r w:rsidRPr="00BE70CC" w:rsidR="00716E89">
        <w:t>monetary forfeitures against non-regulatees who violate Commission rules or the Act</w:t>
      </w:r>
      <w:r w:rsidRPr="00BE70CC" w:rsidR="00727F4F">
        <w:t xml:space="preserve"> </w:t>
      </w:r>
      <w:r w:rsidRPr="00BE70CC" w:rsidR="00C42D39">
        <w:t>unless and until</w:t>
      </w:r>
      <w:r w:rsidRPr="00BE70CC" w:rsidR="00BF39AF">
        <w:t xml:space="preserve">: </w:t>
      </w:r>
      <w:r w:rsidRPr="00BE70CC" w:rsidR="00716E89">
        <w:t xml:space="preserve"> (a)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provides the violator a reasonable opportunity to respond; and (c) the violator subsequently engages in conduct described in the citation.</w:t>
      </w:r>
      <w:r>
        <w:rPr>
          <w:rStyle w:val="FootnoteReference"/>
          <w:kern w:val="2"/>
          <w:szCs w:val="22"/>
        </w:rPr>
        <w:footnoteReference w:id="4"/>
      </w:r>
      <w:r w:rsidRPr="00BE70CC" w:rsidR="00716E89">
        <w:t xml:space="preserve">  </w:t>
      </w:r>
      <w:r w:rsidRPr="00036350" w:rsidR="004D7744">
        <w:rPr>
          <w:szCs w:val="22"/>
        </w:rPr>
        <w:t xml:space="preserve">Accordingly, Neymar </w:t>
      </w:r>
      <w:r w:rsidRPr="00036350" w:rsidR="004D7744">
        <w:rPr>
          <w:kern w:val="2"/>
          <w:szCs w:val="22"/>
        </w:rPr>
        <w:t xml:space="preserve">is hereby on notice that </w:t>
      </w:r>
      <w:r w:rsidR="00382491">
        <w:rPr>
          <w:kern w:val="2"/>
          <w:szCs w:val="22"/>
        </w:rPr>
        <w:t>it</w:t>
      </w:r>
      <w:r w:rsidRPr="00036350" w:rsidR="00382491">
        <w:rPr>
          <w:kern w:val="2"/>
          <w:szCs w:val="22"/>
        </w:rPr>
        <w:t xml:space="preserve"> </w:t>
      </w:r>
      <w:r w:rsidRPr="00036350" w:rsidR="004D7744">
        <w:rPr>
          <w:kern w:val="2"/>
          <w:szCs w:val="22"/>
        </w:rPr>
        <w:t>must comply with section</w:t>
      </w:r>
      <w:r w:rsidR="00382491">
        <w:rPr>
          <w:kern w:val="2"/>
          <w:szCs w:val="22"/>
        </w:rPr>
        <w:t>s</w:t>
      </w:r>
      <w:r w:rsidRPr="00036350" w:rsidR="004D7744">
        <w:rPr>
          <w:kern w:val="2"/>
          <w:szCs w:val="22"/>
        </w:rPr>
        <w:t xml:space="preserve"> </w:t>
      </w:r>
      <w:r w:rsidRPr="00036350" w:rsidR="004D7744">
        <w:rPr>
          <w:color w:val="000000"/>
          <w:kern w:val="2"/>
          <w:szCs w:val="22"/>
        </w:rPr>
        <w:t>15(b) and 15(c) of the Commission’s rules.</w:t>
      </w:r>
      <w:r>
        <w:rPr>
          <w:rStyle w:val="FootnoteReference"/>
          <w:kern w:val="2"/>
          <w:szCs w:val="22"/>
        </w:rPr>
        <w:footnoteReference w:id="5"/>
      </w:r>
      <w:r w:rsidRPr="00036350" w:rsidR="004D7744">
        <w:rPr>
          <w:color w:val="000000"/>
          <w:kern w:val="2"/>
          <w:szCs w:val="22"/>
        </w:rPr>
        <w:t xml:space="preserve">  I</w:t>
      </w:r>
      <w:r w:rsidRPr="00036350" w:rsidR="004D7744">
        <w:rPr>
          <w:szCs w:val="22"/>
        </w:rPr>
        <w:t xml:space="preserve">f Neymar </w:t>
      </w:r>
      <w:r w:rsidRPr="00036350" w:rsidR="004D7744">
        <w:rPr>
          <w:kern w:val="2"/>
          <w:szCs w:val="22"/>
        </w:rPr>
        <w:t>subsequently engages in any conduct described in this Citation— and specifically any violation of section</w:t>
      </w:r>
      <w:r w:rsidR="00382491">
        <w:rPr>
          <w:kern w:val="2"/>
          <w:szCs w:val="22"/>
        </w:rPr>
        <w:t>s</w:t>
      </w:r>
      <w:r w:rsidRPr="00036350" w:rsidR="004D7744">
        <w:rPr>
          <w:kern w:val="2"/>
          <w:szCs w:val="22"/>
        </w:rPr>
        <w:t xml:space="preserve"> </w:t>
      </w:r>
      <w:r w:rsidRPr="00036350" w:rsidR="004D7744">
        <w:rPr>
          <w:color w:val="000000"/>
          <w:kern w:val="2"/>
          <w:szCs w:val="22"/>
        </w:rPr>
        <w:t>15(b) and 15(c) of the Commission’s rules</w:t>
      </w:r>
      <w:r w:rsidRPr="00036350" w:rsidR="004D7744">
        <w:rPr>
          <w:szCs w:val="22"/>
        </w:rPr>
        <w:t xml:space="preserve"> — Neymar </w:t>
      </w:r>
      <w:r w:rsidRPr="00036350" w:rsidR="004D7744">
        <w:rPr>
          <w:kern w:val="2"/>
          <w:szCs w:val="22"/>
        </w:rPr>
        <w:t>may be subject to civil penalties, including but not limited to, substantial monetary forfeitures.  In assessing such forfeitures, the Commission may consider both the conduct that led to this Citation and the conduct following it.</w:t>
      </w:r>
      <w:r>
        <w:rPr>
          <w:kern w:val="2"/>
          <w:szCs w:val="22"/>
          <w:vertAlign w:val="superscript"/>
        </w:rPr>
        <w:footnoteReference w:id="6"/>
      </w:r>
      <w:r w:rsidRPr="00036350" w:rsidR="004D7744">
        <w:rPr>
          <w:kern w:val="2"/>
          <w:szCs w:val="22"/>
        </w:rPr>
        <w:t xml:space="preserve">  Neymar</w:t>
      </w:r>
      <w:r w:rsidRPr="00036350" w:rsidR="004D7744">
        <w:rPr>
          <w:szCs w:val="22"/>
        </w:rPr>
        <w:t xml:space="preserve"> should take immediate steps to come into compliance with the Commission’s rules, including eliminating the interference.  Neymar is hereby on notice that if </w:t>
      </w:r>
      <w:r w:rsidR="00382491">
        <w:rPr>
          <w:szCs w:val="22"/>
        </w:rPr>
        <w:t>it</w:t>
      </w:r>
      <w:r w:rsidRPr="00036350" w:rsidR="00382491">
        <w:rPr>
          <w:szCs w:val="22"/>
        </w:rPr>
        <w:t xml:space="preserve"> </w:t>
      </w:r>
      <w:r w:rsidRPr="00036350" w:rsidR="004D7744">
        <w:rPr>
          <w:szCs w:val="22"/>
        </w:rPr>
        <w:t xml:space="preserve">subsequently engages in any conduct of the type described in this Citation, including any violation of sections 15.5(b) and </w:t>
      </w:r>
      <w:r w:rsidRPr="00036350" w:rsidR="004D7744">
        <w:rPr>
          <w:szCs w:val="22"/>
        </w:rPr>
        <w:t>15.5(c) of the Commission’s rules,</w:t>
      </w:r>
      <w:r>
        <w:rPr>
          <w:rStyle w:val="FootnoteReference"/>
          <w:szCs w:val="22"/>
        </w:rPr>
        <w:footnoteReference w:id="7"/>
      </w:r>
      <w:r w:rsidRPr="00036350" w:rsidR="004D7744">
        <w:rPr>
          <w:szCs w:val="22"/>
        </w:rPr>
        <w:t xml:space="preserve"> </w:t>
      </w:r>
      <w:r w:rsidR="00382491">
        <w:rPr>
          <w:szCs w:val="22"/>
        </w:rPr>
        <w:t>it</w:t>
      </w:r>
      <w:r w:rsidRPr="00036350" w:rsidR="00382491">
        <w:rPr>
          <w:szCs w:val="22"/>
        </w:rPr>
        <w:t xml:space="preserve"> </w:t>
      </w:r>
      <w:r w:rsidRPr="00036350" w:rsidR="004D7744">
        <w:rPr>
          <w:szCs w:val="22"/>
        </w:rPr>
        <w:t>may be subject to civil and criminal penalties, including but not limited to substantial monetary fines (forfeitures).  Such forfeitures may be based on both the conduct that led to this Citation and the conduct following it.</w:t>
      </w:r>
      <w:r>
        <w:rPr>
          <w:szCs w:val="22"/>
          <w:vertAlign w:val="superscript"/>
        </w:rPr>
        <w:footnoteReference w:id="8"/>
      </w:r>
      <w:r w:rsidRPr="00036350">
        <w:rPr>
          <w:i/>
        </w:rPr>
        <w:t xml:space="preserve">  </w:t>
      </w:r>
    </w:p>
    <w:p w:rsidR="008B27C1" w:rsidRPr="00BE70CC" w:rsidP="002C6607">
      <w:pPr>
        <w:pStyle w:val="ParaNum"/>
        <w:widowControl/>
        <w:tabs>
          <w:tab w:val="clear" w:pos="1080"/>
          <w:tab w:val="num" w:pos="1440"/>
        </w:tabs>
      </w:pPr>
      <w:bookmarkStart w:id="4" w:name="_Ref337821764"/>
      <w:r w:rsidRPr="00972667">
        <w:rPr>
          <w:b/>
          <w:i/>
          <w:noProof/>
          <w:color w:val="000000"/>
          <w:szCs w:val="22"/>
        </w:rPr>
        <w:t>Notice of Duty to Provide Information</w:t>
      </w:r>
      <w:r w:rsidRPr="00972667">
        <w:rPr>
          <w:noProof/>
          <w:color w:val="000000"/>
          <w:szCs w:val="22"/>
        </w:rPr>
        <w:t xml:space="preserve">:  Pursuant to </w:t>
      </w:r>
      <w:r>
        <w:rPr>
          <w:noProof/>
          <w:color w:val="000000"/>
          <w:szCs w:val="22"/>
        </w:rPr>
        <w:t>s</w:t>
      </w:r>
      <w:r w:rsidRPr="00972667">
        <w:rPr>
          <w:noProof/>
          <w:color w:val="000000"/>
          <w:szCs w:val="22"/>
        </w:rPr>
        <w:t>ections 4(i), 4(j), and 403 of the Act,</w:t>
      </w:r>
      <w:r>
        <w:rPr>
          <w:szCs w:val="22"/>
          <w:vertAlign w:val="superscript"/>
        </w:rPr>
        <w:footnoteReference w:id="9"/>
      </w:r>
      <w:r w:rsidRPr="00972667">
        <w:rPr>
          <w:noProof/>
          <w:color w:val="000000"/>
          <w:szCs w:val="22"/>
          <w:vertAlign w:val="superscript"/>
        </w:rPr>
        <w:t xml:space="preserve"> </w:t>
      </w:r>
      <w:r w:rsidRPr="00972667">
        <w:rPr>
          <w:noProof/>
          <w:color w:val="000000"/>
          <w:szCs w:val="22"/>
        </w:rPr>
        <w:t xml:space="preserve">we direct </w:t>
      </w:r>
      <w:r>
        <w:rPr>
          <w:noProof/>
          <w:color w:val="000000"/>
          <w:szCs w:val="22"/>
        </w:rPr>
        <w:t>Neymar</w:t>
      </w:r>
      <w:r w:rsidRPr="00972667">
        <w:rPr>
          <w:noProof/>
          <w:color w:val="000000"/>
          <w:szCs w:val="22"/>
        </w:rPr>
        <w:t xml:space="preserve"> to respond in writing, within thirty (30) calendar days after the release date of this Citation, </w:t>
      </w:r>
      <w:bookmarkEnd w:id="4"/>
      <w:r w:rsidRPr="00972667">
        <w:rPr>
          <w:noProof/>
          <w:color w:val="000000"/>
          <w:szCs w:val="22"/>
        </w:rPr>
        <w:t xml:space="preserve">to the information and document requests set </w:t>
      </w:r>
      <w:r>
        <w:rPr>
          <w:noProof/>
          <w:color w:val="000000"/>
          <w:szCs w:val="22"/>
        </w:rPr>
        <w:t>forth</w:t>
      </w:r>
      <w:r w:rsidRPr="00972667">
        <w:rPr>
          <w:noProof/>
          <w:color w:val="000000"/>
          <w:szCs w:val="22"/>
        </w:rPr>
        <w:t xml:space="preserve"> in paragraph twelve below.</w:t>
      </w:r>
      <w:r w:rsidRPr="00F50F55">
        <w:rPr>
          <w:kern w:val="0"/>
        </w:rPr>
        <w:t xml:space="preserve"> </w:t>
      </w:r>
      <w:r w:rsidRPr="00036350" w:rsidR="006E6234">
        <w:rPr>
          <w:kern w:val="0"/>
        </w:rPr>
        <w:t xml:space="preserve"> </w:t>
      </w:r>
      <w:r w:rsidRPr="00BE70CC" w:rsidR="00716E89">
        <w:t xml:space="preserve"> </w:t>
      </w:r>
      <w:r w:rsidRPr="00036350" w:rsidR="00097330">
        <w:rPr>
          <w:i/>
        </w:rPr>
        <w:t xml:space="preserve"> </w:t>
      </w:r>
      <w:r w:rsidRPr="00036350">
        <w:rPr>
          <w:i/>
        </w:rPr>
        <w:t xml:space="preserve">  </w:t>
      </w:r>
    </w:p>
    <w:p w:rsidR="00E273E3" w:rsidRPr="00BE70CC" w:rsidP="002C6607">
      <w:pPr>
        <w:pStyle w:val="Heading1"/>
        <w:widowControl/>
      </w:pPr>
      <w:bookmarkStart w:id="5" w:name="_Toc379288999"/>
      <w:bookmarkStart w:id="6" w:name="_Toc379365500"/>
      <w:r w:rsidRPr="00BE70CC">
        <w:t>BACKGROUND</w:t>
      </w:r>
      <w:bookmarkEnd w:id="5"/>
      <w:bookmarkEnd w:id="6"/>
      <w:r w:rsidRPr="00BE70CC" w:rsidR="00A8604A">
        <w:t xml:space="preserve"> </w:t>
      </w:r>
    </w:p>
    <w:p w:rsidR="00036350" w:rsidRPr="0003213A" w:rsidP="002C6607">
      <w:pPr>
        <w:pStyle w:val="ParaNum"/>
        <w:widowControl/>
        <w:numPr>
          <w:ilvl w:val="0"/>
          <w:numId w:val="1"/>
        </w:numPr>
        <w:tabs>
          <w:tab w:val="clear" w:pos="1080"/>
          <w:tab w:val="num" w:pos="1440"/>
        </w:tabs>
        <w:rPr>
          <w:noProof/>
          <w:color w:val="000000"/>
          <w:szCs w:val="22"/>
        </w:rPr>
      </w:pPr>
      <w:bookmarkStart w:id="7" w:name="_Hlk13842166"/>
      <w:r w:rsidRPr="008E7D5F">
        <w:rPr>
          <w:noProof/>
          <w:color w:val="000000"/>
          <w:szCs w:val="22"/>
        </w:rPr>
        <w:t xml:space="preserve">The Commission is charged with protecting </w:t>
      </w:r>
      <w:r>
        <w:rPr>
          <w:noProof/>
          <w:color w:val="000000"/>
          <w:szCs w:val="22"/>
        </w:rPr>
        <w:t>licensed radio operations from harmful interference</w:t>
      </w:r>
      <w:r w:rsidRPr="008E7D5F">
        <w:rPr>
          <w:noProof/>
          <w:color w:val="000000"/>
          <w:szCs w:val="22"/>
        </w:rPr>
        <w:t xml:space="preserve">.  </w:t>
      </w:r>
      <w:r>
        <w:rPr>
          <w:noProof/>
          <w:color w:val="000000"/>
          <w:szCs w:val="22"/>
        </w:rPr>
        <w:t>Harmful interference to Commerical Mobile Radio Service providers such as T-Mobile is particularly problematic in that it can interfere with 911 service</w:t>
      </w:r>
      <w:r w:rsidRPr="008E7D5F">
        <w:rPr>
          <w:noProof/>
          <w:color w:val="000000"/>
          <w:szCs w:val="22"/>
        </w:rPr>
        <w:t xml:space="preserve">.  </w:t>
      </w:r>
      <w:r w:rsidRPr="0003213A">
        <w:rPr>
          <w:noProof/>
          <w:color w:val="000000"/>
          <w:szCs w:val="22"/>
        </w:rPr>
        <w:t>On October 12, 2018, T-Mobile USA, Inc. (T-Mobile) filed a complaint with the Commission</w:t>
      </w:r>
      <w:r>
        <w:rPr>
          <w:szCs w:val="22"/>
          <w:vertAlign w:val="superscript"/>
        </w:rPr>
        <w:footnoteReference w:id="10"/>
      </w:r>
      <w:r w:rsidRPr="0003213A">
        <w:rPr>
          <w:noProof/>
          <w:color w:val="000000"/>
          <w:szCs w:val="22"/>
        </w:rPr>
        <w:t xml:space="preserve"> concerning interference to its cellular communication system that operates in the 700 MHz band in Bronx, New York.  T-Mobile noted that the interference appeared to correspond with the surveillance cameras located at the Neymar Candy and Grocery store at 1175 Vyse Avenue,  Bronx, New York.  </w:t>
      </w:r>
      <w:bookmarkEnd w:id="7"/>
      <w:r w:rsidRPr="0003213A">
        <w:rPr>
          <w:noProof/>
          <w:color w:val="000000"/>
          <w:szCs w:val="22"/>
        </w:rPr>
        <w:t>T-Mobile contacted the FCC when the Neymar failed to take corrective action after first being contacted by T-Mobile.  T-Mobile uses the 700 MHz band to provide LTE service to business and residential consumers.</w:t>
      </w:r>
    </w:p>
    <w:p w:rsidR="00036350" w:rsidRPr="003C55A6" w:rsidP="002C6607">
      <w:pPr>
        <w:pStyle w:val="ParaNum"/>
        <w:widowControl/>
        <w:numPr>
          <w:ilvl w:val="0"/>
          <w:numId w:val="1"/>
        </w:numPr>
        <w:tabs>
          <w:tab w:val="clear" w:pos="1080"/>
          <w:tab w:val="num" w:pos="1440"/>
        </w:tabs>
        <w:rPr>
          <w:noProof/>
          <w:color w:val="000000"/>
          <w:szCs w:val="22"/>
        </w:rPr>
      </w:pPr>
      <w:r w:rsidRPr="003C55A6">
        <w:rPr>
          <w:noProof/>
          <w:color w:val="000000"/>
          <w:szCs w:val="22"/>
        </w:rPr>
        <w:t xml:space="preserve">On November 16, 2018, in response to T-Mobile’s complaint, agents from the Commission’s New York Field Office (New York Office) conducted an on-scene investigation.  Direction finding techniques supported the allegation that the surveillance cameras located at Neymar were the source of the interference.  </w:t>
      </w:r>
    </w:p>
    <w:p w:rsidR="00036350" w:rsidRPr="00972667" w:rsidP="002C6607">
      <w:pPr>
        <w:pStyle w:val="ParaNum"/>
        <w:widowControl/>
        <w:numPr>
          <w:ilvl w:val="0"/>
          <w:numId w:val="1"/>
        </w:numPr>
        <w:tabs>
          <w:tab w:val="clear" w:pos="1080"/>
          <w:tab w:val="num" w:pos="1440"/>
        </w:tabs>
        <w:rPr>
          <w:noProof/>
          <w:color w:val="000000"/>
          <w:szCs w:val="22"/>
        </w:rPr>
      </w:pPr>
      <w:r w:rsidRPr="00972667">
        <w:rPr>
          <w:noProof/>
          <w:color w:val="000000"/>
          <w:szCs w:val="22"/>
        </w:rPr>
        <w:t xml:space="preserve">On </w:t>
      </w:r>
      <w:r>
        <w:rPr>
          <w:noProof/>
          <w:color w:val="000000"/>
          <w:szCs w:val="22"/>
        </w:rPr>
        <w:t>November 16</w:t>
      </w:r>
      <w:r w:rsidRPr="00972667">
        <w:rPr>
          <w:noProof/>
          <w:color w:val="000000"/>
          <w:szCs w:val="22"/>
        </w:rPr>
        <w:t>, 201</w:t>
      </w:r>
      <w:r>
        <w:rPr>
          <w:noProof/>
          <w:color w:val="000000"/>
          <w:szCs w:val="22"/>
        </w:rPr>
        <w:t>8</w:t>
      </w:r>
      <w:r w:rsidRPr="00972667">
        <w:rPr>
          <w:noProof/>
          <w:color w:val="000000"/>
          <w:szCs w:val="22"/>
        </w:rPr>
        <w:t xml:space="preserve">, the New York Office issued an on-scene warning notice (Warning) to </w:t>
      </w:r>
      <w:r>
        <w:rPr>
          <w:noProof/>
          <w:color w:val="000000"/>
          <w:szCs w:val="22"/>
        </w:rPr>
        <w:t>Neymar</w:t>
      </w:r>
      <w:r w:rsidRPr="00972667">
        <w:rPr>
          <w:noProof/>
          <w:color w:val="000000"/>
          <w:szCs w:val="22"/>
        </w:rPr>
        <w:t xml:space="preserve">, informing </w:t>
      </w:r>
      <w:r>
        <w:rPr>
          <w:noProof/>
          <w:color w:val="000000"/>
          <w:szCs w:val="22"/>
        </w:rPr>
        <w:t xml:space="preserve">Neymar that </w:t>
      </w:r>
      <w:r w:rsidR="00534B85">
        <w:rPr>
          <w:noProof/>
          <w:color w:val="000000"/>
          <w:szCs w:val="22"/>
        </w:rPr>
        <w:t>it was</w:t>
      </w:r>
      <w:r>
        <w:rPr>
          <w:noProof/>
          <w:color w:val="000000"/>
          <w:szCs w:val="22"/>
        </w:rPr>
        <w:t xml:space="preserve"> operating </w:t>
      </w:r>
      <w:r w:rsidRPr="00972667">
        <w:rPr>
          <w:noProof/>
          <w:color w:val="000000"/>
          <w:szCs w:val="22"/>
        </w:rPr>
        <w:t xml:space="preserve"> a radio frequency radiating device</w:t>
      </w:r>
      <w:r>
        <w:rPr>
          <w:noProof/>
          <w:color w:val="000000"/>
          <w:szCs w:val="22"/>
        </w:rPr>
        <w:t xml:space="preserve"> </w:t>
      </w:r>
      <w:r w:rsidRPr="00972667">
        <w:rPr>
          <w:noProof/>
          <w:color w:val="000000"/>
          <w:szCs w:val="22"/>
        </w:rPr>
        <w:t xml:space="preserve">which was causing harmful interference to radio communications.  The letter stated that the RF energy emanating from the device was detected </w:t>
      </w:r>
      <w:r w:rsidRPr="00834179">
        <w:rPr>
          <w:noProof/>
          <w:color w:val="000000"/>
          <w:szCs w:val="22"/>
        </w:rPr>
        <w:t xml:space="preserve">in the </w:t>
      </w:r>
      <w:r>
        <w:rPr>
          <w:noProof/>
          <w:color w:val="000000"/>
          <w:szCs w:val="22"/>
        </w:rPr>
        <w:t xml:space="preserve">700 MHz </w:t>
      </w:r>
      <w:r w:rsidRPr="00834179">
        <w:rPr>
          <w:noProof/>
          <w:color w:val="000000"/>
          <w:szCs w:val="22"/>
        </w:rPr>
        <w:t xml:space="preserve"> band</w:t>
      </w:r>
      <w:r w:rsidRPr="00972667">
        <w:rPr>
          <w:noProof/>
          <w:color w:val="000000"/>
          <w:szCs w:val="22"/>
        </w:rPr>
        <w:t xml:space="preserve">, frequencies reserved for cellular operation.  Furthermore, the Warning provided citations to applicable </w:t>
      </w:r>
      <w:r>
        <w:rPr>
          <w:noProof/>
          <w:color w:val="000000"/>
          <w:szCs w:val="22"/>
        </w:rPr>
        <w:t>Commission rules</w:t>
      </w:r>
      <w:r w:rsidRPr="00972667">
        <w:rPr>
          <w:noProof/>
          <w:color w:val="000000"/>
          <w:szCs w:val="22"/>
        </w:rPr>
        <w:t xml:space="preserve"> and regulations, with which </w:t>
      </w:r>
      <w:r>
        <w:rPr>
          <w:noProof/>
          <w:color w:val="000000"/>
          <w:szCs w:val="22"/>
        </w:rPr>
        <w:t>Neymar</w:t>
      </w:r>
      <w:r w:rsidRPr="00972667">
        <w:rPr>
          <w:noProof/>
          <w:color w:val="000000"/>
          <w:szCs w:val="22"/>
        </w:rPr>
        <w:t xml:space="preserve"> was advised </w:t>
      </w:r>
      <w:r>
        <w:rPr>
          <w:noProof/>
          <w:color w:val="000000"/>
          <w:szCs w:val="22"/>
        </w:rPr>
        <w:t xml:space="preserve">that </w:t>
      </w:r>
      <w:r w:rsidR="00415A35">
        <w:rPr>
          <w:noProof/>
          <w:color w:val="000000"/>
          <w:szCs w:val="22"/>
        </w:rPr>
        <w:t>it</w:t>
      </w:r>
      <w:r w:rsidRPr="00972667" w:rsidR="00415A35">
        <w:rPr>
          <w:noProof/>
          <w:color w:val="000000"/>
          <w:szCs w:val="22"/>
        </w:rPr>
        <w:t xml:space="preserve"> </w:t>
      </w:r>
      <w:r w:rsidRPr="00972667">
        <w:rPr>
          <w:noProof/>
          <w:color w:val="000000"/>
          <w:szCs w:val="22"/>
        </w:rPr>
        <w:t xml:space="preserve">must comply.  </w:t>
      </w:r>
      <w:bookmarkStart w:id="10" w:name="_Hlk13841159"/>
      <w:r w:rsidRPr="00972667">
        <w:rPr>
          <w:noProof/>
          <w:color w:val="000000"/>
          <w:szCs w:val="22"/>
        </w:rPr>
        <w:t xml:space="preserve">The </w:t>
      </w:r>
      <w:r>
        <w:rPr>
          <w:noProof/>
          <w:color w:val="000000"/>
          <w:szCs w:val="22"/>
        </w:rPr>
        <w:t>New York Office</w:t>
      </w:r>
      <w:r w:rsidRPr="00972667">
        <w:rPr>
          <w:noProof/>
          <w:color w:val="000000"/>
          <w:szCs w:val="22"/>
        </w:rPr>
        <w:t xml:space="preserve"> agent </w:t>
      </w:r>
      <w:r>
        <w:rPr>
          <w:noProof/>
          <w:color w:val="000000"/>
          <w:szCs w:val="22"/>
        </w:rPr>
        <w:t>gave</w:t>
      </w:r>
      <w:r w:rsidRPr="00972667">
        <w:rPr>
          <w:noProof/>
          <w:color w:val="000000"/>
          <w:szCs w:val="22"/>
        </w:rPr>
        <w:t xml:space="preserve"> the Warning </w:t>
      </w:r>
      <w:r>
        <w:rPr>
          <w:noProof/>
          <w:color w:val="000000"/>
          <w:szCs w:val="22"/>
        </w:rPr>
        <w:t>to the cashier at Neymar.</w:t>
      </w:r>
    </w:p>
    <w:bookmarkEnd w:id="10"/>
    <w:p w:rsidR="00036350" w:rsidRPr="00972667" w:rsidP="002C6607">
      <w:pPr>
        <w:pStyle w:val="ParaNum"/>
        <w:widowControl/>
        <w:numPr>
          <w:ilvl w:val="0"/>
          <w:numId w:val="1"/>
        </w:numPr>
        <w:tabs>
          <w:tab w:val="clear" w:pos="1080"/>
          <w:tab w:val="num" w:pos="1440"/>
        </w:tabs>
        <w:rPr>
          <w:noProof/>
          <w:color w:val="000000"/>
          <w:szCs w:val="22"/>
        </w:rPr>
      </w:pPr>
      <w:r w:rsidRPr="00972667">
        <w:rPr>
          <w:noProof/>
          <w:color w:val="000000"/>
          <w:szCs w:val="22"/>
        </w:rPr>
        <w:t xml:space="preserve">On </w:t>
      </w:r>
      <w:r>
        <w:rPr>
          <w:noProof/>
          <w:color w:val="000000"/>
          <w:szCs w:val="22"/>
        </w:rPr>
        <w:t>March 28</w:t>
      </w:r>
      <w:r w:rsidRPr="00972667">
        <w:rPr>
          <w:noProof/>
          <w:color w:val="000000"/>
          <w:szCs w:val="22"/>
        </w:rPr>
        <w:t>, 201</w:t>
      </w:r>
      <w:r>
        <w:rPr>
          <w:noProof/>
          <w:color w:val="000000"/>
          <w:szCs w:val="22"/>
        </w:rPr>
        <w:t>9</w:t>
      </w:r>
      <w:r w:rsidRPr="00972667">
        <w:rPr>
          <w:noProof/>
          <w:color w:val="000000"/>
          <w:szCs w:val="22"/>
        </w:rPr>
        <w:t xml:space="preserve">, the Enforcement Bureau sent, via First Class Mail and Certified Mail, return receipt requested, a Notice of Harmful Interference (Second Warning) to </w:t>
      </w:r>
      <w:r>
        <w:rPr>
          <w:noProof/>
          <w:color w:val="000000"/>
          <w:szCs w:val="22"/>
        </w:rPr>
        <w:t>Neymar</w:t>
      </w:r>
      <w:r w:rsidRPr="00972667">
        <w:rPr>
          <w:noProof/>
          <w:color w:val="000000"/>
          <w:szCs w:val="22"/>
        </w:rPr>
        <w:t xml:space="preserve">.  </w:t>
      </w:r>
      <w:r>
        <w:rPr>
          <w:noProof/>
          <w:color w:val="000000"/>
          <w:szCs w:val="22"/>
        </w:rPr>
        <w:t>As</w:t>
      </w:r>
      <w:r w:rsidRPr="00972667">
        <w:rPr>
          <w:noProof/>
          <w:color w:val="000000"/>
          <w:szCs w:val="22"/>
        </w:rPr>
        <w:t xml:space="preserve"> </w:t>
      </w:r>
      <w:r w:rsidR="00415A35">
        <w:rPr>
          <w:noProof/>
          <w:color w:val="000000"/>
          <w:szCs w:val="22"/>
        </w:rPr>
        <w:t xml:space="preserve">with </w:t>
      </w:r>
      <w:r w:rsidRPr="00972667">
        <w:rPr>
          <w:noProof/>
          <w:color w:val="000000"/>
          <w:szCs w:val="22"/>
        </w:rPr>
        <w:t xml:space="preserve">the prior Warning, the Second Warning advised, </w:t>
      </w:r>
      <w:r>
        <w:rPr>
          <w:i/>
          <w:noProof/>
          <w:color w:val="000000"/>
          <w:szCs w:val="22"/>
        </w:rPr>
        <w:t>inter alia</w:t>
      </w:r>
      <w:r w:rsidRPr="00972667">
        <w:rPr>
          <w:noProof/>
          <w:color w:val="000000"/>
          <w:szCs w:val="22"/>
        </w:rPr>
        <w:t>, that the surveillance camera</w:t>
      </w:r>
      <w:r>
        <w:rPr>
          <w:noProof/>
          <w:color w:val="000000"/>
          <w:szCs w:val="22"/>
        </w:rPr>
        <w:t>s</w:t>
      </w:r>
      <w:r w:rsidRPr="00972667">
        <w:rPr>
          <w:noProof/>
          <w:color w:val="000000"/>
          <w:szCs w:val="22"/>
        </w:rPr>
        <w:t xml:space="preserve"> was generating harmful interference on frequencies assigned to </w:t>
      </w:r>
      <w:r>
        <w:rPr>
          <w:noProof/>
          <w:color w:val="000000"/>
          <w:szCs w:val="22"/>
        </w:rPr>
        <w:t>T-Mobile</w:t>
      </w:r>
      <w:r w:rsidRPr="00972667">
        <w:rPr>
          <w:noProof/>
          <w:color w:val="000000"/>
          <w:szCs w:val="22"/>
        </w:rPr>
        <w:t xml:space="preserve">’s cellular network.  The Second Warning also instructed </w:t>
      </w:r>
      <w:r>
        <w:rPr>
          <w:noProof/>
          <w:color w:val="000000"/>
          <w:szCs w:val="22"/>
        </w:rPr>
        <w:t>Neymar</w:t>
      </w:r>
      <w:r w:rsidRPr="00972667">
        <w:rPr>
          <w:noProof/>
          <w:color w:val="000000"/>
          <w:szCs w:val="22"/>
        </w:rPr>
        <w:t xml:space="preserve"> not to resume operation of the surveillance camera</w:t>
      </w:r>
      <w:r>
        <w:rPr>
          <w:noProof/>
          <w:color w:val="000000"/>
          <w:szCs w:val="22"/>
        </w:rPr>
        <w:t>s</w:t>
      </w:r>
      <w:r w:rsidRPr="00972667">
        <w:rPr>
          <w:noProof/>
          <w:color w:val="000000"/>
          <w:szCs w:val="22"/>
        </w:rPr>
        <w:t xml:space="preserve"> until the conditions causing the harmful interference had been corrected, and outlined the potential penalties for such a violation, including equipment seizure, fines, and imprisonment.</w:t>
      </w:r>
      <w:r>
        <w:rPr>
          <w:szCs w:val="22"/>
          <w:vertAlign w:val="superscript"/>
        </w:rPr>
        <w:footnoteReference w:id="11"/>
      </w:r>
      <w:r w:rsidRPr="00972667">
        <w:rPr>
          <w:noProof/>
          <w:color w:val="000000"/>
          <w:szCs w:val="22"/>
        </w:rPr>
        <w:t xml:space="preserve">  </w:t>
      </w:r>
    </w:p>
    <w:p w:rsidR="00036350" w:rsidRPr="00972667" w:rsidP="002C6607">
      <w:pPr>
        <w:pStyle w:val="ParaNum"/>
        <w:widowControl/>
        <w:numPr>
          <w:ilvl w:val="0"/>
          <w:numId w:val="1"/>
        </w:numPr>
        <w:tabs>
          <w:tab w:val="clear" w:pos="1080"/>
          <w:tab w:val="num" w:pos="1440"/>
        </w:tabs>
        <w:rPr>
          <w:noProof/>
          <w:color w:val="000000"/>
          <w:szCs w:val="22"/>
        </w:rPr>
      </w:pPr>
      <w:bookmarkStart w:id="11" w:name="_Hlk13841855"/>
      <w:r w:rsidRPr="00972667">
        <w:rPr>
          <w:noProof/>
          <w:color w:val="000000"/>
          <w:szCs w:val="22"/>
        </w:rPr>
        <w:t xml:space="preserve">On </w:t>
      </w:r>
      <w:r>
        <w:rPr>
          <w:noProof/>
          <w:color w:val="000000"/>
          <w:szCs w:val="22"/>
        </w:rPr>
        <w:t>June</w:t>
      </w:r>
      <w:r w:rsidRPr="00972667">
        <w:rPr>
          <w:noProof/>
          <w:color w:val="000000"/>
          <w:szCs w:val="22"/>
        </w:rPr>
        <w:t xml:space="preserve"> </w:t>
      </w:r>
      <w:r>
        <w:rPr>
          <w:noProof/>
          <w:color w:val="000000"/>
          <w:szCs w:val="22"/>
        </w:rPr>
        <w:t>26</w:t>
      </w:r>
      <w:r w:rsidRPr="00972667">
        <w:rPr>
          <w:noProof/>
          <w:color w:val="000000"/>
          <w:szCs w:val="22"/>
        </w:rPr>
        <w:t>, 201</w:t>
      </w:r>
      <w:r>
        <w:rPr>
          <w:noProof/>
          <w:color w:val="000000"/>
          <w:szCs w:val="22"/>
        </w:rPr>
        <w:t>9</w:t>
      </w:r>
      <w:r w:rsidRPr="00972667">
        <w:rPr>
          <w:noProof/>
          <w:color w:val="000000"/>
          <w:szCs w:val="22"/>
        </w:rPr>
        <w:t xml:space="preserve">, in response to </w:t>
      </w:r>
      <w:r>
        <w:rPr>
          <w:noProof/>
          <w:color w:val="000000"/>
          <w:szCs w:val="22"/>
        </w:rPr>
        <w:t>T-Mobile</w:t>
      </w:r>
      <w:r w:rsidRPr="00972667">
        <w:rPr>
          <w:noProof/>
          <w:color w:val="000000"/>
          <w:szCs w:val="22"/>
        </w:rPr>
        <w:t xml:space="preserve">’s continuing complaints that the interference had not been resolved, New York Office </w:t>
      </w:r>
      <w:r>
        <w:rPr>
          <w:noProof/>
          <w:color w:val="000000"/>
          <w:szCs w:val="22"/>
        </w:rPr>
        <w:t xml:space="preserve">agents </w:t>
      </w:r>
      <w:r w:rsidRPr="00972667">
        <w:rPr>
          <w:noProof/>
          <w:color w:val="000000"/>
          <w:szCs w:val="22"/>
        </w:rPr>
        <w:t xml:space="preserve">conducted another on-scene investigation.  Direction </w:t>
      </w:r>
      <w:r w:rsidRPr="00972667">
        <w:rPr>
          <w:noProof/>
          <w:color w:val="000000"/>
          <w:szCs w:val="22"/>
        </w:rPr>
        <w:t>finding techniques again supported the allegation that the surveillance camera</w:t>
      </w:r>
      <w:r>
        <w:rPr>
          <w:noProof/>
          <w:color w:val="000000"/>
          <w:szCs w:val="22"/>
        </w:rPr>
        <w:t>s</w:t>
      </w:r>
      <w:r w:rsidRPr="00972667">
        <w:rPr>
          <w:noProof/>
          <w:color w:val="000000"/>
          <w:szCs w:val="22"/>
        </w:rPr>
        <w:t xml:space="preserve"> located at </w:t>
      </w:r>
      <w:r>
        <w:rPr>
          <w:noProof/>
          <w:color w:val="000000"/>
          <w:szCs w:val="22"/>
        </w:rPr>
        <w:t xml:space="preserve">Neymar </w:t>
      </w:r>
      <w:r w:rsidRPr="00972667">
        <w:rPr>
          <w:noProof/>
          <w:color w:val="000000"/>
          <w:szCs w:val="22"/>
        </w:rPr>
        <w:t>w</w:t>
      </w:r>
      <w:r>
        <w:rPr>
          <w:noProof/>
          <w:color w:val="000000"/>
          <w:szCs w:val="22"/>
        </w:rPr>
        <w:t>ere</w:t>
      </w:r>
      <w:r w:rsidRPr="00972667">
        <w:rPr>
          <w:noProof/>
          <w:color w:val="000000"/>
          <w:szCs w:val="22"/>
        </w:rPr>
        <w:t xml:space="preserve"> the source of the interference.  </w:t>
      </w:r>
    </w:p>
    <w:bookmarkEnd w:id="11"/>
    <w:p w:rsidR="00036350" w:rsidRPr="00972667" w:rsidP="002C6607">
      <w:pPr>
        <w:pStyle w:val="ParaNum"/>
        <w:widowControl/>
        <w:numPr>
          <w:ilvl w:val="0"/>
          <w:numId w:val="1"/>
        </w:numPr>
        <w:tabs>
          <w:tab w:val="clear" w:pos="1080"/>
          <w:tab w:val="num" w:pos="1440"/>
        </w:tabs>
        <w:rPr>
          <w:noProof/>
          <w:color w:val="000000"/>
          <w:szCs w:val="22"/>
        </w:rPr>
      </w:pPr>
      <w:r w:rsidRPr="00972667">
        <w:rPr>
          <w:noProof/>
          <w:color w:val="000000"/>
          <w:szCs w:val="22"/>
        </w:rPr>
        <w:t>On J</w:t>
      </w:r>
      <w:r>
        <w:rPr>
          <w:noProof/>
          <w:color w:val="000000"/>
          <w:szCs w:val="22"/>
        </w:rPr>
        <w:t>une</w:t>
      </w:r>
      <w:r w:rsidRPr="00972667">
        <w:rPr>
          <w:noProof/>
          <w:color w:val="000000"/>
          <w:szCs w:val="22"/>
        </w:rPr>
        <w:t xml:space="preserve"> </w:t>
      </w:r>
      <w:r>
        <w:rPr>
          <w:noProof/>
          <w:color w:val="000000"/>
          <w:szCs w:val="22"/>
        </w:rPr>
        <w:t>26</w:t>
      </w:r>
      <w:r w:rsidRPr="00972667">
        <w:rPr>
          <w:noProof/>
          <w:color w:val="000000"/>
          <w:szCs w:val="22"/>
        </w:rPr>
        <w:t>, 201</w:t>
      </w:r>
      <w:r>
        <w:rPr>
          <w:noProof/>
          <w:color w:val="000000"/>
          <w:szCs w:val="22"/>
        </w:rPr>
        <w:t>9</w:t>
      </w:r>
      <w:r w:rsidRPr="00972667">
        <w:rPr>
          <w:noProof/>
          <w:color w:val="000000"/>
          <w:szCs w:val="22"/>
        </w:rPr>
        <w:t xml:space="preserve">, the New York Office issued </w:t>
      </w:r>
      <w:r>
        <w:rPr>
          <w:noProof/>
          <w:color w:val="000000"/>
          <w:szCs w:val="22"/>
        </w:rPr>
        <w:t>Neymar</w:t>
      </w:r>
      <w:r w:rsidRPr="00972667">
        <w:rPr>
          <w:noProof/>
          <w:color w:val="000000"/>
          <w:szCs w:val="22"/>
        </w:rPr>
        <w:t xml:space="preserve"> an on-scene </w:t>
      </w:r>
      <w:r>
        <w:rPr>
          <w:noProof/>
          <w:color w:val="000000"/>
          <w:szCs w:val="22"/>
        </w:rPr>
        <w:t xml:space="preserve">verbal and written </w:t>
      </w:r>
      <w:r w:rsidRPr="00972667">
        <w:rPr>
          <w:noProof/>
          <w:color w:val="000000"/>
          <w:szCs w:val="22"/>
        </w:rPr>
        <w:t>warning (Third Warning)</w:t>
      </w:r>
      <w:r>
        <w:rPr>
          <w:noProof/>
          <w:color w:val="000000"/>
          <w:szCs w:val="22"/>
        </w:rPr>
        <w:t xml:space="preserve"> to Neymar.  </w:t>
      </w:r>
      <w:r w:rsidRPr="00972667">
        <w:rPr>
          <w:noProof/>
          <w:color w:val="000000"/>
          <w:szCs w:val="22"/>
        </w:rPr>
        <w:t>The Third Warning indicated that</w:t>
      </w:r>
      <w:r>
        <w:rPr>
          <w:noProof/>
          <w:color w:val="000000"/>
          <w:szCs w:val="22"/>
        </w:rPr>
        <w:t xml:space="preserve"> Neymar </w:t>
      </w:r>
      <w:r w:rsidRPr="00972667">
        <w:rPr>
          <w:noProof/>
          <w:color w:val="000000"/>
          <w:szCs w:val="22"/>
        </w:rPr>
        <w:t>had ten</w:t>
      </w:r>
      <w:r>
        <w:rPr>
          <w:noProof/>
          <w:color w:val="000000"/>
          <w:szCs w:val="22"/>
        </w:rPr>
        <w:t xml:space="preserve"> (10)</w:t>
      </w:r>
      <w:r w:rsidRPr="00972667">
        <w:rPr>
          <w:noProof/>
          <w:color w:val="000000"/>
          <w:szCs w:val="22"/>
        </w:rPr>
        <w:t xml:space="preserve"> days to respond.  </w:t>
      </w:r>
      <w:r>
        <w:rPr>
          <w:noProof/>
          <w:color w:val="000000"/>
          <w:szCs w:val="22"/>
        </w:rPr>
        <w:t xml:space="preserve">Neymar </w:t>
      </w:r>
      <w:r w:rsidRPr="00972667">
        <w:rPr>
          <w:noProof/>
          <w:color w:val="000000"/>
          <w:szCs w:val="22"/>
        </w:rPr>
        <w:t>did not respond to the Third Warning.</w:t>
      </w:r>
    </w:p>
    <w:p w:rsidR="0096675D" w:rsidRPr="00BE70CC" w:rsidP="002C6607">
      <w:pPr>
        <w:pStyle w:val="Heading1"/>
        <w:widowControl/>
      </w:pPr>
      <w:r w:rsidRPr="00BE70CC">
        <w:t xml:space="preserve">aPPLICABLE LAW </w:t>
      </w:r>
      <w:r w:rsidRPr="00BE70CC" w:rsidR="00654D13">
        <w:t>and violations</w:t>
      </w:r>
    </w:p>
    <w:p w:rsidR="00036350" w:rsidRPr="00036350" w:rsidP="002C6607">
      <w:pPr>
        <w:pStyle w:val="ParaNum"/>
        <w:widowControl/>
        <w:tabs>
          <w:tab w:val="clear" w:pos="1080"/>
          <w:tab w:val="num" w:pos="1440"/>
        </w:tabs>
        <w:rPr>
          <w:noProof/>
          <w:color w:val="000000"/>
        </w:rPr>
      </w:pPr>
      <w:r w:rsidRPr="00036350">
        <w:t xml:space="preserve">Section 15.5(b) of the </w:t>
      </w:r>
      <w:r w:rsidRPr="00036350">
        <w:rPr>
          <w:noProof/>
          <w:color w:val="000000"/>
        </w:rPr>
        <w:t>Commission’s rules requires that</w:t>
      </w:r>
      <w:r w:rsidRPr="00036350">
        <w:t xml:space="preserve"> “operation of an intentional, unintentional, or incidental radiator is subject to the conditions that no harmful interference is caused . . . .”</w:t>
      </w:r>
      <w:r>
        <w:rPr>
          <w:vertAlign w:val="superscript"/>
        </w:rPr>
        <w:footnoteReference w:id="12"/>
      </w:r>
      <w:r w:rsidRPr="00036350">
        <w:t xml:space="preserve">  Similarly, section 15.5(c) of the </w:t>
      </w:r>
      <w:r w:rsidRPr="00036350">
        <w:rPr>
          <w:noProof/>
          <w:color w:val="000000"/>
        </w:rPr>
        <w:t>Commission’s rules states that</w:t>
      </w:r>
      <w:r w:rsidRPr="00036350">
        <w:t xml:space="preserve"> the “operator of a radio frequency device shall be required to cease operating the device upon notification by a Commission representative that the device is causing harmful interference.  Operation shall not resume until the condition causing the harmful interference has been corrected.”</w:t>
      </w:r>
      <w:r>
        <w:rPr>
          <w:vertAlign w:val="superscript"/>
        </w:rPr>
        <w:footnoteReference w:id="13"/>
      </w:r>
      <w:r w:rsidRPr="00036350">
        <w:t xml:space="preserve">  </w:t>
      </w:r>
      <w:r w:rsidRPr="00036350">
        <w:rPr>
          <w:noProof/>
          <w:color w:val="000000"/>
        </w:rPr>
        <w:t>Section 15.3(m)’s definition of harmful interference includes any emission, radiation or induction that “. . . obstructs or repeatedly interrupts a radiocommunications service operating in accordance with this chapter.”</w:t>
      </w:r>
      <w:r>
        <w:rPr>
          <w:vertAlign w:val="superscript"/>
        </w:rPr>
        <w:footnoteReference w:id="14"/>
      </w:r>
      <w:r w:rsidRPr="00036350">
        <w:rPr>
          <w:noProof/>
          <w:color w:val="000000"/>
        </w:rPr>
        <w:t xml:space="preserve">  </w:t>
      </w:r>
    </w:p>
    <w:p w:rsidR="00753BD2" w:rsidRPr="00036350" w:rsidP="002C6607">
      <w:pPr>
        <w:pStyle w:val="ParaNum"/>
        <w:widowControl/>
        <w:numPr>
          <w:ilvl w:val="0"/>
          <w:numId w:val="1"/>
        </w:numPr>
        <w:tabs>
          <w:tab w:val="clear" w:pos="1080"/>
          <w:tab w:val="num" w:pos="1440"/>
        </w:tabs>
        <w:rPr>
          <w:noProof/>
          <w:color w:val="000000"/>
          <w:szCs w:val="22"/>
        </w:rPr>
      </w:pPr>
      <w:r>
        <w:rPr>
          <w:noProof/>
          <w:color w:val="000000"/>
          <w:szCs w:val="22"/>
        </w:rPr>
        <w:t>W</w:t>
      </w:r>
      <w:r w:rsidRPr="00972667" w:rsidR="00036350">
        <w:rPr>
          <w:noProof/>
          <w:color w:val="000000"/>
          <w:szCs w:val="22"/>
        </w:rPr>
        <w:t xml:space="preserve">e find that </w:t>
      </w:r>
      <w:r w:rsidR="00036350">
        <w:rPr>
          <w:noProof/>
          <w:color w:val="000000"/>
          <w:szCs w:val="22"/>
        </w:rPr>
        <w:t>Neymar</w:t>
      </w:r>
      <w:r w:rsidRPr="00972667" w:rsidR="00036350">
        <w:rPr>
          <w:noProof/>
          <w:color w:val="000000"/>
          <w:szCs w:val="22"/>
        </w:rPr>
        <w:t xml:space="preserve"> violated </w:t>
      </w:r>
      <w:r w:rsidR="00036350">
        <w:rPr>
          <w:noProof/>
          <w:color w:val="000000"/>
          <w:szCs w:val="22"/>
        </w:rPr>
        <w:t xml:space="preserve">sections </w:t>
      </w:r>
      <w:r w:rsidR="00B369E1">
        <w:rPr>
          <w:noProof/>
          <w:color w:val="000000"/>
          <w:szCs w:val="22"/>
        </w:rPr>
        <w:t>1</w:t>
      </w:r>
      <w:r w:rsidRPr="00972667" w:rsidR="00036350">
        <w:rPr>
          <w:noProof/>
          <w:color w:val="000000"/>
          <w:szCs w:val="22"/>
        </w:rPr>
        <w:t>5.5(b) and (c) of the Commission’s rules by operating device</w:t>
      </w:r>
      <w:r w:rsidR="00036350">
        <w:rPr>
          <w:noProof/>
          <w:color w:val="000000"/>
          <w:szCs w:val="22"/>
        </w:rPr>
        <w:t>s</w:t>
      </w:r>
      <w:r w:rsidRPr="00972667" w:rsidR="00036350">
        <w:rPr>
          <w:noProof/>
          <w:color w:val="000000"/>
          <w:szCs w:val="22"/>
        </w:rPr>
        <w:t xml:space="preserve"> causing harmful interfereance to a wireless provider’s licensed operations and failing to promptly eliminate the interference </w:t>
      </w:r>
      <w:r w:rsidRPr="00972667" w:rsidR="00036350">
        <w:rPr>
          <w:szCs w:val="22"/>
        </w:rPr>
        <w:t>upon notification by a Commission representative.</w:t>
      </w:r>
      <w:r>
        <w:rPr>
          <w:rStyle w:val="FootnoteReference"/>
          <w:szCs w:val="22"/>
        </w:rPr>
        <w:footnoteReference w:id="15"/>
      </w:r>
      <w:r w:rsidRPr="00036350" w:rsidR="00FD0A5B">
        <w:rPr>
          <w:kern w:val="0"/>
        </w:rPr>
        <w:t xml:space="preserve">  </w:t>
      </w:r>
    </w:p>
    <w:p w:rsidR="00DF461A" w:rsidRPr="00BE70CC" w:rsidP="002C6607">
      <w:pPr>
        <w:pStyle w:val="Heading1"/>
        <w:widowControl/>
      </w:pPr>
      <w:r w:rsidRPr="00BE70CC">
        <w:t xml:space="preserve">Request </w:t>
      </w:r>
      <w:r w:rsidRPr="00BE70CC" w:rsidR="00B85F3E">
        <w:t xml:space="preserve">FOR INFORMATION </w:t>
      </w:r>
    </w:p>
    <w:p w:rsidR="006E6234" w:rsidRPr="00BE70CC" w:rsidP="002C6607">
      <w:pPr>
        <w:pStyle w:val="ParaNum"/>
        <w:widowControl/>
        <w:tabs>
          <w:tab w:val="clear" w:pos="1080"/>
          <w:tab w:val="num" w:pos="1440"/>
        </w:tabs>
      </w:pPr>
      <w:r w:rsidRPr="00972667">
        <w:rPr>
          <w:noProof/>
          <w:color w:val="000000"/>
          <w:szCs w:val="22"/>
        </w:rPr>
        <w:t xml:space="preserve">Pursuant to </w:t>
      </w:r>
      <w:r>
        <w:rPr>
          <w:noProof/>
          <w:color w:val="000000"/>
          <w:szCs w:val="22"/>
        </w:rPr>
        <w:t>s</w:t>
      </w:r>
      <w:r w:rsidRPr="00972667">
        <w:rPr>
          <w:noProof/>
          <w:color w:val="000000"/>
          <w:szCs w:val="22"/>
        </w:rPr>
        <w:t>ections 4(i), 4(j), and 403 of the Act,</w:t>
      </w:r>
      <w:r>
        <w:rPr>
          <w:rStyle w:val="FootnoteReference"/>
          <w:noProof/>
          <w:szCs w:val="22"/>
        </w:rPr>
        <w:footnoteReference w:id="16"/>
      </w:r>
      <w:r w:rsidRPr="00972667">
        <w:rPr>
          <w:noProof/>
          <w:color w:val="000000"/>
          <w:szCs w:val="22"/>
        </w:rPr>
        <w:t xml:space="preserve"> we direct </w:t>
      </w:r>
      <w:r>
        <w:rPr>
          <w:noProof/>
          <w:color w:val="000000"/>
          <w:szCs w:val="22"/>
        </w:rPr>
        <w:t>Neymar</w:t>
      </w:r>
      <w:r w:rsidRPr="00972667">
        <w:rPr>
          <w:noProof/>
          <w:color w:val="000000"/>
          <w:szCs w:val="22"/>
        </w:rPr>
        <w:t xml:space="preserve"> to confirm in writing</w:t>
      </w:r>
      <w:r>
        <w:rPr>
          <w:noProof/>
          <w:color w:val="000000"/>
          <w:szCs w:val="22"/>
        </w:rPr>
        <w:t>,</w:t>
      </w:r>
      <w:r w:rsidRPr="00972667">
        <w:rPr>
          <w:noProof/>
          <w:color w:val="000000"/>
          <w:szCs w:val="22"/>
        </w:rPr>
        <w:t xml:space="preserve"> within </w:t>
      </w:r>
      <w:r>
        <w:rPr>
          <w:noProof/>
          <w:color w:val="000000"/>
          <w:szCs w:val="22"/>
        </w:rPr>
        <w:t>thirty (</w:t>
      </w:r>
      <w:r w:rsidRPr="00972667">
        <w:rPr>
          <w:noProof/>
          <w:color w:val="000000"/>
          <w:szCs w:val="22"/>
        </w:rPr>
        <w:t>30</w:t>
      </w:r>
      <w:r>
        <w:rPr>
          <w:noProof/>
          <w:color w:val="000000"/>
          <w:szCs w:val="22"/>
        </w:rPr>
        <w:t>)</w:t>
      </w:r>
      <w:r w:rsidRPr="00972667">
        <w:rPr>
          <w:noProof/>
          <w:color w:val="000000"/>
          <w:szCs w:val="22"/>
        </w:rPr>
        <w:t xml:space="preserve"> days of the release of this Citation, that he has taken the corrective measures to eliminate the harmful interference, as well as provide a timeline for any pending corrective actions.  </w:t>
      </w:r>
      <w:r>
        <w:rPr>
          <w:noProof/>
          <w:color w:val="000000"/>
          <w:szCs w:val="22"/>
        </w:rPr>
        <w:t>F</w:t>
      </w:r>
      <w:r w:rsidRPr="00972667">
        <w:rPr>
          <w:noProof/>
          <w:color w:val="000000"/>
          <w:szCs w:val="22"/>
        </w:rPr>
        <w:t xml:space="preserve">ailure to respond in writing, or the provision of an inadequate, incomplete, or misleading response, may subject </w:t>
      </w:r>
      <w:r>
        <w:rPr>
          <w:noProof/>
          <w:color w:val="000000"/>
          <w:szCs w:val="22"/>
        </w:rPr>
        <w:t xml:space="preserve">Neymar </w:t>
      </w:r>
      <w:r w:rsidRPr="00972667">
        <w:rPr>
          <w:noProof/>
          <w:color w:val="000000"/>
          <w:szCs w:val="22"/>
        </w:rPr>
        <w:t>to additional sanctions.</w:t>
      </w:r>
      <w:r w:rsidRPr="00BE70CC" w:rsidR="005942FC">
        <w:t xml:space="preserve">  </w:t>
      </w:r>
    </w:p>
    <w:p w:rsidR="004D3233" w:rsidRPr="00BE70CC" w:rsidP="002C6607">
      <w:pPr>
        <w:pStyle w:val="Heading1"/>
        <w:widowControl/>
      </w:pPr>
      <w:bookmarkStart w:id="12" w:name="SR;716"/>
      <w:bookmarkStart w:id="13" w:name="SR;717"/>
      <w:bookmarkEnd w:id="12"/>
      <w:bookmarkEnd w:id="13"/>
      <w:r w:rsidRPr="00BE70CC">
        <w:t>Op</w:t>
      </w:r>
      <w:r w:rsidRPr="00BE70CC" w:rsidR="0096675D">
        <w:t>portunity</w:t>
      </w:r>
      <w:r w:rsidRPr="00BE70CC">
        <w:t xml:space="preserve"> to respond to this citation</w:t>
      </w:r>
    </w:p>
    <w:p w:rsidR="00036350" w:rsidP="002C6607">
      <w:pPr>
        <w:pStyle w:val="ParaNum"/>
        <w:widowControl/>
        <w:tabs>
          <w:tab w:val="clear" w:pos="1080"/>
          <w:tab w:val="num" w:pos="1440"/>
        </w:tabs>
        <w:rPr>
          <w:kern w:val="2"/>
        </w:rPr>
      </w:pPr>
      <w:r>
        <w:rPr>
          <w:szCs w:val="22"/>
        </w:rPr>
        <w:t>Neymar</w:t>
      </w:r>
      <w:r w:rsidRPr="00972667">
        <w:rPr>
          <w:szCs w:val="22"/>
        </w:rPr>
        <w:t xml:space="preserve"> </w:t>
      </w:r>
      <w:r w:rsidRPr="00972667">
        <w:rPr>
          <w:kern w:val="2"/>
          <w:szCs w:val="22"/>
        </w:rPr>
        <w:t xml:space="preserve">may respond to this Citation within </w:t>
      </w:r>
      <w:r>
        <w:rPr>
          <w:kern w:val="2"/>
          <w:szCs w:val="22"/>
        </w:rPr>
        <w:t>thirty (</w:t>
      </w:r>
      <w:r w:rsidRPr="00972667">
        <w:rPr>
          <w:kern w:val="2"/>
          <w:szCs w:val="22"/>
        </w:rPr>
        <w:t>30</w:t>
      </w:r>
      <w:r>
        <w:rPr>
          <w:kern w:val="2"/>
          <w:szCs w:val="22"/>
        </w:rPr>
        <w:t>)</w:t>
      </w:r>
      <w:r w:rsidRPr="00972667">
        <w:rPr>
          <w:kern w:val="2"/>
          <w:szCs w:val="22"/>
        </w:rPr>
        <w:t xml:space="preserve"> calendar days from </w:t>
      </w:r>
      <w:r>
        <w:rPr>
          <w:kern w:val="2"/>
          <w:szCs w:val="22"/>
        </w:rPr>
        <w:t>its</w:t>
      </w:r>
      <w:r w:rsidRPr="00972667">
        <w:rPr>
          <w:kern w:val="2"/>
          <w:szCs w:val="22"/>
        </w:rPr>
        <w:t xml:space="preserve"> release </w:t>
      </w:r>
      <w:r>
        <w:rPr>
          <w:kern w:val="2"/>
          <w:szCs w:val="22"/>
        </w:rPr>
        <w:t>through</w:t>
      </w:r>
      <w:r w:rsidRPr="00972667">
        <w:rPr>
          <w:kern w:val="2"/>
          <w:szCs w:val="22"/>
        </w:rPr>
        <w:t xml:space="preserve"> any of the following methods:</w:t>
      </w:r>
      <w:r w:rsidRPr="00972667">
        <w:rPr>
          <w:noProof/>
          <w:color w:val="000000"/>
          <w:szCs w:val="22"/>
        </w:rPr>
        <w:t xml:space="preserve"> (1) a written statement</w:t>
      </w:r>
      <w:r>
        <w:rPr>
          <w:noProof/>
          <w:color w:val="000000"/>
          <w:szCs w:val="22"/>
        </w:rPr>
        <w:t>;</w:t>
      </w:r>
      <w:r w:rsidRPr="00972667">
        <w:rPr>
          <w:noProof/>
          <w:color w:val="000000"/>
          <w:szCs w:val="22"/>
        </w:rPr>
        <w:t xml:space="preserve"> (2) a teleconference interview</w:t>
      </w:r>
      <w:r>
        <w:rPr>
          <w:noProof/>
          <w:color w:val="000000"/>
          <w:szCs w:val="22"/>
        </w:rPr>
        <w:t>;</w:t>
      </w:r>
      <w:r w:rsidRPr="00972667">
        <w:rPr>
          <w:noProof/>
          <w:color w:val="000000"/>
          <w:szCs w:val="22"/>
        </w:rPr>
        <w:t xml:space="preserve"> or (3) a personal interview at the Commission Field Office nearest to his place of business. </w:t>
      </w:r>
      <w:r w:rsidRPr="00972667">
        <w:rPr>
          <w:kern w:val="2"/>
          <w:szCs w:val="22"/>
        </w:rPr>
        <w:t xml:space="preserve">The Commission Field Office nearest </w:t>
      </w:r>
      <w:r>
        <w:rPr>
          <w:kern w:val="2"/>
          <w:szCs w:val="22"/>
        </w:rPr>
        <w:t>Neymar</w:t>
      </w:r>
      <w:r w:rsidRPr="00972667">
        <w:rPr>
          <w:kern w:val="2"/>
          <w:szCs w:val="22"/>
        </w:rPr>
        <w:t xml:space="preserve"> </w:t>
      </w:r>
      <w:r w:rsidRPr="00972667">
        <w:rPr>
          <w:noProof/>
          <w:color w:val="000000"/>
          <w:szCs w:val="22"/>
        </w:rPr>
        <w:t>is located in New York</w:t>
      </w:r>
      <w:r>
        <w:rPr>
          <w:noProof/>
          <w:color w:val="000000"/>
          <w:szCs w:val="22"/>
        </w:rPr>
        <w:t xml:space="preserve"> City</w:t>
      </w:r>
      <w:r w:rsidRPr="00972667">
        <w:rPr>
          <w:noProof/>
          <w:color w:val="000000"/>
          <w:szCs w:val="22"/>
        </w:rPr>
        <w:t xml:space="preserve">.  </w:t>
      </w:r>
    </w:p>
    <w:p w:rsidR="00036350" w:rsidP="002C6607">
      <w:pPr>
        <w:pStyle w:val="ParaNum"/>
        <w:widowControl/>
        <w:tabs>
          <w:tab w:val="clear" w:pos="1080"/>
          <w:tab w:val="num" w:pos="1440"/>
        </w:tabs>
        <w:rPr>
          <w:kern w:val="2"/>
        </w:rPr>
      </w:pPr>
      <w:r w:rsidRPr="00972667">
        <w:rPr>
          <w:noProof/>
        </w:rPr>
        <w:t xml:space="preserve">If </w:t>
      </w:r>
      <w:r>
        <w:rPr>
          <w:noProof/>
        </w:rPr>
        <w:t>Neymar</w:t>
      </w:r>
      <w:r w:rsidRPr="00972667">
        <w:rPr>
          <w:noProof/>
        </w:rPr>
        <w:t xml:space="preserve"> requests a teleconference or personal interview, please contact David C. Dombrowski</w:t>
      </w:r>
      <w:r>
        <w:rPr>
          <w:noProof/>
        </w:rPr>
        <w:t xml:space="preserve">, by telephone </w:t>
      </w:r>
      <w:r w:rsidRPr="00972667">
        <w:rPr>
          <w:noProof/>
        </w:rPr>
        <w:t>at</w:t>
      </w:r>
      <w:r>
        <w:rPr>
          <w:noProof/>
        </w:rPr>
        <w:t>:</w:t>
      </w:r>
      <w:r w:rsidRPr="00972667">
        <w:rPr>
          <w:noProof/>
        </w:rPr>
        <w:t xml:space="preserve"> (301) 725-1996.  We note that such teleconference or interview must take place within thirty (30) calendar days of the </w:t>
      </w:r>
      <w:r>
        <w:rPr>
          <w:noProof/>
        </w:rPr>
        <w:t xml:space="preserve">release </w:t>
      </w:r>
      <w:r w:rsidRPr="00972667">
        <w:rPr>
          <w:noProof/>
        </w:rPr>
        <w:t xml:space="preserve">date of this Citation.  If </w:t>
      </w:r>
      <w:r>
        <w:rPr>
          <w:noProof/>
        </w:rPr>
        <w:t>Neymar</w:t>
      </w:r>
      <w:r w:rsidRPr="00972667">
        <w:rPr>
          <w:noProof/>
        </w:rPr>
        <w:t xml:space="preserve"> preferes to submit a written response, with supporting documentation, </w:t>
      </w:r>
      <w:r>
        <w:rPr>
          <w:noProof/>
        </w:rPr>
        <w:t>Neymar</w:t>
      </w:r>
      <w:r w:rsidRPr="00972667">
        <w:rPr>
          <w:noProof/>
        </w:rPr>
        <w:t xml:space="preserve"> must send the response within thirty (30) calendar days of the date of this Citation to the contact and address provided in the paragraph below.</w:t>
      </w:r>
    </w:p>
    <w:p w:rsidR="00036350" w:rsidRPr="00036350" w:rsidP="002C6607">
      <w:pPr>
        <w:pStyle w:val="ParaNum"/>
        <w:widowControl/>
        <w:tabs>
          <w:tab w:val="clear" w:pos="1080"/>
          <w:tab w:val="num" w:pos="1440"/>
        </w:tabs>
        <w:rPr>
          <w:kern w:val="2"/>
        </w:rPr>
      </w:pPr>
      <w:r w:rsidRPr="00972667">
        <w:rPr>
          <w:noProof/>
        </w:rPr>
        <w:t>All written communications, including the inf</w:t>
      </w:r>
      <w:r>
        <w:rPr>
          <w:noProof/>
        </w:rPr>
        <w:t>ormation requested in paragraph</w:t>
      </w:r>
      <w:r w:rsidRPr="00972667">
        <w:rPr>
          <w:noProof/>
        </w:rPr>
        <w:t xml:space="preserve"> </w:t>
      </w:r>
      <w:r>
        <w:rPr>
          <w:noProof/>
        </w:rPr>
        <w:t>twelve</w:t>
      </w:r>
      <w:r w:rsidRPr="00972667">
        <w:rPr>
          <w:noProof/>
        </w:rPr>
        <w:t>, above, should be sent to the addresses below:</w:t>
      </w:r>
    </w:p>
    <w:p w:rsidR="00036350" w:rsidP="002C6607">
      <w:pPr>
        <w:keepNext/>
        <w:keepLines/>
        <w:widowControl/>
        <w:suppressAutoHyphens/>
        <w:ind w:left="1440"/>
        <w:rPr>
          <w:szCs w:val="22"/>
        </w:rPr>
      </w:pPr>
      <w:r w:rsidRPr="00972667">
        <w:rPr>
          <w:noProof/>
          <w:szCs w:val="22"/>
        </w:rPr>
        <w:t>Federal Communications Commission</w:t>
      </w:r>
      <w:r w:rsidRPr="00972667">
        <w:rPr>
          <w:noProof/>
          <w:szCs w:val="22"/>
        </w:rPr>
        <w:br/>
      </w:r>
      <w:r w:rsidRPr="007512D7">
        <w:rPr>
          <w:noProof/>
          <w:szCs w:val="22"/>
        </w:rPr>
        <w:t>EB Columbia Regional Office</w:t>
      </w:r>
      <w:r w:rsidRPr="00972667">
        <w:rPr>
          <w:noProof/>
          <w:szCs w:val="22"/>
        </w:rPr>
        <w:br/>
      </w:r>
      <w:r>
        <w:rPr>
          <w:szCs w:val="22"/>
        </w:rPr>
        <w:t xml:space="preserve">Attn: </w:t>
      </w:r>
      <w:r w:rsidRPr="007512D7">
        <w:rPr>
          <w:szCs w:val="22"/>
        </w:rPr>
        <w:t>David C. Dombrowski</w:t>
      </w:r>
    </w:p>
    <w:p w:rsidR="00036350" w:rsidRPr="00972667" w:rsidP="002C6607">
      <w:pPr>
        <w:keepNext/>
        <w:keepLines/>
        <w:widowControl/>
        <w:suppressAutoHyphens/>
        <w:ind w:left="1440"/>
        <w:rPr>
          <w:szCs w:val="22"/>
        </w:rPr>
      </w:pPr>
      <w:r w:rsidRPr="007512D7">
        <w:rPr>
          <w:szCs w:val="22"/>
        </w:rPr>
        <w:t>9050 Junction Drive</w:t>
      </w:r>
    </w:p>
    <w:p w:rsidR="00036350" w:rsidP="002C6607">
      <w:pPr>
        <w:pStyle w:val="ParaNum"/>
        <w:keepNext/>
        <w:keepLines/>
        <w:widowControl/>
        <w:numPr>
          <w:ilvl w:val="0"/>
          <w:numId w:val="0"/>
        </w:numPr>
        <w:spacing w:after="0"/>
        <w:ind w:left="1440"/>
        <w:rPr>
          <w:b/>
          <w:noProof/>
          <w:color w:val="000000"/>
          <w:szCs w:val="22"/>
        </w:rPr>
      </w:pPr>
      <w:r>
        <w:rPr>
          <w:szCs w:val="22"/>
        </w:rPr>
        <w:t>Annapolis Junction</w:t>
      </w:r>
      <w:r w:rsidRPr="00972667">
        <w:rPr>
          <w:szCs w:val="22"/>
        </w:rPr>
        <w:t>, Maryland 2</w:t>
      </w:r>
      <w:r>
        <w:rPr>
          <w:szCs w:val="22"/>
        </w:rPr>
        <w:t>20701</w:t>
      </w:r>
      <w:r w:rsidRPr="00972667">
        <w:rPr>
          <w:noProof/>
          <w:szCs w:val="22"/>
        </w:rPr>
        <w:br/>
        <w:t>FIELD@FCC.GOV</w:t>
      </w:r>
      <w:r w:rsidRPr="00972667">
        <w:rPr>
          <w:noProof/>
          <w:szCs w:val="22"/>
        </w:rPr>
        <w:br/>
      </w:r>
      <w:r w:rsidRPr="00373A43">
        <w:rPr>
          <w:b/>
          <w:noProof/>
          <w:szCs w:val="22"/>
        </w:rPr>
        <w:t xml:space="preserve">Re:  </w:t>
      </w:r>
      <w:r w:rsidRPr="00373A43">
        <w:rPr>
          <w:b/>
          <w:noProof/>
          <w:color w:val="000000"/>
          <w:szCs w:val="22"/>
        </w:rPr>
        <w:t>EB-FIELDNER-18-00027991</w:t>
      </w:r>
    </w:p>
    <w:p w:rsidR="00036350" w:rsidRPr="00036350" w:rsidP="002C6607">
      <w:pPr>
        <w:pStyle w:val="ParaNum"/>
        <w:keepNext/>
        <w:keepLines/>
        <w:widowControl/>
        <w:numPr>
          <w:ilvl w:val="0"/>
          <w:numId w:val="0"/>
        </w:numPr>
        <w:spacing w:after="0"/>
        <w:ind w:left="1440"/>
        <w:rPr>
          <w:b/>
          <w:noProof/>
          <w:color w:val="000000"/>
          <w:szCs w:val="22"/>
        </w:rPr>
      </w:pPr>
    </w:p>
    <w:p w:rsidR="00886C3A" w:rsidRPr="00BE70CC" w:rsidP="002C6607">
      <w:pPr>
        <w:pStyle w:val="ParaNum"/>
        <w:widowControl/>
        <w:tabs>
          <w:tab w:val="clear" w:pos="1080"/>
          <w:tab w:val="num" w:pos="1440"/>
        </w:tabs>
      </w:pPr>
      <w:r w:rsidRPr="00BE70CC">
        <w:t xml:space="preserve">Upon request, the Commission will make reasonable accommodations for persons with disabilities.  If applicable, </w:t>
      </w:r>
      <w:r w:rsidR="00036350">
        <w:t xml:space="preserve">Neymar </w:t>
      </w:r>
      <w:r w:rsidRPr="00BE70CC">
        <w:t xml:space="preserve">should provide a description of the accommodation required, and include as much detail as possible, and also provide </w:t>
      </w:r>
      <w:r w:rsidRPr="00BE70CC" w:rsidR="00C22E21">
        <w:t xml:space="preserve">a telephone number and other </w:t>
      </w:r>
      <w:r w:rsidRPr="00BE70CC">
        <w:t xml:space="preserve">contact information.  </w:t>
      </w:r>
      <w:r w:rsidR="00036350">
        <w:t xml:space="preserve">Neymar </w:t>
      </w:r>
      <w:r w:rsidRPr="00BE70CC" w:rsidR="00436E88">
        <w:t xml:space="preserve">should allow at least five </w:t>
      </w:r>
      <w:r w:rsidRPr="00BE70CC">
        <w:t xml:space="preserve">business days advance notice; last minute requests will be accepted, but may be impossible to fill.  </w:t>
      </w:r>
      <w:r w:rsidR="00036350">
        <w:t xml:space="preserve">Neymar </w:t>
      </w:r>
      <w:r w:rsidRPr="00BE70CC">
        <w:t>should send an e-mail to fcc504@fcc.gov or call the FCC’s Consumer &amp; Governmental Affairs Bureau:</w:t>
      </w:r>
    </w:p>
    <w:p w:rsidR="00886C3A" w:rsidRPr="00BE70CC" w:rsidP="002C6607">
      <w:pPr>
        <w:widowControl/>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BE70CC" w:rsidP="002C6607">
      <w:pPr>
        <w:widowControl/>
        <w:spacing w:after="220"/>
        <w:rPr>
          <w:kern w:val="2"/>
          <w:szCs w:val="22"/>
        </w:rPr>
      </w:pPr>
      <w:r w:rsidRPr="00BE70CC">
        <w:rPr>
          <w:kern w:val="2"/>
          <w:szCs w:val="22"/>
        </w:rPr>
        <w:tab/>
      </w:r>
      <w:r w:rsidRPr="00BE70CC">
        <w:rPr>
          <w:kern w:val="2"/>
          <w:szCs w:val="22"/>
        </w:rPr>
        <w:tab/>
        <w:t>202-418-0530 (voice), 202-418-0432 (tty);</w:t>
      </w:r>
    </w:p>
    <w:p w:rsidR="00886C3A" w:rsidRPr="00BE70CC" w:rsidP="002C6607">
      <w:pPr>
        <w:widowControl/>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202-418-7365 (tty).</w:t>
      </w:r>
      <w:r w:rsidRPr="00BE70CC">
        <w:rPr>
          <w:b/>
          <w:kern w:val="2"/>
          <w:szCs w:val="22"/>
        </w:rPr>
        <w:t xml:space="preserve">  </w:t>
      </w:r>
    </w:p>
    <w:p w:rsidR="00886C3A" w:rsidRPr="00BE70CC" w:rsidP="002C6607">
      <w:pPr>
        <w:pStyle w:val="ParaNum"/>
        <w:widowControl/>
        <w:tabs>
          <w:tab w:val="clear" w:pos="1080"/>
          <w:tab w:val="num" w:pos="1440"/>
        </w:tabs>
      </w:pPr>
      <w:r w:rsidRPr="00BE70CC">
        <w:rPr>
          <w:kern w:val="2"/>
        </w:rPr>
        <w:t xml:space="preserve">We advise </w:t>
      </w:r>
      <w:r w:rsidR="00036350">
        <w:rPr>
          <w:kern w:val="2"/>
        </w:rPr>
        <w:t xml:space="preserve">Naymar </w:t>
      </w:r>
      <w:r w:rsidRPr="00BE70CC">
        <w:rPr>
          <w:kern w:val="2"/>
        </w:rPr>
        <w:t>th</w:t>
      </w:r>
      <w:r w:rsidRPr="00BE70CC">
        <w:t xml:space="preserve">at it is a violation of </w:t>
      </w:r>
      <w:r w:rsidR="00A02912">
        <w:t>s</w:t>
      </w:r>
      <w:r w:rsidRPr="00BE70CC">
        <w:t xml:space="preserve">ection 1.17 of the </w:t>
      </w:r>
      <w:r w:rsidR="00606CBE">
        <w:t>Commission’s r</w:t>
      </w:r>
      <w:r w:rsidRPr="00BE70CC">
        <w:t>ules</w:t>
      </w:r>
      <w:r>
        <w:rPr>
          <w:rStyle w:val="FootnoteReference"/>
          <w:szCs w:val="22"/>
        </w:rPr>
        <w:footnoteReference w:id="17"/>
      </w:r>
      <w:r w:rsidRPr="00BE70CC">
        <w:t xml:space="preserve"> for any person to make any false or misleading written or oral statement of fact</w:t>
      </w:r>
      <w:r w:rsidR="00BE70CC">
        <w:t xml:space="preserve"> to the Commission</w:t>
      </w:r>
      <w:r w:rsidRPr="00BE70CC">
        <w:t>.  Specifically, no person shall:</w:t>
      </w:r>
    </w:p>
    <w:p w:rsidR="00886C3A" w:rsidRPr="00BE70CC" w:rsidP="002C6607">
      <w:pPr>
        <w:pStyle w:val="ParaNum"/>
        <w:widowControl/>
        <w:numPr>
          <w:ilvl w:val="0"/>
          <w:numId w:val="0"/>
        </w:numPr>
        <w:ind w:left="1440" w:right="72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BE70CC" w:rsidP="002C6607">
      <w:pPr>
        <w:pStyle w:val="ParaNum"/>
        <w:widowControl/>
        <w:numPr>
          <w:ilvl w:val="0"/>
          <w:numId w:val="0"/>
        </w:numPr>
        <w:ind w:left="1440" w:right="72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886C3A" w:rsidRPr="00BE70CC" w:rsidP="002C6607">
      <w:pPr>
        <w:pStyle w:val="ParaNum"/>
        <w:widowControl/>
        <w:tabs>
          <w:tab w:val="clear" w:pos="1080"/>
          <w:tab w:val="num" w:pos="1440"/>
        </w:tabs>
        <w:rPr>
          <w:kern w:val="2"/>
          <w:szCs w:val="22"/>
        </w:rPr>
      </w:pPr>
      <w:r w:rsidRPr="00BE70CC">
        <w:rPr>
          <w:kern w:val="2"/>
          <w:szCs w:val="22"/>
        </w:rPr>
        <w:t>Further, the knowing and willful making of any false statement, or the concealment of any material fact, in reply to this Citation is punishable by fine or imprisonment</w:t>
      </w:r>
      <w:r w:rsidR="0090510E">
        <w:rPr>
          <w:kern w:val="2"/>
          <w:szCs w:val="22"/>
        </w:rPr>
        <w:t>.</w:t>
      </w:r>
      <w:r>
        <w:rPr>
          <w:rStyle w:val="FootnoteReference"/>
          <w:kern w:val="2"/>
          <w:szCs w:val="22"/>
        </w:rPr>
        <w:footnoteReference w:id="18"/>
      </w:r>
    </w:p>
    <w:p w:rsidR="00886C3A" w:rsidRPr="00BE70CC" w:rsidP="002C6607">
      <w:pPr>
        <w:pStyle w:val="ParaNum"/>
        <w:widowControl/>
        <w:tabs>
          <w:tab w:val="clear" w:pos="1080"/>
          <w:tab w:val="num" w:pos="1440"/>
        </w:tabs>
        <w:rPr>
          <w:kern w:val="2"/>
          <w:szCs w:val="22"/>
        </w:rPr>
      </w:pPr>
      <w:r w:rsidRPr="00BE70CC">
        <w:rPr>
          <w:kern w:val="2"/>
          <w:szCs w:val="22"/>
        </w:rPr>
        <w:t xml:space="preserve">Violations of </w:t>
      </w:r>
      <w:r w:rsidR="00A02912">
        <w:rPr>
          <w:kern w:val="2"/>
          <w:szCs w:val="22"/>
        </w:rPr>
        <w:t>s</w:t>
      </w:r>
      <w:r w:rsidRPr="00BE70CC">
        <w:rPr>
          <w:kern w:val="2"/>
          <w:szCs w:val="22"/>
        </w:rPr>
        <w:t xml:space="preserve">ection 1.17 of the </w:t>
      </w:r>
      <w:r w:rsidR="00606CBE">
        <w:rPr>
          <w:kern w:val="2"/>
          <w:szCs w:val="22"/>
        </w:rPr>
        <w:t>Commission’s r</w:t>
      </w:r>
      <w:r w:rsidRPr="00BE70CC">
        <w:rPr>
          <w:kern w:val="2"/>
          <w:szCs w:val="22"/>
        </w:rPr>
        <w:t xml:space="preserve">ules or the criminal statute referenced above may result in further legal action, including monetary forfeitures pursuant to </w:t>
      </w:r>
      <w:r w:rsidR="00A02912">
        <w:rPr>
          <w:kern w:val="2"/>
          <w:szCs w:val="22"/>
        </w:rPr>
        <w:t>s</w:t>
      </w:r>
      <w:r w:rsidRPr="00BE70CC">
        <w:rPr>
          <w:kern w:val="2"/>
          <w:szCs w:val="22"/>
        </w:rPr>
        <w:t>ection 503 of the</w:t>
      </w:r>
      <w:r w:rsidR="003C4AD3">
        <w:rPr>
          <w:kern w:val="2"/>
          <w:szCs w:val="22"/>
        </w:rPr>
        <w:t xml:space="preserve"> </w:t>
      </w:r>
      <w:r w:rsidRPr="00BE70CC">
        <w:rPr>
          <w:kern w:val="2"/>
          <w:szCs w:val="22"/>
        </w:rPr>
        <w:t>Act.</w:t>
      </w:r>
    </w:p>
    <w:p w:rsidR="004D3233" w:rsidRPr="00BE70CC" w:rsidP="002C6607">
      <w:pPr>
        <w:pStyle w:val="ParaNum"/>
        <w:widowControl/>
        <w:tabs>
          <w:tab w:val="clear" w:pos="1080"/>
          <w:tab w:val="num" w:pos="1440"/>
        </w:tabs>
        <w:rPr>
          <w:kern w:val="2"/>
          <w:szCs w:val="22"/>
        </w:rPr>
      </w:pPr>
      <w:r w:rsidRPr="00BE70CC">
        <w:rPr>
          <w:kern w:val="2"/>
          <w:szCs w:val="22"/>
        </w:rPr>
        <w:t xml:space="preserve">Finally, we warn </w:t>
      </w:r>
      <w:r w:rsidR="007A1902">
        <w:rPr>
          <w:kern w:val="2"/>
          <w:szCs w:val="22"/>
        </w:rPr>
        <w:t>Neymar t</w:t>
      </w:r>
      <w:r w:rsidRPr="00BE70CC">
        <w:rPr>
          <w:kern w:val="2"/>
          <w:szCs w:val="22"/>
        </w:rPr>
        <w:t xml:space="preserve">hat, under the </w:t>
      </w:r>
      <w:r w:rsidRPr="00BE70CC" w:rsidR="00436E88">
        <w:rPr>
          <w:kern w:val="2"/>
          <w:szCs w:val="22"/>
        </w:rPr>
        <w:t>Privacy Act of 1974</w:t>
      </w:r>
      <w:r w:rsidR="003C4AD3">
        <w:rPr>
          <w:kern w:val="2"/>
          <w:szCs w:val="22"/>
        </w:rPr>
        <w:t>,</w:t>
      </w:r>
      <w:r>
        <w:rPr>
          <w:rStyle w:val="FootnoteReference"/>
          <w:kern w:val="2"/>
          <w:szCs w:val="22"/>
        </w:rPr>
        <w:footnoteReference w:id="19"/>
      </w:r>
      <w:r w:rsidRPr="00BE70CC" w:rsidR="00436E88">
        <w:rPr>
          <w:kern w:val="2"/>
          <w:szCs w:val="22"/>
        </w:rPr>
        <w:t xml:space="preserve"> </w:t>
      </w:r>
      <w:r w:rsidRPr="00BE70CC">
        <w:rPr>
          <w:kern w:val="2"/>
          <w:szCs w:val="22"/>
        </w:rPr>
        <w:t xml:space="preserve">Commission staff will use all relevant material information before it, including information disclosed </w:t>
      </w:r>
      <w:r w:rsidR="00BE70CC">
        <w:rPr>
          <w:kern w:val="2"/>
          <w:szCs w:val="22"/>
        </w:rPr>
        <w:t>in</w:t>
      </w:r>
      <w:r w:rsidRPr="00BE70CC">
        <w:rPr>
          <w:kern w:val="2"/>
          <w:szCs w:val="22"/>
        </w:rPr>
        <w:t xml:space="preserve"> interviews or written statements, to determine what, if any, enforcement action is required to ensure </w:t>
      </w:r>
      <w:r w:rsidR="007A1902">
        <w:rPr>
          <w:kern w:val="2"/>
          <w:szCs w:val="22"/>
        </w:rPr>
        <w:t>Neymar</w:t>
      </w:r>
      <w:r w:rsidRPr="00BE70CC">
        <w:rPr>
          <w:kern w:val="2"/>
          <w:szCs w:val="22"/>
        </w:rPr>
        <w:t xml:space="preserve">’s compliance with the Act and </w:t>
      </w:r>
      <w:r w:rsidR="003C4AD3">
        <w:rPr>
          <w:kern w:val="2"/>
          <w:szCs w:val="22"/>
        </w:rPr>
        <w:t>R</w:t>
      </w:r>
      <w:r w:rsidRPr="00BE70CC">
        <w:rPr>
          <w:kern w:val="2"/>
          <w:szCs w:val="22"/>
        </w:rPr>
        <w:t>ules.</w:t>
      </w:r>
    </w:p>
    <w:p w:rsidR="003343CA" w:rsidRPr="00BE70CC" w:rsidP="002C6607">
      <w:pPr>
        <w:pStyle w:val="Heading1"/>
        <w:widowControl/>
      </w:pPr>
      <w:r w:rsidRPr="00BE70CC">
        <w:t>future violations</w:t>
      </w:r>
    </w:p>
    <w:p w:rsidR="005B4CEA" w:rsidRPr="00BE70CC" w:rsidP="002C6607">
      <w:pPr>
        <w:pStyle w:val="ParaNum"/>
        <w:widowControl/>
        <w:tabs>
          <w:tab w:val="clear" w:pos="1080"/>
          <w:tab w:val="num" w:pos="1440"/>
        </w:tabs>
      </w:pPr>
      <w:r w:rsidRPr="00BE70CC">
        <w:t xml:space="preserve">If, after receipt of this Citation, </w:t>
      </w:r>
      <w:r w:rsidR="007A1902">
        <w:t xml:space="preserve">Neymar </w:t>
      </w:r>
      <w:r w:rsidRPr="00BE70CC">
        <w:t xml:space="preserve">again violates </w:t>
      </w:r>
      <w:r w:rsidR="00A02912">
        <w:t>s</w:t>
      </w:r>
      <w:r w:rsidRPr="00BE70CC" w:rsidR="0096675D">
        <w:t xml:space="preserve">ection </w:t>
      </w:r>
      <w:r w:rsidR="007A1902">
        <w:t xml:space="preserve">15.5(b) or 15.5(c) </w:t>
      </w:r>
      <w:r w:rsidRPr="00BE70CC">
        <w:t>of the</w:t>
      </w:r>
      <w:r w:rsidR="007A1902">
        <w:t xml:space="preserve"> </w:t>
      </w:r>
      <w:r w:rsidR="00606CBE">
        <w:t>Commission’s r</w:t>
      </w:r>
      <w:r w:rsidR="007A1902">
        <w:t xml:space="preserve">ules </w:t>
      </w:r>
      <w:r w:rsidRPr="00BE70CC">
        <w:t xml:space="preserve">by engaging in conduct of the type described herein, the Commission may impose </w:t>
      </w:r>
      <w:r w:rsidRPr="00BE70CC" w:rsidR="00D05B66">
        <w:t xml:space="preserve">sanctions </w:t>
      </w:r>
      <w:r w:rsidRPr="00BE70CC">
        <w:t>for each such violation</w:t>
      </w:r>
      <w:r w:rsidR="007A1902">
        <w:t>.  F</w:t>
      </w:r>
      <w:r w:rsidRPr="00BE70CC">
        <w:t xml:space="preserve">or example, the </w:t>
      </w:r>
      <w:r w:rsidRPr="00BE70CC" w:rsidR="00D05B66">
        <w:t>Commission m</w:t>
      </w:r>
      <w:r w:rsidRPr="00BE70CC" w:rsidR="00654D13">
        <w:t>ay impose monetary forfeitures</w:t>
      </w:r>
      <w:r w:rsidRPr="007D4157" w:rsidR="007D4157">
        <w:rPr>
          <w:kern w:val="2"/>
          <w:szCs w:val="22"/>
        </w:rPr>
        <w:t xml:space="preserve"> </w:t>
      </w:r>
      <w:r w:rsidRPr="007D4157" w:rsidR="007D4157">
        <w:rPr>
          <w:noProof/>
          <w:szCs w:val="22"/>
        </w:rPr>
        <w:t xml:space="preserve">not to </w:t>
      </w:r>
      <w:r w:rsidRPr="007D4157" w:rsidR="007D4157">
        <w:rPr>
          <w:noProof/>
          <w:szCs w:val="22"/>
        </w:rPr>
        <w:t>exceed $</w:t>
      </w:r>
      <w:r w:rsidR="00D21358">
        <w:rPr>
          <w:noProof/>
          <w:color w:val="000000"/>
          <w:szCs w:val="22"/>
        </w:rPr>
        <w:t>16,000</w:t>
      </w:r>
      <w:r w:rsidRPr="007D4157" w:rsidR="007D4157">
        <w:rPr>
          <w:noProof/>
          <w:color w:val="000000"/>
          <w:szCs w:val="22"/>
        </w:rPr>
        <w:t xml:space="preserve"> </w:t>
      </w:r>
      <w:r w:rsidRPr="007D4157" w:rsidR="007D4157">
        <w:rPr>
          <w:noProof/>
          <w:szCs w:val="22"/>
        </w:rPr>
        <w:t>for each such violation, or each day of a continuing violation, and up to $147,290 for any single act or failure to act.</w:t>
      </w:r>
      <w:r>
        <w:rPr>
          <w:noProof/>
          <w:szCs w:val="22"/>
          <w:vertAlign w:val="superscript"/>
        </w:rPr>
        <w:footnoteReference w:id="20"/>
      </w:r>
      <w:r w:rsidRPr="007D4157" w:rsidR="007D4157">
        <w:rPr>
          <w:noProof/>
          <w:szCs w:val="22"/>
        </w:rPr>
        <w:t xml:space="preserve">  </w:t>
      </w:r>
      <w:r w:rsidR="007D4157">
        <w:rPr>
          <w:noProof/>
          <w:szCs w:val="22"/>
        </w:rPr>
        <w:t>T</w:t>
      </w:r>
      <w:r w:rsidRPr="00BE70CC">
        <w:t>he Commission may fur</w:t>
      </w:r>
      <w:r w:rsidRPr="00BE70CC" w:rsidR="00C22E21">
        <w:t xml:space="preserve">ther adjust the forfeiture reflecting </w:t>
      </w:r>
      <w:r w:rsidRPr="00BE70CC">
        <w:t xml:space="preserve">enumerated statutory factors, </w:t>
      </w:r>
      <w:r w:rsidRPr="007D4157">
        <w:rPr>
          <w:szCs w:val="22"/>
        </w:rPr>
        <w:t>which include the nature, circumstances, extent, and gravity of the violation, and with respect to the violator, the degree of culpability, any history of prior offenses, ability to pay, and other such matters as justice may require</w:t>
      </w:r>
      <w:r w:rsidRPr="00BE70CC">
        <w:t>.</w:t>
      </w:r>
      <w:r>
        <w:rPr>
          <w:rStyle w:val="FootnoteReference"/>
          <w:szCs w:val="22"/>
        </w:rPr>
        <w:footnoteReference w:id="21"/>
      </w:r>
      <w:r w:rsidR="007D4157">
        <w:t xml:space="preserve">  </w:t>
      </w:r>
      <w:r w:rsidRPr="00BE70CC">
        <w:t>Further, the Commission may assess forfeitures on both the conduct that led to this Citation and the conduct following it.</w:t>
      </w:r>
      <w:r>
        <w:rPr>
          <w:rStyle w:val="FootnoteReference"/>
          <w:szCs w:val="22"/>
        </w:rPr>
        <w:footnoteReference w:id="22"/>
      </w:r>
      <w:r w:rsidRPr="00BE70CC">
        <w:t xml:space="preserve"> </w:t>
      </w:r>
      <w:r w:rsidRPr="00BE70CC" w:rsidR="003343CA">
        <w:t xml:space="preserve"> </w:t>
      </w:r>
      <w:r w:rsidRPr="007D4157" w:rsidR="00DE45C6">
        <w:rPr>
          <w:szCs w:val="22"/>
        </w:rPr>
        <w:t xml:space="preserve">In addition, future violations may subject </w:t>
      </w:r>
      <w:r w:rsidR="007D4157">
        <w:rPr>
          <w:szCs w:val="22"/>
        </w:rPr>
        <w:t xml:space="preserve">Neymar </w:t>
      </w:r>
      <w:r w:rsidRPr="00BE70CC" w:rsidR="00DE45C6">
        <w:t>to</w:t>
      </w:r>
      <w:r w:rsidRPr="007D4157" w:rsidR="001A38A4">
        <w:rPr>
          <w:szCs w:val="22"/>
        </w:rPr>
        <w:t xml:space="preserve"> seizure of equipment through </w:t>
      </w:r>
      <w:r w:rsidRPr="007D4157" w:rsidR="001A38A4">
        <w:rPr>
          <w:i/>
          <w:szCs w:val="22"/>
        </w:rPr>
        <w:t>in rem</w:t>
      </w:r>
      <w:r w:rsidRPr="007D4157" w:rsidR="001A38A4">
        <w:rPr>
          <w:szCs w:val="22"/>
        </w:rPr>
        <w:t xml:space="preserve"> forfeiture actions,</w:t>
      </w:r>
      <w:r>
        <w:rPr>
          <w:rStyle w:val="FootnoteReference"/>
          <w:szCs w:val="22"/>
        </w:rPr>
        <w:footnoteReference w:id="23"/>
      </w:r>
      <w:r w:rsidRPr="007D4157" w:rsidR="001A38A4">
        <w:rPr>
          <w:szCs w:val="22"/>
        </w:rPr>
        <w:t xml:space="preserve"> as well as criminal sanctions, including imprisonment</w:t>
      </w:r>
      <w:r w:rsidRPr="007D4157" w:rsidR="00DE45C6">
        <w:rPr>
          <w:szCs w:val="22"/>
        </w:rPr>
        <w:t>.</w:t>
      </w:r>
      <w:r>
        <w:rPr>
          <w:rStyle w:val="FootnoteReference"/>
          <w:szCs w:val="22"/>
        </w:rPr>
        <w:footnoteReference w:id="24"/>
      </w:r>
    </w:p>
    <w:p w:rsidR="003343CA" w:rsidRPr="00BE70CC" w:rsidP="002C6607">
      <w:pPr>
        <w:pStyle w:val="Heading1"/>
        <w:widowControl/>
      </w:pPr>
      <w:r w:rsidRPr="00BE70CC">
        <w:t>ORDERING CLAUSES</w:t>
      </w:r>
    </w:p>
    <w:p w:rsidR="007D4157" w:rsidRPr="00972667" w:rsidP="002C6607">
      <w:pPr>
        <w:pStyle w:val="ParaNum"/>
        <w:widowControl/>
        <w:numPr>
          <w:ilvl w:val="0"/>
          <w:numId w:val="1"/>
        </w:numPr>
        <w:tabs>
          <w:tab w:val="clear" w:pos="1080"/>
          <w:tab w:val="num" w:pos="1440"/>
        </w:tabs>
        <w:rPr>
          <w:noProof/>
          <w:color w:val="000000"/>
          <w:szCs w:val="22"/>
        </w:rPr>
      </w:pPr>
      <w:r w:rsidRPr="00972667">
        <w:rPr>
          <w:noProof/>
          <w:color w:val="000000"/>
          <w:szCs w:val="22"/>
        </w:rPr>
        <w:t xml:space="preserve">Accordingly, </w:t>
      </w:r>
      <w:r w:rsidRPr="00972667">
        <w:rPr>
          <w:b/>
          <w:noProof/>
          <w:color w:val="000000"/>
          <w:szCs w:val="22"/>
        </w:rPr>
        <w:t>IT IS ORDERED</w:t>
      </w:r>
      <w:r w:rsidRPr="00972667">
        <w:rPr>
          <w:noProof/>
          <w:color w:val="000000"/>
          <w:szCs w:val="22"/>
        </w:rPr>
        <w:t xml:space="preserve"> that, pursuant to </w:t>
      </w:r>
      <w:r>
        <w:rPr>
          <w:noProof/>
          <w:color w:val="000000"/>
          <w:szCs w:val="22"/>
        </w:rPr>
        <w:t>s</w:t>
      </w:r>
      <w:r w:rsidRPr="00972667">
        <w:rPr>
          <w:noProof/>
          <w:color w:val="000000"/>
          <w:szCs w:val="22"/>
        </w:rPr>
        <w:t>ections 4(i) and 4(j) of the Act,</w:t>
      </w:r>
      <w:r>
        <w:rPr>
          <w:rStyle w:val="FootnoteReference"/>
          <w:noProof/>
          <w:szCs w:val="22"/>
        </w:rPr>
        <w:footnoteReference w:id="25"/>
      </w:r>
      <w:r w:rsidRPr="00972667">
        <w:rPr>
          <w:noProof/>
          <w:color w:val="000000"/>
          <w:szCs w:val="22"/>
        </w:rPr>
        <w:t xml:space="preserve">  </w:t>
      </w:r>
      <w:r>
        <w:rPr>
          <w:noProof/>
          <w:color w:val="000000"/>
          <w:szCs w:val="22"/>
        </w:rPr>
        <w:t xml:space="preserve">Neymar </w:t>
      </w:r>
      <w:r w:rsidRPr="00972667">
        <w:rPr>
          <w:noProof/>
          <w:color w:val="000000"/>
          <w:szCs w:val="22"/>
        </w:rPr>
        <w:t xml:space="preserve">must cease and desist from causing harmful interference, in violation of </w:t>
      </w:r>
      <w:r>
        <w:rPr>
          <w:noProof/>
          <w:color w:val="000000"/>
          <w:szCs w:val="22"/>
        </w:rPr>
        <w:t>s</w:t>
      </w:r>
      <w:r w:rsidRPr="00972667">
        <w:rPr>
          <w:noProof/>
          <w:color w:val="000000"/>
          <w:szCs w:val="22"/>
        </w:rPr>
        <w:t>ections 15(b) and 15(c) of the Commission’s rules.</w:t>
      </w:r>
      <w:r>
        <w:rPr>
          <w:rStyle w:val="FootnoteReference"/>
          <w:noProof/>
          <w:szCs w:val="22"/>
        </w:rPr>
        <w:footnoteReference w:id="26"/>
      </w:r>
      <w:r w:rsidRPr="00972667">
        <w:rPr>
          <w:noProof/>
          <w:color w:val="000000"/>
          <w:szCs w:val="22"/>
        </w:rPr>
        <w:t xml:space="preserve">  </w:t>
      </w:r>
    </w:p>
    <w:p w:rsidR="007D4157" w:rsidRPr="00972667" w:rsidP="002C6607">
      <w:pPr>
        <w:pStyle w:val="ParaNum"/>
        <w:widowControl/>
        <w:numPr>
          <w:ilvl w:val="0"/>
          <w:numId w:val="1"/>
        </w:numPr>
        <w:tabs>
          <w:tab w:val="clear" w:pos="1080"/>
          <w:tab w:val="num" w:pos="1440"/>
        </w:tabs>
        <w:rPr>
          <w:noProof/>
          <w:color w:val="000000"/>
          <w:szCs w:val="22"/>
        </w:rPr>
      </w:pPr>
      <w:r w:rsidRPr="00972667">
        <w:rPr>
          <w:b/>
          <w:noProof/>
          <w:color w:val="000000"/>
          <w:szCs w:val="22"/>
        </w:rPr>
        <w:t xml:space="preserve">IT IS </w:t>
      </w:r>
      <w:r w:rsidRPr="00BE70CC">
        <w:rPr>
          <w:b/>
          <w:noProof/>
        </w:rPr>
        <w:t xml:space="preserve">FURTHER </w:t>
      </w:r>
      <w:r w:rsidRPr="00972667">
        <w:rPr>
          <w:b/>
          <w:noProof/>
          <w:color w:val="000000"/>
          <w:szCs w:val="22"/>
        </w:rPr>
        <w:t>ORDERED</w:t>
      </w:r>
      <w:r w:rsidRPr="00972667">
        <w:rPr>
          <w:noProof/>
          <w:color w:val="000000"/>
          <w:szCs w:val="22"/>
        </w:rPr>
        <w:t xml:space="preserve"> that, pursuant to </w:t>
      </w:r>
      <w:r>
        <w:rPr>
          <w:noProof/>
          <w:color w:val="000000"/>
          <w:szCs w:val="22"/>
        </w:rPr>
        <w:t>s</w:t>
      </w:r>
      <w:r w:rsidRPr="00972667">
        <w:rPr>
          <w:noProof/>
          <w:color w:val="000000"/>
          <w:szCs w:val="22"/>
        </w:rPr>
        <w:t>ections 4(i), 4(j), and 403 of the Act,</w:t>
      </w:r>
      <w:r>
        <w:rPr>
          <w:rStyle w:val="FootnoteReference"/>
          <w:noProof/>
          <w:szCs w:val="22"/>
        </w:rPr>
        <w:footnoteReference w:id="27"/>
      </w:r>
      <w:r w:rsidRPr="00972667">
        <w:rPr>
          <w:noProof/>
          <w:color w:val="000000"/>
          <w:szCs w:val="22"/>
        </w:rPr>
        <w:t xml:space="preserve"> </w:t>
      </w:r>
      <w:r>
        <w:rPr>
          <w:noProof/>
          <w:color w:val="000000"/>
          <w:szCs w:val="22"/>
        </w:rPr>
        <w:t xml:space="preserve">Neymar </w:t>
      </w:r>
      <w:r w:rsidRPr="00972667">
        <w:rPr>
          <w:noProof/>
          <w:color w:val="000000"/>
          <w:szCs w:val="22"/>
        </w:rPr>
        <w:t>must provide the written information requ</w:t>
      </w:r>
      <w:r>
        <w:rPr>
          <w:noProof/>
          <w:color w:val="000000"/>
          <w:szCs w:val="22"/>
        </w:rPr>
        <w:t>ested in paragraph</w:t>
      </w:r>
      <w:r w:rsidRPr="00972667">
        <w:rPr>
          <w:noProof/>
          <w:color w:val="000000"/>
          <w:szCs w:val="22"/>
        </w:rPr>
        <w:t xml:space="preserve"> </w:t>
      </w:r>
      <w:r w:rsidR="00D60F57">
        <w:rPr>
          <w:noProof/>
          <w:color w:val="000000"/>
          <w:szCs w:val="22"/>
        </w:rPr>
        <w:t>12</w:t>
      </w:r>
      <w:r w:rsidRPr="00972667">
        <w:rPr>
          <w:noProof/>
          <w:color w:val="000000"/>
          <w:szCs w:val="22"/>
        </w:rPr>
        <w:t xml:space="preserve">, above.  </w:t>
      </w:r>
      <w:r>
        <w:rPr>
          <w:noProof/>
          <w:color w:val="000000"/>
          <w:szCs w:val="22"/>
        </w:rPr>
        <w:t>Neymar</w:t>
      </w:r>
      <w:r w:rsidRPr="00972667">
        <w:rPr>
          <w:noProof/>
          <w:color w:val="000000"/>
          <w:szCs w:val="22"/>
        </w:rPr>
        <w:t xml:space="preserve"> </w:t>
      </w:r>
      <w:r w:rsidRPr="00972667">
        <w:rPr>
          <w:noProof/>
          <w:szCs w:val="22"/>
        </w:rPr>
        <w:t xml:space="preserve">must </w:t>
      </w:r>
      <w:r w:rsidRPr="00972667">
        <w:rPr>
          <w:noProof/>
          <w:color w:val="000000"/>
          <w:szCs w:val="22"/>
        </w:rPr>
        <w:t xml:space="preserve">support </w:t>
      </w:r>
      <w:r w:rsidR="00D60F57">
        <w:rPr>
          <w:noProof/>
          <w:color w:val="000000"/>
          <w:szCs w:val="22"/>
        </w:rPr>
        <w:t>its</w:t>
      </w:r>
      <w:r w:rsidRPr="00972667" w:rsidR="00D60F57">
        <w:rPr>
          <w:noProof/>
          <w:color w:val="000000"/>
          <w:szCs w:val="22"/>
        </w:rPr>
        <w:t xml:space="preserve"> </w:t>
      </w:r>
      <w:r w:rsidRPr="00972667">
        <w:rPr>
          <w:noProof/>
          <w:color w:val="000000"/>
          <w:szCs w:val="22"/>
        </w:rPr>
        <w:t>responses with an affidavit or declaration</w:t>
      </w:r>
      <w:r>
        <w:rPr>
          <w:noProof/>
          <w:color w:val="000000"/>
          <w:szCs w:val="22"/>
        </w:rPr>
        <w:t xml:space="preserve"> made</w:t>
      </w:r>
      <w:r w:rsidRPr="00972667">
        <w:rPr>
          <w:noProof/>
          <w:color w:val="000000"/>
          <w:szCs w:val="22"/>
        </w:rPr>
        <w:t xml:space="preserve"> under penalty of perjury, signed and dated by </w:t>
      </w:r>
      <w:r>
        <w:rPr>
          <w:noProof/>
          <w:color w:val="000000"/>
          <w:szCs w:val="22"/>
        </w:rPr>
        <w:t>Neymar,</w:t>
      </w:r>
      <w:r w:rsidRPr="00972667">
        <w:rPr>
          <w:noProof/>
          <w:color w:val="000000"/>
          <w:szCs w:val="22"/>
        </w:rPr>
        <w:t xml:space="preserve"> </w:t>
      </w:r>
      <w:r>
        <w:rPr>
          <w:noProof/>
          <w:color w:val="000000"/>
          <w:szCs w:val="22"/>
        </w:rPr>
        <w:t>attesting</w:t>
      </w:r>
      <w:r w:rsidRPr="00972667">
        <w:rPr>
          <w:noProof/>
          <w:color w:val="000000"/>
          <w:szCs w:val="22"/>
        </w:rPr>
        <w:t xml:space="preserve"> personal knowledge of the representations provided in the response, </w:t>
      </w:r>
      <w:r>
        <w:rPr>
          <w:noProof/>
          <w:color w:val="000000"/>
          <w:szCs w:val="22"/>
        </w:rPr>
        <w:t xml:space="preserve">and </w:t>
      </w:r>
      <w:r w:rsidRPr="00972667">
        <w:rPr>
          <w:noProof/>
          <w:color w:val="000000"/>
          <w:szCs w:val="22"/>
        </w:rPr>
        <w:t>verifying the truth and accuracy of the information therein and that all of the information requested has been produced</w:t>
      </w:r>
      <w:r w:rsidRPr="00972667">
        <w:rPr>
          <w:noProof/>
          <w:szCs w:val="22"/>
        </w:rPr>
        <w:t xml:space="preserve">.  </w:t>
      </w:r>
      <w:r w:rsidRPr="00972667">
        <w:rPr>
          <w:szCs w:val="22"/>
        </w:rPr>
        <w:t xml:space="preserve">All such declarations provided must comply with </w:t>
      </w:r>
      <w:r>
        <w:rPr>
          <w:szCs w:val="22"/>
        </w:rPr>
        <w:t>s</w:t>
      </w:r>
      <w:r w:rsidRPr="00972667">
        <w:rPr>
          <w:szCs w:val="22"/>
        </w:rPr>
        <w:t xml:space="preserve">ection 1.16 of the </w:t>
      </w:r>
      <w:r>
        <w:rPr>
          <w:szCs w:val="22"/>
        </w:rPr>
        <w:t>Commission’s rules</w:t>
      </w:r>
      <w:r w:rsidRPr="00972667">
        <w:rPr>
          <w:szCs w:val="22"/>
        </w:rPr>
        <w:t xml:space="preserve"> and be substantially in the form set forth therein.</w:t>
      </w:r>
      <w:r>
        <w:rPr>
          <w:szCs w:val="22"/>
          <w:vertAlign w:val="superscript"/>
        </w:rPr>
        <w:footnoteReference w:id="28"/>
      </w:r>
      <w:r w:rsidRPr="00972667">
        <w:rPr>
          <w:szCs w:val="22"/>
        </w:rPr>
        <w:t xml:space="preserve">  </w:t>
      </w:r>
      <w:r w:rsidRPr="00972667">
        <w:rPr>
          <w:noProof/>
          <w:szCs w:val="22"/>
        </w:rPr>
        <w:t xml:space="preserve">The </w:t>
      </w:r>
      <w:r>
        <w:rPr>
          <w:noProof/>
          <w:szCs w:val="22"/>
        </w:rPr>
        <w:t>Commission</w:t>
      </w:r>
      <w:r w:rsidRPr="00972667">
        <w:rPr>
          <w:noProof/>
          <w:szCs w:val="22"/>
        </w:rPr>
        <w:t xml:space="preserve"> must receive the response within </w:t>
      </w:r>
      <w:r>
        <w:rPr>
          <w:noProof/>
          <w:szCs w:val="22"/>
        </w:rPr>
        <w:t>thirty (</w:t>
      </w:r>
      <w:r w:rsidRPr="00972667">
        <w:rPr>
          <w:noProof/>
          <w:szCs w:val="22"/>
        </w:rPr>
        <w:t>30</w:t>
      </w:r>
      <w:r>
        <w:rPr>
          <w:noProof/>
          <w:szCs w:val="22"/>
        </w:rPr>
        <w:t>)</w:t>
      </w:r>
      <w:r w:rsidRPr="00972667">
        <w:rPr>
          <w:noProof/>
          <w:szCs w:val="22"/>
        </w:rPr>
        <w:t xml:space="preserve"> calendar days of the release date of this Citation and Order.</w:t>
      </w:r>
    </w:p>
    <w:p w:rsidR="007D4157" w:rsidRPr="00972667" w:rsidP="002C6607">
      <w:pPr>
        <w:pStyle w:val="ParaNum"/>
        <w:keepNext/>
        <w:widowControl/>
        <w:numPr>
          <w:ilvl w:val="0"/>
          <w:numId w:val="1"/>
        </w:numPr>
        <w:tabs>
          <w:tab w:val="clear" w:pos="1080"/>
          <w:tab w:val="num" w:pos="1440"/>
        </w:tabs>
        <w:rPr>
          <w:noProof/>
          <w:color w:val="000000"/>
          <w:szCs w:val="22"/>
        </w:rPr>
      </w:pPr>
      <w:r w:rsidRPr="00972667">
        <w:rPr>
          <w:b/>
          <w:noProof/>
          <w:color w:val="000000"/>
          <w:szCs w:val="22"/>
        </w:rPr>
        <w:t xml:space="preserve">IT IS FURTHER ORDERED </w:t>
      </w:r>
      <w:r w:rsidRPr="00972667">
        <w:rPr>
          <w:noProof/>
          <w:color w:val="000000"/>
          <w:szCs w:val="22"/>
        </w:rPr>
        <w:t xml:space="preserve">that a copy of this Citation and Order shall be sent both by First Class U.S. Mail and Certified Mail, Return Receipt Requested, to </w:t>
      </w:r>
      <w:r>
        <w:rPr>
          <w:noProof/>
          <w:color w:val="000000"/>
          <w:szCs w:val="22"/>
        </w:rPr>
        <w:t>Neymar Candy</w:t>
      </w:r>
      <w:r w:rsidRPr="00972667">
        <w:rPr>
          <w:noProof/>
          <w:color w:val="000000"/>
          <w:szCs w:val="22"/>
        </w:rPr>
        <w:t xml:space="preserve"> </w:t>
      </w:r>
      <w:r>
        <w:rPr>
          <w:noProof/>
          <w:color w:val="000000"/>
          <w:szCs w:val="22"/>
        </w:rPr>
        <w:t>Grocery Corp, 1175 Vyse Avenue, Bronx</w:t>
      </w:r>
      <w:r w:rsidRPr="00972667">
        <w:rPr>
          <w:noProof/>
          <w:color w:val="000000"/>
          <w:szCs w:val="22"/>
        </w:rPr>
        <w:t xml:space="preserve">, New York </w:t>
      </w:r>
      <w:r>
        <w:rPr>
          <w:noProof/>
          <w:color w:val="000000"/>
          <w:szCs w:val="22"/>
        </w:rPr>
        <w:t>10459</w:t>
      </w:r>
      <w:r w:rsidRPr="00972667">
        <w:rPr>
          <w:noProof/>
          <w:color w:val="000000"/>
          <w:szCs w:val="22"/>
        </w:rPr>
        <w:t>.</w:t>
      </w:r>
    </w:p>
    <w:p w:rsidR="007D4157" w:rsidP="002C6607">
      <w:pPr>
        <w:widowControl/>
        <w:ind w:left="3600" w:firstLine="720"/>
      </w:pPr>
    </w:p>
    <w:p w:rsidR="003343CA" w:rsidRPr="00BE70CC" w:rsidP="002C6607">
      <w:pPr>
        <w:widowControl/>
        <w:ind w:left="3600" w:firstLine="720"/>
      </w:pPr>
      <w:r w:rsidRPr="00BE70CC">
        <w:t>FEDERAL COMMUNICATIONS COMMISSION</w:t>
      </w:r>
    </w:p>
    <w:p w:rsidR="003343CA" w:rsidRPr="00BE70CC" w:rsidP="002C6607">
      <w:pPr>
        <w:widowControl/>
        <w:ind w:left="4410"/>
      </w:pPr>
    </w:p>
    <w:p w:rsidR="003343CA" w:rsidP="002C6607">
      <w:pPr>
        <w:widowControl/>
        <w:ind w:left="4410"/>
      </w:pPr>
    </w:p>
    <w:p w:rsidR="002C6607" w:rsidRPr="00BE70CC" w:rsidP="002C6607">
      <w:pPr>
        <w:widowControl/>
        <w:ind w:left="4410"/>
      </w:pPr>
    </w:p>
    <w:p w:rsidR="003343CA" w:rsidRPr="00BE70CC" w:rsidP="002C6607">
      <w:pPr>
        <w:widowControl/>
        <w:ind w:left="4410"/>
      </w:pPr>
    </w:p>
    <w:p w:rsidR="007D4157" w:rsidRPr="00972667" w:rsidP="002C6607">
      <w:pPr>
        <w:keepNext/>
        <w:widowControl/>
        <w:ind w:left="4320"/>
        <w:rPr>
          <w:bCs/>
          <w:noProof/>
          <w:szCs w:val="22"/>
        </w:rPr>
      </w:pPr>
      <w:r w:rsidRPr="00972667">
        <w:rPr>
          <w:bCs/>
          <w:noProof/>
          <w:szCs w:val="22"/>
        </w:rPr>
        <w:t>David C. Dombrowski</w:t>
      </w:r>
    </w:p>
    <w:p w:rsidR="007D4157" w:rsidRPr="00972667" w:rsidP="002C6607">
      <w:pPr>
        <w:keepNext/>
        <w:widowControl/>
        <w:ind w:left="3600" w:firstLine="720"/>
        <w:rPr>
          <w:bCs/>
          <w:noProof/>
          <w:szCs w:val="22"/>
        </w:rPr>
      </w:pPr>
      <w:r w:rsidRPr="00972667">
        <w:rPr>
          <w:bCs/>
          <w:noProof/>
          <w:szCs w:val="22"/>
        </w:rPr>
        <w:t>Regional Director, Region One</w:t>
      </w:r>
    </w:p>
    <w:p w:rsidR="007D4157" w:rsidRPr="00972667" w:rsidP="002C6607">
      <w:pPr>
        <w:keepNext/>
        <w:widowControl/>
        <w:ind w:left="3600" w:firstLine="720"/>
        <w:rPr>
          <w:bCs/>
          <w:noProof/>
          <w:szCs w:val="22"/>
        </w:rPr>
      </w:pPr>
      <w:r w:rsidRPr="00972667">
        <w:rPr>
          <w:bCs/>
          <w:noProof/>
          <w:szCs w:val="22"/>
        </w:rPr>
        <w:t>Enforcement Bureau</w:t>
      </w:r>
    </w:p>
    <w:p w:rsidR="003343CA" w:rsidRPr="00BE70CC" w:rsidP="002C6607">
      <w:pPr>
        <w:widowControl/>
        <w:ind w:left="4410"/>
      </w:pPr>
    </w:p>
    <w:sectPr w:rsidSect="00F50F55">
      <w:headerReference w:type="default" r:id="rId5"/>
      <w:footerReference w:type="even" r:id="rId6"/>
      <w:footerReference w:type="default" r:id="rId7"/>
      <w:headerReference w:type="first" r:id="rId8"/>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pPr>
      <w:pStyle w:val="Footer"/>
      <w:framePr w:wrap="around" w:vAnchor="text" w:hAnchor="margin" w:xAlign="center" w:y="1"/>
    </w:pPr>
    <w:r>
      <w:fldChar w:fldCharType="begin"/>
    </w:r>
    <w:r>
      <w:instrText xml:space="preserve">PAGE  </w:instrText>
    </w:r>
    <w:r>
      <w:fldChar w:fldCharType="separate"/>
    </w:r>
    <w:r>
      <w:fldChar w:fldCharType="end"/>
    </w:r>
  </w:p>
  <w:p w:rsidR="005D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pPr>
      <w:pStyle w:val="Footer"/>
      <w:framePr w:wrap="around" w:vAnchor="text" w:hAnchor="margin" w:xAlign="center" w:y="1"/>
    </w:pPr>
    <w:r>
      <w:fldChar w:fldCharType="begin"/>
    </w:r>
    <w:r>
      <w:instrText xml:space="preserve">PAGE  </w:instrText>
    </w:r>
    <w:r>
      <w:fldChar w:fldCharType="separate"/>
    </w:r>
    <w:r w:rsidR="000516D6">
      <w:rPr>
        <w:noProof/>
      </w:rPr>
      <w:t>4</w:t>
    </w:r>
    <w:r>
      <w:rPr>
        <w:noProof/>
      </w:rPr>
      <w:fldChar w:fldCharType="end"/>
    </w:r>
  </w:p>
  <w:p w:rsidR="005D1BA6">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57A1">
      <w:r>
        <w:separator/>
      </w:r>
    </w:p>
  </w:footnote>
  <w:footnote w:type="continuationSeparator" w:id="1">
    <w:p w:rsidR="00E757A1">
      <w:pPr>
        <w:rPr>
          <w:sz w:val="20"/>
        </w:rPr>
      </w:pPr>
      <w:r>
        <w:rPr>
          <w:sz w:val="20"/>
        </w:rPr>
        <w:t xml:space="preserve">(Continued from previous page)  </w:t>
      </w:r>
      <w:r>
        <w:rPr>
          <w:sz w:val="20"/>
        </w:rPr>
        <w:separator/>
      </w:r>
    </w:p>
  </w:footnote>
  <w:footnote w:type="continuationNotice" w:id="2">
    <w:p w:rsidR="00E757A1">
      <w:pPr>
        <w:rPr>
          <w:sz w:val="20"/>
        </w:rPr>
      </w:pPr>
    </w:p>
  </w:footnote>
  <w:footnote w:id="3">
    <w:p w:rsidR="00E64D28" w:rsidP="00E64D28">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rsidR="00774542">
        <w:t>§</w:t>
      </w:r>
      <w:r w:rsidRPr="00D87E6F">
        <w:t xml:space="preserve"> 657, “Oversight of Regulatory Enforcement,” in addition to other rights set forth herein.</w:t>
      </w:r>
    </w:p>
  </w:footnote>
  <w:footnote w:id="4">
    <w:p w:rsidR="005D1BA6" w:rsidRPr="002D63C3" w:rsidP="003C4AD3">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w:t>
      </w:r>
      <w:r w:rsidR="00382491">
        <w:rPr>
          <w:kern w:val="20"/>
        </w:rPr>
        <w:t>.</w:t>
      </w:r>
      <w:r w:rsidRPr="002D63C3">
        <w:rPr>
          <w:kern w:val="20"/>
        </w:rPr>
        <w:t xml:space="preserve"> </w:t>
      </w:r>
      <w:bookmarkStart w:id="3" w:name="_Hlk33002377"/>
      <w:r w:rsidRPr="002D63C3">
        <w:rPr>
          <w:kern w:val="20"/>
          <w:szCs w:val="24"/>
        </w:rPr>
        <w:t>§</w:t>
      </w:r>
      <w:bookmarkEnd w:id="3"/>
      <w:r w:rsidRPr="002D63C3">
        <w:rPr>
          <w:kern w:val="20"/>
          <w:szCs w:val="24"/>
        </w:rPr>
        <w:t xml:space="preserve"> 503(b)(5).</w:t>
      </w:r>
      <w:r w:rsidRPr="002D63C3">
        <w:rPr>
          <w:kern w:val="20"/>
        </w:rPr>
        <w:t xml:space="preserve">  </w:t>
      </w:r>
    </w:p>
  </w:footnote>
  <w:footnote w:id="5">
    <w:p w:rsidR="004D7744" w:rsidRPr="002D63C3" w:rsidP="004D7744">
      <w:pPr>
        <w:pStyle w:val="FootnoteText"/>
      </w:pPr>
      <w:r w:rsidRPr="002D63C3">
        <w:rPr>
          <w:rStyle w:val="FootnoteReference"/>
        </w:rPr>
        <w:footnoteRef/>
      </w:r>
      <w:r w:rsidRPr="002D63C3">
        <w:t xml:space="preserve"> 47 </w:t>
      </w:r>
      <w:r>
        <w:t>CFR</w:t>
      </w:r>
      <w:r w:rsidRPr="002D63C3">
        <w:t xml:space="preserve"> §</w:t>
      </w:r>
      <w:r w:rsidRPr="002D63C3" w:rsidR="00382491">
        <w:rPr>
          <w:kern w:val="20"/>
          <w:szCs w:val="24"/>
        </w:rPr>
        <w:t>§</w:t>
      </w:r>
      <w:r w:rsidRPr="002D63C3">
        <w:t xml:space="preserve"> </w:t>
      </w:r>
      <w:r w:rsidRPr="0026408D">
        <w:t>1</w:t>
      </w:r>
      <w:r>
        <w:t>5</w:t>
      </w:r>
      <w:r w:rsidRPr="0026408D">
        <w:t>.</w:t>
      </w:r>
      <w:r>
        <w:t>5</w:t>
      </w:r>
      <w:r w:rsidRPr="0026408D">
        <w:t>(b)</w:t>
      </w:r>
      <w:r>
        <w:t>-</w:t>
      </w:r>
      <w:r w:rsidRPr="0026408D">
        <w:t>(</w:t>
      </w:r>
      <w:r>
        <w:t>c</w:t>
      </w:r>
      <w:r w:rsidRPr="0026408D">
        <w:t>)</w:t>
      </w:r>
      <w:r w:rsidRPr="002D63C3">
        <w:t xml:space="preserve">. </w:t>
      </w:r>
    </w:p>
  </w:footnote>
  <w:footnote w:id="6">
    <w:p w:rsidR="004D7744" w:rsidRPr="002D63C3" w:rsidP="004D7744">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7">
    <w:p w:rsidR="004D7744" w:rsidP="004D7744">
      <w:pPr>
        <w:pStyle w:val="FootnoteText"/>
      </w:pPr>
      <w:r>
        <w:rPr>
          <w:rStyle w:val="FootnoteReference"/>
        </w:rPr>
        <w:footnoteRef/>
      </w:r>
      <w:r>
        <w:t xml:space="preserve"> </w:t>
      </w:r>
      <w:r>
        <w:rPr>
          <w:i/>
        </w:rPr>
        <w:t>Supra</w:t>
      </w:r>
      <w:r>
        <w:t xml:space="preserve"> note 2.</w:t>
      </w:r>
    </w:p>
  </w:footnote>
  <w:footnote w:id="8">
    <w:p w:rsidR="004D7744" w:rsidP="004D7744">
      <w:pPr>
        <w:pStyle w:val="FootnoteText"/>
      </w:pPr>
      <w:r>
        <w:rPr>
          <w:rStyle w:val="FootnoteReference"/>
          <w:kern w:val="20"/>
        </w:rPr>
        <w:footnoteRef/>
      </w:r>
      <w:r>
        <w:rPr>
          <w:kern w:val="20"/>
        </w:rPr>
        <w:t xml:space="preserve"> </w:t>
      </w:r>
      <w:r>
        <w:rPr>
          <w:i/>
          <w:kern w:val="20"/>
        </w:rPr>
        <w:t>See</w:t>
      </w:r>
      <w:r>
        <w:rPr>
          <w:kern w:val="20"/>
        </w:rPr>
        <w:t xml:space="preserve"> 47 U.S.C</w:t>
      </w:r>
      <w:r w:rsidR="00415A35">
        <w:rPr>
          <w:kern w:val="20"/>
        </w:rPr>
        <w:t>.</w:t>
      </w:r>
      <w:r>
        <w:rPr>
          <w:kern w:val="20"/>
        </w:rPr>
        <w:t xml:space="preserve"> § 503(b)(5); </w:t>
      </w:r>
      <w:r>
        <w:rPr>
          <w:i/>
          <w:kern w:val="20"/>
        </w:rPr>
        <w:t>s</w:t>
      </w:r>
      <w:r>
        <w:rPr>
          <w:i/>
          <w:iCs/>
          <w:kern w:val="20"/>
        </w:rPr>
        <w:t>ee also</w:t>
      </w:r>
      <w:r>
        <w:rPr>
          <w:iCs/>
          <w:kern w:val="20"/>
        </w:rPr>
        <w:t xml:space="preserve"> </w:t>
      </w:r>
      <w:r>
        <w:rPr>
          <w:kern w:val="20"/>
        </w:rPr>
        <w:t>S. Rep. No. 95-580, 95th Cong., 1st Sess. at 9 (1977) (if a person or entity that has been issued a citation by the Commission thereafter engages in the conduct for which the citation of violation was sent, the subsequent notice of apparent liability “</w:t>
      </w:r>
      <w:r>
        <w:rPr>
          <w:i/>
          <w:kern w:val="20"/>
        </w:rPr>
        <w:t>would attach not only for the conduct occurring subsequently but also for the conduct for which the citation was originally sent</w:t>
      </w:r>
      <w:r>
        <w:rPr>
          <w:kern w:val="20"/>
        </w:rPr>
        <w:t>.”) (emphasis added).</w:t>
      </w:r>
    </w:p>
  </w:footnote>
  <w:footnote w:id="9">
    <w:p w:rsidR="00036350" w:rsidP="00036350">
      <w:pPr>
        <w:pStyle w:val="FootnoteText"/>
      </w:pPr>
      <w:r>
        <w:rPr>
          <w:rStyle w:val="FootnoteReference"/>
          <w:kern w:val="20"/>
        </w:rPr>
        <w:footnoteRef/>
      </w:r>
      <w:r>
        <w:rPr>
          <w:kern w:val="20"/>
        </w:rPr>
        <w:t xml:space="preserve"> 47 U.S.C. §§ 154(i)-(j), 403.</w:t>
      </w:r>
    </w:p>
  </w:footnote>
  <w:footnote w:id="10">
    <w:p w:rsidR="00036350" w:rsidP="00036350">
      <w:pPr>
        <w:pStyle w:val="FootnoteText"/>
      </w:pPr>
      <w:r>
        <w:rPr>
          <w:rStyle w:val="FootnoteReference"/>
        </w:rPr>
        <w:footnoteRef/>
      </w:r>
      <w:r>
        <w:t xml:space="preserve"> </w:t>
      </w:r>
      <w:bookmarkStart w:id="8" w:name="_Hlk496262336"/>
      <w:bookmarkStart w:id="9" w:name="_Hlk13842191"/>
      <w:r w:rsidRPr="00834179">
        <w:rPr>
          <w:i/>
        </w:rPr>
        <w:t>Cellular Tel. Interference Report</w:t>
      </w:r>
      <w:r w:rsidRPr="00834179">
        <w:t>, Reference CTIX-1539372163</w:t>
      </w:r>
      <w:bookmarkEnd w:id="8"/>
      <w:r w:rsidRPr="00834179">
        <w:t xml:space="preserve">.  </w:t>
      </w:r>
      <w:r w:rsidRPr="00834179">
        <w:rPr>
          <w:i/>
        </w:rPr>
        <w:t>See</w:t>
      </w:r>
      <w:r w:rsidRPr="00834179">
        <w:t xml:space="preserve"> Case No. EB-FIELDNER-18-00027991.</w:t>
      </w:r>
      <w:r>
        <w:t xml:space="preserve">  </w:t>
      </w:r>
      <w:bookmarkEnd w:id="9"/>
    </w:p>
  </w:footnote>
  <w:footnote w:id="11">
    <w:p w:rsidR="00036350" w:rsidP="00036350">
      <w:pPr>
        <w:pStyle w:val="FootnoteText"/>
      </w:pPr>
      <w:r>
        <w:rPr>
          <w:rStyle w:val="FootnoteReference"/>
        </w:rPr>
        <w:footnoteRef/>
      </w:r>
      <w:r>
        <w:t xml:space="preserve"> </w:t>
      </w:r>
      <w:r w:rsidRPr="00834179">
        <w:rPr>
          <w:i/>
        </w:rPr>
        <w:t>See</w:t>
      </w:r>
      <w:r w:rsidRPr="00834179">
        <w:t xml:space="preserve"> </w:t>
      </w:r>
      <w:r w:rsidRPr="00834179">
        <w:rPr>
          <w:i/>
        </w:rPr>
        <w:t>Neymar Cand</w:t>
      </w:r>
      <w:r>
        <w:rPr>
          <w:i/>
        </w:rPr>
        <w:t>y and Grocery</w:t>
      </w:r>
      <w:r w:rsidRPr="00834179">
        <w:t>, Notification of Harmful Interference (Mar. 28, 2019) (on file in EB</w:t>
      </w:r>
      <w:r w:rsidRPr="00834179">
        <w:noBreakHyphen/>
        <w:t>FIELDNER-18-00027991).</w:t>
      </w:r>
      <w:r>
        <w:t xml:space="preserve">  </w:t>
      </w:r>
    </w:p>
  </w:footnote>
  <w:footnote w:id="12">
    <w:p w:rsidR="00036350" w:rsidP="00036350">
      <w:pPr>
        <w:pStyle w:val="FootnoteText"/>
      </w:pPr>
      <w:r>
        <w:rPr>
          <w:rStyle w:val="FootnoteReference"/>
        </w:rPr>
        <w:footnoteRef/>
      </w:r>
      <w:r>
        <w:t xml:space="preserve"> 47 CFR § 15.5(b). </w:t>
      </w:r>
    </w:p>
  </w:footnote>
  <w:footnote w:id="13">
    <w:p w:rsidR="00036350" w:rsidP="00036350">
      <w:pPr>
        <w:pStyle w:val="FootnoteText"/>
      </w:pPr>
      <w:r>
        <w:rPr>
          <w:rStyle w:val="FootnoteReference"/>
        </w:rPr>
        <w:footnoteRef/>
      </w:r>
      <w:r>
        <w:t xml:space="preserve"> 47 CFR § 15.5(c).</w:t>
      </w:r>
    </w:p>
  </w:footnote>
  <w:footnote w:id="14">
    <w:p w:rsidR="00036350" w:rsidP="00036350">
      <w:pPr>
        <w:pStyle w:val="FootnoteText"/>
      </w:pPr>
      <w:r>
        <w:rPr>
          <w:rStyle w:val="FootnoteReference"/>
        </w:rPr>
        <w:footnoteRef/>
      </w:r>
      <w:r>
        <w:t xml:space="preserve"> 47 CFR §</w:t>
      </w:r>
      <w:r w:rsidR="00155FF4">
        <w:t xml:space="preserve"> </w:t>
      </w:r>
      <w:r>
        <w:t>15.3(m).</w:t>
      </w:r>
    </w:p>
  </w:footnote>
  <w:footnote w:id="15">
    <w:p w:rsidR="00036350" w:rsidP="00036350">
      <w:pPr>
        <w:pStyle w:val="FootnoteText"/>
      </w:pPr>
      <w:r>
        <w:rPr>
          <w:rStyle w:val="FootnoteReference"/>
        </w:rPr>
        <w:footnoteRef/>
      </w:r>
      <w:r>
        <w:t xml:space="preserve"> 47 CFR §</w:t>
      </w:r>
      <w:r w:rsidR="00415A35">
        <w:rPr>
          <w:kern w:val="20"/>
        </w:rPr>
        <w:t>§</w:t>
      </w:r>
      <w:r>
        <w:t xml:space="preserve"> 15.5(b)-(c).</w:t>
      </w:r>
    </w:p>
  </w:footnote>
  <w:footnote w:id="16">
    <w:p w:rsidR="00036350" w:rsidP="00036350">
      <w:pPr>
        <w:pStyle w:val="FootnoteText"/>
      </w:pPr>
      <w:r>
        <w:rPr>
          <w:rStyle w:val="FootnoteReference"/>
        </w:rPr>
        <w:footnoteRef/>
      </w:r>
      <w:r>
        <w:t xml:space="preserve"> </w:t>
      </w:r>
      <w:r>
        <w:rPr>
          <w:kern w:val="20"/>
        </w:rPr>
        <w:t>47 U.S.C. §§ 154(i)-(j), 403.</w:t>
      </w:r>
    </w:p>
  </w:footnote>
  <w:footnote w:id="17">
    <w:p w:rsidR="0090510E">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18">
    <w:p w:rsidR="0090510E">
      <w:pPr>
        <w:pStyle w:val="FootnoteText"/>
      </w:pPr>
      <w:r>
        <w:rPr>
          <w:rStyle w:val="FootnoteReference"/>
        </w:rPr>
        <w:footnoteRef/>
      </w:r>
      <w:r>
        <w:t xml:space="preserve"> </w:t>
      </w:r>
      <w:r w:rsidRPr="00BE70CC">
        <w:rPr>
          <w:kern w:val="2"/>
          <w:szCs w:val="22"/>
        </w:rPr>
        <w:t>18 U.S.C. § 1001</w:t>
      </w:r>
      <w:r>
        <w:rPr>
          <w:kern w:val="2"/>
          <w:szCs w:val="22"/>
        </w:rPr>
        <w:t>.</w:t>
      </w:r>
    </w:p>
  </w:footnote>
  <w:footnote w:id="19">
    <w:p w:rsidR="003C4AD3">
      <w:pPr>
        <w:pStyle w:val="FootnoteText"/>
      </w:pPr>
      <w:r>
        <w:rPr>
          <w:rStyle w:val="FootnoteReference"/>
        </w:rPr>
        <w:footnoteRef/>
      </w:r>
      <w:r>
        <w:t xml:space="preserve"> </w:t>
      </w:r>
      <w:r w:rsidRPr="00BE70CC">
        <w:rPr>
          <w:kern w:val="2"/>
          <w:szCs w:val="22"/>
        </w:rPr>
        <w:t>5 U.S.C. § 552a(e)(3)</w:t>
      </w:r>
      <w:r>
        <w:rPr>
          <w:kern w:val="2"/>
          <w:szCs w:val="22"/>
        </w:rPr>
        <w:t>.</w:t>
      </w:r>
    </w:p>
  </w:footnote>
  <w:footnote w:id="20">
    <w:p w:rsidR="007D4157" w:rsidP="007D4157">
      <w:pPr>
        <w:pStyle w:val="FootnoteText"/>
      </w:pPr>
      <w:r>
        <w:rPr>
          <w:rStyle w:val="FootnoteReference"/>
        </w:rPr>
        <w:footnoteRef/>
      </w:r>
      <w:r>
        <w:t xml:space="preserve">  </w:t>
      </w:r>
      <w:r w:rsidRPr="002D63C3">
        <w:rPr>
          <w:i/>
        </w:rPr>
        <w:t xml:space="preserve">See </w:t>
      </w:r>
      <w:r w:rsidRPr="002D63C3">
        <w:t xml:space="preserve">47 U.S.C. § 503; 47 </w:t>
      </w:r>
      <w:r>
        <w:t>CFR</w:t>
      </w:r>
      <w:r w:rsidRPr="002D63C3">
        <w:t xml:space="preserve"> § 1.80(b).</w:t>
      </w:r>
    </w:p>
  </w:footnote>
  <w:footnote w:id="21">
    <w:p w:rsidR="005D1BA6" w:rsidRPr="002D63C3">
      <w:pPr>
        <w:pStyle w:val="FootnoteText"/>
      </w:pPr>
      <w:r w:rsidRPr="002D63C3">
        <w:rPr>
          <w:rStyle w:val="FootnoteReference"/>
        </w:rPr>
        <w:footnoteRef/>
      </w:r>
      <w:r w:rsidRPr="002D63C3">
        <w:t xml:space="preserve"> </w:t>
      </w:r>
      <w:r w:rsidRPr="002D63C3">
        <w:rPr>
          <w:i/>
        </w:rPr>
        <w:t>See</w:t>
      </w:r>
      <w:r w:rsidRPr="002D63C3">
        <w:t xml:space="preserve"> 47 U.S.C. § 503(b)(2)(E); 47 </w:t>
      </w:r>
      <w:r w:rsidR="000516D6">
        <w:t>CFR</w:t>
      </w:r>
      <w:r w:rsidRPr="002D63C3">
        <w:t xml:space="preserve"> § 1.80(b)(8).</w:t>
      </w:r>
    </w:p>
  </w:footnote>
  <w:footnote w:id="22">
    <w:p w:rsidR="005D1BA6" w:rsidRPr="002D63C3">
      <w:pPr>
        <w:pStyle w:val="FootnoteText"/>
      </w:pPr>
      <w:r w:rsidRPr="002D63C3">
        <w:rPr>
          <w:rStyle w:val="FootnoteReference"/>
        </w:rPr>
        <w:footnoteRef/>
      </w:r>
      <w:r w:rsidRPr="002D63C3">
        <w:t xml:space="preserve"> </w:t>
      </w:r>
      <w:r w:rsidRPr="002D63C3">
        <w:rPr>
          <w:i/>
        </w:rPr>
        <w:t>See</w:t>
      </w:r>
      <w:r w:rsidRPr="002D63C3">
        <w:t xml:space="preserve"> </w:t>
      </w:r>
      <w:r w:rsidRPr="002D63C3" w:rsidR="002D63C3">
        <w:rPr>
          <w:i/>
        </w:rPr>
        <w:t xml:space="preserve">supra </w:t>
      </w:r>
      <w:r w:rsidR="005356A6">
        <w:t>n</w:t>
      </w:r>
      <w:r w:rsidR="009F764F">
        <w:t xml:space="preserve">ote </w:t>
      </w:r>
      <w:r w:rsidRPr="00D21358" w:rsidR="005356A6">
        <w:t>5.</w:t>
      </w:r>
      <w:r w:rsidRPr="002D63C3">
        <w:t xml:space="preserve">  </w:t>
      </w:r>
    </w:p>
  </w:footnote>
  <w:footnote w:id="23">
    <w:p w:rsidR="005D1BA6" w:rsidRPr="002D63C3">
      <w:pPr>
        <w:pStyle w:val="FootnoteText"/>
      </w:pPr>
      <w:r w:rsidRPr="002D63C3">
        <w:rPr>
          <w:rStyle w:val="FootnoteReference"/>
        </w:rPr>
        <w:footnoteRef/>
      </w:r>
      <w:r w:rsidRPr="002D63C3">
        <w:t xml:space="preserve"> </w:t>
      </w:r>
      <w:r w:rsidRPr="002D63C3">
        <w:rPr>
          <w:i/>
          <w:iCs/>
        </w:rPr>
        <w:t>See</w:t>
      </w:r>
      <w:r w:rsidRPr="002D63C3">
        <w:t xml:space="preserve"> 47 U.S.C. § 510.</w:t>
      </w:r>
    </w:p>
  </w:footnote>
  <w:footnote w:id="24">
    <w:p w:rsidR="005D1BA6" w:rsidRPr="002D63C3">
      <w:pPr>
        <w:pStyle w:val="FootnoteText"/>
      </w:pPr>
      <w:r w:rsidRPr="002D63C3">
        <w:rPr>
          <w:rStyle w:val="FootnoteReference"/>
        </w:rPr>
        <w:footnoteRef/>
      </w:r>
      <w:r w:rsidRPr="002D63C3">
        <w:t xml:space="preserve"> </w:t>
      </w:r>
      <w:r w:rsidRPr="002D63C3">
        <w:rPr>
          <w:i/>
          <w:iCs/>
        </w:rPr>
        <w:t xml:space="preserve">See </w:t>
      </w:r>
      <w:r w:rsidRPr="002D63C3">
        <w:t>47 U.S.C. §§ 401, 501.</w:t>
      </w:r>
    </w:p>
  </w:footnote>
  <w:footnote w:id="25">
    <w:p w:rsidR="007D4157" w:rsidP="007D4157">
      <w:pPr>
        <w:pStyle w:val="FootnoteText"/>
      </w:pPr>
      <w:r>
        <w:rPr>
          <w:rStyle w:val="FootnoteReference"/>
        </w:rPr>
        <w:footnoteRef/>
      </w:r>
      <w:r>
        <w:t xml:space="preserve"> </w:t>
      </w:r>
      <w:r w:rsidRPr="002D63C3">
        <w:t>47 U.S.C. §§ 154(i)</w:t>
      </w:r>
      <w:r>
        <w:t>-</w:t>
      </w:r>
      <w:r w:rsidRPr="002D63C3">
        <w:t>(j).</w:t>
      </w:r>
    </w:p>
  </w:footnote>
  <w:footnote w:id="26">
    <w:p w:rsidR="007D4157" w:rsidP="007D4157">
      <w:pPr>
        <w:pStyle w:val="FootnoteText"/>
      </w:pPr>
      <w:r>
        <w:rPr>
          <w:rStyle w:val="FootnoteReference"/>
        </w:rPr>
        <w:footnoteRef/>
      </w:r>
      <w:r>
        <w:t xml:space="preserve"> </w:t>
      </w:r>
      <w:r w:rsidRPr="00E52064">
        <w:rPr>
          <w:i/>
        </w:rPr>
        <w:t>See</w:t>
      </w:r>
      <w:r>
        <w:t xml:space="preserve"> 47 CFR §</w:t>
      </w:r>
      <w:r w:rsidR="00D60F57">
        <w:t>§</w:t>
      </w:r>
      <w:r>
        <w:t xml:space="preserve"> 15.5(b)-(c).</w:t>
      </w:r>
    </w:p>
  </w:footnote>
  <w:footnote w:id="27">
    <w:p w:rsidR="007D4157" w:rsidRPr="002D63C3" w:rsidP="007D4157">
      <w:pPr>
        <w:pStyle w:val="FootnoteText"/>
      </w:pPr>
      <w:r w:rsidRPr="002D63C3">
        <w:rPr>
          <w:rStyle w:val="FootnoteReference"/>
        </w:rPr>
        <w:footnoteRef/>
      </w:r>
      <w:r w:rsidRPr="002D63C3">
        <w:t xml:space="preserve"> 47 U.S.C. §§ 154(i)</w:t>
      </w:r>
      <w:r>
        <w:t>-</w:t>
      </w:r>
      <w:r w:rsidRPr="002D63C3">
        <w:t>(j), 403.</w:t>
      </w:r>
    </w:p>
  </w:footnote>
  <w:footnote w:id="28">
    <w:p w:rsidR="007D4157" w:rsidP="007D4157">
      <w:pPr>
        <w:pStyle w:val="FootnoteText"/>
      </w:pPr>
      <w:r w:rsidRPr="002D63C3">
        <w:rPr>
          <w:rStyle w:val="FootnoteReference"/>
        </w:rPr>
        <w:footnoteRef/>
      </w:r>
      <w:r w:rsidRPr="002D63C3">
        <w:t xml:space="preserve"> 47 C.F.R. §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9844F5">
      <w:rPr>
        <w:spacing w:val="-2"/>
      </w:rPr>
      <w:t xml:space="preserve">DA </w:t>
    </w:r>
    <w:r w:rsidRPr="009844F5" w:rsidR="009844F5">
      <w:rPr>
        <w:spacing w:val="-2"/>
      </w:rPr>
      <w:t>20-356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pPr>
      <w:pStyle w:val="Header"/>
      <w:rPr>
        <w:b w:val="0"/>
      </w:rP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9844F5">
      <w:rPr>
        <w:spacing w:val="-2"/>
      </w:rPr>
      <w:t xml:space="preserve">DA </w:t>
    </w:r>
    <w:r w:rsidR="009844F5">
      <w:rPr>
        <w:spacing w:val="-2"/>
      </w:rPr>
      <w:t>20-356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032C54"/>
    <w:multiLevelType w:val="hybridMultilevel"/>
    <w:tmpl w:val="9184E9B6"/>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0">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11">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0"/>
  </w:num>
  <w:num w:numId="2">
    <w:abstractNumId w:val="3"/>
  </w:num>
  <w:num w:numId="3">
    <w:abstractNumId w:val="2"/>
  </w:num>
  <w:num w:numId="4">
    <w:abstractNumId w:val="6"/>
  </w:num>
  <w:num w:numId="5">
    <w:abstractNumId w:val="1"/>
  </w:num>
  <w:num w:numId="6">
    <w:abstractNumId w:val="4"/>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9"/>
  </w:num>
  <w:num w:numId="9">
    <w:abstractNumId w:val="8"/>
  </w:num>
  <w:num w:numId="10">
    <w:abstractNumId w:val="5"/>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lvlOverride w:ilvl="0">
      <w:startOverride w:val="1"/>
    </w:lvlOverride>
  </w:num>
  <w:num w:numId="18">
    <w:abstractNumId w:val="10"/>
    <w:lvlOverride w:ilvl="0">
      <w:startOverride w:val="1"/>
    </w:lvlOverride>
  </w:num>
  <w:num w:numId="19">
    <w:abstractNumId w:val="10"/>
  </w:num>
  <w:num w:numId="20">
    <w:abstractNumId w:val="11"/>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lvlOverride w:ilvl="0">
      <w:startOverride w:val="14"/>
    </w:lvlOverride>
  </w:num>
  <w:num w:numId="30">
    <w:abstractNumId w:val="10"/>
    <w:lvlOverride w:ilvl="0">
      <w:startOverride w:val="1"/>
    </w:lvlOverride>
  </w:num>
  <w:num w:numId="3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5148"/>
    <w:rsid w:val="00014462"/>
    <w:rsid w:val="000174F9"/>
    <w:rsid w:val="00022C58"/>
    <w:rsid w:val="000264B4"/>
    <w:rsid w:val="00031AE8"/>
    <w:rsid w:val="0003213A"/>
    <w:rsid w:val="00036350"/>
    <w:rsid w:val="00036D58"/>
    <w:rsid w:val="00046E05"/>
    <w:rsid w:val="000516D6"/>
    <w:rsid w:val="000604EB"/>
    <w:rsid w:val="0006278C"/>
    <w:rsid w:val="00062C44"/>
    <w:rsid w:val="000649FE"/>
    <w:rsid w:val="00071A40"/>
    <w:rsid w:val="00071E3F"/>
    <w:rsid w:val="00072D7D"/>
    <w:rsid w:val="00074717"/>
    <w:rsid w:val="00080535"/>
    <w:rsid w:val="000824AC"/>
    <w:rsid w:val="000853AD"/>
    <w:rsid w:val="00086824"/>
    <w:rsid w:val="00091AE4"/>
    <w:rsid w:val="00092506"/>
    <w:rsid w:val="000962DF"/>
    <w:rsid w:val="00097330"/>
    <w:rsid w:val="00097F82"/>
    <w:rsid w:val="000A3E68"/>
    <w:rsid w:val="000A4776"/>
    <w:rsid w:val="000B14C3"/>
    <w:rsid w:val="000B1C2B"/>
    <w:rsid w:val="000B29ED"/>
    <w:rsid w:val="000B7657"/>
    <w:rsid w:val="000C6050"/>
    <w:rsid w:val="000D1391"/>
    <w:rsid w:val="000E1951"/>
    <w:rsid w:val="000E2707"/>
    <w:rsid w:val="000E3600"/>
    <w:rsid w:val="000F1155"/>
    <w:rsid w:val="00100646"/>
    <w:rsid w:val="00105A35"/>
    <w:rsid w:val="00111822"/>
    <w:rsid w:val="0011337B"/>
    <w:rsid w:val="001164C6"/>
    <w:rsid w:val="0011687C"/>
    <w:rsid w:val="001205FE"/>
    <w:rsid w:val="00121459"/>
    <w:rsid w:val="00122BB3"/>
    <w:rsid w:val="0012427E"/>
    <w:rsid w:val="00126C88"/>
    <w:rsid w:val="00135F7F"/>
    <w:rsid w:val="00136476"/>
    <w:rsid w:val="001426F0"/>
    <w:rsid w:val="00145E08"/>
    <w:rsid w:val="001532B1"/>
    <w:rsid w:val="00153904"/>
    <w:rsid w:val="00153CE0"/>
    <w:rsid w:val="00155FF4"/>
    <w:rsid w:val="00162161"/>
    <w:rsid w:val="00164D9B"/>
    <w:rsid w:val="001715BD"/>
    <w:rsid w:val="001740BB"/>
    <w:rsid w:val="00180026"/>
    <w:rsid w:val="001819AF"/>
    <w:rsid w:val="001829BE"/>
    <w:rsid w:val="00192DF0"/>
    <w:rsid w:val="001A29EF"/>
    <w:rsid w:val="001A2F40"/>
    <w:rsid w:val="001A38A4"/>
    <w:rsid w:val="001A69BA"/>
    <w:rsid w:val="001A79FB"/>
    <w:rsid w:val="001B048F"/>
    <w:rsid w:val="001C3156"/>
    <w:rsid w:val="001C3B35"/>
    <w:rsid w:val="001C42B3"/>
    <w:rsid w:val="001D1CEF"/>
    <w:rsid w:val="001E135C"/>
    <w:rsid w:val="001E1906"/>
    <w:rsid w:val="001E36EE"/>
    <w:rsid w:val="001E401B"/>
    <w:rsid w:val="001F2B76"/>
    <w:rsid w:val="001F5AA4"/>
    <w:rsid w:val="001F7EE0"/>
    <w:rsid w:val="0021315C"/>
    <w:rsid w:val="002146E2"/>
    <w:rsid w:val="00223173"/>
    <w:rsid w:val="00226191"/>
    <w:rsid w:val="0022665A"/>
    <w:rsid w:val="00236820"/>
    <w:rsid w:val="00246222"/>
    <w:rsid w:val="00250EDF"/>
    <w:rsid w:val="00252799"/>
    <w:rsid w:val="00256862"/>
    <w:rsid w:val="00256904"/>
    <w:rsid w:val="00256B42"/>
    <w:rsid w:val="0026408D"/>
    <w:rsid w:val="002659F3"/>
    <w:rsid w:val="00265FC9"/>
    <w:rsid w:val="00270CD1"/>
    <w:rsid w:val="002710C5"/>
    <w:rsid w:val="0027183B"/>
    <w:rsid w:val="002718D7"/>
    <w:rsid w:val="002820DF"/>
    <w:rsid w:val="00283E59"/>
    <w:rsid w:val="00287564"/>
    <w:rsid w:val="002966A1"/>
    <w:rsid w:val="00297424"/>
    <w:rsid w:val="002A1963"/>
    <w:rsid w:val="002B7493"/>
    <w:rsid w:val="002C12AD"/>
    <w:rsid w:val="002C2218"/>
    <w:rsid w:val="002C6607"/>
    <w:rsid w:val="002C66A2"/>
    <w:rsid w:val="002D3A88"/>
    <w:rsid w:val="002D4CD9"/>
    <w:rsid w:val="002D63C3"/>
    <w:rsid w:val="002D6A81"/>
    <w:rsid w:val="002D74C4"/>
    <w:rsid w:val="002E046E"/>
    <w:rsid w:val="002E1671"/>
    <w:rsid w:val="002E3DE5"/>
    <w:rsid w:val="002E43B6"/>
    <w:rsid w:val="002E6027"/>
    <w:rsid w:val="002F2ACB"/>
    <w:rsid w:val="00306C34"/>
    <w:rsid w:val="00306C50"/>
    <w:rsid w:val="0032053D"/>
    <w:rsid w:val="0032244D"/>
    <w:rsid w:val="00325463"/>
    <w:rsid w:val="00331B47"/>
    <w:rsid w:val="00331D4E"/>
    <w:rsid w:val="003343CA"/>
    <w:rsid w:val="003368A3"/>
    <w:rsid w:val="003368E2"/>
    <w:rsid w:val="003400E9"/>
    <w:rsid w:val="00340246"/>
    <w:rsid w:val="00344871"/>
    <w:rsid w:val="00345F40"/>
    <w:rsid w:val="00346DCB"/>
    <w:rsid w:val="003472A7"/>
    <w:rsid w:val="00347397"/>
    <w:rsid w:val="00350389"/>
    <w:rsid w:val="00353E9D"/>
    <w:rsid w:val="00361B43"/>
    <w:rsid w:val="003623B1"/>
    <w:rsid w:val="00367723"/>
    <w:rsid w:val="00373A43"/>
    <w:rsid w:val="00382491"/>
    <w:rsid w:val="00383C2B"/>
    <w:rsid w:val="00387838"/>
    <w:rsid w:val="0039768C"/>
    <w:rsid w:val="003A07BF"/>
    <w:rsid w:val="003A4346"/>
    <w:rsid w:val="003A4767"/>
    <w:rsid w:val="003A5530"/>
    <w:rsid w:val="003A6F0A"/>
    <w:rsid w:val="003B18EB"/>
    <w:rsid w:val="003B4544"/>
    <w:rsid w:val="003B5341"/>
    <w:rsid w:val="003B5EF6"/>
    <w:rsid w:val="003B6F75"/>
    <w:rsid w:val="003C0BCF"/>
    <w:rsid w:val="003C4AD3"/>
    <w:rsid w:val="003C55A6"/>
    <w:rsid w:val="003C6559"/>
    <w:rsid w:val="003D5B63"/>
    <w:rsid w:val="003D5BD6"/>
    <w:rsid w:val="003E36EC"/>
    <w:rsid w:val="003E3782"/>
    <w:rsid w:val="003E4BA1"/>
    <w:rsid w:val="003E5CB1"/>
    <w:rsid w:val="003E7003"/>
    <w:rsid w:val="003F2F66"/>
    <w:rsid w:val="004016AD"/>
    <w:rsid w:val="00403B86"/>
    <w:rsid w:val="00415670"/>
    <w:rsid w:val="00415A35"/>
    <w:rsid w:val="00416F51"/>
    <w:rsid w:val="004200CE"/>
    <w:rsid w:val="0042056B"/>
    <w:rsid w:val="00426316"/>
    <w:rsid w:val="00431572"/>
    <w:rsid w:val="00436A9E"/>
    <w:rsid w:val="00436E88"/>
    <w:rsid w:val="00452C14"/>
    <w:rsid w:val="00457AE7"/>
    <w:rsid w:val="00466CC6"/>
    <w:rsid w:val="00467066"/>
    <w:rsid w:val="0047221C"/>
    <w:rsid w:val="004736A1"/>
    <w:rsid w:val="004806B5"/>
    <w:rsid w:val="00494E42"/>
    <w:rsid w:val="004B6127"/>
    <w:rsid w:val="004C0F46"/>
    <w:rsid w:val="004C3EDB"/>
    <w:rsid w:val="004C4957"/>
    <w:rsid w:val="004C7423"/>
    <w:rsid w:val="004D3233"/>
    <w:rsid w:val="004D7744"/>
    <w:rsid w:val="004E218D"/>
    <w:rsid w:val="004E4FD9"/>
    <w:rsid w:val="004E5D01"/>
    <w:rsid w:val="004F0990"/>
    <w:rsid w:val="004F6A54"/>
    <w:rsid w:val="00500FF2"/>
    <w:rsid w:val="00505616"/>
    <w:rsid w:val="00512A5C"/>
    <w:rsid w:val="00514466"/>
    <w:rsid w:val="00514B5F"/>
    <w:rsid w:val="0051629D"/>
    <w:rsid w:val="005214C9"/>
    <w:rsid w:val="00522727"/>
    <w:rsid w:val="00526086"/>
    <w:rsid w:val="00526174"/>
    <w:rsid w:val="005321F0"/>
    <w:rsid w:val="00534B85"/>
    <w:rsid w:val="005356A6"/>
    <w:rsid w:val="00535D18"/>
    <w:rsid w:val="00537EE6"/>
    <w:rsid w:val="005415C8"/>
    <w:rsid w:val="0054220C"/>
    <w:rsid w:val="005440C1"/>
    <w:rsid w:val="00545EF8"/>
    <w:rsid w:val="00547654"/>
    <w:rsid w:val="00552923"/>
    <w:rsid w:val="00557BF1"/>
    <w:rsid w:val="00560703"/>
    <w:rsid w:val="0056704D"/>
    <w:rsid w:val="00567C95"/>
    <w:rsid w:val="00567D8D"/>
    <w:rsid w:val="0057602A"/>
    <w:rsid w:val="005942FC"/>
    <w:rsid w:val="0059732E"/>
    <w:rsid w:val="005A72DD"/>
    <w:rsid w:val="005B1C29"/>
    <w:rsid w:val="005B3158"/>
    <w:rsid w:val="005B4CEA"/>
    <w:rsid w:val="005B67ED"/>
    <w:rsid w:val="005C2A5A"/>
    <w:rsid w:val="005C30D4"/>
    <w:rsid w:val="005D1BA6"/>
    <w:rsid w:val="005D250F"/>
    <w:rsid w:val="005D364B"/>
    <w:rsid w:val="005D4F7D"/>
    <w:rsid w:val="005E3D9F"/>
    <w:rsid w:val="005E6F60"/>
    <w:rsid w:val="005F3BDB"/>
    <w:rsid w:val="005F7995"/>
    <w:rsid w:val="00600EA1"/>
    <w:rsid w:val="006020E8"/>
    <w:rsid w:val="00603106"/>
    <w:rsid w:val="00606CBE"/>
    <w:rsid w:val="006168A4"/>
    <w:rsid w:val="00622396"/>
    <w:rsid w:val="00624EEA"/>
    <w:rsid w:val="0063038A"/>
    <w:rsid w:val="00634F84"/>
    <w:rsid w:val="00637D3F"/>
    <w:rsid w:val="00640EAA"/>
    <w:rsid w:val="00644983"/>
    <w:rsid w:val="0064498D"/>
    <w:rsid w:val="006472F4"/>
    <w:rsid w:val="00650C92"/>
    <w:rsid w:val="00653DFB"/>
    <w:rsid w:val="00654D13"/>
    <w:rsid w:val="006557D7"/>
    <w:rsid w:val="0065677C"/>
    <w:rsid w:val="006606A3"/>
    <w:rsid w:val="00661DE5"/>
    <w:rsid w:val="0066537F"/>
    <w:rsid w:val="00671666"/>
    <w:rsid w:val="00672014"/>
    <w:rsid w:val="006733A8"/>
    <w:rsid w:val="00673674"/>
    <w:rsid w:val="00674B18"/>
    <w:rsid w:val="00683E53"/>
    <w:rsid w:val="00686968"/>
    <w:rsid w:val="006877E7"/>
    <w:rsid w:val="006956FE"/>
    <w:rsid w:val="006A6FD0"/>
    <w:rsid w:val="006B080E"/>
    <w:rsid w:val="006B730D"/>
    <w:rsid w:val="006C1DED"/>
    <w:rsid w:val="006D2212"/>
    <w:rsid w:val="006D550A"/>
    <w:rsid w:val="006D7FF3"/>
    <w:rsid w:val="006E3B0D"/>
    <w:rsid w:val="006E6234"/>
    <w:rsid w:val="006E728E"/>
    <w:rsid w:val="006F2921"/>
    <w:rsid w:val="00704843"/>
    <w:rsid w:val="007115F7"/>
    <w:rsid w:val="00714FD7"/>
    <w:rsid w:val="00715666"/>
    <w:rsid w:val="00716E89"/>
    <w:rsid w:val="0072776E"/>
    <w:rsid w:val="00727F4F"/>
    <w:rsid w:val="00731211"/>
    <w:rsid w:val="0073326F"/>
    <w:rsid w:val="00743885"/>
    <w:rsid w:val="00743CDB"/>
    <w:rsid w:val="00745AB4"/>
    <w:rsid w:val="007470E1"/>
    <w:rsid w:val="007479D6"/>
    <w:rsid w:val="007512D7"/>
    <w:rsid w:val="00752D0E"/>
    <w:rsid w:val="00753BD2"/>
    <w:rsid w:val="00755564"/>
    <w:rsid w:val="00757E63"/>
    <w:rsid w:val="00765619"/>
    <w:rsid w:val="0077073F"/>
    <w:rsid w:val="0077103F"/>
    <w:rsid w:val="0077224C"/>
    <w:rsid w:val="00774542"/>
    <w:rsid w:val="00782257"/>
    <w:rsid w:val="00785772"/>
    <w:rsid w:val="00787DBC"/>
    <w:rsid w:val="00791577"/>
    <w:rsid w:val="00792D54"/>
    <w:rsid w:val="007A1902"/>
    <w:rsid w:val="007A2AF2"/>
    <w:rsid w:val="007A4004"/>
    <w:rsid w:val="007A400F"/>
    <w:rsid w:val="007B1B20"/>
    <w:rsid w:val="007B1C3F"/>
    <w:rsid w:val="007B25BE"/>
    <w:rsid w:val="007C197B"/>
    <w:rsid w:val="007C3555"/>
    <w:rsid w:val="007C3802"/>
    <w:rsid w:val="007C3FB4"/>
    <w:rsid w:val="007C416C"/>
    <w:rsid w:val="007D4157"/>
    <w:rsid w:val="007D5BA0"/>
    <w:rsid w:val="007E39BB"/>
    <w:rsid w:val="007F3C22"/>
    <w:rsid w:val="0080144D"/>
    <w:rsid w:val="00804AA7"/>
    <w:rsid w:val="00806AEF"/>
    <w:rsid w:val="00817123"/>
    <w:rsid w:val="008218CC"/>
    <w:rsid w:val="00823395"/>
    <w:rsid w:val="00834179"/>
    <w:rsid w:val="00835377"/>
    <w:rsid w:val="00836DF6"/>
    <w:rsid w:val="0084691E"/>
    <w:rsid w:val="00854197"/>
    <w:rsid w:val="0086293F"/>
    <w:rsid w:val="00862B6D"/>
    <w:rsid w:val="008635E6"/>
    <w:rsid w:val="008661A4"/>
    <w:rsid w:val="008666BC"/>
    <w:rsid w:val="00872694"/>
    <w:rsid w:val="00874CFC"/>
    <w:rsid w:val="00886C3A"/>
    <w:rsid w:val="00890DC3"/>
    <w:rsid w:val="008A1A2C"/>
    <w:rsid w:val="008B1964"/>
    <w:rsid w:val="008B27C1"/>
    <w:rsid w:val="008B7562"/>
    <w:rsid w:val="008B7FFE"/>
    <w:rsid w:val="008C0FB2"/>
    <w:rsid w:val="008D097D"/>
    <w:rsid w:val="008D6AFE"/>
    <w:rsid w:val="008E0D87"/>
    <w:rsid w:val="008E2010"/>
    <w:rsid w:val="008E7D5F"/>
    <w:rsid w:val="008F0F79"/>
    <w:rsid w:val="008F21BF"/>
    <w:rsid w:val="008F3480"/>
    <w:rsid w:val="009012DC"/>
    <w:rsid w:val="00901EA9"/>
    <w:rsid w:val="0090510E"/>
    <w:rsid w:val="00913674"/>
    <w:rsid w:val="009150E9"/>
    <w:rsid w:val="00920FB9"/>
    <w:rsid w:val="00922BC7"/>
    <w:rsid w:val="00924198"/>
    <w:rsid w:val="009244F0"/>
    <w:rsid w:val="0093638C"/>
    <w:rsid w:val="00937A4E"/>
    <w:rsid w:val="00955661"/>
    <w:rsid w:val="0096675D"/>
    <w:rsid w:val="009714F0"/>
    <w:rsid w:val="00972667"/>
    <w:rsid w:val="0097633D"/>
    <w:rsid w:val="00980AA0"/>
    <w:rsid w:val="00981A39"/>
    <w:rsid w:val="009844F5"/>
    <w:rsid w:val="00985084"/>
    <w:rsid w:val="009868EF"/>
    <w:rsid w:val="00992A29"/>
    <w:rsid w:val="009A01CF"/>
    <w:rsid w:val="009A09C6"/>
    <w:rsid w:val="009A31E8"/>
    <w:rsid w:val="009A323D"/>
    <w:rsid w:val="009A3AE5"/>
    <w:rsid w:val="009A4C09"/>
    <w:rsid w:val="009B1061"/>
    <w:rsid w:val="009B2C59"/>
    <w:rsid w:val="009B3E58"/>
    <w:rsid w:val="009B6F55"/>
    <w:rsid w:val="009B78FB"/>
    <w:rsid w:val="009C2411"/>
    <w:rsid w:val="009C3321"/>
    <w:rsid w:val="009C46AB"/>
    <w:rsid w:val="009C6AD9"/>
    <w:rsid w:val="009D0C63"/>
    <w:rsid w:val="009D5355"/>
    <w:rsid w:val="009D79F2"/>
    <w:rsid w:val="009E44EE"/>
    <w:rsid w:val="009E53A5"/>
    <w:rsid w:val="009E708F"/>
    <w:rsid w:val="009E73FC"/>
    <w:rsid w:val="009F6855"/>
    <w:rsid w:val="009F764F"/>
    <w:rsid w:val="00A002F4"/>
    <w:rsid w:val="00A00AE0"/>
    <w:rsid w:val="00A01D1A"/>
    <w:rsid w:val="00A02912"/>
    <w:rsid w:val="00A047AF"/>
    <w:rsid w:val="00A0567A"/>
    <w:rsid w:val="00A10460"/>
    <w:rsid w:val="00A14E35"/>
    <w:rsid w:val="00A174D4"/>
    <w:rsid w:val="00A204BA"/>
    <w:rsid w:val="00A20570"/>
    <w:rsid w:val="00A223C9"/>
    <w:rsid w:val="00A230E1"/>
    <w:rsid w:val="00A24CD1"/>
    <w:rsid w:val="00A26C54"/>
    <w:rsid w:val="00A35D97"/>
    <w:rsid w:val="00A3796D"/>
    <w:rsid w:val="00A41565"/>
    <w:rsid w:val="00A42341"/>
    <w:rsid w:val="00A45420"/>
    <w:rsid w:val="00A52CEE"/>
    <w:rsid w:val="00A83EFC"/>
    <w:rsid w:val="00A8604A"/>
    <w:rsid w:val="00A92C53"/>
    <w:rsid w:val="00A95983"/>
    <w:rsid w:val="00AA19E7"/>
    <w:rsid w:val="00AA1C42"/>
    <w:rsid w:val="00AA614F"/>
    <w:rsid w:val="00AB2A81"/>
    <w:rsid w:val="00AB3FF0"/>
    <w:rsid w:val="00AC08EF"/>
    <w:rsid w:val="00AC0A30"/>
    <w:rsid w:val="00AC262E"/>
    <w:rsid w:val="00AC7682"/>
    <w:rsid w:val="00AC7905"/>
    <w:rsid w:val="00AD35D3"/>
    <w:rsid w:val="00AD525D"/>
    <w:rsid w:val="00AE4E71"/>
    <w:rsid w:val="00AE6CDF"/>
    <w:rsid w:val="00AF2483"/>
    <w:rsid w:val="00AF6122"/>
    <w:rsid w:val="00B046DF"/>
    <w:rsid w:val="00B0601B"/>
    <w:rsid w:val="00B102D9"/>
    <w:rsid w:val="00B106C6"/>
    <w:rsid w:val="00B122C3"/>
    <w:rsid w:val="00B20811"/>
    <w:rsid w:val="00B21753"/>
    <w:rsid w:val="00B246DD"/>
    <w:rsid w:val="00B26603"/>
    <w:rsid w:val="00B307A4"/>
    <w:rsid w:val="00B369E1"/>
    <w:rsid w:val="00B52F5E"/>
    <w:rsid w:val="00B661C1"/>
    <w:rsid w:val="00B70A0B"/>
    <w:rsid w:val="00B72A6B"/>
    <w:rsid w:val="00B7385F"/>
    <w:rsid w:val="00B8042F"/>
    <w:rsid w:val="00B84DAA"/>
    <w:rsid w:val="00B85F3E"/>
    <w:rsid w:val="00BA0DEA"/>
    <w:rsid w:val="00BB18C9"/>
    <w:rsid w:val="00BB2B10"/>
    <w:rsid w:val="00BB4888"/>
    <w:rsid w:val="00BB6D6F"/>
    <w:rsid w:val="00BC09DE"/>
    <w:rsid w:val="00BC3C88"/>
    <w:rsid w:val="00BC3FB6"/>
    <w:rsid w:val="00BD0B73"/>
    <w:rsid w:val="00BD5C10"/>
    <w:rsid w:val="00BD747D"/>
    <w:rsid w:val="00BE70CC"/>
    <w:rsid w:val="00BF0CB5"/>
    <w:rsid w:val="00BF39AF"/>
    <w:rsid w:val="00BF790E"/>
    <w:rsid w:val="00C02572"/>
    <w:rsid w:val="00C063BE"/>
    <w:rsid w:val="00C07DC3"/>
    <w:rsid w:val="00C11CF4"/>
    <w:rsid w:val="00C128B3"/>
    <w:rsid w:val="00C135FF"/>
    <w:rsid w:val="00C14EBB"/>
    <w:rsid w:val="00C211BD"/>
    <w:rsid w:val="00C22E21"/>
    <w:rsid w:val="00C2400C"/>
    <w:rsid w:val="00C26770"/>
    <w:rsid w:val="00C26850"/>
    <w:rsid w:val="00C30219"/>
    <w:rsid w:val="00C30B5C"/>
    <w:rsid w:val="00C32B5E"/>
    <w:rsid w:val="00C42D39"/>
    <w:rsid w:val="00C5575E"/>
    <w:rsid w:val="00C56DF8"/>
    <w:rsid w:val="00C710A4"/>
    <w:rsid w:val="00C7583B"/>
    <w:rsid w:val="00C8027D"/>
    <w:rsid w:val="00C80AB7"/>
    <w:rsid w:val="00C81248"/>
    <w:rsid w:val="00C81DFC"/>
    <w:rsid w:val="00C82A24"/>
    <w:rsid w:val="00C835A2"/>
    <w:rsid w:val="00C855E5"/>
    <w:rsid w:val="00C93DFC"/>
    <w:rsid w:val="00C9559E"/>
    <w:rsid w:val="00C9673A"/>
    <w:rsid w:val="00C97F25"/>
    <w:rsid w:val="00CA74A0"/>
    <w:rsid w:val="00CB6E37"/>
    <w:rsid w:val="00CC660D"/>
    <w:rsid w:val="00CC6B2D"/>
    <w:rsid w:val="00CD7A1B"/>
    <w:rsid w:val="00CE3004"/>
    <w:rsid w:val="00CF0BCD"/>
    <w:rsid w:val="00CF2340"/>
    <w:rsid w:val="00CF537E"/>
    <w:rsid w:val="00CF6B67"/>
    <w:rsid w:val="00D05B66"/>
    <w:rsid w:val="00D137D5"/>
    <w:rsid w:val="00D15C2F"/>
    <w:rsid w:val="00D21358"/>
    <w:rsid w:val="00D23943"/>
    <w:rsid w:val="00D249F3"/>
    <w:rsid w:val="00D417DA"/>
    <w:rsid w:val="00D51005"/>
    <w:rsid w:val="00D55192"/>
    <w:rsid w:val="00D603A8"/>
    <w:rsid w:val="00D60F57"/>
    <w:rsid w:val="00D70675"/>
    <w:rsid w:val="00D708C9"/>
    <w:rsid w:val="00D70FC6"/>
    <w:rsid w:val="00D75D1C"/>
    <w:rsid w:val="00D77881"/>
    <w:rsid w:val="00D82A8B"/>
    <w:rsid w:val="00D87E6F"/>
    <w:rsid w:val="00DA53F1"/>
    <w:rsid w:val="00DB04B0"/>
    <w:rsid w:val="00DB110F"/>
    <w:rsid w:val="00DB209B"/>
    <w:rsid w:val="00DC0A87"/>
    <w:rsid w:val="00DC68F5"/>
    <w:rsid w:val="00DD066D"/>
    <w:rsid w:val="00DD17B4"/>
    <w:rsid w:val="00DD355E"/>
    <w:rsid w:val="00DE45C6"/>
    <w:rsid w:val="00DF2FC3"/>
    <w:rsid w:val="00DF461A"/>
    <w:rsid w:val="00DF49C5"/>
    <w:rsid w:val="00E01DF0"/>
    <w:rsid w:val="00E03C5E"/>
    <w:rsid w:val="00E0401A"/>
    <w:rsid w:val="00E136B4"/>
    <w:rsid w:val="00E20614"/>
    <w:rsid w:val="00E216B3"/>
    <w:rsid w:val="00E273E3"/>
    <w:rsid w:val="00E32B89"/>
    <w:rsid w:val="00E35FB5"/>
    <w:rsid w:val="00E37301"/>
    <w:rsid w:val="00E40344"/>
    <w:rsid w:val="00E41348"/>
    <w:rsid w:val="00E44BA5"/>
    <w:rsid w:val="00E51553"/>
    <w:rsid w:val="00E51F9F"/>
    <w:rsid w:val="00E52064"/>
    <w:rsid w:val="00E57ED1"/>
    <w:rsid w:val="00E61780"/>
    <w:rsid w:val="00E64D28"/>
    <w:rsid w:val="00E650AE"/>
    <w:rsid w:val="00E6792A"/>
    <w:rsid w:val="00E71761"/>
    <w:rsid w:val="00E74600"/>
    <w:rsid w:val="00E757A1"/>
    <w:rsid w:val="00E82807"/>
    <w:rsid w:val="00E87690"/>
    <w:rsid w:val="00E9402D"/>
    <w:rsid w:val="00E95342"/>
    <w:rsid w:val="00EA7BC5"/>
    <w:rsid w:val="00EB56D4"/>
    <w:rsid w:val="00EB5C8E"/>
    <w:rsid w:val="00EB73B3"/>
    <w:rsid w:val="00EC01C8"/>
    <w:rsid w:val="00EC389E"/>
    <w:rsid w:val="00EC43A5"/>
    <w:rsid w:val="00EC59F7"/>
    <w:rsid w:val="00EC6192"/>
    <w:rsid w:val="00ED001A"/>
    <w:rsid w:val="00ED5A07"/>
    <w:rsid w:val="00ED7F11"/>
    <w:rsid w:val="00EE05DB"/>
    <w:rsid w:val="00EE194C"/>
    <w:rsid w:val="00EE36BE"/>
    <w:rsid w:val="00EE6E00"/>
    <w:rsid w:val="00EF1FDD"/>
    <w:rsid w:val="00EF23E9"/>
    <w:rsid w:val="00EF2D22"/>
    <w:rsid w:val="00EF3412"/>
    <w:rsid w:val="00EF49F0"/>
    <w:rsid w:val="00EF5B91"/>
    <w:rsid w:val="00EF7A32"/>
    <w:rsid w:val="00F0262C"/>
    <w:rsid w:val="00F03DF9"/>
    <w:rsid w:val="00F122FD"/>
    <w:rsid w:val="00F14821"/>
    <w:rsid w:val="00F156C3"/>
    <w:rsid w:val="00F15E74"/>
    <w:rsid w:val="00F16485"/>
    <w:rsid w:val="00F210F9"/>
    <w:rsid w:val="00F22E6D"/>
    <w:rsid w:val="00F35991"/>
    <w:rsid w:val="00F50F55"/>
    <w:rsid w:val="00F51AF3"/>
    <w:rsid w:val="00F6754D"/>
    <w:rsid w:val="00F80BCB"/>
    <w:rsid w:val="00F83951"/>
    <w:rsid w:val="00F84343"/>
    <w:rsid w:val="00F85D8D"/>
    <w:rsid w:val="00F8613C"/>
    <w:rsid w:val="00F90362"/>
    <w:rsid w:val="00F93126"/>
    <w:rsid w:val="00F9326A"/>
    <w:rsid w:val="00FA2BC9"/>
    <w:rsid w:val="00FA3463"/>
    <w:rsid w:val="00FA581C"/>
    <w:rsid w:val="00FB450C"/>
    <w:rsid w:val="00FC1C58"/>
    <w:rsid w:val="00FC7FFE"/>
    <w:rsid w:val="00FD0A5B"/>
    <w:rsid w:val="00FD2585"/>
    <w:rsid w:val="00FE74AF"/>
    <w:rsid w:val="00FF0865"/>
    <w:rsid w:val="00FF10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 Char Char,Footnote Text Char Char Char Char Char,Footnote Text Char Char Char Char Char Char Char,Footnote Text Char Char1,Footnote Text Char1 Char,Footnote Text Char1 Char Char Char,Footnote Text Char3 Char1 Char"/>
    <w:basedOn w:val="DefaultParagraphFont"/>
    <w:link w:val="FootnoteText"/>
    <w:locked/>
    <w:rsid w:val="009B2C59"/>
    <w:rPr>
      <w:rFonts w:cs="Times New Roman"/>
      <w:lang w:val="en-US" w:eastAsia="en-US"/>
    </w:rPr>
  </w:style>
  <w:style w:type="character" w:styleId="FootnoteReference">
    <w:name w:val="footnote reference"/>
    <w:aliases w:val="(NECG) Footnote Reference,Appel note de bas de p,FR,Footnote Reference/,Footnote Reference1,Style 12,Style 124,Style 13,Style 17,Style 3,Style 4,Style 6,fr,o"/>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basedOn w:val="DefaultParagraphFont"/>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