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1230B" w:rsidP="00013A8B" w14:paraId="047E6AA1" w14:textId="5A152480">
      <w:pPr>
        <w:jc w:val="right"/>
        <w:rPr>
          <w:b/>
          <w:sz w:val="24"/>
        </w:rPr>
      </w:pPr>
      <w:r w:rsidRPr="0001230B">
        <w:rPr>
          <w:b/>
          <w:sz w:val="24"/>
        </w:rPr>
        <w:t xml:space="preserve">DA </w:t>
      </w:r>
      <w:r w:rsidRPr="0001230B" w:rsidR="00C31185">
        <w:rPr>
          <w:b/>
          <w:sz w:val="24"/>
        </w:rPr>
        <w:t>20</w:t>
      </w:r>
      <w:r w:rsidRPr="0001230B" w:rsidR="00DB2D9A">
        <w:rPr>
          <w:b/>
          <w:sz w:val="24"/>
        </w:rPr>
        <w:t>-</w:t>
      </w:r>
      <w:r w:rsidRPr="0001230B" w:rsidR="0001230B">
        <w:rPr>
          <w:b/>
          <w:sz w:val="24"/>
        </w:rPr>
        <w:t>357</w:t>
      </w:r>
    </w:p>
    <w:p w:rsidR="00013A8B" w:rsidRPr="0001230B" w:rsidP="00013A8B" w14:paraId="00CD4915" w14:textId="798B4800">
      <w:pPr>
        <w:spacing w:before="60"/>
        <w:jc w:val="right"/>
        <w:rPr>
          <w:b/>
          <w:sz w:val="24"/>
        </w:rPr>
      </w:pPr>
      <w:r w:rsidRPr="0001230B">
        <w:rPr>
          <w:b/>
          <w:sz w:val="24"/>
        </w:rPr>
        <w:t xml:space="preserve">Released:  </w:t>
      </w:r>
      <w:r w:rsidRPr="0001230B" w:rsidR="00C31185">
        <w:rPr>
          <w:b/>
          <w:sz w:val="24"/>
        </w:rPr>
        <w:t xml:space="preserve">March </w:t>
      </w:r>
      <w:r w:rsidRPr="0001230B" w:rsidR="00517461">
        <w:rPr>
          <w:b/>
          <w:sz w:val="24"/>
        </w:rPr>
        <w:t>30</w:t>
      </w:r>
      <w:r w:rsidRPr="0001230B" w:rsidR="007B3733">
        <w:rPr>
          <w:b/>
          <w:sz w:val="24"/>
        </w:rPr>
        <w:t>, 20</w:t>
      </w:r>
      <w:r w:rsidRPr="0001230B" w:rsidR="00C31185">
        <w:rPr>
          <w:b/>
          <w:sz w:val="24"/>
        </w:rPr>
        <w:t>20</w:t>
      </w:r>
    </w:p>
    <w:p w:rsidR="00013A8B" w:rsidRPr="0001230B" w:rsidP="00013A8B" w14:paraId="5E794CA5" w14:textId="77777777">
      <w:pPr>
        <w:jc w:val="right"/>
        <w:rPr>
          <w:sz w:val="24"/>
        </w:rPr>
      </w:pPr>
    </w:p>
    <w:p w:rsidR="007B3733" w:rsidRPr="0001230B" w:rsidP="00C31185" w14:paraId="6E7E419D" w14:textId="19240E88">
      <w:pPr>
        <w:jc w:val="center"/>
        <w:rPr>
          <w:b/>
          <w:bCs/>
          <w:caps/>
          <w:sz w:val="24"/>
        </w:rPr>
      </w:pPr>
      <w:bookmarkStart w:id="0" w:name="_Hlk36473603"/>
      <w:r w:rsidRPr="0001230B">
        <w:rPr>
          <w:b/>
          <w:bCs/>
          <w:caps/>
          <w:sz w:val="24"/>
        </w:rPr>
        <w:t>WIRELINE COMPETITION</w:t>
      </w:r>
      <w:r w:rsidRPr="0001230B" w:rsidR="00312DE0">
        <w:rPr>
          <w:b/>
          <w:bCs/>
          <w:caps/>
          <w:sz w:val="24"/>
        </w:rPr>
        <w:t xml:space="preserve"> BUREAU SEEKS COMMENT ON</w:t>
      </w:r>
      <w:r w:rsidRPr="0001230B">
        <w:rPr>
          <w:b/>
          <w:bCs/>
          <w:caps/>
          <w:sz w:val="24"/>
        </w:rPr>
        <w:t xml:space="preserve"> </w:t>
      </w:r>
      <w:r w:rsidRPr="0001230B" w:rsidR="00C37D85">
        <w:rPr>
          <w:b/>
          <w:bCs/>
          <w:caps/>
          <w:sz w:val="24"/>
        </w:rPr>
        <w:t xml:space="preserve">REQUEST </w:t>
      </w:r>
      <w:r w:rsidRPr="0001230B" w:rsidR="00362197">
        <w:rPr>
          <w:b/>
          <w:bCs/>
          <w:caps/>
          <w:sz w:val="24"/>
        </w:rPr>
        <w:t xml:space="preserve">BY </w:t>
      </w:r>
      <w:r w:rsidRPr="0001230B" w:rsidR="00D371AF">
        <w:rPr>
          <w:b/>
          <w:bCs/>
          <w:caps/>
          <w:sz w:val="24"/>
        </w:rPr>
        <w:t xml:space="preserve">Red River Telephone Association </w:t>
      </w:r>
      <w:r w:rsidRPr="0001230B" w:rsidR="00874F2B">
        <w:rPr>
          <w:b/>
          <w:bCs/>
          <w:caps/>
          <w:sz w:val="24"/>
        </w:rPr>
        <w:t>for a Waiver</w:t>
      </w:r>
      <w:r w:rsidRPr="0001230B">
        <w:rPr>
          <w:b/>
          <w:bCs/>
          <w:caps/>
          <w:sz w:val="24"/>
        </w:rPr>
        <w:t xml:space="preserve"> </w:t>
      </w:r>
      <w:r w:rsidRPr="0001230B" w:rsidR="00695DEE">
        <w:rPr>
          <w:b/>
          <w:bCs/>
          <w:caps/>
          <w:sz w:val="24"/>
        </w:rPr>
        <w:t xml:space="preserve">OF </w:t>
      </w:r>
      <w:r w:rsidRPr="0001230B" w:rsidR="00D371AF">
        <w:rPr>
          <w:b/>
          <w:bCs/>
          <w:caps/>
          <w:sz w:val="24"/>
        </w:rPr>
        <w:t>The Election Deadline for A</w:t>
      </w:r>
      <w:r w:rsidRPr="0001230B" w:rsidR="00874F2B">
        <w:rPr>
          <w:b/>
          <w:bCs/>
          <w:caps/>
          <w:sz w:val="24"/>
        </w:rPr>
        <w:t>lternative COnnect America Model II</w:t>
      </w:r>
      <w:r w:rsidRPr="0001230B" w:rsidR="00D371AF">
        <w:rPr>
          <w:b/>
          <w:bCs/>
          <w:caps/>
          <w:sz w:val="24"/>
        </w:rPr>
        <w:t xml:space="preserve"> and </w:t>
      </w:r>
      <w:r w:rsidRPr="0001230B" w:rsidR="00874F2B">
        <w:rPr>
          <w:b/>
          <w:bCs/>
          <w:caps/>
          <w:sz w:val="24"/>
        </w:rPr>
        <w:t xml:space="preserve">for </w:t>
      </w:r>
      <w:r w:rsidRPr="0001230B" w:rsidR="00D371AF">
        <w:rPr>
          <w:b/>
          <w:bCs/>
          <w:caps/>
          <w:sz w:val="24"/>
        </w:rPr>
        <w:t>a Revised A-CAM II Offer</w:t>
      </w:r>
    </w:p>
    <w:bookmarkEnd w:id="0"/>
    <w:p w:rsidR="007B3733" w:rsidRPr="0001230B" w:rsidP="00013A8B" w14:paraId="7CA80A02" w14:textId="77777777">
      <w:pPr>
        <w:jc w:val="center"/>
        <w:rPr>
          <w:b/>
          <w:sz w:val="24"/>
        </w:rPr>
      </w:pPr>
    </w:p>
    <w:p w:rsidR="00013A8B" w:rsidRPr="0001230B" w:rsidP="00013A8B" w14:paraId="5594F72C" w14:textId="2D64277D">
      <w:pPr>
        <w:jc w:val="center"/>
        <w:rPr>
          <w:b/>
          <w:sz w:val="24"/>
        </w:rPr>
      </w:pPr>
      <w:r w:rsidRPr="0001230B">
        <w:rPr>
          <w:b/>
          <w:sz w:val="24"/>
        </w:rPr>
        <w:t>W</w:t>
      </w:r>
      <w:r w:rsidRPr="0001230B" w:rsidR="00C31185">
        <w:rPr>
          <w:b/>
          <w:sz w:val="24"/>
        </w:rPr>
        <w:t>C</w:t>
      </w:r>
      <w:r w:rsidRPr="0001230B">
        <w:rPr>
          <w:b/>
          <w:sz w:val="24"/>
        </w:rPr>
        <w:t xml:space="preserve"> Docket No</w:t>
      </w:r>
      <w:r w:rsidRPr="0001230B" w:rsidR="00C37D85">
        <w:rPr>
          <w:b/>
          <w:sz w:val="24"/>
        </w:rPr>
        <w:t>s</w:t>
      </w:r>
      <w:r w:rsidRPr="0001230B" w:rsidR="00C31185">
        <w:rPr>
          <w:b/>
          <w:sz w:val="24"/>
        </w:rPr>
        <w:t>.</w:t>
      </w:r>
      <w:r w:rsidRPr="0001230B">
        <w:rPr>
          <w:b/>
          <w:sz w:val="24"/>
        </w:rPr>
        <w:t xml:space="preserve"> </w:t>
      </w:r>
      <w:r w:rsidRPr="0001230B" w:rsidR="00C31185">
        <w:rPr>
          <w:b/>
          <w:sz w:val="24"/>
        </w:rPr>
        <w:t>10</w:t>
      </w:r>
      <w:r w:rsidRPr="0001230B">
        <w:rPr>
          <w:b/>
          <w:sz w:val="24"/>
        </w:rPr>
        <w:t>-</w:t>
      </w:r>
      <w:r w:rsidRPr="0001230B" w:rsidR="00C31185">
        <w:rPr>
          <w:b/>
          <w:sz w:val="24"/>
        </w:rPr>
        <w:t>90</w:t>
      </w:r>
    </w:p>
    <w:p w:rsidR="00F96F63" w:rsidP="00F96F63" w14:paraId="4EDB23FB" w14:textId="77777777">
      <w:pPr>
        <w:rPr>
          <w:sz w:val="24"/>
        </w:rPr>
      </w:pPr>
    </w:p>
    <w:p w:rsidR="007B3733" w:rsidRPr="00BA7A44" w:rsidP="00BA7A44" w14:paraId="48003B96" w14:textId="68CF1B74">
      <w:pPr>
        <w:widowControl/>
        <w:spacing w:line="259" w:lineRule="auto"/>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w:t>
      </w:r>
      <w:r w:rsidR="00435308">
        <w:rPr>
          <w:rFonts w:eastAsia="Calibri"/>
          <w:b/>
          <w:snapToGrid/>
          <w:kern w:val="0"/>
          <w:sz w:val="24"/>
          <w:szCs w:val="24"/>
        </w:rPr>
        <w:t xml:space="preserve">April </w:t>
      </w:r>
      <w:r w:rsidR="00517461">
        <w:rPr>
          <w:rFonts w:eastAsia="Calibri"/>
          <w:b/>
          <w:snapToGrid/>
          <w:kern w:val="0"/>
          <w:sz w:val="24"/>
          <w:szCs w:val="24"/>
        </w:rPr>
        <w:t>14</w:t>
      </w:r>
      <w:r w:rsidRPr="00BA7A44">
        <w:rPr>
          <w:rFonts w:eastAsia="Calibri"/>
          <w:b/>
          <w:snapToGrid/>
          <w:kern w:val="0"/>
          <w:sz w:val="24"/>
          <w:szCs w:val="24"/>
        </w:rPr>
        <w:t>, 20</w:t>
      </w:r>
      <w:r w:rsidR="00C31185">
        <w:rPr>
          <w:rFonts w:eastAsia="Calibri"/>
          <w:b/>
          <w:snapToGrid/>
          <w:kern w:val="0"/>
          <w:sz w:val="24"/>
          <w:szCs w:val="24"/>
        </w:rPr>
        <w:t>20</w:t>
      </w:r>
    </w:p>
    <w:p w:rsidR="007B3733" w:rsidRPr="00BA7A44" w:rsidP="007B3733" w14:paraId="4BFAB671" w14:textId="727100E1">
      <w:pPr>
        <w:widowControl/>
        <w:spacing w:after="160" w:line="259" w:lineRule="auto"/>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April </w:t>
      </w:r>
      <w:r w:rsidR="00517461">
        <w:rPr>
          <w:rFonts w:eastAsia="Calibri"/>
          <w:b/>
          <w:snapToGrid/>
          <w:kern w:val="0"/>
          <w:sz w:val="24"/>
          <w:szCs w:val="24"/>
        </w:rPr>
        <w:t>29</w:t>
      </w:r>
      <w:r w:rsidRPr="00BA7A44">
        <w:rPr>
          <w:rFonts w:eastAsia="Calibri"/>
          <w:b/>
          <w:snapToGrid/>
          <w:kern w:val="0"/>
          <w:sz w:val="24"/>
          <w:szCs w:val="24"/>
        </w:rPr>
        <w:t>, 20</w:t>
      </w:r>
      <w:r w:rsidR="00CE064B">
        <w:rPr>
          <w:rFonts w:eastAsia="Calibri"/>
          <w:b/>
          <w:snapToGrid/>
          <w:kern w:val="0"/>
          <w:sz w:val="24"/>
          <w:szCs w:val="24"/>
        </w:rPr>
        <w:t>20</w:t>
      </w:r>
    </w:p>
    <w:p w:rsidR="00874F2B" w:rsidP="00E475F2" w14:paraId="10E873F0" w14:textId="2DFF6BA9">
      <w:pPr>
        <w:widowControl/>
        <w:spacing w:after="160" w:line="259" w:lineRule="auto"/>
        <w:ind w:firstLine="720"/>
        <w:rPr>
          <w:rFonts w:eastAsia="Calibri"/>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 xml:space="preserve">Bureau </w:t>
      </w:r>
      <w:r>
        <w:rPr>
          <w:rFonts w:eastAsia="Calibri"/>
          <w:snapToGrid/>
          <w:kern w:val="0"/>
          <w:szCs w:val="22"/>
        </w:rPr>
        <w:t xml:space="preserve">(Bureau) </w:t>
      </w:r>
      <w:r w:rsidRPr="00CF4E84">
        <w:rPr>
          <w:rFonts w:eastAsia="Calibri"/>
          <w:snapToGrid/>
          <w:kern w:val="0"/>
          <w:szCs w:val="22"/>
        </w:rPr>
        <w:t>seeks comment on a </w:t>
      </w:r>
      <w:r w:rsidR="00C37D85">
        <w:rPr>
          <w:rFonts w:eastAsia="Calibri"/>
          <w:snapToGrid/>
          <w:kern w:val="0"/>
          <w:szCs w:val="22"/>
        </w:rPr>
        <w:t>r</w:t>
      </w:r>
      <w:r w:rsidRPr="00CF4E84" w:rsidR="009C4663">
        <w:rPr>
          <w:rFonts w:eastAsia="Calibri"/>
          <w:snapToGrid/>
          <w:kern w:val="0"/>
          <w:szCs w:val="22"/>
        </w:rPr>
        <w:t>equest for</w:t>
      </w:r>
      <w:r w:rsidR="00C37D85">
        <w:rPr>
          <w:rFonts w:eastAsia="Calibri"/>
          <w:snapToGrid/>
          <w:kern w:val="0"/>
          <w:szCs w:val="22"/>
        </w:rPr>
        <w:t xml:space="preserve"> w</w:t>
      </w:r>
      <w:r w:rsidRPr="00CF4E84" w:rsidR="009C4663">
        <w:rPr>
          <w:rFonts w:eastAsia="Calibri"/>
          <w:snapToGrid/>
          <w:kern w:val="0"/>
          <w:szCs w:val="22"/>
        </w:rPr>
        <w:t xml:space="preserve">aiver </w:t>
      </w:r>
      <w:r w:rsidRPr="00CF4E84">
        <w:rPr>
          <w:rFonts w:eastAsia="Calibri"/>
          <w:snapToGrid/>
          <w:kern w:val="0"/>
          <w:szCs w:val="22"/>
        </w:rPr>
        <w:t xml:space="preserve">filed </w:t>
      </w:r>
      <w:r w:rsidR="00D371AF">
        <w:rPr>
          <w:rFonts w:eastAsia="Calibri"/>
          <w:snapToGrid/>
          <w:kern w:val="0"/>
          <w:szCs w:val="22"/>
        </w:rPr>
        <w:t>by Red River Telephone Association (dba Red River Communications)</w:t>
      </w:r>
      <w:r w:rsidRPr="00CF4E84" w:rsidR="00CE064B">
        <w:rPr>
          <w:rFonts w:eastAsia="Calibri"/>
          <w:snapToGrid/>
          <w:kern w:val="0"/>
          <w:szCs w:val="22"/>
        </w:rPr>
        <w:t xml:space="preserve"> </w:t>
      </w:r>
      <w:r>
        <w:rPr>
          <w:rFonts w:eastAsia="Calibri"/>
          <w:snapToGrid/>
          <w:kern w:val="0"/>
          <w:szCs w:val="22"/>
        </w:rPr>
        <w:t>(Red River).</w:t>
      </w:r>
      <w:r>
        <w:rPr>
          <w:rStyle w:val="FootnoteReference"/>
          <w:rFonts w:eastAsia="Calibri"/>
          <w:snapToGrid/>
          <w:kern w:val="0"/>
          <w:szCs w:val="22"/>
        </w:rPr>
        <w:footnoteReference w:id="3"/>
      </w:r>
      <w:r w:rsidR="00AB2AB2">
        <w:rPr>
          <w:rFonts w:eastAsia="Calibri"/>
          <w:snapToGrid/>
          <w:kern w:val="0"/>
          <w:szCs w:val="22"/>
        </w:rPr>
        <w:t xml:space="preserve">  </w:t>
      </w:r>
      <w:r w:rsidR="00B67C17">
        <w:rPr>
          <w:rFonts w:eastAsia="Calibri"/>
          <w:snapToGrid/>
          <w:kern w:val="0"/>
          <w:szCs w:val="22"/>
        </w:rPr>
        <w:t>Red River requests that the Bureau issue a revised Alternative Connect America Model II (A-CAM II) offer that includes support for areas that Red River alleges were incorrectly determined to be ineligible for A-CAM II support due to erroneous Form 477 data filed by an adjacent incumbent local exchange carrier.</w:t>
      </w:r>
      <w:r w:rsidR="00AB2AB2">
        <w:rPr>
          <w:rFonts w:eastAsia="Calibri"/>
          <w:snapToGrid/>
          <w:kern w:val="0"/>
          <w:szCs w:val="22"/>
        </w:rPr>
        <w:t xml:space="preserve">  </w:t>
      </w:r>
      <w:r>
        <w:rPr>
          <w:rFonts w:eastAsia="Calibri"/>
          <w:snapToGrid/>
          <w:kern w:val="0"/>
          <w:szCs w:val="22"/>
        </w:rPr>
        <w:t>Red River</w:t>
      </w:r>
      <w:r w:rsidR="00B67C17">
        <w:rPr>
          <w:rFonts w:eastAsia="Calibri"/>
          <w:snapToGrid/>
          <w:kern w:val="0"/>
          <w:szCs w:val="22"/>
        </w:rPr>
        <w:t xml:space="preserve"> further</w:t>
      </w:r>
      <w:r>
        <w:rPr>
          <w:rFonts w:eastAsia="Calibri"/>
          <w:snapToGrid/>
          <w:kern w:val="0"/>
          <w:szCs w:val="22"/>
        </w:rPr>
        <w:t xml:space="preserve"> </w:t>
      </w:r>
      <w:r w:rsidRPr="00CF4E84">
        <w:rPr>
          <w:rFonts w:eastAsia="Calibri"/>
          <w:snapToGrid/>
          <w:kern w:val="0"/>
          <w:szCs w:val="22"/>
        </w:rPr>
        <w:t>request</w:t>
      </w:r>
      <w:r>
        <w:rPr>
          <w:rFonts w:eastAsia="Calibri"/>
          <w:snapToGrid/>
          <w:kern w:val="0"/>
          <w:szCs w:val="22"/>
        </w:rPr>
        <w:t>s</w:t>
      </w:r>
      <w:r w:rsidRPr="00CF4E84">
        <w:rPr>
          <w:rFonts w:eastAsia="Calibri"/>
          <w:snapToGrid/>
          <w:kern w:val="0"/>
          <w:szCs w:val="22"/>
        </w:rPr>
        <w:t xml:space="preserve"> </w:t>
      </w:r>
      <w:r w:rsidRPr="00CF4E84" w:rsidR="00142E4F">
        <w:rPr>
          <w:rFonts w:eastAsia="Calibri"/>
          <w:snapToGrid/>
          <w:kern w:val="0"/>
          <w:szCs w:val="22"/>
        </w:rPr>
        <w:t xml:space="preserve">that </w:t>
      </w:r>
      <w:r w:rsidRPr="00CF4E84">
        <w:rPr>
          <w:rFonts w:eastAsia="Calibri"/>
          <w:snapToGrid/>
          <w:kern w:val="0"/>
          <w:szCs w:val="22"/>
        </w:rPr>
        <w:t xml:space="preserve">the </w:t>
      </w:r>
      <w:r w:rsidRPr="00E475F2">
        <w:rPr>
          <w:rFonts w:eastAsia="Calibri"/>
          <w:snapToGrid/>
          <w:kern w:val="0"/>
          <w:szCs w:val="22"/>
        </w:rPr>
        <w:t>Commission</w:t>
      </w:r>
      <w:r w:rsidRPr="00E475F2" w:rsidR="009C4663">
        <w:rPr>
          <w:rFonts w:eastAsia="Calibri"/>
          <w:snapToGrid/>
          <w:kern w:val="0"/>
          <w:szCs w:val="22"/>
        </w:rPr>
        <w:t xml:space="preserve"> waive </w:t>
      </w:r>
      <w:r w:rsidR="00C37D85">
        <w:rPr>
          <w:rFonts w:eastAsia="Calibri"/>
          <w:snapToGrid/>
          <w:kern w:val="0"/>
          <w:szCs w:val="22"/>
        </w:rPr>
        <w:t xml:space="preserve">the </w:t>
      </w:r>
      <w:r w:rsidR="00B67C17">
        <w:rPr>
          <w:rFonts w:eastAsia="Calibri"/>
          <w:snapToGrid/>
          <w:kern w:val="0"/>
          <w:szCs w:val="22"/>
        </w:rPr>
        <w:t xml:space="preserve">A-CAM II </w:t>
      </w:r>
      <w:r>
        <w:rPr>
          <w:rFonts w:eastAsia="Calibri"/>
          <w:snapToGrid/>
          <w:kern w:val="0"/>
          <w:szCs w:val="22"/>
        </w:rPr>
        <w:t>election deadline for Red River</w:t>
      </w:r>
      <w:r w:rsidR="00B67C17">
        <w:rPr>
          <w:rFonts w:eastAsia="Calibri"/>
          <w:snapToGrid/>
          <w:kern w:val="0"/>
          <w:szCs w:val="22"/>
        </w:rPr>
        <w:t>, so that it may elect the revised offer, if the Bureau makes one.</w:t>
      </w:r>
    </w:p>
    <w:p w:rsidR="007772F8" w:rsidRPr="00D51422" w:rsidP="007772F8" w14:paraId="6E09866A" w14:textId="453D2EE6">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6B2F03">
        <w:rPr>
          <w:b/>
          <w:bCs/>
          <w:iCs/>
        </w:rPr>
        <w:t>W</w:t>
      </w:r>
      <w:r>
        <w:rPr>
          <w:b/>
          <w:bCs/>
          <w:iCs/>
        </w:rPr>
        <w:t>C</w:t>
      </w:r>
      <w:r w:rsidRPr="006B2F03">
        <w:rPr>
          <w:b/>
          <w:bCs/>
          <w:iCs/>
        </w:rPr>
        <w:t xml:space="preserve"> Docket No</w:t>
      </w:r>
      <w:r w:rsidR="00C37D85">
        <w:rPr>
          <w:b/>
          <w:bCs/>
          <w:iCs/>
        </w:rPr>
        <w:t>s</w:t>
      </w:r>
      <w:r w:rsidRPr="006B2F03">
        <w:rPr>
          <w:b/>
          <w:bCs/>
          <w:iCs/>
        </w:rPr>
        <w:t>. 1</w:t>
      </w:r>
      <w:r w:rsidR="00415229">
        <w:rPr>
          <w:b/>
          <w:bCs/>
          <w:iCs/>
        </w:rPr>
        <w:t>0-90</w:t>
      </w:r>
      <w:r w:rsidRPr="00D51422">
        <w:rPr>
          <w:iCs/>
        </w:rPr>
        <w:t>.</w:t>
      </w:r>
      <w:r>
        <w:rPr>
          <w:rStyle w:val="FootnoteReference"/>
          <w:iCs/>
          <w:szCs w:val="22"/>
        </w:rPr>
        <w:footnoteReference w:id="5"/>
      </w:r>
      <w:r w:rsidR="00A84848">
        <w:rPr>
          <w:iCs/>
        </w:rPr>
        <w:t xml:space="preserve">  </w:t>
      </w:r>
      <w:r w:rsidRPr="00D51422">
        <w:t>Comments may be filed using the Commission’s Electronic Comment Filing System (ECFS).</w:t>
      </w:r>
      <w:r>
        <w:rPr>
          <w:sz w:val="20"/>
          <w:vertAlign w:val="superscript"/>
        </w:rPr>
        <w:footnoteReference w:id="6"/>
      </w:r>
      <w:r w:rsidRPr="00D51422">
        <w:t xml:space="preserve">  </w:t>
      </w:r>
    </w:p>
    <w:p w:rsidR="007772F8" w:rsidRPr="00D51422" w:rsidP="007772F8" w14:paraId="7E769175" w14:textId="77777777">
      <w:pPr>
        <w:numPr>
          <w:ilvl w:val="0"/>
          <w:numId w:val="7"/>
        </w:numPr>
        <w:spacing w:after="120"/>
        <w:rPr>
          <w:szCs w:val="22"/>
        </w:rPr>
      </w:pPr>
      <w:r w:rsidRPr="00D51422">
        <w:rPr>
          <w:szCs w:val="22"/>
        </w:rPr>
        <w:t xml:space="preserve">Electronic Filers:  Comments may be filed electronically using the </w:t>
      </w:r>
      <w:r>
        <w:rPr>
          <w:szCs w:val="22"/>
        </w:rPr>
        <w:t>Commission’s online Electronic Comment Filing System (</w:t>
      </w:r>
      <w:r w:rsidRPr="00D51422">
        <w:rPr>
          <w:szCs w:val="22"/>
        </w:rPr>
        <w:t>ECFS</w:t>
      </w:r>
      <w:r>
        <w:rPr>
          <w:szCs w:val="22"/>
        </w:rPr>
        <w:t>)</w:t>
      </w:r>
      <w:r w:rsidRPr="00D51422">
        <w:rPr>
          <w:szCs w:val="22"/>
        </w:rPr>
        <w:t xml:space="preserve">:  </w:t>
      </w:r>
      <w:r w:rsidRPr="00D51422">
        <w:rPr>
          <w:color w:val="0000FF"/>
          <w:szCs w:val="22"/>
          <w:u w:val="single"/>
        </w:rPr>
        <w:t>https://www.fcc.gov/ecfs/</w:t>
      </w:r>
      <w:r w:rsidRPr="00D51422">
        <w:rPr>
          <w:szCs w:val="22"/>
        </w:rPr>
        <w:t xml:space="preserve">.  </w:t>
      </w:r>
    </w:p>
    <w:p w:rsidR="007772F8" w:rsidRPr="00D51422" w:rsidP="007772F8" w14:paraId="25B72693" w14:textId="5AF09726">
      <w:pPr>
        <w:numPr>
          <w:ilvl w:val="0"/>
          <w:numId w:val="7"/>
        </w:numPr>
        <w:spacing w:after="120"/>
        <w:rPr>
          <w:szCs w:val="22"/>
        </w:rPr>
      </w:pPr>
      <w:r w:rsidRPr="00D51422">
        <w:rPr>
          <w:szCs w:val="22"/>
        </w:rPr>
        <w:t>Paper Filers:  Parties who choose to file by paper must file an original and one copy of each filing.</w:t>
      </w:r>
    </w:p>
    <w:p w:rsidR="007772F8" w:rsidRPr="00D51422" w:rsidP="007772F8" w14:paraId="7E4F8C9F" w14:textId="02EC82D6">
      <w:pPr>
        <w:widowControl/>
        <w:spacing w:after="120"/>
        <w:ind w:left="720"/>
        <w:rPr>
          <w:szCs w:val="22"/>
        </w:rPr>
      </w:pPr>
      <w:r w:rsidRPr="00D51422">
        <w:rPr>
          <w:szCs w:val="22"/>
        </w:rPr>
        <w:t>Filings can be sent by hand or messenger delivery, by commercial overnight courier, or by first-class or overnight U.S. Postal Service mail.</w:t>
      </w:r>
      <w:r>
        <w:rPr>
          <w:rStyle w:val="FootnoteReference"/>
          <w:szCs w:val="22"/>
        </w:rPr>
        <w:footnoteReference w:id="7"/>
      </w:r>
      <w:r w:rsidRPr="00D51422">
        <w:rPr>
          <w:szCs w:val="22"/>
        </w:rPr>
        <w:t xml:space="preserve">  All filings must be addressed to the Commission’s Secretary, Office of the Secretary, Federal Communications Commission.</w:t>
      </w:r>
    </w:p>
    <w:p w:rsidR="007772F8" w:rsidRPr="00D51422" w:rsidP="00F70A3B" w14:paraId="48F4D111" w14:textId="77777777">
      <w:pPr>
        <w:widowControl/>
        <w:numPr>
          <w:ilvl w:val="1"/>
          <w:numId w:val="8"/>
        </w:numPr>
        <w:spacing w:after="120"/>
        <w:rPr>
          <w:szCs w:val="22"/>
        </w:rPr>
      </w:pPr>
      <w:r w:rsidRPr="00D51422">
        <w:rPr>
          <w:szCs w:val="22"/>
        </w:rPr>
        <w:t>Commercial overnight mail (other than U.S. Postal Service Express Mail and Priority Mail) must be sent to 9050 Junction Drive, Annapolis Junction, MD 20701.</w:t>
      </w:r>
    </w:p>
    <w:p w:rsidR="007772F8" w:rsidRPr="00D51422" w:rsidP="007772F8" w14:paraId="73055A21" w14:textId="77777777">
      <w:pPr>
        <w:widowControl/>
        <w:numPr>
          <w:ilvl w:val="1"/>
          <w:numId w:val="8"/>
        </w:numPr>
        <w:spacing w:after="120"/>
        <w:rPr>
          <w:szCs w:val="22"/>
        </w:rPr>
      </w:pPr>
      <w:r w:rsidRPr="00D51422">
        <w:rPr>
          <w:szCs w:val="22"/>
        </w:rPr>
        <w:t>U.S. Postal Service first-class, Express, and Priority mail must be addressed to 445 12th Street, SW, Washington DC  20554.</w:t>
      </w:r>
    </w:p>
    <w:p w:rsidR="007772F8" w:rsidRPr="00D51422" w:rsidP="007772F8" w14:paraId="2F5FA5D7" w14:textId="77777777">
      <w:pPr>
        <w:pStyle w:val="ParaNum"/>
        <w:numPr>
          <w:ilvl w:val="0"/>
          <w:numId w:val="0"/>
        </w:numPr>
        <w:ind w:firstLine="720"/>
      </w:pPr>
      <w:r w:rsidRPr="00D51422">
        <w:rPr>
          <w:i/>
        </w:rPr>
        <w:t xml:space="preserve">Ex </w:t>
      </w:r>
      <w:r w:rsidRPr="00D51422">
        <w:rPr>
          <w:i/>
        </w:rPr>
        <w:t>Parte</w:t>
      </w:r>
      <w:r w:rsidRPr="00D51422">
        <w:rPr>
          <w:i/>
        </w:rPr>
        <w:t xml:space="preserve"> Rules</w:t>
      </w:r>
      <w:r w:rsidRPr="00D51422">
        <w:t>.  Th</w:t>
      </w:r>
      <w:r>
        <w:t>is</w:t>
      </w:r>
      <w:r w:rsidRPr="00D51422">
        <w:t xml:space="preserve"> proceeding shall be treated as a “permit-but-disclose” proceeding in accordance with the Commission’s </w:t>
      </w:r>
      <w:r w:rsidRPr="00D51422">
        <w:rPr>
          <w:i/>
          <w:iCs/>
        </w:rPr>
        <w:t xml:space="preserve">ex </w:t>
      </w:r>
      <w:r w:rsidRPr="00D51422">
        <w:rPr>
          <w:i/>
          <w:iCs/>
        </w:rPr>
        <w:t>parte</w:t>
      </w:r>
      <w:r w:rsidRPr="00D51422">
        <w:rPr>
          <w:i/>
          <w:iCs/>
        </w:rPr>
        <w:t xml:space="preserve"> </w:t>
      </w:r>
      <w:r w:rsidRPr="00D51422">
        <w:t>rules.</w:t>
      </w:r>
      <w:r>
        <w:rPr>
          <w:sz w:val="20"/>
          <w:vertAlign w:val="superscript"/>
        </w:rPr>
        <w:footnoteReference w:id="8"/>
      </w:r>
      <w:r w:rsidRPr="00D51422">
        <w:t xml:space="preserve">  Persons making </w:t>
      </w:r>
      <w:r w:rsidRPr="00D51422">
        <w:rPr>
          <w:i/>
        </w:rPr>
        <w:t xml:space="preserve">ex </w:t>
      </w:r>
      <w:r w:rsidRPr="00D51422">
        <w:rPr>
          <w:i/>
        </w:rPr>
        <w:t>parte</w:t>
      </w:r>
      <w:r w:rsidRPr="00D51422">
        <w:rPr>
          <w:i/>
        </w:rPr>
        <w:t xml:space="preserve"> </w:t>
      </w:r>
      <w:r w:rsidRPr="00D5142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rPr>
        <w:t xml:space="preserve">ex </w:t>
      </w:r>
      <w:r w:rsidRPr="00D51422">
        <w:rPr>
          <w:i/>
          <w:iCs/>
        </w:rPr>
        <w:t>parte</w:t>
      </w:r>
      <w:r w:rsidRPr="00D51422">
        <w:rPr>
          <w:i/>
          <w:iCs/>
        </w:rPr>
        <w:t xml:space="preserve"> </w:t>
      </w:r>
      <w:r w:rsidRPr="00D51422">
        <w:t xml:space="preserve">presentations are reminded that memoranda summarizing the presentation must (1) list all persons attending or otherwise participating in the meeting at which the </w:t>
      </w:r>
      <w:r w:rsidRPr="00D51422">
        <w:rPr>
          <w:i/>
          <w:iCs/>
        </w:rPr>
        <w:t xml:space="preserve">ex </w:t>
      </w:r>
      <w:r w:rsidRPr="00D51422">
        <w:rPr>
          <w:i/>
          <w:iCs/>
        </w:rPr>
        <w:t>parte</w:t>
      </w:r>
      <w:r w:rsidRPr="00D51422">
        <w:rPr>
          <w:i/>
          <w:iCs/>
        </w:rPr>
        <w:t xml:space="preserve"> </w:t>
      </w:r>
      <w:r w:rsidRPr="00D514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rPr>
        <w:t xml:space="preserve">ex </w:t>
      </w:r>
      <w:r w:rsidRPr="00D51422">
        <w:rPr>
          <w:i/>
          <w:iCs/>
        </w:rPr>
        <w:t>parte</w:t>
      </w:r>
      <w:r w:rsidRPr="00D51422">
        <w:rPr>
          <w:i/>
          <w:iCs/>
        </w:rPr>
        <w:t xml:space="preserve"> </w:t>
      </w:r>
      <w:r w:rsidRPr="00D51422">
        <w:t xml:space="preserve">meetings are deemed to be written </w:t>
      </w:r>
      <w:r w:rsidRPr="00D51422">
        <w:rPr>
          <w:i/>
          <w:iCs/>
        </w:rPr>
        <w:t xml:space="preserve">ex </w:t>
      </w:r>
      <w:r w:rsidRPr="00D51422">
        <w:rPr>
          <w:i/>
          <w:iCs/>
        </w:rPr>
        <w:t>parte</w:t>
      </w:r>
      <w:r w:rsidRPr="00D51422">
        <w:t xml:space="preserve"> presentations and must be filed consistent with rule 1.1206(b).  In proceedings governed by rule 1.49(f) or for which the Commission has made available a method of electronic filing, written </w:t>
      </w:r>
      <w:r w:rsidRPr="00D51422">
        <w:rPr>
          <w:i/>
          <w:iCs/>
        </w:rPr>
        <w:t xml:space="preserve">ex </w:t>
      </w:r>
      <w:r w:rsidRPr="00D51422">
        <w:rPr>
          <w:i/>
          <w:iCs/>
        </w:rPr>
        <w:t>parte</w:t>
      </w:r>
      <w:r w:rsidRPr="00D51422">
        <w:rPr>
          <w:i/>
          <w:iCs/>
        </w:rPr>
        <w:t xml:space="preserve"> </w:t>
      </w:r>
      <w:r w:rsidRPr="00D51422">
        <w:t xml:space="preserve">presentations and memoranda summarizing oral </w:t>
      </w:r>
      <w:r w:rsidRPr="00D51422">
        <w:rPr>
          <w:i/>
          <w:iCs/>
        </w:rPr>
        <w:t xml:space="preserve">ex </w:t>
      </w:r>
      <w:r w:rsidRPr="00D51422">
        <w:rPr>
          <w:i/>
          <w:iCs/>
        </w:rPr>
        <w:t>parte</w:t>
      </w:r>
      <w:r w:rsidRPr="00D51422">
        <w:rPr>
          <w:i/>
          <w:iCs/>
        </w:rPr>
        <w:t xml:space="preserve"> </w:t>
      </w:r>
      <w:r w:rsidRPr="00D51422">
        <w:t>presentations, and all attachments thereto, must be filed through the electronic comment filing system available for that proceeding, and must be filed in their native format (</w:t>
      </w:r>
      <w:r w:rsidRPr="00D51422">
        <w:rPr>
          <w:i/>
          <w:iCs/>
        </w:rPr>
        <w:t>e.g.</w:t>
      </w:r>
      <w:r w:rsidRPr="00D51422">
        <w:t xml:space="preserve">, .doc, .xml, .ppt, searchable .pdf).  Participants in this proceeding should familiarize themselves with the Commission’s </w:t>
      </w:r>
      <w:r w:rsidRPr="00D51422">
        <w:rPr>
          <w:i/>
          <w:iCs/>
        </w:rPr>
        <w:t xml:space="preserve">ex </w:t>
      </w:r>
      <w:r w:rsidRPr="00D51422">
        <w:rPr>
          <w:i/>
          <w:iCs/>
        </w:rPr>
        <w:t>parte</w:t>
      </w:r>
      <w:r w:rsidRPr="00D51422">
        <w:rPr>
          <w:i/>
          <w:iCs/>
        </w:rPr>
        <w:t xml:space="preserve"> </w:t>
      </w:r>
      <w:r w:rsidRPr="00D51422">
        <w:t>rules.</w:t>
      </w:r>
    </w:p>
    <w:p w:rsidR="007772F8" w:rsidRPr="00D51422" w:rsidP="007772F8" w14:paraId="0369FAB5" w14:textId="77777777">
      <w:pPr>
        <w:pStyle w:val="ParaNum"/>
        <w:numPr>
          <w:ilvl w:val="0"/>
          <w:numId w:val="0"/>
        </w:numPr>
        <w:ind w:firstLine="720"/>
      </w:pPr>
      <w:r w:rsidRPr="00D51422">
        <w:rPr>
          <w:i/>
        </w:rPr>
        <w:t xml:space="preserve">People with Disabilities.  </w:t>
      </w:r>
      <w:r w:rsidRPr="00D51422">
        <w:t xml:space="preserve">To request materials in accessible formats for people with disabilities (Braille, large print, electronic files, audio format), send an e-mail to </w:t>
      </w:r>
      <w:r w:rsidRPr="00D51422">
        <w:rPr>
          <w:color w:val="0000FF"/>
          <w:u w:val="single"/>
        </w:rPr>
        <w:t>fcc504@fcc.gov</w:t>
      </w:r>
      <w:r w:rsidRPr="00D51422">
        <w:t xml:space="preserve"> or call the Consumer and Governmental Affairs Bureau at 202-418-0530 (voice), 844-432-2275 (videophone), or 202-418-0432 (TTY).  </w:t>
      </w:r>
    </w:p>
    <w:p w:rsidR="007B3733" w:rsidP="007772F8" w14:paraId="13C39DD1" w14:textId="747B8735">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sidR="00B67C17">
        <w:rPr>
          <w:rFonts w:eastAsia="Calibri"/>
          <w:snapToGrid/>
          <w:kern w:val="0"/>
          <w:szCs w:val="22"/>
        </w:rPr>
        <w:t>Ted Burmeister</w:t>
      </w:r>
      <w:r>
        <w:rPr>
          <w:rFonts w:eastAsia="Calibri"/>
          <w:snapToGrid/>
          <w:kern w:val="0"/>
          <w:szCs w:val="22"/>
        </w:rPr>
        <w:t>,</w:t>
      </w:r>
      <w:r w:rsidRPr="007B3733" w:rsidR="00312DE0">
        <w:rPr>
          <w:rFonts w:eastAsia="Calibri"/>
          <w:snapToGrid/>
          <w:kern w:val="0"/>
          <w:szCs w:val="22"/>
        </w:rPr>
        <w:t xml:space="preserve"> Attorney</w:t>
      </w:r>
      <w:r>
        <w:rPr>
          <w:rFonts w:eastAsia="Calibri"/>
          <w:snapToGrid/>
          <w:kern w:val="0"/>
          <w:szCs w:val="22"/>
        </w:rPr>
        <w:t xml:space="preserve"> </w:t>
      </w:r>
      <w:r w:rsidRPr="007B3733" w:rsidR="00312DE0">
        <w:rPr>
          <w:rFonts w:eastAsia="Calibri"/>
          <w:snapToGrid/>
          <w:kern w:val="0"/>
          <w:szCs w:val="22"/>
        </w:rPr>
        <w:t xml:space="preserve">Advisor,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202-418-</w:t>
      </w:r>
      <w:r w:rsidR="00B67C17">
        <w:rPr>
          <w:rFonts w:eastAsia="Calibri"/>
          <w:snapToGrid/>
          <w:kern w:val="0"/>
          <w:szCs w:val="22"/>
        </w:rPr>
        <w:t>7389</w:t>
      </w:r>
      <w:r w:rsidRPr="007B3733" w:rsidR="00312DE0">
        <w:rPr>
          <w:rFonts w:eastAsia="Calibri"/>
          <w:snapToGrid/>
          <w:kern w:val="0"/>
          <w:szCs w:val="22"/>
        </w:rPr>
        <w:t xml:space="preserve"> or </w:t>
      </w:r>
      <w:hyperlink r:id="rId5" w:history="1">
        <w:r w:rsidR="00B67C17">
          <w:rPr>
            <w:rStyle w:val="Hyperlink"/>
            <w:rFonts w:eastAsia="Calibri"/>
            <w:snapToGrid/>
            <w:kern w:val="0"/>
            <w:szCs w:val="22"/>
          </w:rPr>
          <w:t>Theodore.Burmeister</w:t>
        </w:r>
        <w:r w:rsidRPr="00C821BB">
          <w:rPr>
            <w:rStyle w:val="Hyperlink"/>
            <w:rFonts w:eastAsia="Calibri"/>
            <w:snapToGrid/>
            <w:kern w:val="0"/>
            <w:szCs w:val="22"/>
          </w:rPr>
          <w:t>@fcc.gov</w:t>
        </w:r>
      </w:hyperlink>
      <w:r w:rsidRPr="007B3733" w:rsidR="00312DE0">
        <w:rPr>
          <w:rFonts w:eastAsia="Calibri"/>
          <w:snapToGrid/>
          <w:kern w:val="0"/>
          <w:szCs w:val="22"/>
        </w:rPr>
        <w:t>.</w:t>
      </w:r>
    </w:p>
    <w:p w:rsidR="007B3733" w:rsidRPr="007B3733" w:rsidP="007B3733" w14:paraId="528A06E8"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1437E407"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4A9EE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BFD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2A1AB83"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44C9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2504" w14:paraId="3F3389AE" w14:textId="77777777">
      <w:r>
        <w:separator/>
      </w:r>
    </w:p>
  </w:footnote>
  <w:footnote w:type="continuationSeparator" w:id="1">
    <w:p w:rsidR="004E2504" w:rsidRPr="009B3AB0" w:rsidP="009B3AB0" w14:paraId="206160E4" w14:textId="77777777">
      <w:pPr>
        <w:pStyle w:val="Footer"/>
      </w:pPr>
    </w:p>
  </w:footnote>
  <w:footnote w:type="continuationNotice" w:id="2">
    <w:p w:rsidR="004E2504" w:rsidRPr="007B3733" w:rsidP="007B3733" w14:paraId="626A10DB" w14:textId="77777777">
      <w:pPr>
        <w:pStyle w:val="Footer"/>
      </w:pPr>
    </w:p>
  </w:footnote>
  <w:footnote w:id="3">
    <w:p w:rsidR="00874F2B" w:rsidP="00874F2B" w14:paraId="1D5491A1" w14:textId="77777777">
      <w:pPr>
        <w:pStyle w:val="FootnoteText"/>
      </w:pPr>
      <w:r>
        <w:rPr>
          <w:rStyle w:val="FootnoteReference"/>
        </w:rPr>
        <w:footnoteRef/>
      </w:r>
      <w:r>
        <w:t xml:space="preserve"> Red River Telephone Association DBA Red River Communications Petition for Waiver of the Election Deadline for A-CAM II and Request for a Revised A-CAM II Offer, WC Docket Nos. 10-90 et al. (July 11, 2019), </w:t>
      </w:r>
      <w:hyperlink r:id="rId1" w:history="1">
        <w:r w:rsidRPr="00874F2B">
          <w:rPr>
            <w:rStyle w:val="Hyperlink"/>
          </w:rPr>
          <w:t>https://ecfsapi.fcc.gov/file/10711050911286/Red%20River%20A-CAM%2</w:t>
        </w:r>
        <w:bookmarkStart w:id="1" w:name="_GoBack"/>
        <w:bookmarkEnd w:id="1"/>
        <w:r w:rsidRPr="00874F2B">
          <w:rPr>
            <w:rStyle w:val="Hyperlink"/>
          </w:rPr>
          <w:t>0II%20Waiver%20FINAL%20PDF.pdf</w:t>
        </w:r>
      </w:hyperlink>
      <w:r>
        <w:t>.</w:t>
      </w:r>
    </w:p>
  </w:footnote>
  <w:footnote w:id="4">
    <w:p w:rsidR="007772F8" w:rsidRPr="0087057A" w:rsidP="007772F8" w14:paraId="21941BDD"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7772F8" w:rsidP="007772F8" w14:paraId="49FDBD15"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dockets listed above. </w:t>
      </w:r>
    </w:p>
  </w:footnote>
  <w:footnote w:id="6">
    <w:p w:rsidR="007772F8" w:rsidRPr="0087057A" w:rsidP="007772F8" w14:paraId="264BB9A1"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7">
    <w:p w:rsidR="00080FFF" w:rsidP="00080FFF" w14:paraId="628F0679" w14:textId="77777777">
      <w:pPr>
        <w:pStyle w:val="FootnoteText"/>
      </w:pPr>
      <w:r>
        <w:rPr>
          <w:rStyle w:val="FootnoteReference"/>
        </w:rPr>
        <w:footnoteRef/>
      </w:r>
      <w:r>
        <w:t xml:space="preserve"> In response to the </w:t>
      </w:r>
      <w:r>
        <w:t>COVID</w:t>
      </w:r>
      <w:r>
        <w:t>-19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Public Notice, DA 20-304 (rel. Mar. 19, 2020).</w:t>
      </w:r>
    </w:p>
  </w:footnote>
  <w:footnote w:id="8">
    <w:p w:rsidR="007772F8" w:rsidRPr="0087057A" w:rsidP="007772F8" w14:paraId="421D17A6"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295C50B" w14:textId="585FDAE3">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01230B">
      <w:rPr>
        <w:b/>
      </w:rPr>
      <w:t>357</w:t>
    </w:r>
  </w:p>
  <w:p w:rsidR="009838BC" w:rsidRPr="00B62DE9" w:rsidP="00B62DE9" w14:paraId="16B4F14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735385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F710461" w14:textId="77777777">
                    <w:pPr>
                      <w:rPr>
                        <w:rFonts w:ascii="Arial" w:hAnsi="Arial"/>
                        <w:b/>
                      </w:rPr>
                    </w:pPr>
                    <w:r>
                      <w:rPr>
                        <w:rFonts w:ascii="Arial" w:hAnsi="Arial"/>
                        <w:b/>
                      </w:rPr>
                      <w:t>Federal Communications Commission</w:t>
                    </w:r>
                  </w:p>
                  <w:p w:rsidR="009838BC" w:rsidP="009838BC" w14:paraId="4DC1C83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E2BC58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BF0220"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37406D7" w14:textId="77777777">
                    <w:pPr>
                      <w:spacing w:before="40"/>
                      <w:jc w:val="right"/>
                      <w:rPr>
                        <w:rFonts w:ascii="Arial" w:hAnsi="Arial"/>
                        <w:b/>
                        <w:sz w:val="16"/>
                      </w:rPr>
                    </w:pPr>
                    <w:r>
                      <w:rPr>
                        <w:rFonts w:ascii="Arial" w:hAnsi="Arial"/>
                        <w:b/>
                        <w:sz w:val="16"/>
                      </w:rPr>
                      <w:t>News Media Information 202 / 418-0500</w:t>
                    </w:r>
                  </w:p>
                  <w:p w:rsidR="009838BC" w:rsidP="009838BC" w14:paraId="45375EF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843031E" w14:textId="77777777">
                    <w:pPr>
                      <w:jc w:val="right"/>
                    </w:pPr>
                    <w:r>
                      <w:rPr>
                        <w:rFonts w:ascii="Arial" w:hAnsi="Arial"/>
                        <w:b/>
                        <w:sz w:val="16"/>
                      </w:rPr>
                      <w:t>TTY: 1-888-835-5322</w:t>
                    </w:r>
                  </w:p>
                </w:txbxContent>
              </v:textbox>
            </v:shape>
          </w:pict>
        </mc:Fallback>
      </mc:AlternateContent>
    </w:r>
  </w:p>
  <w:p w:rsidR="006F7393" w:rsidRPr="009838BC" w:rsidP="009838BC" w14:paraId="4DC1590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230B"/>
    <w:rsid w:val="00013A8B"/>
    <w:rsid w:val="00021445"/>
    <w:rsid w:val="00036039"/>
    <w:rsid w:val="00037F90"/>
    <w:rsid w:val="00080FFF"/>
    <w:rsid w:val="00084656"/>
    <w:rsid w:val="000875BF"/>
    <w:rsid w:val="00096D8C"/>
    <w:rsid w:val="00097A13"/>
    <w:rsid w:val="000A7CCA"/>
    <w:rsid w:val="000C0B65"/>
    <w:rsid w:val="000E3D42"/>
    <w:rsid w:val="000E5884"/>
    <w:rsid w:val="00122BD5"/>
    <w:rsid w:val="00142E4F"/>
    <w:rsid w:val="001979D9"/>
    <w:rsid w:val="001A13E2"/>
    <w:rsid w:val="001C3758"/>
    <w:rsid w:val="001D6BCF"/>
    <w:rsid w:val="001E01CA"/>
    <w:rsid w:val="002060D9"/>
    <w:rsid w:val="00226822"/>
    <w:rsid w:val="00233E21"/>
    <w:rsid w:val="00260594"/>
    <w:rsid w:val="00285017"/>
    <w:rsid w:val="002A2D2E"/>
    <w:rsid w:val="00312DE0"/>
    <w:rsid w:val="00343749"/>
    <w:rsid w:val="00357D50"/>
    <w:rsid w:val="00362197"/>
    <w:rsid w:val="003925DC"/>
    <w:rsid w:val="003B0550"/>
    <w:rsid w:val="003B694F"/>
    <w:rsid w:val="003C1A2E"/>
    <w:rsid w:val="003D3AE8"/>
    <w:rsid w:val="003F171C"/>
    <w:rsid w:val="004006B0"/>
    <w:rsid w:val="00412FC5"/>
    <w:rsid w:val="00415229"/>
    <w:rsid w:val="00422276"/>
    <w:rsid w:val="004242F1"/>
    <w:rsid w:val="00435308"/>
    <w:rsid w:val="00445A00"/>
    <w:rsid w:val="00450A87"/>
    <w:rsid w:val="00451B0F"/>
    <w:rsid w:val="0046125F"/>
    <w:rsid w:val="00487524"/>
    <w:rsid w:val="00496106"/>
    <w:rsid w:val="004C12D0"/>
    <w:rsid w:val="004C2EE3"/>
    <w:rsid w:val="004E2504"/>
    <w:rsid w:val="004E4A22"/>
    <w:rsid w:val="00511968"/>
    <w:rsid w:val="00517461"/>
    <w:rsid w:val="0055614C"/>
    <w:rsid w:val="00601D1F"/>
    <w:rsid w:val="00607BA5"/>
    <w:rsid w:val="00626EB6"/>
    <w:rsid w:val="006353A3"/>
    <w:rsid w:val="00655D03"/>
    <w:rsid w:val="00682D4C"/>
    <w:rsid w:val="00683F84"/>
    <w:rsid w:val="00695DEE"/>
    <w:rsid w:val="006A6A81"/>
    <w:rsid w:val="006B13F3"/>
    <w:rsid w:val="006B2F03"/>
    <w:rsid w:val="006E26AF"/>
    <w:rsid w:val="006F7393"/>
    <w:rsid w:val="0070224F"/>
    <w:rsid w:val="007041A3"/>
    <w:rsid w:val="007115F7"/>
    <w:rsid w:val="00733AD3"/>
    <w:rsid w:val="007772F8"/>
    <w:rsid w:val="00785689"/>
    <w:rsid w:val="0079754B"/>
    <w:rsid w:val="007A1E6D"/>
    <w:rsid w:val="007B3733"/>
    <w:rsid w:val="007D5325"/>
    <w:rsid w:val="00822CE0"/>
    <w:rsid w:val="00837C62"/>
    <w:rsid w:val="00841AB1"/>
    <w:rsid w:val="0087057A"/>
    <w:rsid w:val="00874F2B"/>
    <w:rsid w:val="008C22FD"/>
    <w:rsid w:val="00910F12"/>
    <w:rsid w:val="00926503"/>
    <w:rsid w:val="00930ECF"/>
    <w:rsid w:val="00982939"/>
    <w:rsid w:val="009838BC"/>
    <w:rsid w:val="009B3AB0"/>
    <w:rsid w:val="009C4663"/>
    <w:rsid w:val="00A36E1E"/>
    <w:rsid w:val="00A45F4F"/>
    <w:rsid w:val="00A600A9"/>
    <w:rsid w:val="00A84848"/>
    <w:rsid w:val="00A866AC"/>
    <w:rsid w:val="00AA55B7"/>
    <w:rsid w:val="00AA5B9E"/>
    <w:rsid w:val="00AB2407"/>
    <w:rsid w:val="00AB2AB2"/>
    <w:rsid w:val="00AB53DF"/>
    <w:rsid w:val="00AE2784"/>
    <w:rsid w:val="00B07E5C"/>
    <w:rsid w:val="00B20363"/>
    <w:rsid w:val="00B27FA8"/>
    <w:rsid w:val="00B326E3"/>
    <w:rsid w:val="00B375AB"/>
    <w:rsid w:val="00B62DE9"/>
    <w:rsid w:val="00B67C17"/>
    <w:rsid w:val="00B811F7"/>
    <w:rsid w:val="00BA5DC6"/>
    <w:rsid w:val="00BA6196"/>
    <w:rsid w:val="00BA7A44"/>
    <w:rsid w:val="00BC6D8C"/>
    <w:rsid w:val="00BD5BD2"/>
    <w:rsid w:val="00C04889"/>
    <w:rsid w:val="00C16AF2"/>
    <w:rsid w:val="00C31185"/>
    <w:rsid w:val="00C34006"/>
    <w:rsid w:val="00C37D85"/>
    <w:rsid w:val="00C426B1"/>
    <w:rsid w:val="00C7023C"/>
    <w:rsid w:val="00C821BB"/>
    <w:rsid w:val="00C82B6B"/>
    <w:rsid w:val="00C90D6A"/>
    <w:rsid w:val="00CC32FF"/>
    <w:rsid w:val="00CC487C"/>
    <w:rsid w:val="00CC72B6"/>
    <w:rsid w:val="00CE064B"/>
    <w:rsid w:val="00CF4E84"/>
    <w:rsid w:val="00D0218D"/>
    <w:rsid w:val="00D216CD"/>
    <w:rsid w:val="00D371AF"/>
    <w:rsid w:val="00D51422"/>
    <w:rsid w:val="00DA2529"/>
    <w:rsid w:val="00DB130A"/>
    <w:rsid w:val="00DB2D9A"/>
    <w:rsid w:val="00DC10A1"/>
    <w:rsid w:val="00DC655F"/>
    <w:rsid w:val="00DD7EBD"/>
    <w:rsid w:val="00DE158A"/>
    <w:rsid w:val="00DF62B6"/>
    <w:rsid w:val="00E07225"/>
    <w:rsid w:val="00E155B7"/>
    <w:rsid w:val="00E23F7F"/>
    <w:rsid w:val="00E475F2"/>
    <w:rsid w:val="00E5409F"/>
    <w:rsid w:val="00E64D5E"/>
    <w:rsid w:val="00EC0185"/>
    <w:rsid w:val="00F021FA"/>
    <w:rsid w:val="00F57ACA"/>
    <w:rsid w:val="00F62E97"/>
    <w:rsid w:val="00F64209"/>
    <w:rsid w:val="00F70A3B"/>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FF"/>
    <w:pPr>
      <w:widowControl w:val="0"/>
    </w:pPr>
    <w:rPr>
      <w:snapToGrid w:val="0"/>
      <w:kern w:val="28"/>
      <w:sz w:val="22"/>
    </w:rPr>
  </w:style>
  <w:style w:type="paragraph" w:styleId="Heading1">
    <w:name w:val="heading 1"/>
    <w:basedOn w:val="Normal"/>
    <w:next w:val="ParaNum"/>
    <w:qFormat/>
    <w:rsid w:val="00080F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0FFF"/>
    <w:pPr>
      <w:keepNext/>
      <w:numPr>
        <w:ilvl w:val="1"/>
        <w:numId w:val="3"/>
      </w:numPr>
      <w:spacing w:after="120"/>
      <w:outlineLvl w:val="1"/>
    </w:pPr>
    <w:rPr>
      <w:b/>
    </w:rPr>
  </w:style>
  <w:style w:type="paragraph" w:styleId="Heading3">
    <w:name w:val="heading 3"/>
    <w:basedOn w:val="Normal"/>
    <w:next w:val="ParaNum"/>
    <w:qFormat/>
    <w:rsid w:val="00080FFF"/>
    <w:pPr>
      <w:keepNext/>
      <w:numPr>
        <w:ilvl w:val="2"/>
        <w:numId w:val="3"/>
      </w:numPr>
      <w:tabs>
        <w:tab w:val="left" w:pos="2160"/>
      </w:tabs>
      <w:spacing w:after="120"/>
      <w:outlineLvl w:val="2"/>
    </w:pPr>
    <w:rPr>
      <w:b/>
    </w:rPr>
  </w:style>
  <w:style w:type="paragraph" w:styleId="Heading4">
    <w:name w:val="heading 4"/>
    <w:basedOn w:val="Normal"/>
    <w:next w:val="ParaNum"/>
    <w:qFormat/>
    <w:rsid w:val="00080FFF"/>
    <w:pPr>
      <w:keepNext/>
      <w:numPr>
        <w:ilvl w:val="3"/>
        <w:numId w:val="3"/>
      </w:numPr>
      <w:tabs>
        <w:tab w:val="left" w:pos="2880"/>
      </w:tabs>
      <w:spacing w:after="120"/>
      <w:outlineLvl w:val="3"/>
    </w:pPr>
    <w:rPr>
      <w:b/>
    </w:rPr>
  </w:style>
  <w:style w:type="paragraph" w:styleId="Heading5">
    <w:name w:val="heading 5"/>
    <w:basedOn w:val="Normal"/>
    <w:next w:val="ParaNum"/>
    <w:qFormat/>
    <w:rsid w:val="00080F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80FFF"/>
    <w:pPr>
      <w:numPr>
        <w:ilvl w:val="5"/>
        <w:numId w:val="3"/>
      </w:numPr>
      <w:tabs>
        <w:tab w:val="left" w:pos="4320"/>
      </w:tabs>
      <w:spacing w:after="120"/>
      <w:outlineLvl w:val="5"/>
    </w:pPr>
    <w:rPr>
      <w:b/>
    </w:rPr>
  </w:style>
  <w:style w:type="paragraph" w:styleId="Heading7">
    <w:name w:val="heading 7"/>
    <w:basedOn w:val="Normal"/>
    <w:next w:val="ParaNum"/>
    <w:qFormat/>
    <w:rsid w:val="00080F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80F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80F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80F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80FFF"/>
  </w:style>
  <w:style w:type="paragraph" w:customStyle="1" w:styleId="ParaNum">
    <w:name w:val="ParaNum"/>
    <w:basedOn w:val="Normal"/>
    <w:rsid w:val="00080FFF"/>
    <w:pPr>
      <w:numPr>
        <w:numId w:val="2"/>
      </w:numPr>
      <w:tabs>
        <w:tab w:val="clear" w:pos="1080"/>
        <w:tab w:val="num" w:pos="1440"/>
      </w:tabs>
      <w:spacing w:after="120"/>
    </w:pPr>
  </w:style>
  <w:style w:type="paragraph" w:styleId="EndnoteText">
    <w:name w:val="endnote text"/>
    <w:basedOn w:val="Normal"/>
    <w:semiHidden/>
    <w:rsid w:val="00080FFF"/>
    <w:rPr>
      <w:sz w:val="20"/>
    </w:rPr>
  </w:style>
  <w:style w:type="character" w:styleId="EndnoteReference">
    <w:name w:val="endnote reference"/>
    <w:semiHidden/>
    <w:rsid w:val="00080FFF"/>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80FFF"/>
    <w:pPr>
      <w:spacing w:after="120"/>
    </w:pPr>
  </w:style>
  <w:style w:type="character" w:styleId="FootnoteReference">
    <w:name w:val="footnote reference"/>
    <w:rsid w:val="00080FFF"/>
    <w:rPr>
      <w:rFonts w:ascii="Times New Roman" w:hAnsi="Times New Roman"/>
      <w:dstrike w:val="0"/>
      <w:color w:val="auto"/>
      <w:sz w:val="22"/>
      <w:vertAlign w:val="superscript"/>
    </w:rPr>
  </w:style>
  <w:style w:type="paragraph" w:styleId="TOC1">
    <w:name w:val="toc 1"/>
    <w:basedOn w:val="Normal"/>
    <w:next w:val="Normal"/>
    <w:uiPriority w:val="39"/>
    <w:rsid w:val="00080F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0FFF"/>
    <w:pPr>
      <w:tabs>
        <w:tab w:val="left" w:pos="720"/>
        <w:tab w:val="right" w:leader="dot" w:pos="9360"/>
      </w:tabs>
      <w:suppressAutoHyphens/>
      <w:ind w:left="720" w:right="720" w:hanging="360"/>
    </w:pPr>
    <w:rPr>
      <w:noProof/>
    </w:rPr>
  </w:style>
  <w:style w:type="paragraph" w:styleId="TOC3">
    <w:name w:val="toc 3"/>
    <w:basedOn w:val="Normal"/>
    <w:next w:val="Normal"/>
    <w:semiHidden/>
    <w:rsid w:val="00080F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0F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0F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0F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0F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0F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0F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0FFF"/>
    <w:pPr>
      <w:tabs>
        <w:tab w:val="right" w:pos="9360"/>
      </w:tabs>
      <w:suppressAutoHyphens/>
    </w:pPr>
  </w:style>
  <w:style w:type="character" w:customStyle="1" w:styleId="EquationCaption">
    <w:name w:val="_Equation Caption"/>
    <w:rsid w:val="00080FFF"/>
  </w:style>
  <w:style w:type="paragraph" w:styleId="Header">
    <w:name w:val="header"/>
    <w:basedOn w:val="Normal"/>
    <w:autoRedefine/>
    <w:rsid w:val="00080FF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80FFF"/>
    <w:pPr>
      <w:tabs>
        <w:tab w:val="center" w:pos="4320"/>
        <w:tab w:val="right" w:pos="8640"/>
      </w:tabs>
    </w:pPr>
  </w:style>
  <w:style w:type="character" w:styleId="PageNumber">
    <w:name w:val="page number"/>
    <w:basedOn w:val="DefaultParagraphFont"/>
    <w:rsid w:val="00080FFF"/>
  </w:style>
  <w:style w:type="paragraph" w:styleId="BlockText">
    <w:name w:val="Block Text"/>
    <w:basedOn w:val="Normal"/>
    <w:rsid w:val="00080FFF"/>
    <w:pPr>
      <w:spacing w:after="240"/>
      <w:ind w:left="1440" w:right="1440"/>
    </w:pPr>
  </w:style>
  <w:style w:type="paragraph" w:customStyle="1" w:styleId="Paratitle">
    <w:name w:val="Para title"/>
    <w:basedOn w:val="Normal"/>
    <w:rsid w:val="00080FFF"/>
    <w:pPr>
      <w:tabs>
        <w:tab w:val="center" w:pos="9270"/>
      </w:tabs>
      <w:spacing w:after="240"/>
    </w:pPr>
    <w:rPr>
      <w:spacing w:val="-2"/>
    </w:rPr>
  </w:style>
  <w:style w:type="paragraph" w:customStyle="1" w:styleId="Bullet">
    <w:name w:val="Bullet"/>
    <w:basedOn w:val="Normal"/>
    <w:rsid w:val="00080FFF"/>
    <w:pPr>
      <w:numPr>
        <w:numId w:val="1"/>
      </w:numPr>
      <w:tabs>
        <w:tab w:val="clear" w:pos="360"/>
        <w:tab w:val="left" w:pos="2160"/>
      </w:tabs>
      <w:spacing w:after="220"/>
      <w:ind w:left="2160" w:hanging="720"/>
    </w:pPr>
  </w:style>
  <w:style w:type="paragraph" w:customStyle="1" w:styleId="TableFormat">
    <w:name w:val="TableFormat"/>
    <w:basedOn w:val="Bullet"/>
    <w:rsid w:val="00080FFF"/>
    <w:pPr>
      <w:numPr>
        <w:numId w:val="0"/>
      </w:numPr>
      <w:tabs>
        <w:tab w:val="clear" w:pos="2160"/>
        <w:tab w:val="left" w:pos="5040"/>
      </w:tabs>
      <w:ind w:left="5040" w:hanging="3600"/>
    </w:pPr>
  </w:style>
  <w:style w:type="paragraph" w:customStyle="1" w:styleId="TOCTitle">
    <w:name w:val="TOC Title"/>
    <w:basedOn w:val="Normal"/>
    <w:rsid w:val="00080F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0FFF"/>
    <w:pPr>
      <w:jc w:val="center"/>
    </w:pPr>
    <w:rPr>
      <w:rFonts w:ascii="Times New Roman Bold" w:hAnsi="Times New Roman Bold"/>
      <w:b/>
      <w:bCs/>
      <w:caps/>
      <w:szCs w:val="22"/>
    </w:rPr>
  </w:style>
  <w:style w:type="character" w:styleId="Hyperlink">
    <w:name w:val="Hyperlink"/>
    <w:rsid w:val="00080FFF"/>
    <w:rPr>
      <w:color w:val="0000FF"/>
      <w:u w:val="single"/>
    </w:rPr>
  </w:style>
  <w:style w:type="character" w:customStyle="1" w:styleId="FooterChar">
    <w:name w:val="Footer Char"/>
    <w:link w:val="Footer"/>
    <w:uiPriority w:val="99"/>
    <w:rsid w:val="00080FFF"/>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character" w:customStyle="1" w:styleId="UnresolvedMention">
    <w:name w:val="Unresolved Mention"/>
    <w:basedOn w:val="DefaultParagraphFont"/>
    <w:uiPriority w:val="99"/>
    <w:rsid w:val="00874F2B"/>
    <w:rPr>
      <w:color w:val="605E5C"/>
      <w:shd w:val="clear" w:color="auto" w:fill="E1DFDD"/>
    </w:rPr>
  </w:style>
  <w:style w:type="character" w:styleId="CommentReference">
    <w:name w:val="annotation reference"/>
    <w:basedOn w:val="DefaultParagraphFont"/>
    <w:uiPriority w:val="99"/>
    <w:semiHidden/>
    <w:unhideWhenUsed/>
    <w:rsid w:val="00B67C17"/>
    <w:rPr>
      <w:sz w:val="16"/>
      <w:szCs w:val="16"/>
    </w:rPr>
  </w:style>
  <w:style w:type="paragraph" w:styleId="CommentText">
    <w:name w:val="annotation text"/>
    <w:basedOn w:val="Normal"/>
    <w:link w:val="CommentTextChar"/>
    <w:uiPriority w:val="99"/>
    <w:semiHidden/>
    <w:unhideWhenUsed/>
    <w:rsid w:val="00B67C17"/>
    <w:rPr>
      <w:sz w:val="20"/>
    </w:rPr>
  </w:style>
  <w:style w:type="character" w:customStyle="1" w:styleId="CommentTextChar">
    <w:name w:val="Comment Text Char"/>
    <w:basedOn w:val="DefaultParagraphFont"/>
    <w:link w:val="CommentText"/>
    <w:uiPriority w:val="99"/>
    <w:semiHidden/>
    <w:rsid w:val="00B67C17"/>
    <w:rPr>
      <w:snapToGrid w:val="0"/>
      <w:kern w:val="28"/>
    </w:rPr>
  </w:style>
  <w:style w:type="paragraph" w:styleId="CommentSubject">
    <w:name w:val="annotation subject"/>
    <w:basedOn w:val="CommentText"/>
    <w:next w:val="CommentText"/>
    <w:link w:val="CommentSubjectChar"/>
    <w:uiPriority w:val="99"/>
    <w:semiHidden/>
    <w:unhideWhenUsed/>
    <w:rsid w:val="00B67C17"/>
    <w:rPr>
      <w:b/>
      <w:bCs/>
    </w:rPr>
  </w:style>
  <w:style w:type="character" w:customStyle="1" w:styleId="CommentSubjectChar">
    <w:name w:val="Comment Subject Char"/>
    <w:basedOn w:val="CommentTextChar"/>
    <w:link w:val="CommentSubject"/>
    <w:uiPriority w:val="99"/>
    <w:semiHidden/>
    <w:rsid w:val="00B67C1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n.Forb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11050911286/Red%20River%20A-CAM%20II%20Waiver%20FINAL%20PDF.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