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B5081" w:rsidP="00BB5081" w14:paraId="7D52558D" w14:textId="77777777">
      <w:pPr>
        <w:jc w:val="center"/>
        <w:rPr>
          <w:b/>
        </w:rPr>
      </w:pPr>
      <w:r w:rsidRPr="0070224F">
        <w:rPr>
          <w:rFonts w:ascii="Times New Roman Bold" w:hAnsi="Times New Roman Bold"/>
          <w:b/>
          <w:kern w:val="0"/>
          <w:szCs w:val="22"/>
        </w:rPr>
        <w:t>Before</w:t>
      </w:r>
      <w:r>
        <w:rPr>
          <w:b/>
        </w:rPr>
        <w:t xml:space="preserve"> the</w:t>
      </w:r>
    </w:p>
    <w:p w:rsidR="00BB5081" w:rsidP="00BB5081" w14:paraId="5AA8EF9E" w14:textId="77777777">
      <w:pPr>
        <w:pStyle w:val="StyleBoldCentered"/>
      </w:pPr>
      <w:r>
        <w:t>F</w:t>
      </w:r>
      <w:r>
        <w:rPr>
          <w:caps w:val="0"/>
        </w:rPr>
        <w:t>ederal Communications Commission</w:t>
      </w:r>
    </w:p>
    <w:p w:rsidR="00BB5081" w:rsidP="00BB5081" w14:paraId="1DFD61BC" w14:textId="77777777">
      <w:pPr>
        <w:pStyle w:val="StyleBoldCentered"/>
      </w:pPr>
      <w:r>
        <w:rPr>
          <w:caps w:val="0"/>
        </w:rPr>
        <w:t>Washington, D.C. 20554</w:t>
      </w:r>
    </w:p>
    <w:p w:rsidR="00BB5081" w:rsidP="00BB5081" w14:paraId="1C9B1AE7" w14:textId="77777777"/>
    <w:tbl>
      <w:tblPr>
        <w:tblW w:w="0" w:type="auto"/>
        <w:tblLayout w:type="fixed"/>
        <w:tblLook w:val="0000"/>
      </w:tblPr>
      <w:tblGrid>
        <w:gridCol w:w="4698"/>
        <w:gridCol w:w="630"/>
        <w:gridCol w:w="4248"/>
      </w:tblGrid>
      <w:tr w14:paraId="4177C5ED" w14:textId="77777777" w:rsidTr="006431E5">
        <w:tblPrEx>
          <w:tblW w:w="0" w:type="auto"/>
          <w:tblLayout w:type="fixed"/>
          <w:tblLook w:val="0000"/>
        </w:tblPrEx>
        <w:tc>
          <w:tcPr>
            <w:tcW w:w="4698" w:type="dxa"/>
          </w:tcPr>
          <w:p w:rsidR="00BB5081" w:rsidP="006431E5" w14:paraId="0563CCD7" w14:textId="77777777">
            <w:pPr>
              <w:tabs>
                <w:tab w:val="center" w:pos="4680"/>
              </w:tabs>
              <w:suppressAutoHyphens/>
              <w:rPr>
                <w:spacing w:val="-2"/>
              </w:rPr>
            </w:pPr>
            <w:r>
              <w:rPr>
                <w:spacing w:val="-2"/>
              </w:rPr>
              <w:t>In the Matter of</w:t>
            </w:r>
          </w:p>
          <w:p w:rsidR="00BB5081" w:rsidP="006431E5" w14:paraId="60B5FB11" w14:textId="77777777">
            <w:pPr>
              <w:tabs>
                <w:tab w:val="center" w:pos="4680"/>
              </w:tabs>
              <w:suppressAutoHyphens/>
              <w:rPr>
                <w:spacing w:val="-2"/>
              </w:rPr>
            </w:pPr>
          </w:p>
          <w:p w:rsidR="00BB5081" w:rsidRPr="007115F7" w:rsidP="006431E5" w14:paraId="406DA666" w14:textId="77777777">
            <w:pPr>
              <w:tabs>
                <w:tab w:val="center" w:pos="4680"/>
              </w:tabs>
              <w:suppressAutoHyphens/>
              <w:rPr>
                <w:spacing w:val="-2"/>
              </w:rPr>
            </w:pPr>
            <w:r>
              <w:rPr>
                <w:spacing w:val="-2"/>
              </w:rPr>
              <w:t>Rates for Interstate Inmate Calling Services</w:t>
            </w:r>
          </w:p>
        </w:tc>
        <w:tc>
          <w:tcPr>
            <w:tcW w:w="630" w:type="dxa"/>
          </w:tcPr>
          <w:p w:rsidR="00BB5081" w:rsidP="006431E5" w14:paraId="49956E1F" w14:textId="77777777">
            <w:pPr>
              <w:tabs>
                <w:tab w:val="center" w:pos="4680"/>
              </w:tabs>
              <w:suppressAutoHyphens/>
              <w:rPr>
                <w:b/>
                <w:spacing w:val="-2"/>
              </w:rPr>
            </w:pPr>
            <w:r>
              <w:rPr>
                <w:b/>
                <w:spacing w:val="-2"/>
              </w:rPr>
              <w:t>)</w:t>
            </w:r>
          </w:p>
          <w:p w:rsidR="00BB5081" w:rsidP="006431E5" w14:paraId="04AE77A7" w14:textId="77777777">
            <w:pPr>
              <w:tabs>
                <w:tab w:val="center" w:pos="4680"/>
              </w:tabs>
              <w:suppressAutoHyphens/>
              <w:rPr>
                <w:b/>
                <w:spacing w:val="-2"/>
              </w:rPr>
            </w:pPr>
            <w:r>
              <w:rPr>
                <w:b/>
                <w:spacing w:val="-2"/>
              </w:rPr>
              <w:t>)</w:t>
            </w:r>
          </w:p>
          <w:p w:rsidR="00BB5081" w:rsidP="006431E5" w14:paraId="3430F3B9" w14:textId="40663231">
            <w:pPr>
              <w:tabs>
                <w:tab w:val="center" w:pos="4680"/>
              </w:tabs>
              <w:suppressAutoHyphens/>
              <w:rPr>
                <w:b/>
                <w:spacing w:val="-2"/>
              </w:rPr>
            </w:pPr>
            <w:r>
              <w:rPr>
                <w:b/>
                <w:spacing w:val="-2"/>
              </w:rPr>
              <w:t>)</w:t>
            </w:r>
          </w:p>
          <w:p w:rsidR="00BB5081" w:rsidP="006431E5" w14:paraId="2BA04FF4" w14:textId="4028086D">
            <w:pPr>
              <w:tabs>
                <w:tab w:val="center" w:pos="4680"/>
              </w:tabs>
              <w:suppressAutoHyphens/>
              <w:rPr>
                <w:b/>
                <w:spacing w:val="-2"/>
              </w:rPr>
            </w:pPr>
            <w:r>
              <w:rPr>
                <w:b/>
                <w:spacing w:val="-2"/>
              </w:rPr>
              <w:t>)</w:t>
            </w:r>
          </w:p>
          <w:p w:rsidR="00BB5081" w:rsidRPr="00E24CF6" w:rsidP="006431E5" w14:paraId="5502C092" w14:textId="77777777">
            <w:pPr>
              <w:tabs>
                <w:tab w:val="center" w:pos="4680"/>
              </w:tabs>
              <w:suppressAutoHyphens/>
              <w:rPr>
                <w:b/>
                <w:spacing w:val="-2"/>
              </w:rPr>
            </w:pPr>
          </w:p>
        </w:tc>
        <w:tc>
          <w:tcPr>
            <w:tcW w:w="4248" w:type="dxa"/>
          </w:tcPr>
          <w:p w:rsidR="00BB5081" w:rsidP="006431E5" w14:paraId="65A27C00" w14:textId="77777777">
            <w:pPr>
              <w:tabs>
                <w:tab w:val="center" w:pos="4680"/>
              </w:tabs>
              <w:suppressAutoHyphens/>
              <w:rPr>
                <w:spacing w:val="-2"/>
              </w:rPr>
            </w:pPr>
          </w:p>
          <w:p w:rsidR="00BB5081" w:rsidP="006431E5" w14:paraId="257BF979" w14:textId="77777777">
            <w:pPr>
              <w:pStyle w:val="TOAHeading"/>
              <w:tabs>
                <w:tab w:val="center" w:pos="4680"/>
                <w:tab w:val="clear" w:pos="9360"/>
              </w:tabs>
              <w:rPr>
                <w:spacing w:val="-2"/>
              </w:rPr>
            </w:pPr>
          </w:p>
          <w:p w:rsidR="00BB5081" w:rsidP="006431E5" w14:paraId="201E58E5" w14:textId="77777777">
            <w:pPr>
              <w:tabs>
                <w:tab w:val="center" w:pos="4680"/>
              </w:tabs>
              <w:suppressAutoHyphens/>
              <w:rPr>
                <w:spacing w:val="-2"/>
              </w:rPr>
            </w:pPr>
            <w:r>
              <w:rPr>
                <w:spacing w:val="-2"/>
              </w:rPr>
              <w:t>WC Docket No. 12-375</w:t>
            </w:r>
          </w:p>
          <w:p w:rsidR="00BB5081" w:rsidP="006431E5" w14:paraId="47451D09" w14:textId="77777777">
            <w:pPr>
              <w:tabs>
                <w:tab w:val="center" w:pos="4680"/>
              </w:tabs>
              <w:suppressAutoHyphens/>
              <w:rPr>
                <w:spacing w:val="-2"/>
              </w:rPr>
            </w:pPr>
          </w:p>
        </w:tc>
      </w:tr>
    </w:tbl>
    <w:p w:rsidR="00BB5081" w:rsidP="00BB5081" w14:paraId="2AF0DEE7" w14:textId="77777777">
      <w:pPr>
        <w:pStyle w:val="StyleBoldCentered"/>
      </w:pPr>
      <w:r>
        <w:t>ORDER</w:t>
      </w:r>
    </w:p>
    <w:p w:rsidR="00BB5081" w:rsidP="00BB5081" w14:paraId="75A41A88" w14:textId="77777777">
      <w:pPr>
        <w:tabs>
          <w:tab w:val="left" w:pos="-720"/>
        </w:tabs>
        <w:suppressAutoHyphens/>
        <w:spacing w:line="227" w:lineRule="auto"/>
        <w:rPr>
          <w:spacing w:val="-2"/>
        </w:rPr>
      </w:pPr>
    </w:p>
    <w:p w:rsidR="00BB5081" w:rsidP="00BB5081" w14:paraId="339AD2B6" w14:textId="77777777">
      <w:pPr>
        <w:tabs>
          <w:tab w:val="left" w:pos="720"/>
          <w:tab w:val="right" w:pos="9360"/>
        </w:tabs>
        <w:suppressAutoHyphens/>
        <w:spacing w:line="227" w:lineRule="auto"/>
        <w:rPr>
          <w:spacing w:val="-2"/>
        </w:rPr>
      </w:pPr>
      <w:r>
        <w:rPr>
          <w:b/>
          <w:spacing w:val="-2"/>
        </w:rPr>
        <w:t>Adopted:  March 31, 2020</w:t>
      </w:r>
      <w:r>
        <w:rPr>
          <w:b/>
          <w:spacing w:val="-2"/>
        </w:rPr>
        <w:tab/>
        <w:t>Released:  March 31, 2020</w:t>
      </w:r>
    </w:p>
    <w:p w:rsidR="00BB5081" w:rsidP="00BB5081" w14:paraId="55925AF8" w14:textId="77777777"/>
    <w:p w:rsidR="00BB5081" w:rsidP="00BB5081" w14:paraId="6AB8C78A" w14:textId="77777777">
      <w:pPr>
        <w:rPr>
          <w:b/>
        </w:rPr>
      </w:pPr>
      <w:r>
        <w:rPr>
          <w:b/>
        </w:rPr>
        <w:t>Reply Comment Date: April 21, 2020</w:t>
      </w:r>
    </w:p>
    <w:p w:rsidR="00BB5081" w:rsidRPr="008C7888" w:rsidP="00BB5081" w14:paraId="4DCBE51B" w14:textId="77777777">
      <w:pPr>
        <w:rPr>
          <w:b/>
        </w:rPr>
      </w:pPr>
    </w:p>
    <w:p w:rsidR="00BB5081" w:rsidP="00BB5081" w14:paraId="22210CD6" w14:textId="77777777">
      <w:pPr>
        <w:rPr>
          <w:spacing w:val="-2"/>
        </w:rPr>
      </w:pPr>
      <w:r>
        <w:t xml:space="preserve">By the </w:t>
      </w:r>
      <w:r>
        <w:rPr>
          <w:spacing w:val="-2"/>
        </w:rPr>
        <w:t>Chief, Wireline Competition</w:t>
      </w:r>
      <w:r w:rsidRPr="002A429E">
        <w:rPr>
          <w:spacing w:val="-2"/>
        </w:rPr>
        <w:t xml:space="preserve"> Bureau:</w:t>
      </w:r>
    </w:p>
    <w:p w:rsidR="00BB5081" w:rsidP="00BB5081" w14:paraId="68F620EB" w14:textId="77777777">
      <w:pPr>
        <w:rPr>
          <w:spacing w:val="-2"/>
        </w:rPr>
      </w:pPr>
    </w:p>
    <w:p w:rsidR="00BB5081" w:rsidP="00BB5081" w14:paraId="4559B388" w14:textId="77777777">
      <w:pPr>
        <w:pStyle w:val="ListParagraph"/>
        <w:numPr>
          <w:ilvl w:val="0"/>
          <w:numId w:val="7"/>
        </w:numPr>
        <w:spacing w:after="120"/>
        <w:ind w:left="86" w:firstLine="634"/>
        <w:contextualSpacing w:val="0"/>
        <w:rPr>
          <w:spacing w:val="-2"/>
        </w:rPr>
      </w:pPr>
      <w:bookmarkStart w:id="0" w:name="_Hlk35980532"/>
      <w:r>
        <w:rPr>
          <w:spacing w:val="-2"/>
        </w:rPr>
        <w:t>By this Order, the Wireline Competition Bureau (Bureau) of the Federal Communications Commission grants a 15-day extension of time for filing reply comments on the Public Notice seeking to refresh the record in the above-captioned proceeding.  With this 15-day extension, reply comments are due on April 21, 2020.</w:t>
      </w:r>
    </w:p>
    <w:bookmarkEnd w:id="0"/>
    <w:p w:rsidR="00BB5081" w:rsidRPr="004002B2" w:rsidP="00BB5081" w14:paraId="1D495248" w14:textId="77777777">
      <w:pPr>
        <w:pStyle w:val="ListParagraph"/>
        <w:numPr>
          <w:ilvl w:val="0"/>
          <w:numId w:val="7"/>
        </w:numPr>
        <w:spacing w:after="120"/>
        <w:ind w:left="0" w:firstLine="720"/>
        <w:contextualSpacing w:val="0"/>
        <w:rPr>
          <w:spacing w:val="-2"/>
        </w:rPr>
      </w:pPr>
      <w:r w:rsidRPr="00942014">
        <w:rPr>
          <w:spacing w:val="-2"/>
        </w:rPr>
        <w:t xml:space="preserve">On </w:t>
      </w:r>
      <w:r>
        <w:rPr>
          <w:spacing w:val="-2"/>
        </w:rPr>
        <w:t>February 4, 2020</w:t>
      </w:r>
      <w:r w:rsidRPr="00942014">
        <w:rPr>
          <w:spacing w:val="-2"/>
        </w:rPr>
        <w:t xml:space="preserve">, the Bureau released a Public Notice seeking </w:t>
      </w:r>
      <w:r>
        <w:rPr>
          <w:spacing w:val="-2"/>
        </w:rPr>
        <w:t>to refresh the record in this proceeding</w:t>
      </w:r>
      <w:r w:rsidRPr="006B2CF4">
        <w:rPr>
          <w:spacing w:val="-2"/>
        </w:rPr>
        <w:t xml:space="preserve"> </w:t>
      </w:r>
      <w:r>
        <w:rPr>
          <w:spacing w:val="-2"/>
        </w:rPr>
        <w:t>in light of the D.C. Circuit’s decision in</w:t>
      </w:r>
      <w:r>
        <w:rPr>
          <w:i/>
          <w:iCs/>
          <w:spacing w:val="-2"/>
        </w:rPr>
        <w:t xml:space="preserve"> Global Tel*Link v. FCC</w:t>
      </w:r>
      <w:r>
        <w:rPr>
          <w:spacing w:val="-2"/>
        </w:rPr>
        <w:t>.</w:t>
      </w:r>
      <w:r>
        <w:rPr>
          <w:rStyle w:val="FootnoteReference"/>
          <w:spacing w:val="-2"/>
        </w:rPr>
        <w:footnoteReference w:id="3"/>
      </w:r>
      <w:r w:rsidRPr="00942014">
        <w:rPr>
          <w:spacing w:val="-2"/>
        </w:rPr>
        <w:t xml:space="preserve"> </w:t>
      </w:r>
      <w:r>
        <w:rPr>
          <w:spacing w:val="-2"/>
        </w:rPr>
        <w:t xml:space="preserve"> The Public Notice sought </w:t>
      </w:r>
      <w:r>
        <w:t>to refresh the record on ancillary service charges imposed in connection with inmate calling services.</w:t>
      </w:r>
      <w:r>
        <w:rPr>
          <w:rStyle w:val="FootnoteReference"/>
        </w:rPr>
        <w:footnoteReference w:id="4"/>
      </w:r>
      <w:r>
        <w:t xml:space="preserve">  </w:t>
      </w:r>
      <w:r>
        <w:rPr>
          <w:spacing w:val="-2"/>
        </w:rPr>
        <w:t xml:space="preserve">The </w:t>
      </w:r>
      <w:r w:rsidRPr="00942014">
        <w:rPr>
          <w:spacing w:val="-2"/>
        </w:rPr>
        <w:t xml:space="preserve">filing deadlines </w:t>
      </w:r>
      <w:r>
        <w:rPr>
          <w:spacing w:val="-2"/>
        </w:rPr>
        <w:t>were set at</w:t>
      </w:r>
      <w:r w:rsidRPr="00942014">
        <w:rPr>
          <w:spacing w:val="-2"/>
        </w:rPr>
        <w:t xml:space="preserve"> </w:t>
      </w:r>
      <w:r>
        <w:rPr>
          <w:spacing w:val="-2"/>
        </w:rPr>
        <w:t>March 20, 2020</w:t>
      </w:r>
      <w:r w:rsidRPr="00942014">
        <w:rPr>
          <w:spacing w:val="-2"/>
        </w:rPr>
        <w:t xml:space="preserve"> for </w:t>
      </w:r>
      <w:r>
        <w:rPr>
          <w:spacing w:val="-2"/>
        </w:rPr>
        <w:t xml:space="preserve">initial </w:t>
      </w:r>
      <w:r w:rsidRPr="00942014">
        <w:rPr>
          <w:spacing w:val="-2"/>
        </w:rPr>
        <w:t xml:space="preserve">comments and </w:t>
      </w:r>
      <w:r>
        <w:rPr>
          <w:spacing w:val="-2"/>
        </w:rPr>
        <w:t>April 6, 2020</w:t>
      </w:r>
      <w:r w:rsidRPr="00942014">
        <w:rPr>
          <w:spacing w:val="-2"/>
        </w:rPr>
        <w:t xml:space="preserve"> for reply comments.</w:t>
      </w:r>
      <w:r>
        <w:rPr>
          <w:rStyle w:val="FootnoteReference"/>
          <w:spacing w:val="-2"/>
        </w:rPr>
        <w:footnoteReference w:id="5"/>
      </w:r>
      <w:r>
        <w:rPr>
          <w:spacing w:val="-2"/>
        </w:rPr>
        <w:t xml:space="preserve">  </w:t>
      </w:r>
    </w:p>
    <w:p w:rsidR="00BB5081" w:rsidRPr="00942014" w:rsidP="00BB5081" w14:paraId="20E660E3" w14:textId="77777777">
      <w:pPr>
        <w:pStyle w:val="ListParagraph"/>
        <w:numPr>
          <w:ilvl w:val="0"/>
          <w:numId w:val="7"/>
        </w:numPr>
        <w:spacing w:after="120"/>
        <w:ind w:left="0" w:firstLine="720"/>
        <w:contextualSpacing w:val="0"/>
        <w:rPr>
          <w:spacing w:val="-2"/>
        </w:rPr>
      </w:pPr>
      <w:r w:rsidRPr="00942014">
        <w:rPr>
          <w:spacing w:val="-2"/>
        </w:rPr>
        <w:t xml:space="preserve">On </w:t>
      </w:r>
      <w:r>
        <w:rPr>
          <w:spacing w:val="-2"/>
        </w:rPr>
        <w:t xml:space="preserve">March 25, 2020, the </w:t>
      </w:r>
      <w:r w:rsidRPr="00402B27">
        <w:rPr>
          <w:spacing w:val="-2"/>
        </w:rPr>
        <w:t xml:space="preserve">Wright Petitioners, American Friends Service Committee, Benton Institute for Broadband &amp; Society, Prison Policy Institute, Public Knowledge, United Church of Christ, OC Inc., and Worth Rises </w:t>
      </w:r>
      <w:r>
        <w:rPr>
          <w:szCs w:val="22"/>
        </w:rPr>
        <w:t xml:space="preserve">(collectively, Movants) </w:t>
      </w:r>
      <w:r w:rsidRPr="00942014">
        <w:rPr>
          <w:spacing w:val="-2"/>
        </w:rPr>
        <w:t>filed a motion</w:t>
      </w:r>
      <w:r>
        <w:rPr>
          <w:spacing w:val="-2"/>
        </w:rPr>
        <w:t xml:space="preserve"> </w:t>
      </w:r>
      <w:r w:rsidRPr="00942014">
        <w:rPr>
          <w:spacing w:val="-2"/>
        </w:rPr>
        <w:t xml:space="preserve">to extend the reply comment deadline by </w:t>
      </w:r>
      <w:r>
        <w:rPr>
          <w:spacing w:val="-2"/>
        </w:rPr>
        <w:t>15</w:t>
      </w:r>
      <w:r w:rsidRPr="00942014">
        <w:rPr>
          <w:spacing w:val="-2"/>
        </w:rPr>
        <w:t xml:space="preserve"> days</w:t>
      </w:r>
      <w:r>
        <w:rPr>
          <w:spacing w:val="-2"/>
        </w:rPr>
        <w:t>,</w:t>
      </w:r>
      <w:r w:rsidRPr="00942014">
        <w:rPr>
          <w:spacing w:val="-2"/>
        </w:rPr>
        <w:t xml:space="preserve"> to </w:t>
      </w:r>
      <w:r>
        <w:rPr>
          <w:spacing w:val="-2"/>
        </w:rPr>
        <w:t>April 21, 2020</w:t>
      </w:r>
      <w:r w:rsidRPr="00942014">
        <w:rPr>
          <w:spacing w:val="-2"/>
        </w:rPr>
        <w:t>.</w:t>
      </w:r>
      <w:r>
        <w:rPr>
          <w:rStyle w:val="FootnoteReference"/>
          <w:spacing w:val="-2"/>
        </w:rPr>
        <w:footnoteReference w:id="6"/>
      </w:r>
      <w:r w:rsidRPr="00942014">
        <w:rPr>
          <w:spacing w:val="-2"/>
        </w:rPr>
        <w:t xml:space="preserve">  </w:t>
      </w:r>
      <w:r>
        <w:rPr>
          <w:spacing w:val="-2"/>
        </w:rPr>
        <w:t>Movants assert that because “many of [their] resources are currently deployed to address impacts of the novel coronavirus (COVID-19) on incarcerated peoples,” an extension of time is warranted to enable Movants to respond adequately to the initial comments.</w:t>
      </w:r>
      <w:r>
        <w:rPr>
          <w:rStyle w:val="FootnoteReference"/>
          <w:spacing w:val="-2"/>
        </w:rPr>
        <w:footnoteReference w:id="7"/>
      </w:r>
      <w:r>
        <w:rPr>
          <w:spacing w:val="-2"/>
        </w:rPr>
        <w:t xml:space="preserve"> </w:t>
      </w:r>
    </w:p>
    <w:p w:rsidR="00BB5081" w:rsidRPr="00E24CF6" w:rsidP="00BB5081" w14:paraId="411F97F1" w14:textId="77777777">
      <w:pPr>
        <w:numPr>
          <w:ilvl w:val="0"/>
          <w:numId w:val="7"/>
        </w:numPr>
        <w:spacing w:after="120"/>
        <w:ind w:left="0" w:firstLine="720"/>
      </w:pPr>
      <w:r>
        <w:t>As set forth in section 1.46 of the Commission’s rules,</w:t>
      </w:r>
      <w:r>
        <w:rPr>
          <w:rStyle w:val="FootnoteReference"/>
        </w:rPr>
        <w:footnoteReference w:id="8"/>
      </w:r>
      <w:r>
        <w:t xml:space="preserve"> it is the policy of the Commission that extensions of time shall not be routinely granted.  The </w:t>
      </w:r>
      <w:r w:rsidRPr="006B2CF4">
        <w:t>Public Noti</w:t>
      </w:r>
      <w:r w:rsidRPr="00A44D34">
        <w:t xml:space="preserve">ce provided interested parties </w:t>
      </w:r>
      <w:r>
        <w:t>15</w:t>
      </w:r>
      <w:r w:rsidRPr="00A44D34">
        <w:t xml:space="preserve"> days to submit </w:t>
      </w:r>
      <w:r>
        <w:t xml:space="preserve">replies to the initial </w:t>
      </w:r>
      <w:r w:rsidRPr="00A44D34">
        <w:t>comments</w:t>
      </w:r>
      <w:r>
        <w:t>.  Nevertheless, we find that Movants have shown good cause for an extension of the reply comment deadline, and that the public interest will be served by extending that deadline.  Movants assert that</w:t>
      </w:r>
      <w:r>
        <w:rPr>
          <w:spacing w:val="-2"/>
        </w:rPr>
        <w:t xml:space="preserve"> </w:t>
      </w:r>
      <w:r w:rsidRPr="00A44D34">
        <w:rPr>
          <w:spacing w:val="-2"/>
        </w:rPr>
        <w:t>the</w:t>
      </w:r>
      <w:r>
        <w:rPr>
          <w:spacing w:val="-2"/>
        </w:rPr>
        <w:t>ir resources are occupied by addressing the impacts of the</w:t>
      </w:r>
      <w:r w:rsidRPr="00A44D34">
        <w:rPr>
          <w:spacing w:val="-2"/>
        </w:rPr>
        <w:t xml:space="preserve"> </w:t>
      </w:r>
      <w:r w:rsidRPr="00A44D34">
        <w:rPr>
          <w:spacing w:val="-2"/>
        </w:rPr>
        <w:t>COVID-19 public safety crisis</w:t>
      </w:r>
      <w:r>
        <w:rPr>
          <w:spacing w:val="-2"/>
        </w:rPr>
        <w:t xml:space="preserve"> upon incarcerated peoples, and that a brief extension will neither prejudice nor harm any party to the proceeding.</w:t>
      </w:r>
      <w:r>
        <w:rPr>
          <w:rStyle w:val="FootnoteReference"/>
          <w:spacing w:val="-2"/>
        </w:rPr>
        <w:footnoteReference w:id="9"/>
      </w:r>
      <w:r>
        <w:rPr>
          <w:spacing w:val="-2"/>
        </w:rPr>
        <w:t xml:space="preserve">  Under these circumstances, we agree that an extension of 15 days for the reply comment deadline is warranted.  </w:t>
      </w:r>
    </w:p>
    <w:p w:rsidR="00BB5081" w:rsidRPr="00E24CF6" w:rsidP="00BB5081" w14:paraId="7414CA38" w14:textId="77777777">
      <w:pPr>
        <w:numPr>
          <w:ilvl w:val="0"/>
          <w:numId w:val="7"/>
        </w:numPr>
        <w:spacing w:after="120"/>
        <w:ind w:left="0" w:firstLine="720"/>
        <w:rPr>
          <w:spacing w:val="-2"/>
        </w:rPr>
      </w:pPr>
      <w:r>
        <w:t xml:space="preserve">Accordingly, IT IS ORDERED, pursuant to sections 0.204, 0.291, and 1.46 of the Commission’s rules, 47 CFR §§ 0.204, 0.291, 1.46, that the Motion for Extension of Time filed by Movants on March 25, 2020 is GRANTED. </w:t>
      </w:r>
    </w:p>
    <w:p w:rsidR="00BB5081" w:rsidRPr="00E24CF6" w:rsidP="00BB5081" w14:paraId="5C9EC618" w14:textId="77777777">
      <w:pPr>
        <w:numPr>
          <w:ilvl w:val="0"/>
          <w:numId w:val="7"/>
        </w:numPr>
        <w:spacing w:after="120"/>
        <w:ind w:left="0" w:firstLine="720"/>
        <w:rPr>
          <w:spacing w:val="-2"/>
        </w:rPr>
      </w:pPr>
      <w:r>
        <w:t xml:space="preserve">IT IS ALSO ORDERED that the date for filing reply comments on the Public Notice is EXTENDED to April 21, 2020. </w:t>
      </w:r>
    </w:p>
    <w:p w:rsidR="00BB5081" w:rsidRPr="006E79A4" w:rsidP="00BB5081" w14:paraId="52227B62" w14:textId="77777777">
      <w:pPr>
        <w:numPr>
          <w:ilvl w:val="0"/>
          <w:numId w:val="7"/>
        </w:numPr>
        <w:spacing w:after="120"/>
        <w:ind w:left="0" w:firstLine="720"/>
        <w:rPr>
          <w:szCs w:val="22"/>
        </w:rPr>
      </w:pPr>
      <w:r w:rsidRPr="00C464AE">
        <w:rPr>
          <w:szCs w:val="22"/>
        </w:rPr>
        <w:t xml:space="preserve">To request materials in accessible formats (such as Braille, large print, electronic files, or audio format), send an e-mail to: </w:t>
      </w:r>
      <w:hyperlink r:id="rId5" w:history="1">
        <w:r w:rsidRPr="006C6BD9">
          <w:rPr>
            <w:rStyle w:val="Hyperlink"/>
            <w:szCs w:val="22"/>
          </w:rPr>
          <w:t>fcc504@fcc.gov</w:t>
        </w:r>
      </w:hyperlink>
      <w:r>
        <w:rPr>
          <w:szCs w:val="22"/>
        </w:rPr>
        <w:t xml:space="preserve">, </w:t>
      </w:r>
      <w:r w:rsidRPr="00C464AE">
        <w:rPr>
          <w:szCs w:val="22"/>
        </w:rPr>
        <w:t xml:space="preserve">or call the Consumer </w:t>
      </w:r>
      <w:r>
        <w:rPr>
          <w:szCs w:val="22"/>
        </w:rPr>
        <w:t>and</w:t>
      </w:r>
      <w:r w:rsidRPr="00C464AE">
        <w:rPr>
          <w:szCs w:val="22"/>
        </w:rPr>
        <w:t xml:space="preserve"> Governmental Affairs Bureau at (202) 418-0530 (voice) or (202) 418-0432 (TTY).</w:t>
      </w:r>
      <w:r w:rsidRPr="00E578BB">
        <w:rPr>
          <w:szCs w:val="22"/>
        </w:rPr>
        <w:t xml:space="preserve"> </w:t>
      </w:r>
    </w:p>
    <w:p w:rsidR="00BB5081" w:rsidP="00BB5081" w14:paraId="0FE43153" w14:textId="77777777">
      <w:pPr>
        <w:numPr>
          <w:ilvl w:val="0"/>
          <w:numId w:val="7"/>
        </w:numPr>
        <w:spacing w:after="120"/>
        <w:ind w:left="0" w:firstLine="720"/>
      </w:pPr>
      <w:r>
        <w:t xml:space="preserve">For further information concerning this proceeding, please contact Erik Raven-Hansen, Pricing Policy Division, Wireline Competition Bureau, (202) 418-1532, </w:t>
      </w:r>
      <w:hyperlink r:id="rId6" w:history="1">
        <w:r w:rsidRPr="00EA4CDE">
          <w:rPr>
            <w:rStyle w:val="Hyperlink"/>
          </w:rPr>
          <w:t>Erik.Raven-Hansen@fcc.gov</w:t>
        </w:r>
      </w:hyperlink>
      <w:r>
        <w:t xml:space="preserve">. </w:t>
      </w:r>
    </w:p>
    <w:p w:rsidR="00BB5081" w:rsidP="00BB5081" w14:paraId="40450502" w14:textId="77777777">
      <w:pPr>
        <w:spacing w:after="120"/>
      </w:pPr>
    </w:p>
    <w:p w:rsidR="00BB5081" w:rsidP="00BB5081" w14:paraId="32DDFEFC" w14:textId="77777777">
      <w:pPr>
        <w:ind w:left="4320"/>
      </w:pPr>
      <w:r>
        <w:t xml:space="preserve">FEDERAL COMMUNICATIONS COMMISSION </w:t>
      </w:r>
    </w:p>
    <w:p w:rsidR="00BB5081" w:rsidP="00BB5081" w14:paraId="098BDA8C" w14:textId="77777777">
      <w:pPr>
        <w:ind w:left="4320"/>
      </w:pPr>
    </w:p>
    <w:p w:rsidR="00BB5081" w:rsidP="00BB5081" w14:paraId="554BEDE5" w14:textId="77777777">
      <w:pPr>
        <w:ind w:left="4320"/>
      </w:pPr>
    </w:p>
    <w:p w:rsidR="00BB5081" w:rsidP="00BB5081" w14:paraId="5CF25D81" w14:textId="77777777">
      <w:pPr>
        <w:ind w:left="4320"/>
      </w:pPr>
      <w:r>
        <w:t>Kris Anne Monteith</w:t>
      </w:r>
    </w:p>
    <w:p w:rsidR="00BB5081" w:rsidP="00BB5081" w14:paraId="58FA0C9B" w14:textId="77777777">
      <w:pPr>
        <w:ind w:left="4320"/>
      </w:pPr>
      <w:r>
        <w:t>Chief</w:t>
      </w:r>
    </w:p>
    <w:p w:rsidR="00BB5081" w:rsidRPr="002A429E" w:rsidP="00BB5081" w14:paraId="0BC281FC" w14:textId="77777777">
      <w:pPr>
        <w:ind w:left="4320"/>
        <w:rPr>
          <w:spacing w:val="-2"/>
        </w:rPr>
      </w:pPr>
      <w:r>
        <w:t>Wireline Competition Bureau</w:t>
      </w:r>
    </w:p>
    <w:p w:rsidR="00412FC5" w:rsidRPr="00BB5081" w:rsidP="00BB5081" w14:paraId="4F08D865" w14:textId="77777777">
      <w:bookmarkStart w:id="1" w:name="_GoBack"/>
      <w:bookmarkEnd w:id="1"/>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44BEA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51E7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EA87C9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0C17E3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9E7E40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49EE" w14:paraId="7FAF83C8" w14:textId="77777777">
      <w:r>
        <w:separator/>
      </w:r>
    </w:p>
  </w:footnote>
  <w:footnote w:type="continuationSeparator" w:id="1">
    <w:p w:rsidR="00C849EE" w:rsidP="00C721AC" w14:paraId="68D482A2" w14:textId="77777777">
      <w:pPr>
        <w:spacing w:before="120"/>
        <w:rPr>
          <w:sz w:val="20"/>
        </w:rPr>
      </w:pPr>
      <w:r>
        <w:rPr>
          <w:sz w:val="20"/>
        </w:rPr>
        <w:t xml:space="preserve">(Continued from previous page)  </w:t>
      </w:r>
      <w:r>
        <w:rPr>
          <w:sz w:val="20"/>
        </w:rPr>
        <w:separator/>
      </w:r>
    </w:p>
  </w:footnote>
  <w:footnote w:type="continuationNotice" w:id="2">
    <w:p w:rsidR="00C849EE" w:rsidP="00C721AC" w14:paraId="2FF7F345" w14:textId="77777777">
      <w:pPr>
        <w:jc w:val="right"/>
        <w:rPr>
          <w:sz w:val="20"/>
        </w:rPr>
      </w:pPr>
      <w:r>
        <w:rPr>
          <w:sz w:val="20"/>
        </w:rPr>
        <w:t>(continued….)</w:t>
      </w:r>
    </w:p>
  </w:footnote>
  <w:footnote w:id="3">
    <w:p w:rsidR="00BB5081" w:rsidRPr="00BB5081" w:rsidP="00BB5081" w14:paraId="40DBAC9A" w14:textId="402E0442">
      <w:pPr>
        <w:widowControl/>
        <w:autoSpaceDE w:val="0"/>
        <w:autoSpaceDN w:val="0"/>
        <w:adjustRightInd w:val="0"/>
        <w:spacing w:after="120"/>
        <w:rPr>
          <w:rFonts w:ascii="TimesNewRomanPS-ItalicMT" w:hAnsi="TimesNewRomanPS-ItalicMT" w:cs="TimesNewRomanPS-ItalicMT"/>
          <w:i/>
          <w:iCs/>
          <w:color w:val="000000"/>
          <w:kern w:val="0"/>
          <w:sz w:val="20"/>
        </w:rPr>
      </w:pPr>
      <w:r>
        <w:rPr>
          <w:rStyle w:val="FootnoteReference"/>
        </w:rPr>
        <w:footnoteRef/>
      </w:r>
      <w:r>
        <w:t xml:space="preserve"> </w:t>
      </w:r>
      <w:r>
        <w:rPr>
          <w:rFonts w:ascii="TimesNewRomanPS-ItalicMT" w:hAnsi="TimesNewRomanPS-ItalicMT" w:cs="TimesNewRomanPS-ItalicMT"/>
          <w:i/>
          <w:iCs/>
          <w:color w:val="000000"/>
          <w:kern w:val="0"/>
          <w:sz w:val="20"/>
        </w:rPr>
        <w:t>Wireline Competition Bureau Seeks to Refresh the Record on Ancillary Service Charges Related to Inmate Calling</w:t>
      </w:r>
      <w:r>
        <w:rPr>
          <w:rFonts w:ascii="TimesNewRomanPS-ItalicMT" w:hAnsi="TimesNewRomanPS-ItalicMT" w:cs="TimesNewRomanPS-ItalicMT"/>
          <w:i/>
          <w:iCs/>
          <w:color w:val="000000"/>
          <w:kern w:val="0"/>
          <w:sz w:val="20"/>
        </w:rPr>
        <w:t xml:space="preserve"> </w:t>
      </w:r>
      <w:r>
        <w:rPr>
          <w:rFonts w:ascii="TimesNewRomanPS-ItalicMT" w:hAnsi="TimesNewRomanPS-ItalicMT" w:cs="TimesNewRomanPS-ItalicMT"/>
          <w:i/>
          <w:iCs/>
          <w:color w:val="000000"/>
          <w:kern w:val="0"/>
          <w:sz w:val="20"/>
        </w:rPr>
        <w:t>Services</w:t>
      </w:r>
      <w:r>
        <w:rPr>
          <w:rFonts w:ascii="TimesNewRomanPSMT" w:hAnsi="TimesNewRomanPSMT" w:cs="TimesNewRomanPSMT"/>
          <w:color w:val="000000"/>
          <w:kern w:val="0"/>
          <w:sz w:val="20"/>
        </w:rPr>
        <w:t>, WC Docket No. 12-375, Public Notice, DA 20-</w:t>
      </w:r>
      <w:r w:rsidRPr="00697596">
        <w:rPr>
          <w:iCs/>
          <w:kern w:val="0"/>
          <w:sz w:val="20"/>
        </w:rPr>
        <w:t>127</w:t>
      </w:r>
      <w:r>
        <w:rPr>
          <w:rFonts w:ascii="TimesNewRomanPSMT" w:hAnsi="TimesNewRomanPSMT" w:cs="TimesNewRomanPSMT"/>
          <w:color w:val="000000"/>
          <w:kern w:val="0"/>
          <w:sz w:val="20"/>
        </w:rPr>
        <w:t xml:space="preserve"> (WCB </w:t>
      </w:r>
      <w:r w:rsidRPr="00697596">
        <w:rPr>
          <w:rFonts w:ascii="TimesNewRomanPSMT" w:hAnsi="TimesNewRomanPSMT" w:cs="TimesNewRomanPSMT"/>
          <w:color w:val="000000"/>
          <w:kern w:val="0"/>
          <w:sz w:val="20"/>
        </w:rPr>
        <w:t>rel.</w:t>
      </w:r>
      <w:r w:rsidRPr="00606011">
        <w:rPr>
          <w:rFonts w:ascii="TimesNewRomanPSMT" w:hAnsi="TimesNewRomanPSMT" w:cs="TimesNewRomanPSMT"/>
          <w:color w:val="000000"/>
          <w:kern w:val="0"/>
          <w:sz w:val="20"/>
        </w:rPr>
        <w:t xml:space="preserve"> Feb. 4, 2020) </w:t>
      </w:r>
      <w:r w:rsidRPr="00606011">
        <w:rPr>
          <w:rFonts w:ascii="TimesNewRomanPSMT" w:hAnsi="TimesNewRomanPSMT" w:cs="TimesNewRomanPSMT"/>
        </w:rPr>
        <w:t>(</w:t>
      </w:r>
      <w:r w:rsidRPr="009A35ED">
        <w:rPr>
          <w:rFonts w:ascii="TimesNewRomanPSMT" w:hAnsi="TimesNewRomanPSMT" w:cs="TimesNewRomanPSMT"/>
          <w:i/>
          <w:iCs/>
        </w:rPr>
        <w:t>Public Notice</w:t>
      </w:r>
      <w:r w:rsidRPr="00606011">
        <w:rPr>
          <w:rFonts w:ascii="TimesNewRomanPSMT" w:hAnsi="TimesNewRomanPSMT" w:cs="TimesNewRomanPSMT"/>
        </w:rPr>
        <w:t xml:space="preserve">); </w:t>
      </w:r>
      <w:r w:rsidRPr="00606011">
        <w:rPr>
          <w:rFonts w:ascii="TimesNewRomanPS-ItalicMT" w:hAnsi="TimesNewRomanPS-ItalicMT" w:cs="TimesNewRomanPS-ItalicMT"/>
          <w:i/>
          <w:iCs/>
          <w:kern w:val="0"/>
          <w:sz w:val="20"/>
        </w:rPr>
        <w:t>Global Tel*Link v. FCC</w:t>
      </w:r>
      <w:r w:rsidRPr="00606011">
        <w:rPr>
          <w:rFonts w:ascii="TimesNewRomanPSMT" w:hAnsi="TimesNewRomanPSMT" w:cs="TimesNewRomanPSMT"/>
          <w:kern w:val="0"/>
          <w:sz w:val="20"/>
        </w:rPr>
        <w:t xml:space="preserve">, 866 F.3d 397, 412, 415 (D.C. Cir. 2017), </w:t>
      </w:r>
      <w:r w:rsidRPr="00606011">
        <w:rPr>
          <w:rFonts w:ascii="TimesNewRomanPS-ItalicMT" w:hAnsi="TimesNewRomanPS-ItalicMT" w:cs="TimesNewRomanPS-ItalicMT"/>
          <w:i/>
          <w:iCs/>
          <w:kern w:val="0"/>
          <w:sz w:val="20"/>
        </w:rPr>
        <w:t xml:space="preserve">clarifying and amending </w:t>
      </w:r>
      <w:r w:rsidRPr="00606011">
        <w:rPr>
          <w:rFonts w:ascii="TimesNewRomanPSMT" w:hAnsi="TimesNewRomanPSMT" w:cs="TimesNewRomanPSMT"/>
          <w:kern w:val="0"/>
          <w:sz w:val="20"/>
        </w:rPr>
        <w:t>859 F.3d 39 (D.C. Cir. 2017)</w:t>
      </w:r>
      <w:r w:rsidRPr="00606011">
        <w:rPr>
          <w:rFonts w:ascii="TimesNewRomanPSMT" w:hAnsi="TimesNewRomanPSMT" w:cs="TimesNewRomanPSMT"/>
          <w:color w:val="000000"/>
          <w:kern w:val="0"/>
          <w:sz w:val="20"/>
        </w:rPr>
        <w:t>.</w:t>
      </w:r>
    </w:p>
  </w:footnote>
  <w:footnote w:id="4">
    <w:p w:rsidR="00BB5081" w:rsidP="00BB5081" w14:paraId="4679618B" w14:textId="77777777">
      <w:pPr>
        <w:pStyle w:val="FootnoteText"/>
      </w:pPr>
      <w:r>
        <w:rPr>
          <w:rStyle w:val="FootnoteReference"/>
        </w:rPr>
        <w:footnoteRef/>
      </w:r>
      <w:r>
        <w:t xml:space="preserve"> </w:t>
      </w:r>
      <w:r>
        <w:rPr>
          <w:i/>
        </w:rPr>
        <w:t>See Public Notice</w:t>
      </w:r>
      <w:r>
        <w:rPr>
          <w:iCs/>
        </w:rPr>
        <w:t xml:space="preserve"> at 2.</w:t>
      </w:r>
    </w:p>
  </w:footnote>
  <w:footnote w:id="5">
    <w:p w:rsidR="00BB5081" w:rsidRPr="009A35ED" w:rsidP="00BB5081" w14:paraId="399FE3EB" w14:textId="77777777">
      <w:pPr>
        <w:widowControl/>
        <w:autoSpaceDE w:val="0"/>
        <w:autoSpaceDN w:val="0"/>
        <w:adjustRightInd w:val="0"/>
        <w:spacing w:after="120"/>
        <w:rPr>
          <w:rFonts w:ascii="TimesNewRomanPSMT" w:hAnsi="TimesNewRomanPSMT" w:cs="TimesNewRomanPSMT"/>
          <w:color w:val="000000"/>
          <w:kern w:val="0"/>
          <w:sz w:val="20"/>
        </w:rPr>
      </w:pPr>
      <w:r w:rsidRPr="00606011">
        <w:rPr>
          <w:rStyle w:val="FootnoteReference"/>
        </w:rPr>
        <w:footnoteRef/>
      </w:r>
      <w:r w:rsidRPr="00606011">
        <w:rPr>
          <w:iCs/>
        </w:rPr>
        <w:t xml:space="preserve"> </w:t>
      </w:r>
      <w:r w:rsidRPr="009A35ED">
        <w:rPr>
          <w:rFonts w:ascii="TimesNewRomanPSMT" w:hAnsi="TimesNewRomanPSMT" w:cs="TimesNewRomanPSMT"/>
          <w:i/>
          <w:iCs/>
          <w:color w:val="000000"/>
          <w:kern w:val="0"/>
          <w:sz w:val="20"/>
        </w:rPr>
        <w:t>Wireline Competition Bureau Announces Comment Dates for Refreshing the Record on Ancillary Service Charges Related to Inmate Calling Services</w:t>
      </w:r>
      <w:r w:rsidRPr="009A35ED">
        <w:rPr>
          <w:rFonts w:ascii="TimesNewRomanPSMT" w:hAnsi="TimesNewRomanPSMT" w:cs="TimesNewRomanPSMT"/>
          <w:color w:val="000000"/>
          <w:kern w:val="0"/>
          <w:sz w:val="20"/>
        </w:rPr>
        <w:t>, Public Notice, DA 20-182 (WCB rel. Feb. 20, 2020).</w:t>
      </w:r>
    </w:p>
  </w:footnote>
  <w:footnote w:id="6">
    <w:p w:rsidR="00BB5081" w:rsidP="00BB5081" w14:paraId="45F780B8" w14:textId="77777777">
      <w:pPr>
        <w:pStyle w:val="FootnoteText"/>
      </w:pPr>
      <w:r>
        <w:rPr>
          <w:rStyle w:val="FootnoteReference"/>
        </w:rPr>
        <w:footnoteRef/>
      </w:r>
      <w:r>
        <w:t xml:space="preserve"> </w:t>
      </w:r>
      <w:r>
        <w:rPr>
          <w:szCs w:val="22"/>
        </w:rPr>
        <w:t xml:space="preserve">The </w:t>
      </w:r>
      <w:r w:rsidRPr="00B32808">
        <w:rPr>
          <w:szCs w:val="22"/>
        </w:rPr>
        <w:t>Wright Petitioners, American Friends Service Committee, Benton Institute for Broadband &amp; Society, Prison Policy Institute, Public Knowledge, United Church of Christ, OC Inc., and Worth Rises</w:t>
      </w:r>
      <w:r w:rsidRPr="00FA2F59">
        <w:rPr>
          <w:szCs w:val="22"/>
        </w:rPr>
        <w:t xml:space="preserve">, </w:t>
      </w:r>
      <w:r>
        <w:rPr>
          <w:szCs w:val="22"/>
        </w:rPr>
        <w:t>Motion for Extension of Time to Reply, WC</w:t>
      </w:r>
      <w:r w:rsidRPr="00FA2F59">
        <w:rPr>
          <w:szCs w:val="22"/>
        </w:rPr>
        <w:t xml:space="preserve"> Docket No. </w:t>
      </w:r>
      <w:r>
        <w:rPr>
          <w:szCs w:val="22"/>
        </w:rPr>
        <w:t>12-375</w:t>
      </w:r>
      <w:r w:rsidRPr="00FA2F59">
        <w:rPr>
          <w:szCs w:val="22"/>
        </w:rPr>
        <w:t xml:space="preserve"> (filed </w:t>
      </w:r>
      <w:r>
        <w:rPr>
          <w:szCs w:val="22"/>
        </w:rPr>
        <w:t>Mar. 25, 2020</w:t>
      </w:r>
      <w:r w:rsidRPr="00FA2F59">
        <w:rPr>
          <w:szCs w:val="22"/>
        </w:rPr>
        <w:t>)</w:t>
      </w:r>
      <w:r>
        <w:rPr>
          <w:szCs w:val="22"/>
        </w:rPr>
        <w:t xml:space="preserve"> </w:t>
      </w:r>
      <w:r w:rsidRPr="00FA2F59">
        <w:rPr>
          <w:szCs w:val="22"/>
        </w:rPr>
        <w:t>(</w:t>
      </w:r>
      <w:r>
        <w:rPr>
          <w:szCs w:val="22"/>
        </w:rPr>
        <w:t>Extension Request</w:t>
      </w:r>
      <w:r w:rsidRPr="00FA2F59">
        <w:rPr>
          <w:szCs w:val="22"/>
        </w:rPr>
        <w:t>).</w:t>
      </w:r>
    </w:p>
  </w:footnote>
  <w:footnote w:id="7">
    <w:p w:rsidR="00BB5081" w:rsidP="00BB5081" w14:paraId="4311DE39" w14:textId="77777777">
      <w:pPr>
        <w:pStyle w:val="FootnoteText"/>
      </w:pPr>
      <w:r>
        <w:rPr>
          <w:rStyle w:val="FootnoteReference"/>
        </w:rPr>
        <w:footnoteRef/>
      </w:r>
      <w:r>
        <w:t xml:space="preserve"> </w:t>
      </w:r>
      <w:r w:rsidRPr="00040E86">
        <w:rPr>
          <w:i/>
          <w:iCs/>
        </w:rPr>
        <w:t>Id.</w:t>
      </w:r>
      <w:r>
        <w:t xml:space="preserve"> at 1-2.</w:t>
      </w:r>
    </w:p>
  </w:footnote>
  <w:footnote w:id="8">
    <w:p w:rsidR="00BB5081" w:rsidP="00BB5081" w14:paraId="1F870035" w14:textId="77777777">
      <w:pPr>
        <w:pStyle w:val="FootnoteText"/>
      </w:pPr>
      <w:r>
        <w:rPr>
          <w:rStyle w:val="FootnoteReference"/>
        </w:rPr>
        <w:footnoteRef/>
      </w:r>
      <w:r>
        <w:t xml:space="preserve"> 47 CFR § 1.46.</w:t>
      </w:r>
    </w:p>
  </w:footnote>
  <w:footnote w:id="9">
    <w:p w:rsidR="00BB5081" w:rsidP="00BB5081" w14:paraId="191FC062" w14:textId="77777777">
      <w:pPr>
        <w:pStyle w:val="FootnoteText"/>
      </w:pPr>
      <w:r>
        <w:rPr>
          <w:rStyle w:val="FootnoteReference"/>
        </w:rPr>
        <w:footnoteRef/>
      </w:r>
      <w:r>
        <w:t xml:space="preserve"> </w:t>
      </w:r>
      <w:r>
        <w:rPr>
          <w:i/>
          <w:iCs/>
        </w:rPr>
        <w:t xml:space="preserve">See </w:t>
      </w:r>
      <w:r>
        <w:t>Extension Request at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402AAD5" w14:textId="7ED6A912">
    <w:pPr>
      <w:pStyle w:val="Header"/>
      <w:rPr>
        <w:b w:val="0"/>
      </w:rPr>
    </w:pPr>
    <w:r>
      <w:tab/>
      <w:t>Federal Communications Commission</w:t>
    </w:r>
    <w:r>
      <w:tab/>
    </w:r>
    <w:r w:rsidR="00A7736E">
      <w:t>DA 20-360</w:t>
    </w:r>
  </w:p>
  <w:p w:rsidR="00D25FB5" w14:paraId="55609E7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6AB58E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BDF57E" w14:textId="7A2AC72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7736E">
      <w:rPr>
        <w:spacing w:val="-2"/>
      </w:rPr>
      <w:t>DA 20-360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E9223FB"/>
    <w:multiLevelType w:val="hybridMultilevel"/>
    <w:tmpl w:val="4CF6DCA2"/>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81"/>
    <w:rsid w:val="00036039"/>
    <w:rsid w:val="00037F90"/>
    <w:rsid w:val="00040E86"/>
    <w:rsid w:val="000875BF"/>
    <w:rsid w:val="00096D8C"/>
    <w:rsid w:val="000C0B65"/>
    <w:rsid w:val="000E05FE"/>
    <w:rsid w:val="000E3D42"/>
    <w:rsid w:val="00122BD5"/>
    <w:rsid w:val="00133F79"/>
    <w:rsid w:val="00194A66"/>
    <w:rsid w:val="001D6BCF"/>
    <w:rsid w:val="001E01CA"/>
    <w:rsid w:val="00266345"/>
    <w:rsid w:val="00275CF5"/>
    <w:rsid w:val="0028301F"/>
    <w:rsid w:val="00285017"/>
    <w:rsid w:val="002A2D2E"/>
    <w:rsid w:val="002A429E"/>
    <w:rsid w:val="002C00E8"/>
    <w:rsid w:val="00343749"/>
    <w:rsid w:val="003660ED"/>
    <w:rsid w:val="003B0550"/>
    <w:rsid w:val="003B694F"/>
    <w:rsid w:val="003F171C"/>
    <w:rsid w:val="004002B2"/>
    <w:rsid w:val="00402B27"/>
    <w:rsid w:val="00412FC5"/>
    <w:rsid w:val="00422276"/>
    <w:rsid w:val="004242F1"/>
    <w:rsid w:val="00445A00"/>
    <w:rsid w:val="00451B0F"/>
    <w:rsid w:val="004C2EE3"/>
    <w:rsid w:val="004E4A22"/>
    <w:rsid w:val="00511968"/>
    <w:rsid w:val="0055614C"/>
    <w:rsid w:val="00566D06"/>
    <w:rsid w:val="005E14C2"/>
    <w:rsid w:val="00606011"/>
    <w:rsid w:val="00607BA5"/>
    <w:rsid w:val="0061180A"/>
    <w:rsid w:val="00626EB6"/>
    <w:rsid w:val="006431E5"/>
    <w:rsid w:val="00655D03"/>
    <w:rsid w:val="00683388"/>
    <w:rsid w:val="00683F84"/>
    <w:rsid w:val="00697596"/>
    <w:rsid w:val="006A6A81"/>
    <w:rsid w:val="006B2CF4"/>
    <w:rsid w:val="006C6BD9"/>
    <w:rsid w:val="006E79A4"/>
    <w:rsid w:val="006F7393"/>
    <w:rsid w:val="0070224F"/>
    <w:rsid w:val="007115F7"/>
    <w:rsid w:val="00785689"/>
    <w:rsid w:val="0079754B"/>
    <w:rsid w:val="007A1E6D"/>
    <w:rsid w:val="007B0EB2"/>
    <w:rsid w:val="00810B6F"/>
    <w:rsid w:val="00822CE0"/>
    <w:rsid w:val="00841AB1"/>
    <w:rsid w:val="008C68F1"/>
    <w:rsid w:val="008C7888"/>
    <w:rsid w:val="00921803"/>
    <w:rsid w:val="00926503"/>
    <w:rsid w:val="00942014"/>
    <w:rsid w:val="009726D8"/>
    <w:rsid w:val="009A35ED"/>
    <w:rsid w:val="009D7308"/>
    <w:rsid w:val="009F76DB"/>
    <w:rsid w:val="00A32C3B"/>
    <w:rsid w:val="00A44D34"/>
    <w:rsid w:val="00A45F4F"/>
    <w:rsid w:val="00A600A9"/>
    <w:rsid w:val="00A7736E"/>
    <w:rsid w:val="00AA55B7"/>
    <w:rsid w:val="00AA5B9E"/>
    <w:rsid w:val="00AB2407"/>
    <w:rsid w:val="00AB53DF"/>
    <w:rsid w:val="00B07E5C"/>
    <w:rsid w:val="00B32808"/>
    <w:rsid w:val="00B811F7"/>
    <w:rsid w:val="00BA5DC6"/>
    <w:rsid w:val="00BA6196"/>
    <w:rsid w:val="00BB5081"/>
    <w:rsid w:val="00BC6D8C"/>
    <w:rsid w:val="00C34006"/>
    <w:rsid w:val="00C36B4C"/>
    <w:rsid w:val="00C426B1"/>
    <w:rsid w:val="00C464AE"/>
    <w:rsid w:val="00C66160"/>
    <w:rsid w:val="00C721AC"/>
    <w:rsid w:val="00C849EE"/>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24CF6"/>
    <w:rsid w:val="00E5409F"/>
    <w:rsid w:val="00E578BB"/>
    <w:rsid w:val="00EA4CDE"/>
    <w:rsid w:val="00EE6488"/>
    <w:rsid w:val="00F021FA"/>
    <w:rsid w:val="00F62E97"/>
    <w:rsid w:val="00F64209"/>
    <w:rsid w:val="00F93BF5"/>
    <w:rsid w:val="00FA2F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7E63552-5014-4BCF-A310-57978C9F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45"/>
    <w:pPr>
      <w:widowControl w:val="0"/>
    </w:pPr>
    <w:rPr>
      <w:snapToGrid w:val="0"/>
      <w:kern w:val="28"/>
      <w:sz w:val="22"/>
    </w:rPr>
  </w:style>
  <w:style w:type="paragraph" w:styleId="Heading1">
    <w:name w:val="heading 1"/>
    <w:basedOn w:val="Normal"/>
    <w:next w:val="ParaNum"/>
    <w:qFormat/>
    <w:rsid w:val="0026634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66345"/>
    <w:pPr>
      <w:keepNext/>
      <w:numPr>
        <w:ilvl w:val="1"/>
        <w:numId w:val="3"/>
      </w:numPr>
      <w:spacing w:after="120"/>
      <w:outlineLvl w:val="1"/>
    </w:pPr>
    <w:rPr>
      <w:b/>
    </w:rPr>
  </w:style>
  <w:style w:type="paragraph" w:styleId="Heading3">
    <w:name w:val="heading 3"/>
    <w:basedOn w:val="Normal"/>
    <w:next w:val="ParaNum"/>
    <w:qFormat/>
    <w:rsid w:val="00266345"/>
    <w:pPr>
      <w:keepNext/>
      <w:numPr>
        <w:ilvl w:val="2"/>
        <w:numId w:val="3"/>
      </w:numPr>
      <w:tabs>
        <w:tab w:val="left" w:pos="2160"/>
      </w:tabs>
      <w:spacing w:after="120"/>
      <w:outlineLvl w:val="2"/>
    </w:pPr>
    <w:rPr>
      <w:b/>
    </w:rPr>
  </w:style>
  <w:style w:type="paragraph" w:styleId="Heading4">
    <w:name w:val="heading 4"/>
    <w:basedOn w:val="Normal"/>
    <w:next w:val="ParaNum"/>
    <w:qFormat/>
    <w:rsid w:val="00266345"/>
    <w:pPr>
      <w:keepNext/>
      <w:numPr>
        <w:ilvl w:val="3"/>
        <w:numId w:val="3"/>
      </w:numPr>
      <w:tabs>
        <w:tab w:val="left" w:pos="2880"/>
      </w:tabs>
      <w:spacing w:after="120"/>
      <w:outlineLvl w:val="3"/>
    </w:pPr>
    <w:rPr>
      <w:b/>
    </w:rPr>
  </w:style>
  <w:style w:type="paragraph" w:styleId="Heading5">
    <w:name w:val="heading 5"/>
    <w:basedOn w:val="Normal"/>
    <w:next w:val="ParaNum"/>
    <w:qFormat/>
    <w:rsid w:val="0026634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66345"/>
    <w:pPr>
      <w:numPr>
        <w:ilvl w:val="5"/>
        <w:numId w:val="3"/>
      </w:numPr>
      <w:tabs>
        <w:tab w:val="left" w:pos="4320"/>
      </w:tabs>
      <w:spacing w:after="120"/>
      <w:outlineLvl w:val="5"/>
    </w:pPr>
    <w:rPr>
      <w:b/>
    </w:rPr>
  </w:style>
  <w:style w:type="paragraph" w:styleId="Heading7">
    <w:name w:val="heading 7"/>
    <w:basedOn w:val="Normal"/>
    <w:next w:val="ParaNum"/>
    <w:qFormat/>
    <w:rsid w:val="0026634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6634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6634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663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6345"/>
  </w:style>
  <w:style w:type="paragraph" w:customStyle="1" w:styleId="ParaNum">
    <w:name w:val="ParaNum"/>
    <w:basedOn w:val="Normal"/>
    <w:rsid w:val="00266345"/>
    <w:pPr>
      <w:numPr>
        <w:numId w:val="2"/>
      </w:numPr>
      <w:tabs>
        <w:tab w:val="clear" w:pos="1080"/>
        <w:tab w:val="num" w:pos="1440"/>
      </w:tabs>
      <w:spacing w:after="120"/>
    </w:pPr>
  </w:style>
  <w:style w:type="paragraph" w:styleId="EndnoteText">
    <w:name w:val="endnote text"/>
    <w:basedOn w:val="Normal"/>
    <w:semiHidden/>
    <w:rsid w:val="00266345"/>
    <w:rPr>
      <w:sz w:val="20"/>
    </w:rPr>
  </w:style>
  <w:style w:type="character" w:styleId="EndnoteReference">
    <w:name w:val="endnote reference"/>
    <w:semiHidden/>
    <w:rsid w:val="00266345"/>
    <w:rPr>
      <w:vertAlign w:val="superscript"/>
    </w:rPr>
  </w:style>
  <w:style w:type="paragraph" w:styleId="FootnoteText">
    <w:name w:val="footnote text"/>
    <w:link w:val="FootnoteTextChar"/>
    <w:rsid w:val="00266345"/>
    <w:pPr>
      <w:spacing w:after="120"/>
    </w:pPr>
  </w:style>
  <w:style w:type="character" w:styleId="FootnoteReference">
    <w:name w:val="footnote reference"/>
    <w:rsid w:val="00266345"/>
    <w:rPr>
      <w:rFonts w:ascii="Times New Roman" w:hAnsi="Times New Roman"/>
      <w:dstrike w:val="0"/>
      <w:color w:val="auto"/>
      <w:sz w:val="20"/>
      <w:vertAlign w:val="superscript"/>
    </w:rPr>
  </w:style>
  <w:style w:type="paragraph" w:styleId="TOC1">
    <w:name w:val="toc 1"/>
    <w:basedOn w:val="Normal"/>
    <w:next w:val="Normal"/>
    <w:semiHidden/>
    <w:rsid w:val="0026634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66345"/>
    <w:pPr>
      <w:tabs>
        <w:tab w:val="left" w:pos="720"/>
        <w:tab w:val="right" w:leader="dot" w:pos="9360"/>
      </w:tabs>
      <w:suppressAutoHyphens/>
      <w:ind w:left="720" w:right="720" w:hanging="360"/>
    </w:pPr>
    <w:rPr>
      <w:noProof/>
    </w:rPr>
  </w:style>
  <w:style w:type="paragraph" w:styleId="TOC3">
    <w:name w:val="toc 3"/>
    <w:basedOn w:val="Normal"/>
    <w:next w:val="Normal"/>
    <w:semiHidden/>
    <w:rsid w:val="0026634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6634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6634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6634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6634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6634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6634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66345"/>
    <w:pPr>
      <w:tabs>
        <w:tab w:val="right" w:pos="9360"/>
      </w:tabs>
      <w:suppressAutoHyphens/>
    </w:pPr>
  </w:style>
  <w:style w:type="character" w:customStyle="1" w:styleId="EquationCaption">
    <w:name w:val="_Equation Caption"/>
    <w:rsid w:val="00266345"/>
  </w:style>
  <w:style w:type="paragraph" w:styleId="Header">
    <w:name w:val="header"/>
    <w:basedOn w:val="Normal"/>
    <w:autoRedefine/>
    <w:rsid w:val="00266345"/>
    <w:pPr>
      <w:tabs>
        <w:tab w:val="center" w:pos="4680"/>
        <w:tab w:val="right" w:pos="9360"/>
      </w:tabs>
    </w:pPr>
    <w:rPr>
      <w:b/>
    </w:rPr>
  </w:style>
  <w:style w:type="paragraph" w:styleId="Footer">
    <w:name w:val="footer"/>
    <w:basedOn w:val="Normal"/>
    <w:link w:val="FooterChar"/>
    <w:uiPriority w:val="99"/>
    <w:rsid w:val="00266345"/>
    <w:pPr>
      <w:tabs>
        <w:tab w:val="center" w:pos="4320"/>
        <w:tab w:val="right" w:pos="8640"/>
      </w:tabs>
    </w:pPr>
  </w:style>
  <w:style w:type="character" w:styleId="PageNumber">
    <w:name w:val="page number"/>
    <w:rsid w:val="00266345"/>
  </w:style>
  <w:style w:type="paragraph" w:styleId="BlockText">
    <w:name w:val="Block Text"/>
    <w:basedOn w:val="Normal"/>
    <w:rsid w:val="00266345"/>
    <w:pPr>
      <w:spacing w:after="240"/>
      <w:ind w:left="1440" w:right="1440"/>
    </w:pPr>
  </w:style>
  <w:style w:type="paragraph" w:customStyle="1" w:styleId="Paratitle">
    <w:name w:val="Para title"/>
    <w:basedOn w:val="Normal"/>
    <w:rsid w:val="00266345"/>
    <w:pPr>
      <w:tabs>
        <w:tab w:val="center" w:pos="9270"/>
      </w:tabs>
      <w:spacing w:after="240"/>
    </w:pPr>
    <w:rPr>
      <w:spacing w:val="-2"/>
    </w:rPr>
  </w:style>
  <w:style w:type="paragraph" w:customStyle="1" w:styleId="Bullet">
    <w:name w:val="Bullet"/>
    <w:basedOn w:val="Normal"/>
    <w:rsid w:val="00266345"/>
    <w:pPr>
      <w:tabs>
        <w:tab w:val="left" w:pos="2160"/>
      </w:tabs>
      <w:spacing w:after="220"/>
      <w:ind w:left="2160" w:hanging="720"/>
    </w:pPr>
  </w:style>
  <w:style w:type="paragraph" w:customStyle="1" w:styleId="TableFormat">
    <w:name w:val="TableFormat"/>
    <w:basedOn w:val="Bullet"/>
    <w:rsid w:val="00266345"/>
    <w:pPr>
      <w:tabs>
        <w:tab w:val="clear" w:pos="2160"/>
        <w:tab w:val="left" w:pos="5040"/>
      </w:tabs>
      <w:ind w:left="5040" w:hanging="3600"/>
    </w:pPr>
  </w:style>
  <w:style w:type="paragraph" w:customStyle="1" w:styleId="TOCTitle">
    <w:name w:val="TOC Title"/>
    <w:basedOn w:val="Normal"/>
    <w:rsid w:val="0026634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66345"/>
    <w:pPr>
      <w:jc w:val="center"/>
    </w:pPr>
    <w:rPr>
      <w:rFonts w:ascii="Times New Roman Bold" w:hAnsi="Times New Roman Bold"/>
      <w:b/>
      <w:bCs/>
      <w:caps/>
      <w:szCs w:val="22"/>
    </w:rPr>
  </w:style>
  <w:style w:type="character" w:styleId="Hyperlink">
    <w:name w:val="Hyperlink"/>
    <w:rsid w:val="00266345"/>
    <w:rPr>
      <w:color w:val="0000FF"/>
      <w:u w:val="single"/>
    </w:rPr>
  </w:style>
  <w:style w:type="character" w:customStyle="1" w:styleId="FooterChar">
    <w:name w:val="Footer Char"/>
    <w:link w:val="Footer"/>
    <w:uiPriority w:val="99"/>
    <w:rsid w:val="00266345"/>
    <w:rPr>
      <w:snapToGrid w:val="0"/>
      <w:kern w:val="28"/>
      <w:sz w:val="22"/>
    </w:rPr>
  </w:style>
  <w:style w:type="character" w:customStyle="1" w:styleId="FootnoteTextChar">
    <w:name w:val="Footnote Text Char"/>
    <w:link w:val="FootnoteText"/>
    <w:rsid w:val="00BB5081"/>
  </w:style>
  <w:style w:type="paragraph" w:styleId="ListParagraph">
    <w:name w:val="List Paragraph"/>
    <w:basedOn w:val="Normal"/>
    <w:uiPriority w:val="34"/>
    <w:qFormat/>
    <w:rsid w:val="00BB5081"/>
    <w:pPr>
      <w:ind w:left="720"/>
      <w:contextualSpacing/>
    </w:pPr>
  </w:style>
  <w:style w:type="character" w:styleId="CommentReference">
    <w:name w:val="annotation reference"/>
    <w:uiPriority w:val="99"/>
    <w:rsid w:val="00BB5081"/>
    <w:rPr>
      <w:rFonts w:cs="Times New Roman"/>
      <w:sz w:val="16"/>
      <w:szCs w:val="16"/>
    </w:rPr>
  </w:style>
  <w:style w:type="paragraph" w:styleId="CommentText">
    <w:name w:val="annotation text"/>
    <w:basedOn w:val="Normal"/>
    <w:link w:val="CommentTextChar"/>
    <w:uiPriority w:val="99"/>
    <w:rsid w:val="00BB5081"/>
    <w:rPr>
      <w:sz w:val="20"/>
    </w:rPr>
  </w:style>
  <w:style w:type="character" w:customStyle="1" w:styleId="CommentTextChar">
    <w:name w:val="Comment Text Char"/>
    <w:link w:val="CommentText"/>
    <w:uiPriority w:val="99"/>
    <w:rsid w:val="00BB5081"/>
    <w:rPr>
      <w:kern w:val="28"/>
    </w:rPr>
  </w:style>
  <w:style w:type="paragraph" w:styleId="BalloonText">
    <w:name w:val="Balloon Text"/>
    <w:basedOn w:val="Normal"/>
    <w:link w:val="BalloonTextChar"/>
    <w:rsid w:val="00BB5081"/>
    <w:rPr>
      <w:rFonts w:ascii="Segoe UI" w:hAnsi="Segoe UI" w:cs="Segoe UI"/>
      <w:sz w:val="18"/>
      <w:szCs w:val="18"/>
    </w:rPr>
  </w:style>
  <w:style w:type="character" w:customStyle="1" w:styleId="BalloonTextChar">
    <w:name w:val="Balloon Text Char"/>
    <w:link w:val="BalloonText"/>
    <w:rsid w:val="00BB5081"/>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Erik.Raven-Hanse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