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D34B7D" w:rsidP="00013A8B" w14:paraId="6E1E5FF4" w14:textId="4FB60925">
      <w:pPr>
        <w:jc w:val="right"/>
        <w:rPr>
          <w:b/>
          <w:szCs w:val="22"/>
        </w:rPr>
      </w:pPr>
      <w:bookmarkStart w:id="0" w:name="_Hlk5126291"/>
      <w:r w:rsidRPr="00D34B7D">
        <w:rPr>
          <w:b/>
          <w:szCs w:val="22"/>
        </w:rPr>
        <w:t xml:space="preserve">DA </w:t>
      </w:r>
      <w:r w:rsidRPr="00D34B7D" w:rsidR="00E11356">
        <w:rPr>
          <w:b/>
          <w:szCs w:val="22"/>
        </w:rPr>
        <w:t>20</w:t>
      </w:r>
      <w:r w:rsidRPr="00D34B7D" w:rsidR="00887C0E">
        <w:rPr>
          <w:b/>
          <w:szCs w:val="22"/>
        </w:rPr>
        <w:t>-</w:t>
      </w:r>
      <w:r w:rsidR="007A0AA5">
        <w:rPr>
          <w:b/>
          <w:szCs w:val="22"/>
        </w:rPr>
        <w:t>362</w:t>
      </w:r>
    </w:p>
    <w:p w:rsidR="00013A8B" w:rsidRPr="00D34B7D" w:rsidP="00013A8B" w14:paraId="1E5417E4" w14:textId="757B7255">
      <w:pPr>
        <w:spacing w:before="60"/>
        <w:jc w:val="right"/>
        <w:rPr>
          <w:b/>
          <w:szCs w:val="22"/>
        </w:rPr>
      </w:pPr>
      <w:r w:rsidRPr="00D34B7D">
        <w:rPr>
          <w:b/>
          <w:szCs w:val="22"/>
        </w:rPr>
        <w:t xml:space="preserve">Released:  </w:t>
      </w:r>
      <w:r w:rsidRPr="00D34B7D" w:rsidR="00384E23">
        <w:rPr>
          <w:b/>
          <w:szCs w:val="22"/>
        </w:rPr>
        <w:t xml:space="preserve">April </w:t>
      </w:r>
      <w:r w:rsidRPr="00D34B7D" w:rsidR="00E11356">
        <w:rPr>
          <w:b/>
          <w:szCs w:val="22"/>
        </w:rPr>
        <w:t>1</w:t>
      </w:r>
      <w:r w:rsidRPr="00D34B7D" w:rsidR="00384E23">
        <w:rPr>
          <w:b/>
          <w:szCs w:val="22"/>
        </w:rPr>
        <w:t>, 20</w:t>
      </w:r>
      <w:r w:rsidRPr="00D34B7D" w:rsidR="00E11356">
        <w:rPr>
          <w:b/>
          <w:szCs w:val="22"/>
        </w:rPr>
        <w:t>20</w:t>
      </w:r>
    </w:p>
    <w:p w:rsidR="00013A8B" w:rsidRPr="00D34B7D" w:rsidP="00013A8B" w14:paraId="1B25503C" w14:textId="77777777">
      <w:pPr>
        <w:jc w:val="right"/>
        <w:rPr>
          <w:szCs w:val="22"/>
        </w:rPr>
      </w:pPr>
      <w:bookmarkStart w:id="1" w:name="_GoBack"/>
      <w:bookmarkEnd w:id="1"/>
    </w:p>
    <w:p w:rsidR="001C0A0E" w:rsidRPr="00D34B7D" w:rsidP="001C0A0E" w14:paraId="728A4C9B" w14:textId="3956306B">
      <w:pPr>
        <w:spacing w:after="240"/>
        <w:jc w:val="center"/>
        <w:rPr>
          <w:b/>
          <w:caps/>
          <w:szCs w:val="22"/>
        </w:rPr>
      </w:pPr>
      <w:r w:rsidRPr="00D34B7D">
        <w:rPr>
          <w:b/>
          <w:caps/>
          <w:szCs w:val="22"/>
        </w:rPr>
        <w:t>PUBLIC SAFETY AND HOMELAND SECURITY BUREAU ANNOUNCES COMMENT AND REPLY COMMENT DATES</w:t>
      </w:r>
      <w:r w:rsidRPr="00D34B7D">
        <w:rPr>
          <w:b/>
          <w:caps/>
          <w:szCs w:val="22"/>
        </w:rPr>
        <w:t xml:space="preserve"> </w:t>
      </w:r>
      <w:r w:rsidRPr="00D34B7D">
        <w:rPr>
          <w:b/>
          <w:bCs/>
        </w:rPr>
        <w:t>IN CONNECTION WITH THE OPEN PROCEEDING ON SHARING COMMUNICATIONS OUTAGE INFORMATION WITH ELIGIBLE STATE AND FEDERAL AGENCIES</w:t>
      </w:r>
    </w:p>
    <w:p w:rsidR="00F96F63" w:rsidRPr="00D34B7D" w:rsidP="00384E23" w14:paraId="38B9B3A9" w14:textId="29DEF69D">
      <w:pPr>
        <w:jc w:val="center"/>
        <w:rPr>
          <w:b/>
          <w:szCs w:val="22"/>
        </w:rPr>
      </w:pPr>
      <w:r w:rsidRPr="00D34B7D">
        <w:rPr>
          <w:b/>
          <w:szCs w:val="22"/>
        </w:rPr>
        <w:t xml:space="preserve">PS Docket No. </w:t>
      </w:r>
      <w:bookmarkStart w:id="2" w:name="TOChere"/>
      <w:r w:rsidRPr="00D34B7D" w:rsidR="0040256D">
        <w:rPr>
          <w:b/>
          <w:szCs w:val="22"/>
        </w:rPr>
        <w:t>15-80</w:t>
      </w:r>
    </w:p>
    <w:bookmarkEnd w:id="2"/>
    <w:p w:rsidR="00F96F63" w:rsidRPr="00D34B7D" w:rsidP="00F96F63" w14:paraId="472E282C" w14:textId="77777777">
      <w:pPr>
        <w:rPr>
          <w:szCs w:val="22"/>
        </w:rPr>
      </w:pPr>
    </w:p>
    <w:p w:rsidR="00384E23" w:rsidRPr="00D34B7D" w:rsidP="00384E23" w14:paraId="50C7F3C1" w14:textId="0FF863F4">
      <w:pPr>
        <w:rPr>
          <w:b/>
          <w:szCs w:val="22"/>
        </w:rPr>
      </w:pPr>
      <w:r w:rsidRPr="00D34B7D">
        <w:rPr>
          <w:b/>
          <w:szCs w:val="22"/>
        </w:rPr>
        <w:t xml:space="preserve">Comments Due:  </w:t>
      </w:r>
      <w:r w:rsidRPr="00D34B7D" w:rsidR="00C20572">
        <w:rPr>
          <w:b/>
          <w:szCs w:val="22"/>
        </w:rPr>
        <w:t>April 30, 2020</w:t>
      </w:r>
    </w:p>
    <w:p w:rsidR="00930ECF" w:rsidRPr="00D34B7D" w:rsidP="00384E23" w14:paraId="21DF0FCD" w14:textId="61B3E2A9">
      <w:pPr>
        <w:rPr>
          <w:b/>
          <w:szCs w:val="22"/>
        </w:rPr>
      </w:pPr>
      <w:r w:rsidRPr="00D34B7D">
        <w:rPr>
          <w:b/>
          <w:szCs w:val="22"/>
        </w:rPr>
        <w:t xml:space="preserve">Reply Comments Due:  </w:t>
      </w:r>
      <w:r w:rsidRPr="00D34B7D" w:rsidR="000A2B53">
        <w:rPr>
          <w:b/>
          <w:szCs w:val="22"/>
        </w:rPr>
        <w:t xml:space="preserve">June </w:t>
      </w:r>
      <w:r w:rsidRPr="00D34B7D" w:rsidR="00C20572">
        <w:rPr>
          <w:b/>
          <w:szCs w:val="22"/>
        </w:rPr>
        <w:t>1, 2020</w:t>
      </w:r>
    </w:p>
    <w:p w:rsidR="00384E23" w:rsidRPr="00D34B7D" w:rsidP="00384E23" w14:paraId="056DF967" w14:textId="77777777">
      <w:pPr>
        <w:rPr>
          <w:szCs w:val="22"/>
        </w:rPr>
      </w:pPr>
    </w:p>
    <w:p w:rsidR="00384E23" w:rsidRPr="00D34B7D" w:rsidP="00384E23" w14:paraId="6705944C" w14:textId="5B5881C5">
      <w:pPr>
        <w:rPr>
          <w:i/>
          <w:szCs w:val="22"/>
        </w:rPr>
      </w:pPr>
      <w:r w:rsidRPr="00D34B7D">
        <w:rPr>
          <w:b/>
          <w:szCs w:val="22"/>
        </w:rPr>
        <w:tab/>
      </w:r>
      <w:r w:rsidRPr="00D34B7D">
        <w:rPr>
          <w:szCs w:val="22"/>
        </w:rPr>
        <w:t xml:space="preserve">On </w:t>
      </w:r>
      <w:r w:rsidRPr="00D34B7D" w:rsidR="001E1D45">
        <w:rPr>
          <w:szCs w:val="22"/>
        </w:rPr>
        <w:t>February 28, 2020</w:t>
      </w:r>
      <w:r w:rsidRPr="00D34B7D" w:rsidR="00E02B88">
        <w:rPr>
          <w:szCs w:val="22"/>
        </w:rPr>
        <w:t xml:space="preserve">, the Federal Communications Commission </w:t>
      </w:r>
      <w:r w:rsidRPr="00D34B7D" w:rsidR="007D2090">
        <w:rPr>
          <w:szCs w:val="22"/>
        </w:rPr>
        <w:t>adopted</w:t>
      </w:r>
      <w:r w:rsidRPr="00D34B7D" w:rsidR="00484161">
        <w:rPr>
          <w:szCs w:val="22"/>
        </w:rPr>
        <w:t xml:space="preserve"> </w:t>
      </w:r>
      <w:r w:rsidRPr="00D34B7D" w:rsidR="00E02B88">
        <w:rPr>
          <w:szCs w:val="22"/>
        </w:rPr>
        <w:t xml:space="preserve">a </w:t>
      </w:r>
      <w:r w:rsidRPr="00D34B7D" w:rsidR="00FD0517">
        <w:rPr>
          <w:i/>
          <w:szCs w:val="22"/>
        </w:rPr>
        <w:t>Second</w:t>
      </w:r>
      <w:r w:rsidRPr="00D34B7D" w:rsidR="00E02B88">
        <w:rPr>
          <w:i/>
          <w:szCs w:val="22"/>
        </w:rPr>
        <w:t xml:space="preserve"> Further Notice of Proposed Rulemaking</w:t>
      </w:r>
      <w:r w:rsidRPr="00D34B7D" w:rsidR="002811C1">
        <w:rPr>
          <w:iCs/>
          <w:szCs w:val="22"/>
        </w:rPr>
        <w:t xml:space="preserve"> proposing</w:t>
      </w:r>
      <w:r w:rsidRPr="00D34B7D" w:rsidR="00E02B88">
        <w:rPr>
          <w:szCs w:val="22"/>
        </w:rPr>
        <w:t xml:space="preserve"> </w:t>
      </w:r>
      <w:r w:rsidRPr="00D34B7D" w:rsidR="009453FE">
        <w:rPr>
          <w:szCs w:val="22"/>
        </w:rPr>
        <w:t>a framework for sharing detailed communications outage information with state and federal agencies to improve their situational awareness, enhance their ability to respond more quickly to outages affecting their communities,</w:t>
      </w:r>
      <w:r w:rsidRPr="00D34B7D" w:rsidR="007C014C">
        <w:rPr>
          <w:szCs w:val="22"/>
        </w:rPr>
        <w:t xml:space="preserve"> </w:t>
      </w:r>
      <w:r w:rsidRPr="00D34B7D" w:rsidR="009453FE">
        <w:rPr>
          <w:szCs w:val="22"/>
        </w:rPr>
        <w:t>and help save lives, while also preserving the confidentiality of this data</w:t>
      </w:r>
      <w:r w:rsidRPr="00D34B7D" w:rsidR="00E02B88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D34B7D" w:rsidR="00923310">
        <w:rPr>
          <w:szCs w:val="22"/>
        </w:rPr>
        <w:t xml:space="preserve"> </w:t>
      </w:r>
      <w:r w:rsidRPr="00D34B7D" w:rsidR="00D1680F">
        <w:rPr>
          <w:szCs w:val="22"/>
        </w:rPr>
        <w:t xml:space="preserve"> The </w:t>
      </w:r>
      <w:r w:rsidRPr="00D34B7D" w:rsidR="0099581E">
        <w:rPr>
          <w:i/>
          <w:szCs w:val="22"/>
        </w:rPr>
        <w:t>Second</w:t>
      </w:r>
      <w:r w:rsidRPr="00D34B7D" w:rsidR="00B14521">
        <w:rPr>
          <w:i/>
          <w:szCs w:val="22"/>
        </w:rPr>
        <w:t xml:space="preserve"> FNPRM</w:t>
      </w:r>
      <w:r w:rsidRPr="00D34B7D" w:rsidR="00B14521">
        <w:rPr>
          <w:szCs w:val="22"/>
        </w:rPr>
        <w:t xml:space="preserve"> </w:t>
      </w:r>
      <w:r w:rsidRPr="00D34B7D" w:rsidR="00D1680F">
        <w:rPr>
          <w:szCs w:val="22"/>
        </w:rPr>
        <w:t xml:space="preserve">set deadlines for filing comments and reply comments at </w:t>
      </w:r>
      <w:r w:rsidRPr="00D34B7D" w:rsidR="00DD662D">
        <w:rPr>
          <w:szCs w:val="22"/>
        </w:rPr>
        <w:t>30</w:t>
      </w:r>
      <w:r w:rsidRPr="00D34B7D" w:rsidR="00D1680F">
        <w:rPr>
          <w:szCs w:val="22"/>
        </w:rPr>
        <w:t xml:space="preserve"> and </w:t>
      </w:r>
      <w:r w:rsidRPr="00D34B7D" w:rsidR="00DD662D">
        <w:rPr>
          <w:szCs w:val="22"/>
        </w:rPr>
        <w:t>60</w:t>
      </w:r>
      <w:r w:rsidRPr="00D34B7D" w:rsidR="00D1680F">
        <w:rPr>
          <w:szCs w:val="22"/>
        </w:rPr>
        <w:t xml:space="preserve"> days, respectively, after publication </w:t>
      </w:r>
      <w:r w:rsidRPr="00D34B7D" w:rsidR="009014BD">
        <w:rPr>
          <w:szCs w:val="22"/>
        </w:rPr>
        <w:t xml:space="preserve">of a summary of the </w:t>
      </w:r>
      <w:r w:rsidRPr="00D34B7D" w:rsidR="00DD662D">
        <w:rPr>
          <w:i/>
          <w:szCs w:val="22"/>
        </w:rPr>
        <w:t>Second</w:t>
      </w:r>
      <w:r w:rsidRPr="00D34B7D" w:rsidR="009014BD">
        <w:rPr>
          <w:i/>
          <w:szCs w:val="22"/>
        </w:rPr>
        <w:t xml:space="preserve"> FNPRM</w:t>
      </w:r>
      <w:r w:rsidRPr="00D34B7D" w:rsidR="009014BD">
        <w:rPr>
          <w:szCs w:val="22"/>
        </w:rPr>
        <w:t xml:space="preserve"> </w:t>
      </w:r>
      <w:r w:rsidRPr="00D34B7D" w:rsidR="00D1680F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4"/>
      </w:r>
    </w:p>
    <w:p w:rsidR="0009599F" w:rsidRPr="00D34B7D" w:rsidP="00384E23" w14:paraId="5C170412" w14:textId="77777777">
      <w:pPr>
        <w:rPr>
          <w:szCs w:val="22"/>
        </w:rPr>
      </w:pPr>
    </w:p>
    <w:p w:rsidR="0009599F" w:rsidRPr="00D34B7D" w:rsidP="00384E23" w14:paraId="7A0405EB" w14:textId="128BD100">
      <w:pPr>
        <w:rPr>
          <w:szCs w:val="22"/>
        </w:rPr>
      </w:pPr>
      <w:r w:rsidRPr="00D34B7D">
        <w:rPr>
          <w:szCs w:val="22"/>
        </w:rPr>
        <w:tab/>
        <w:t xml:space="preserve">On </w:t>
      </w:r>
      <w:r w:rsidRPr="00D34B7D" w:rsidR="00AD0935">
        <w:rPr>
          <w:szCs w:val="22"/>
        </w:rPr>
        <w:t>March 31, 2020</w:t>
      </w:r>
      <w:r w:rsidRPr="00D34B7D">
        <w:rPr>
          <w:szCs w:val="22"/>
        </w:rPr>
        <w:t xml:space="preserve">, the Office of the Federal Register published a summary of the </w:t>
      </w:r>
      <w:r w:rsidRPr="00D34B7D" w:rsidR="00F60637">
        <w:rPr>
          <w:i/>
          <w:szCs w:val="22"/>
        </w:rPr>
        <w:t>Second</w:t>
      </w:r>
      <w:r w:rsidRPr="00D34B7D" w:rsidR="00B14521">
        <w:rPr>
          <w:i/>
          <w:szCs w:val="22"/>
        </w:rPr>
        <w:t xml:space="preserve"> FNPRM</w:t>
      </w:r>
      <w:r w:rsidRPr="00D34B7D" w:rsidR="009014BD">
        <w:rPr>
          <w:szCs w:val="22"/>
        </w:rPr>
        <w:t xml:space="preserve">, including the </w:t>
      </w:r>
      <w:r w:rsidRPr="00D34B7D">
        <w:rPr>
          <w:szCs w:val="22"/>
        </w:rPr>
        <w:t>associated comment and reply comment dates.</w:t>
      </w:r>
      <w:r>
        <w:rPr>
          <w:rStyle w:val="FootnoteReference"/>
          <w:szCs w:val="22"/>
        </w:rPr>
        <w:footnoteReference w:id="5"/>
      </w:r>
      <w:r w:rsidRPr="00D34B7D">
        <w:rPr>
          <w:szCs w:val="22"/>
        </w:rPr>
        <w:t xml:space="preserve">  </w:t>
      </w:r>
      <w:r w:rsidRPr="00D34B7D" w:rsidR="002811C1">
        <w:rPr>
          <w:szCs w:val="22"/>
        </w:rPr>
        <w:t>Accordingly, c</w:t>
      </w:r>
      <w:r w:rsidRPr="00D34B7D">
        <w:rPr>
          <w:szCs w:val="22"/>
        </w:rPr>
        <w:t xml:space="preserve">omments must be filed on or before </w:t>
      </w:r>
      <w:r w:rsidRPr="00D34B7D" w:rsidR="00FD3CAF">
        <w:rPr>
          <w:szCs w:val="22"/>
        </w:rPr>
        <w:t>April 30</w:t>
      </w:r>
      <w:r w:rsidRPr="00D34B7D">
        <w:rPr>
          <w:szCs w:val="22"/>
        </w:rPr>
        <w:t>, 20</w:t>
      </w:r>
      <w:r w:rsidRPr="00D34B7D" w:rsidR="00FD3CAF">
        <w:rPr>
          <w:szCs w:val="22"/>
        </w:rPr>
        <w:t>20</w:t>
      </w:r>
      <w:r w:rsidRPr="00D34B7D" w:rsidR="009014BD">
        <w:rPr>
          <w:szCs w:val="22"/>
        </w:rPr>
        <w:t>,</w:t>
      </w:r>
      <w:r w:rsidRPr="00D34B7D">
        <w:rPr>
          <w:szCs w:val="22"/>
        </w:rPr>
        <w:t xml:space="preserve"> and reply comments must be filed on or before </w:t>
      </w:r>
      <w:r w:rsidRPr="00D34B7D" w:rsidR="00CF08DE">
        <w:rPr>
          <w:szCs w:val="22"/>
        </w:rPr>
        <w:t xml:space="preserve">June </w:t>
      </w:r>
      <w:r w:rsidRPr="00D34B7D" w:rsidR="00034153">
        <w:rPr>
          <w:szCs w:val="22"/>
        </w:rPr>
        <w:t>1</w:t>
      </w:r>
      <w:r w:rsidRPr="00D34B7D">
        <w:rPr>
          <w:szCs w:val="22"/>
        </w:rPr>
        <w:t>, 20</w:t>
      </w:r>
      <w:r w:rsidRPr="00D34B7D" w:rsidR="003B31D7">
        <w:rPr>
          <w:szCs w:val="22"/>
        </w:rPr>
        <w:t>20</w:t>
      </w:r>
      <w:r w:rsidRPr="00D34B7D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Pr="00D34B7D">
        <w:rPr>
          <w:szCs w:val="22"/>
        </w:rPr>
        <w:t xml:space="preserve">  The </w:t>
      </w:r>
      <w:r w:rsidRPr="00D34B7D" w:rsidR="003B31D7">
        <w:rPr>
          <w:i/>
          <w:szCs w:val="22"/>
        </w:rPr>
        <w:t>Second</w:t>
      </w:r>
      <w:r w:rsidRPr="00D34B7D" w:rsidR="00814D19">
        <w:rPr>
          <w:i/>
          <w:szCs w:val="22"/>
        </w:rPr>
        <w:t xml:space="preserve"> FNPRM </w:t>
      </w:r>
      <w:r w:rsidRPr="00D34B7D">
        <w:rPr>
          <w:szCs w:val="22"/>
        </w:rPr>
        <w:t>contains comment filing instructions.</w:t>
      </w:r>
      <w:r>
        <w:rPr>
          <w:rStyle w:val="FootnoteReference"/>
          <w:szCs w:val="22"/>
        </w:rPr>
        <w:footnoteReference w:id="7"/>
      </w:r>
      <w:r w:rsidRPr="00D34B7D">
        <w:rPr>
          <w:szCs w:val="22"/>
        </w:rPr>
        <w:t xml:space="preserve"> </w:t>
      </w:r>
    </w:p>
    <w:p w:rsidR="00F7562E" w:rsidRPr="00D34B7D" w:rsidP="00384E23" w14:paraId="07641158" w14:textId="77777777">
      <w:pPr>
        <w:rPr>
          <w:szCs w:val="22"/>
        </w:rPr>
      </w:pPr>
    </w:p>
    <w:p w:rsidR="00F7562E" w:rsidRPr="00D34B7D" w:rsidP="00F7562E" w14:paraId="24FA11F2" w14:textId="04A57D60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D34B7D">
        <w:rPr>
          <w:szCs w:val="22"/>
        </w:rPr>
        <w:t xml:space="preserve">For further information, contact </w:t>
      </w:r>
      <w:r w:rsidRPr="00D34B7D" w:rsidR="003B31D7">
        <w:rPr>
          <w:szCs w:val="22"/>
        </w:rPr>
        <w:t>Saswat Misra</w:t>
      </w:r>
      <w:r w:rsidRPr="00D34B7D">
        <w:rPr>
          <w:szCs w:val="22"/>
        </w:rPr>
        <w:t>, Attorney</w:t>
      </w:r>
      <w:r w:rsidRPr="00D34B7D" w:rsidR="009014BD">
        <w:rPr>
          <w:szCs w:val="22"/>
        </w:rPr>
        <w:t xml:space="preserve"> </w:t>
      </w:r>
      <w:r w:rsidRPr="00D34B7D">
        <w:rPr>
          <w:szCs w:val="22"/>
        </w:rPr>
        <w:t xml:space="preserve">Advisor, </w:t>
      </w:r>
      <w:r w:rsidRPr="00D34B7D" w:rsidR="00B43D2C">
        <w:rPr>
          <w:szCs w:val="22"/>
        </w:rPr>
        <w:t>Cyber</w:t>
      </w:r>
      <w:r w:rsidRPr="00D34B7D" w:rsidR="00CC4DD8">
        <w:rPr>
          <w:szCs w:val="22"/>
        </w:rPr>
        <w:t>security and Communications Reliability</w:t>
      </w:r>
      <w:r w:rsidRPr="00D34B7D">
        <w:rPr>
          <w:szCs w:val="22"/>
        </w:rPr>
        <w:t xml:space="preserve"> Division, Public Safety and Homeland Security Bureau, (202) 418-</w:t>
      </w:r>
      <w:r w:rsidRPr="00D34B7D" w:rsidR="009F227F">
        <w:rPr>
          <w:szCs w:val="22"/>
        </w:rPr>
        <w:t>0944</w:t>
      </w:r>
      <w:r w:rsidRPr="00D34B7D">
        <w:rPr>
          <w:szCs w:val="22"/>
        </w:rPr>
        <w:t xml:space="preserve"> or via e-mail at </w:t>
      </w:r>
      <w:hyperlink r:id="rId5" w:history="1">
        <w:r w:rsidRPr="00D34B7D" w:rsidR="002651A0">
          <w:rPr>
            <w:rStyle w:val="Hyperlink"/>
            <w:szCs w:val="22"/>
          </w:rPr>
          <w:t>Saswat.Misra@fcc.gov</w:t>
        </w:r>
      </w:hyperlink>
      <w:r w:rsidRPr="00D34B7D" w:rsidR="003F03EE">
        <w:rPr>
          <w:szCs w:val="22"/>
        </w:rPr>
        <w:t xml:space="preserve"> or Brenda D. Villanueva, Attorney Advisor, Cybersecurity and Communications Reliability Division, Public Safety and Homeland Security Bureau, (202) 418-7005 or via email at </w:t>
      </w:r>
      <w:hyperlink r:id="rId6" w:history="1">
        <w:r w:rsidRPr="00D34B7D" w:rsidR="003F03EE">
          <w:rPr>
            <w:rStyle w:val="Hyperlink"/>
            <w:szCs w:val="22"/>
          </w:rPr>
          <w:t>Brenda.Villanueva@fcc.gov</w:t>
        </w:r>
      </w:hyperlink>
      <w:r w:rsidRPr="00D34B7D" w:rsidR="003F03EE">
        <w:rPr>
          <w:szCs w:val="22"/>
        </w:rPr>
        <w:t xml:space="preserve">. </w:t>
      </w:r>
    </w:p>
    <w:p w:rsidR="00887C0E" w:rsidRPr="00D34B7D" w:rsidP="00887C0E" w14:paraId="288F3480" w14:textId="77777777">
      <w:pPr>
        <w:jc w:val="center"/>
        <w:rPr>
          <w:szCs w:val="22"/>
        </w:rPr>
      </w:pPr>
      <w:r w:rsidRPr="00D34B7D">
        <w:rPr>
          <w:szCs w:val="22"/>
        </w:rPr>
        <w:t>--FCC--</w:t>
      </w:r>
    </w:p>
    <w:bookmarkEnd w:id="0"/>
    <w:p w:rsidR="00F7562E" w:rsidRPr="00D34B7D" w:rsidP="00384E23" w14:paraId="18DDE633" w14:textId="77777777">
      <w:pPr>
        <w:rPr>
          <w:szCs w:val="22"/>
        </w:rPr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298C32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982BA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B43526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8BF2C6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42A3D" w14:paraId="153AFC2D" w14:textId="77777777">
      <w:r>
        <w:separator/>
      </w:r>
    </w:p>
  </w:footnote>
  <w:footnote w:type="continuationSeparator" w:id="1">
    <w:p w:rsidR="00742A3D" w14:paraId="112484E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42A3D" w:rsidP="00910F12" w14:paraId="5D0988C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2811C1" w:rsidRPr="001C0A0E" w:rsidP="001C0A0E" w14:paraId="788F7DCC" w14:textId="6530DD81">
      <w:pPr>
        <w:spacing w:after="120"/>
        <w:rPr>
          <w:i/>
        </w:rPr>
      </w:pPr>
      <w:r w:rsidRPr="00897AE4">
        <w:rPr>
          <w:rStyle w:val="FootnoteReference"/>
          <w:sz w:val="20"/>
        </w:rPr>
        <w:footnoteRef/>
      </w:r>
      <w:r w:rsidRPr="00897AE4">
        <w:rPr>
          <w:sz w:val="20"/>
        </w:rPr>
        <w:t xml:space="preserve"> </w:t>
      </w:r>
      <w:r w:rsidRPr="00897AE4">
        <w:rPr>
          <w:i/>
          <w:sz w:val="20"/>
        </w:rPr>
        <w:t>Amendments to Part 4 of the Commission’s Rules Concerning Disruptions to Communications</w:t>
      </w:r>
      <w:r w:rsidRPr="00897AE4">
        <w:rPr>
          <w:sz w:val="20"/>
        </w:rPr>
        <w:t xml:space="preserve">, PS Docket No. 15-80, Second Further Notice of Proposed Rulemaking, FCC 20-20 (2020), </w:t>
      </w:r>
      <w:hyperlink r:id="rId1" w:history="1">
        <w:r w:rsidRPr="00897AE4">
          <w:rPr>
            <w:rStyle w:val="Hyperlink"/>
            <w:sz w:val="20"/>
          </w:rPr>
          <w:t>https://docs.fcc.gov/public/attachments/FCC-20-20A1.pdf</w:t>
        </w:r>
      </w:hyperlink>
      <w:r w:rsidRPr="00897AE4">
        <w:rPr>
          <w:sz w:val="20"/>
        </w:rPr>
        <w:t xml:space="preserve"> (</w:t>
      </w:r>
      <w:r w:rsidRPr="00897AE4">
        <w:rPr>
          <w:i/>
          <w:iCs/>
          <w:sz w:val="20"/>
        </w:rPr>
        <w:t>Second FNPRM</w:t>
      </w:r>
      <w:r w:rsidRPr="00897AE4">
        <w:rPr>
          <w:sz w:val="20"/>
        </w:rPr>
        <w:t xml:space="preserve">). </w:t>
      </w:r>
      <w:r w:rsidRPr="00897AE4">
        <w:rPr>
          <w:i/>
          <w:iCs/>
          <w:sz w:val="20"/>
        </w:rPr>
        <w:t> </w:t>
      </w:r>
    </w:p>
  </w:footnote>
  <w:footnote w:id="4">
    <w:p w:rsidR="00AA4590" w:rsidRPr="00897AE4" w14:paraId="16BDBC89" w14:textId="26570C33">
      <w:pPr>
        <w:pStyle w:val="FootnoteText"/>
      </w:pPr>
      <w:r w:rsidRPr="00897AE4">
        <w:rPr>
          <w:rStyle w:val="FootnoteReference"/>
          <w:sz w:val="20"/>
        </w:rPr>
        <w:footnoteRef/>
      </w:r>
      <w:r w:rsidRPr="00897AE4">
        <w:t xml:space="preserve"> </w:t>
      </w:r>
      <w:r w:rsidRPr="00897AE4" w:rsidR="00C653B6">
        <w:rPr>
          <w:i/>
        </w:rPr>
        <w:t>Id.</w:t>
      </w:r>
      <w:r w:rsidRPr="00897AE4">
        <w:t xml:space="preserve"> at para. </w:t>
      </w:r>
      <w:r w:rsidRPr="00897AE4" w:rsidR="009567D5">
        <w:t>73</w:t>
      </w:r>
      <w:r w:rsidRPr="00897AE4">
        <w:t>.</w:t>
      </w:r>
    </w:p>
  </w:footnote>
  <w:footnote w:id="5">
    <w:p w:rsidR="0009599F" w:rsidRPr="00897AE4" w14:paraId="07F69D47" w14:textId="6AD57374">
      <w:pPr>
        <w:pStyle w:val="FootnoteText"/>
      </w:pPr>
      <w:r w:rsidRPr="00897AE4">
        <w:rPr>
          <w:rStyle w:val="FootnoteReference"/>
          <w:sz w:val="20"/>
        </w:rPr>
        <w:footnoteRef/>
      </w:r>
      <w:r w:rsidRPr="00897AE4">
        <w:t xml:space="preserve"> </w:t>
      </w:r>
      <w:r w:rsidRPr="00897AE4">
        <w:rPr>
          <w:i/>
        </w:rPr>
        <w:t>See</w:t>
      </w:r>
      <w:r w:rsidRPr="00897AE4">
        <w:t xml:space="preserve"> </w:t>
      </w:r>
      <w:r w:rsidRPr="00897AE4" w:rsidR="007D2090">
        <w:t>8</w:t>
      </w:r>
      <w:r w:rsidRPr="00897AE4" w:rsidR="002D7A6D">
        <w:t>5</w:t>
      </w:r>
      <w:r w:rsidRPr="00897AE4" w:rsidR="007D2090">
        <w:t xml:space="preserve"> </w:t>
      </w:r>
      <w:r w:rsidRPr="00897AE4">
        <w:t>F</w:t>
      </w:r>
      <w:r w:rsidRPr="00897AE4" w:rsidR="00E030D2">
        <w:t xml:space="preserve">ed. </w:t>
      </w:r>
      <w:r w:rsidRPr="00897AE4">
        <w:t>R</w:t>
      </w:r>
      <w:r w:rsidRPr="00897AE4" w:rsidR="00E030D2">
        <w:t>eg.</w:t>
      </w:r>
      <w:r w:rsidRPr="00897AE4">
        <w:t xml:space="preserve"> </w:t>
      </w:r>
      <w:r w:rsidRPr="00897AE4" w:rsidR="00CF716C">
        <w:t>17818</w:t>
      </w:r>
      <w:r w:rsidRPr="00897AE4">
        <w:t xml:space="preserve"> (</w:t>
      </w:r>
      <w:r w:rsidRPr="00897AE4" w:rsidR="0067600B">
        <w:t>March 31, 2020</w:t>
      </w:r>
      <w:r w:rsidRPr="00897AE4">
        <w:t xml:space="preserve">). </w:t>
      </w:r>
    </w:p>
  </w:footnote>
  <w:footnote w:id="6">
    <w:p w:rsidR="0009599F" w:rsidRPr="00897AE4" w14:paraId="1AFC678A" w14:textId="477A5168">
      <w:pPr>
        <w:pStyle w:val="FootnoteText"/>
      </w:pPr>
      <w:r w:rsidRPr="00897AE4">
        <w:rPr>
          <w:rStyle w:val="FootnoteReference"/>
          <w:sz w:val="20"/>
        </w:rPr>
        <w:footnoteRef/>
      </w:r>
      <w:r w:rsidRPr="00897AE4">
        <w:t xml:space="preserve"> </w:t>
      </w:r>
      <w:r w:rsidRPr="00897AE4">
        <w:rPr>
          <w:i/>
        </w:rPr>
        <w:t>Id</w:t>
      </w:r>
      <w:r w:rsidRPr="00897AE4">
        <w:t xml:space="preserve">. </w:t>
      </w:r>
      <w:r w:rsidRPr="00897AE4" w:rsidR="004B6908">
        <w:t>at</w:t>
      </w:r>
      <w:r w:rsidRPr="00897AE4" w:rsidR="00F53B7E">
        <w:t xml:space="preserve"> 17819.</w:t>
      </w:r>
    </w:p>
  </w:footnote>
  <w:footnote w:id="7">
    <w:p w:rsidR="003B31D7" w14:paraId="14C61E31" w14:textId="46C4FEA0">
      <w:pPr>
        <w:pStyle w:val="FootnoteText"/>
      </w:pPr>
      <w:r w:rsidRPr="00897AE4">
        <w:rPr>
          <w:rStyle w:val="FootnoteReference"/>
          <w:sz w:val="20"/>
        </w:rPr>
        <w:footnoteRef/>
      </w:r>
      <w:r w:rsidRPr="00897AE4">
        <w:t xml:space="preserve"> </w:t>
      </w:r>
      <w:r w:rsidRPr="00897AE4" w:rsidR="00F53B7E">
        <w:rPr>
          <w:i/>
        </w:rPr>
        <w:t>Second FNPRM</w:t>
      </w:r>
      <w:r w:rsidRPr="00897AE4" w:rsidR="00F53B7E">
        <w:t xml:space="preserve"> at para. 73.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AEC5B8F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28813B4B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00CC648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716615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4E383372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5D1A689D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592C44D2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70A056E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4179.2pt,56.7pt" to="4647.2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7F664DF6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12C9E39C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3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3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662D9A48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523222F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D"/>
    <w:rsid w:val="000072CE"/>
    <w:rsid w:val="00013A8B"/>
    <w:rsid w:val="00016D05"/>
    <w:rsid w:val="00021445"/>
    <w:rsid w:val="00034153"/>
    <w:rsid w:val="00036039"/>
    <w:rsid w:val="00037F90"/>
    <w:rsid w:val="000600DA"/>
    <w:rsid w:val="00076C69"/>
    <w:rsid w:val="000875BF"/>
    <w:rsid w:val="000878E2"/>
    <w:rsid w:val="0009599F"/>
    <w:rsid w:val="00096D8C"/>
    <w:rsid w:val="000A0C05"/>
    <w:rsid w:val="000A2B53"/>
    <w:rsid w:val="000C0B65"/>
    <w:rsid w:val="000E3D42"/>
    <w:rsid w:val="000E5884"/>
    <w:rsid w:val="00122BD5"/>
    <w:rsid w:val="00181FF7"/>
    <w:rsid w:val="001979D9"/>
    <w:rsid w:val="001A6556"/>
    <w:rsid w:val="001C0A0E"/>
    <w:rsid w:val="001D6BCF"/>
    <w:rsid w:val="001D728F"/>
    <w:rsid w:val="001E01CA"/>
    <w:rsid w:val="001E1D45"/>
    <w:rsid w:val="001F574E"/>
    <w:rsid w:val="002060D9"/>
    <w:rsid w:val="00211BAE"/>
    <w:rsid w:val="002224D6"/>
    <w:rsid w:val="00226822"/>
    <w:rsid w:val="00260594"/>
    <w:rsid w:val="002651A0"/>
    <w:rsid w:val="0027240B"/>
    <w:rsid w:val="002811C1"/>
    <w:rsid w:val="002833BA"/>
    <w:rsid w:val="00285017"/>
    <w:rsid w:val="00295C4C"/>
    <w:rsid w:val="002A2D2E"/>
    <w:rsid w:val="002B27C6"/>
    <w:rsid w:val="002D7A6D"/>
    <w:rsid w:val="002F3CED"/>
    <w:rsid w:val="00343749"/>
    <w:rsid w:val="00357D50"/>
    <w:rsid w:val="003638C8"/>
    <w:rsid w:val="0038258B"/>
    <w:rsid w:val="00384E23"/>
    <w:rsid w:val="003925DC"/>
    <w:rsid w:val="003A693F"/>
    <w:rsid w:val="003B0550"/>
    <w:rsid w:val="003B31D7"/>
    <w:rsid w:val="003B694F"/>
    <w:rsid w:val="003C440B"/>
    <w:rsid w:val="003D08DD"/>
    <w:rsid w:val="003E3F35"/>
    <w:rsid w:val="003F03EE"/>
    <w:rsid w:val="003F171C"/>
    <w:rsid w:val="0040256D"/>
    <w:rsid w:val="00411104"/>
    <w:rsid w:val="00412FC5"/>
    <w:rsid w:val="00422276"/>
    <w:rsid w:val="004242F1"/>
    <w:rsid w:val="00432120"/>
    <w:rsid w:val="00445A00"/>
    <w:rsid w:val="00451B0F"/>
    <w:rsid w:val="0046125F"/>
    <w:rsid w:val="00484161"/>
    <w:rsid w:val="00487524"/>
    <w:rsid w:val="0049387B"/>
    <w:rsid w:val="00494714"/>
    <w:rsid w:val="00496106"/>
    <w:rsid w:val="004B59F5"/>
    <w:rsid w:val="004B6908"/>
    <w:rsid w:val="004C12D0"/>
    <w:rsid w:val="004C2EE3"/>
    <w:rsid w:val="004E4A22"/>
    <w:rsid w:val="00501E14"/>
    <w:rsid w:val="00511968"/>
    <w:rsid w:val="0055614C"/>
    <w:rsid w:val="005C5B0F"/>
    <w:rsid w:val="00607BA5"/>
    <w:rsid w:val="00621EBD"/>
    <w:rsid w:val="00626EB6"/>
    <w:rsid w:val="006353A3"/>
    <w:rsid w:val="00650AE6"/>
    <w:rsid w:val="00655D03"/>
    <w:rsid w:val="0067600B"/>
    <w:rsid w:val="00683F84"/>
    <w:rsid w:val="006A1627"/>
    <w:rsid w:val="006A6A81"/>
    <w:rsid w:val="006C6CC4"/>
    <w:rsid w:val="006E26AF"/>
    <w:rsid w:val="006F7393"/>
    <w:rsid w:val="0070224F"/>
    <w:rsid w:val="007115F7"/>
    <w:rsid w:val="00742A3D"/>
    <w:rsid w:val="00785689"/>
    <w:rsid w:val="0079754B"/>
    <w:rsid w:val="007A0AA5"/>
    <w:rsid w:val="007A1E6D"/>
    <w:rsid w:val="007C014C"/>
    <w:rsid w:val="007D2090"/>
    <w:rsid w:val="007E0781"/>
    <w:rsid w:val="0080747C"/>
    <w:rsid w:val="00814D19"/>
    <w:rsid w:val="00822CE0"/>
    <w:rsid w:val="00833F8B"/>
    <w:rsid w:val="00837C62"/>
    <w:rsid w:val="00841AB1"/>
    <w:rsid w:val="00847955"/>
    <w:rsid w:val="00854B01"/>
    <w:rsid w:val="00887C0E"/>
    <w:rsid w:val="00897AE4"/>
    <w:rsid w:val="008C22FD"/>
    <w:rsid w:val="008D0664"/>
    <w:rsid w:val="008D1397"/>
    <w:rsid w:val="008E21F6"/>
    <w:rsid w:val="008F207C"/>
    <w:rsid w:val="009014BD"/>
    <w:rsid w:val="00910F12"/>
    <w:rsid w:val="0092028E"/>
    <w:rsid w:val="00923310"/>
    <w:rsid w:val="00926503"/>
    <w:rsid w:val="00930ECF"/>
    <w:rsid w:val="009453FE"/>
    <w:rsid w:val="009567D5"/>
    <w:rsid w:val="009838BC"/>
    <w:rsid w:val="0099581E"/>
    <w:rsid w:val="009F227F"/>
    <w:rsid w:val="009F71C1"/>
    <w:rsid w:val="00A03E5A"/>
    <w:rsid w:val="00A45F4F"/>
    <w:rsid w:val="00A600A9"/>
    <w:rsid w:val="00A64911"/>
    <w:rsid w:val="00A866AC"/>
    <w:rsid w:val="00AA4590"/>
    <w:rsid w:val="00AA55B7"/>
    <w:rsid w:val="00AA5B9E"/>
    <w:rsid w:val="00AB2407"/>
    <w:rsid w:val="00AB53DF"/>
    <w:rsid w:val="00AC7240"/>
    <w:rsid w:val="00AD0935"/>
    <w:rsid w:val="00AF6483"/>
    <w:rsid w:val="00B07E5C"/>
    <w:rsid w:val="00B14521"/>
    <w:rsid w:val="00B326E3"/>
    <w:rsid w:val="00B43D2C"/>
    <w:rsid w:val="00B811F7"/>
    <w:rsid w:val="00B87254"/>
    <w:rsid w:val="00B956C4"/>
    <w:rsid w:val="00BA5DC6"/>
    <w:rsid w:val="00BA6196"/>
    <w:rsid w:val="00BC6D8C"/>
    <w:rsid w:val="00C040E3"/>
    <w:rsid w:val="00C16AF2"/>
    <w:rsid w:val="00C20572"/>
    <w:rsid w:val="00C2559A"/>
    <w:rsid w:val="00C31A1D"/>
    <w:rsid w:val="00C34006"/>
    <w:rsid w:val="00C426B1"/>
    <w:rsid w:val="00C6043B"/>
    <w:rsid w:val="00C653B6"/>
    <w:rsid w:val="00C82B6B"/>
    <w:rsid w:val="00C90D6A"/>
    <w:rsid w:val="00CB7BC2"/>
    <w:rsid w:val="00CC1979"/>
    <w:rsid w:val="00CC4DD8"/>
    <w:rsid w:val="00CC72B6"/>
    <w:rsid w:val="00CF08DE"/>
    <w:rsid w:val="00CF716C"/>
    <w:rsid w:val="00D0218D"/>
    <w:rsid w:val="00D1680F"/>
    <w:rsid w:val="00D216CD"/>
    <w:rsid w:val="00D21990"/>
    <w:rsid w:val="00D34B7D"/>
    <w:rsid w:val="00D862CF"/>
    <w:rsid w:val="00DA2529"/>
    <w:rsid w:val="00DB130A"/>
    <w:rsid w:val="00DC10A1"/>
    <w:rsid w:val="00DC655F"/>
    <w:rsid w:val="00DD662D"/>
    <w:rsid w:val="00DD7EBD"/>
    <w:rsid w:val="00DF62B6"/>
    <w:rsid w:val="00E02B88"/>
    <w:rsid w:val="00E030D2"/>
    <w:rsid w:val="00E07225"/>
    <w:rsid w:val="00E11356"/>
    <w:rsid w:val="00E155B7"/>
    <w:rsid w:val="00E5409F"/>
    <w:rsid w:val="00E655B6"/>
    <w:rsid w:val="00E7393C"/>
    <w:rsid w:val="00E968F2"/>
    <w:rsid w:val="00E96FF7"/>
    <w:rsid w:val="00EC0185"/>
    <w:rsid w:val="00F021FA"/>
    <w:rsid w:val="00F53B7E"/>
    <w:rsid w:val="00F57ACA"/>
    <w:rsid w:val="00F60637"/>
    <w:rsid w:val="00F62E97"/>
    <w:rsid w:val="00F64209"/>
    <w:rsid w:val="00F7562E"/>
    <w:rsid w:val="00F93BF5"/>
    <w:rsid w:val="00F96A68"/>
    <w:rsid w:val="00F96F63"/>
    <w:rsid w:val="00FB5F34"/>
    <w:rsid w:val="00FD0517"/>
    <w:rsid w:val="00FD3CAF"/>
    <w:rsid w:val="00FD70A7"/>
    <w:rsid w:val="00FF52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E2A32EF-08D7-46A0-9072-E41217B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ParaNumCharChar1">
    <w:name w:val="ParaNum Char Char1"/>
    <w:link w:val="ParaNum"/>
    <w:locked/>
    <w:rsid w:val="00F7562E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501E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416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84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6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8416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4161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484161"/>
    <w:rPr>
      <w:snapToGrid w:val="0"/>
      <w:kern w:val="28"/>
      <w:sz w:val="22"/>
    </w:rPr>
  </w:style>
  <w:style w:type="character" w:styleId="Emphasis">
    <w:name w:val="Emphasis"/>
    <w:uiPriority w:val="20"/>
    <w:qFormat/>
    <w:rsid w:val="003F0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Saswat.Misra@fcc.gov" TargetMode="External" /><Relationship Id="rId6" Type="http://schemas.openxmlformats.org/officeDocument/2006/relationships/hyperlink" Target="mailto:Brenda.Villanueva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20-20A1.pdf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