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4C2EE3" w14:paraId="21297F0C" w14:textId="77777777">
      <w:pPr>
        <w:jc w:val="center"/>
        <w:rPr>
          <w:b/>
        </w:rPr>
      </w:pPr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P="00921803" w14:paraId="4FFBB3C5" w14:textId="77777777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P="00096D8C" w14:paraId="062C6031" w14:textId="77777777">
      <w:pPr>
        <w:pStyle w:val="StyleBoldCentered"/>
      </w:pPr>
      <w:r>
        <w:rPr>
          <w:caps w:val="0"/>
        </w:rPr>
        <w:t>Washington, D.C. 20554</w:t>
      </w:r>
    </w:p>
    <w:p w:rsidR="004C2EE3" w:rsidP="0070224F" w14:paraId="6F72E02F" w14:textId="77777777"/>
    <w:p w:rsidR="004C2EE3" w:rsidP="0070224F" w14:paraId="250F679B" w14:textId="77777777"/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75F3C1C2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4C2EE3" w14:paraId="5B067AF3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14:paraId="22A7ADB9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Pr="007115F7" w:rsidP="007115F7" w14:paraId="15C045D6" w14:textId="52E8E7AF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Protecting Against National Security Threats to the Communications Supply Chain Through FCC Programs</w:t>
            </w:r>
          </w:p>
        </w:tc>
        <w:tc>
          <w:tcPr>
            <w:tcW w:w="630" w:type="dxa"/>
          </w:tcPr>
          <w:p w:rsidR="004C2EE3" w14:paraId="0C43DBFE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225B4A0F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2334F06D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40F84A4F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104781D5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6CD63F9B" w14:textId="2763FFE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7F5D52" w14:paraId="425D5D85" w14:textId="12D982EC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76DCDC26" w14:textId="1989B24A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4248" w:type="dxa"/>
          </w:tcPr>
          <w:p w:rsidR="004C2EE3" w14:paraId="11F68E93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14:paraId="3AC85F1D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4C2EE3" w14:paraId="33F5C0D7" w14:textId="4AD288D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WC Docket No. 18-89</w:t>
            </w:r>
          </w:p>
        </w:tc>
      </w:tr>
    </w:tbl>
    <w:p w:rsidR="004C2EE3" w:rsidP="0070224F" w14:paraId="235D1E86" w14:textId="77777777"/>
    <w:p w:rsidR="00841AB1" w:rsidP="00F021FA" w14:paraId="4668B5A6" w14:textId="2746B796">
      <w:pPr>
        <w:pStyle w:val="StyleBoldCentered"/>
      </w:pPr>
      <w:r>
        <w:t>Order</w:t>
      </w:r>
      <w:r w:rsidR="05F12613">
        <w:t xml:space="preserve"> </w:t>
      </w:r>
    </w:p>
    <w:p w:rsidR="004C2EE3" w14:paraId="3A0D7945" w14:textId="77777777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P="00133F79" w14:paraId="31F22F59" w14:textId="024EC2E4">
      <w:pPr>
        <w:tabs>
          <w:tab w:val="left" w:pos="720"/>
          <w:tab w:val="right" w:pos="9360"/>
        </w:tabs>
        <w:suppressAutoHyphens/>
        <w:spacing w:line="227" w:lineRule="auto"/>
        <w:rPr>
          <w:b/>
          <w:spacing w:val="-2"/>
        </w:rPr>
      </w:pPr>
      <w:r>
        <w:rPr>
          <w:b/>
          <w:spacing w:val="-2"/>
        </w:rPr>
        <w:t xml:space="preserve">Adopted:  </w:t>
      </w:r>
      <w:r w:rsidR="007F5D52">
        <w:rPr>
          <w:b/>
          <w:spacing w:val="-2"/>
        </w:rPr>
        <w:t>April 2, 2020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7F5D52">
        <w:rPr>
          <w:b/>
          <w:spacing w:val="-2"/>
        </w:rPr>
        <w:t>April 2, 2020</w:t>
      </w:r>
    </w:p>
    <w:p w:rsidR="00B83E13" w:rsidP="00133F79" w14:paraId="23531A30" w14:textId="77777777">
      <w:pPr>
        <w:tabs>
          <w:tab w:val="left" w:pos="720"/>
          <w:tab w:val="right" w:pos="9360"/>
        </w:tabs>
        <w:suppressAutoHyphens/>
        <w:spacing w:line="227" w:lineRule="auto"/>
        <w:rPr>
          <w:b/>
          <w:spacing w:val="-2"/>
        </w:rPr>
      </w:pPr>
    </w:p>
    <w:p w:rsidR="00B83E13" w:rsidP="00133F79" w14:paraId="6356CDCC" w14:textId="1BBE8F45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>Response Date: May 22, 2020</w:t>
      </w:r>
    </w:p>
    <w:p w:rsidR="00822CE0" w14:paraId="330F36A9" w14:textId="77777777"/>
    <w:p w:rsidR="004C2EE3" w14:paraId="69B0B640" w14:textId="0B2AE641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ED269D">
        <w:rPr>
          <w:spacing w:val="-2"/>
        </w:rPr>
        <w:t>Chief, Wireline Competition Bureau and</w:t>
      </w:r>
      <w:r w:rsidR="00281E58">
        <w:rPr>
          <w:spacing w:val="-2"/>
        </w:rPr>
        <w:t xml:space="preserve"> the Acting Chief,</w:t>
      </w:r>
      <w:r w:rsidR="00ED269D">
        <w:rPr>
          <w:spacing w:val="-2"/>
        </w:rPr>
        <w:t xml:space="preserve"> Office of Economics and Analytics</w:t>
      </w:r>
      <w:r>
        <w:rPr>
          <w:spacing w:val="-2"/>
        </w:rPr>
        <w:t>:</w:t>
      </w:r>
    </w:p>
    <w:p w:rsidR="00822CE0" w14:paraId="3B4CB2AE" w14:textId="77777777">
      <w:pPr>
        <w:rPr>
          <w:spacing w:val="-2"/>
        </w:rPr>
      </w:pPr>
    </w:p>
    <w:p w:rsidR="006A2593" w:rsidP="006A2593" w14:paraId="65BB7F59" w14:textId="39640B7B">
      <w:pPr>
        <w:pStyle w:val="ParaNum"/>
      </w:pPr>
      <w:r>
        <w:t xml:space="preserve">By </w:t>
      </w:r>
      <w:r w:rsidR="00ED269D">
        <w:t>this Order</w:t>
      </w:r>
      <w:r>
        <w:t>,</w:t>
      </w:r>
      <w:r w:rsidR="00ED269D">
        <w:t xml:space="preserve"> the Wireline Competition Bureau (WCB) and </w:t>
      </w:r>
      <w:r w:rsidR="00C10C87">
        <w:t xml:space="preserve">the </w:t>
      </w:r>
      <w:r w:rsidR="00ED269D">
        <w:t>Office of Economics and Analytics (OEA) grant</w:t>
      </w:r>
      <w:r w:rsidR="00374CFF">
        <w:t xml:space="preserve"> a</w:t>
      </w:r>
      <w:r w:rsidR="0035404D">
        <w:t xml:space="preserve"> 30-day </w:t>
      </w:r>
      <w:r w:rsidR="00D83041">
        <w:t xml:space="preserve">extension of time </w:t>
      </w:r>
      <w:r w:rsidR="00C178A3">
        <w:t xml:space="preserve">for filers to </w:t>
      </w:r>
      <w:r w:rsidR="00C26F3B">
        <w:t xml:space="preserve">complete the </w:t>
      </w:r>
      <w:r w:rsidRPr="00563F91" w:rsidR="00B83E13">
        <w:t>Supply Chain Information Collection</w:t>
      </w:r>
      <w:r w:rsidR="00B83E13">
        <w:t>.</w:t>
      </w:r>
      <w:r>
        <w:rPr>
          <w:rStyle w:val="FootnoteReference"/>
        </w:rPr>
        <w:footnoteReference w:id="3"/>
      </w:r>
      <w:r w:rsidR="008A4B7A">
        <w:t xml:space="preserve">  With this extension, responses to the </w:t>
      </w:r>
      <w:r w:rsidRPr="00520987" w:rsidR="008A4B7A">
        <w:t>Supply Chain Information Collection</w:t>
      </w:r>
      <w:r w:rsidR="008A4B7A">
        <w:t xml:space="preserve"> are due on May 22, 2020.</w:t>
      </w:r>
    </w:p>
    <w:p w:rsidR="00AA547C" w14:paraId="79EF11C1" w14:textId="5CEC1300">
      <w:pPr>
        <w:pStyle w:val="ParaNum"/>
      </w:pPr>
      <w:r>
        <w:t xml:space="preserve">On November 26, 2019, the </w:t>
      </w:r>
      <w:r w:rsidR="00DE2D15">
        <w:t xml:space="preserve">Commission </w:t>
      </w:r>
      <w:r w:rsidR="00506D9C">
        <w:t>adopted</w:t>
      </w:r>
      <w:r w:rsidR="00042DD1">
        <w:t xml:space="preserve"> the </w:t>
      </w:r>
      <w:r w:rsidR="00042DD1">
        <w:rPr>
          <w:i/>
          <w:iCs/>
        </w:rPr>
        <w:t>Protecting Against National Security Threats to the Communications Supply Chain Through FCC Pro</w:t>
      </w:r>
      <w:r w:rsidR="007C1733">
        <w:rPr>
          <w:i/>
          <w:iCs/>
        </w:rPr>
        <w:t>g</w:t>
      </w:r>
      <w:r w:rsidR="00042DD1">
        <w:rPr>
          <w:i/>
          <w:iCs/>
        </w:rPr>
        <w:t>rams Report and Order</w:t>
      </w:r>
      <w:r w:rsidR="00042DD1">
        <w:t>, which</w:t>
      </w:r>
      <w:r w:rsidR="00D93C39">
        <w:t>, among other things,</w:t>
      </w:r>
      <w:r w:rsidR="009A5DCF">
        <w:t xml:space="preserve"> </w:t>
      </w:r>
      <w:r w:rsidR="006F6C38">
        <w:t xml:space="preserve">directed WCB and OEA to </w:t>
      </w:r>
      <w:r w:rsidR="00EB309B">
        <w:t>establish an information collection for</w:t>
      </w:r>
      <w:r w:rsidR="009A5DCF">
        <w:t xml:space="preserve"> </w:t>
      </w:r>
      <w:r w:rsidR="00D67C2E">
        <w:t>e</w:t>
      </w:r>
      <w:r w:rsidR="009A5DCF">
        <w:t xml:space="preserve">ligible </w:t>
      </w:r>
      <w:r w:rsidR="00D67C2E">
        <w:t>t</w:t>
      </w:r>
      <w:r w:rsidR="009A5DCF">
        <w:t xml:space="preserve">elecommunications </w:t>
      </w:r>
      <w:r w:rsidR="00D67C2E">
        <w:t>c</w:t>
      </w:r>
      <w:r w:rsidR="009A5DCF">
        <w:t xml:space="preserve">arriers </w:t>
      </w:r>
      <w:r w:rsidR="00953B3E">
        <w:t xml:space="preserve">(ETCs) </w:t>
      </w:r>
      <w:r w:rsidR="009A5DCF">
        <w:t xml:space="preserve">to </w:t>
      </w:r>
      <w:r w:rsidR="009A5DCF">
        <w:rPr>
          <w:rStyle w:val="normaltextrun"/>
          <w:color w:val="000000"/>
          <w:shd w:val="clear" w:color="auto" w:fill="FFFFFF"/>
        </w:rPr>
        <w:t>report whether they </w:t>
      </w:r>
      <w:r w:rsidR="00D67C2E">
        <w:rPr>
          <w:rStyle w:val="normaltextrun"/>
          <w:color w:val="000000"/>
          <w:shd w:val="clear" w:color="auto" w:fill="FFFFFF"/>
        </w:rPr>
        <w:t xml:space="preserve">own or use </w:t>
      </w:r>
      <w:r w:rsidR="00F62A47">
        <w:rPr>
          <w:rStyle w:val="normaltextrun"/>
          <w:color w:val="000000"/>
          <w:shd w:val="clear" w:color="auto" w:fill="FFFFFF"/>
        </w:rPr>
        <w:t xml:space="preserve">potentially prohibited equipment or services provided by </w:t>
      </w:r>
      <w:r w:rsidR="009A5DCF">
        <w:rPr>
          <w:rStyle w:val="normaltextrun"/>
          <w:color w:val="000000"/>
          <w:shd w:val="clear" w:color="auto" w:fill="FFFFFF"/>
        </w:rPr>
        <w:t xml:space="preserve">Huawei </w:t>
      </w:r>
      <w:r w:rsidR="0066794B">
        <w:rPr>
          <w:rStyle w:val="normaltextrun"/>
          <w:color w:val="000000"/>
          <w:shd w:val="clear" w:color="auto" w:fill="FFFFFF"/>
        </w:rPr>
        <w:t xml:space="preserve">Technologies Company </w:t>
      </w:r>
      <w:r w:rsidR="009A5DCF">
        <w:rPr>
          <w:rStyle w:val="normaltextrun"/>
          <w:color w:val="000000"/>
          <w:shd w:val="clear" w:color="auto" w:fill="FFFFFF"/>
        </w:rPr>
        <w:t xml:space="preserve">or ZTE </w:t>
      </w:r>
      <w:r w:rsidR="000D3428">
        <w:rPr>
          <w:rStyle w:val="normaltextrun"/>
          <w:color w:val="000000"/>
          <w:shd w:val="clear" w:color="auto" w:fill="FFFFFF"/>
        </w:rPr>
        <w:t>Corporation</w:t>
      </w:r>
      <w:r w:rsidR="00F62A47">
        <w:rPr>
          <w:rStyle w:val="normaltextrun"/>
          <w:color w:val="000000"/>
          <w:shd w:val="clear" w:color="auto" w:fill="FFFFFF"/>
        </w:rPr>
        <w:t xml:space="preserve">, their subsidiaries, parents, or affiliates, </w:t>
      </w:r>
      <w:r w:rsidR="009A5DCF">
        <w:rPr>
          <w:rStyle w:val="normaltextrun"/>
          <w:color w:val="000000"/>
          <w:shd w:val="clear" w:color="auto" w:fill="FFFFFF"/>
        </w:rPr>
        <w:t>in their networks</w:t>
      </w:r>
      <w:r w:rsidR="00F62A47">
        <w:rPr>
          <w:rStyle w:val="normaltextrun"/>
          <w:color w:val="000000"/>
          <w:shd w:val="clear" w:color="auto" w:fill="FFFFFF"/>
        </w:rPr>
        <w:t>;</w:t>
      </w:r>
      <w:r w:rsidR="00ED184C">
        <w:rPr>
          <w:rStyle w:val="normaltextrun"/>
          <w:color w:val="000000"/>
          <w:shd w:val="clear" w:color="auto" w:fill="FFFFFF"/>
        </w:rPr>
        <w:t xml:space="preserve"> what th</w:t>
      </w:r>
      <w:r w:rsidR="00F62A47">
        <w:rPr>
          <w:rStyle w:val="normaltextrun"/>
          <w:color w:val="000000"/>
          <w:shd w:val="clear" w:color="auto" w:fill="FFFFFF"/>
        </w:rPr>
        <w:t>at</w:t>
      </w:r>
      <w:r w:rsidR="00ED184C">
        <w:rPr>
          <w:rStyle w:val="normaltextrun"/>
          <w:color w:val="000000"/>
          <w:shd w:val="clear" w:color="auto" w:fill="FFFFFF"/>
        </w:rPr>
        <w:t xml:space="preserve"> equipment is and what those services are</w:t>
      </w:r>
      <w:r w:rsidR="00D67C2E">
        <w:rPr>
          <w:rStyle w:val="normaltextrun"/>
          <w:color w:val="000000"/>
          <w:shd w:val="clear" w:color="auto" w:fill="FFFFFF"/>
        </w:rPr>
        <w:t>;</w:t>
      </w:r>
      <w:r w:rsidR="003F38E3">
        <w:rPr>
          <w:rStyle w:val="normaltextrun"/>
          <w:color w:val="000000"/>
          <w:shd w:val="clear" w:color="auto" w:fill="FFFFFF"/>
        </w:rPr>
        <w:t xml:space="preserve"> the cost</w:t>
      </w:r>
      <w:r w:rsidR="003829B4">
        <w:rPr>
          <w:rStyle w:val="normaltextrun"/>
          <w:color w:val="000000"/>
          <w:shd w:val="clear" w:color="auto" w:fill="FFFFFF"/>
        </w:rPr>
        <w:t>s</w:t>
      </w:r>
      <w:r w:rsidR="003F38E3">
        <w:rPr>
          <w:rStyle w:val="normaltextrun"/>
          <w:color w:val="000000"/>
          <w:shd w:val="clear" w:color="auto" w:fill="FFFFFF"/>
        </w:rPr>
        <w:t xml:space="preserve"> </w:t>
      </w:r>
      <w:r w:rsidR="00D67C2E">
        <w:rPr>
          <w:rStyle w:val="normaltextrun"/>
          <w:color w:val="000000"/>
          <w:shd w:val="clear" w:color="auto" w:fill="FFFFFF"/>
        </w:rPr>
        <w:t xml:space="preserve">associated with purchasing or installing </w:t>
      </w:r>
      <w:r w:rsidR="003F38E3">
        <w:rPr>
          <w:rStyle w:val="normaltextrun"/>
          <w:color w:val="000000"/>
          <w:shd w:val="clear" w:color="auto" w:fill="FFFFFF"/>
        </w:rPr>
        <w:t>such equipment or services</w:t>
      </w:r>
      <w:r w:rsidR="00D67C2E">
        <w:rPr>
          <w:rStyle w:val="normaltextrun"/>
          <w:color w:val="000000"/>
          <w:shd w:val="clear" w:color="auto" w:fill="FFFFFF"/>
        </w:rPr>
        <w:t>;</w:t>
      </w:r>
      <w:r w:rsidR="009A5DCF">
        <w:rPr>
          <w:rStyle w:val="normaltextrun"/>
          <w:color w:val="000000"/>
          <w:shd w:val="clear" w:color="auto" w:fill="FFFFFF"/>
        </w:rPr>
        <w:t xml:space="preserve"> and </w:t>
      </w:r>
      <w:r w:rsidR="003829B4">
        <w:rPr>
          <w:rStyle w:val="normaltextrun"/>
          <w:color w:val="000000"/>
          <w:shd w:val="clear" w:color="auto" w:fill="FFFFFF"/>
        </w:rPr>
        <w:t xml:space="preserve">the </w:t>
      </w:r>
      <w:r w:rsidR="009A5DCF">
        <w:rPr>
          <w:rStyle w:val="normaltextrun"/>
          <w:color w:val="000000"/>
          <w:shd w:val="clear" w:color="auto" w:fill="FFFFFF"/>
        </w:rPr>
        <w:t>cost</w:t>
      </w:r>
      <w:r w:rsidR="003829B4">
        <w:rPr>
          <w:rStyle w:val="normaltextrun"/>
          <w:color w:val="000000"/>
          <w:shd w:val="clear" w:color="auto" w:fill="FFFFFF"/>
        </w:rPr>
        <w:t>s</w:t>
      </w:r>
      <w:r w:rsidR="009A5DCF">
        <w:rPr>
          <w:rStyle w:val="normaltextrun"/>
          <w:color w:val="000000"/>
          <w:shd w:val="clear" w:color="auto" w:fill="FFFFFF"/>
        </w:rPr>
        <w:t xml:space="preserve"> </w:t>
      </w:r>
      <w:r w:rsidR="00D67C2E">
        <w:rPr>
          <w:rStyle w:val="normaltextrun"/>
          <w:color w:val="000000"/>
          <w:shd w:val="clear" w:color="auto" w:fill="FFFFFF"/>
        </w:rPr>
        <w:t xml:space="preserve">associated with removing or </w:t>
      </w:r>
      <w:r w:rsidR="009A5DCF">
        <w:rPr>
          <w:rStyle w:val="normaltextrun"/>
          <w:color w:val="000000"/>
          <w:shd w:val="clear" w:color="auto" w:fill="FFFFFF"/>
        </w:rPr>
        <w:t>replac</w:t>
      </w:r>
      <w:r w:rsidR="00D67C2E">
        <w:rPr>
          <w:rStyle w:val="normaltextrun"/>
          <w:color w:val="000000"/>
          <w:shd w:val="clear" w:color="auto" w:fill="FFFFFF"/>
        </w:rPr>
        <w:t>ing</w:t>
      </w:r>
      <w:r w:rsidR="009A5DCF">
        <w:rPr>
          <w:rStyle w:val="normaltextrun"/>
          <w:color w:val="000000"/>
          <w:shd w:val="clear" w:color="auto" w:fill="FFFFFF"/>
        </w:rPr>
        <w:t xml:space="preserve"> such equipment</w:t>
      </w:r>
      <w:r w:rsidR="003F38E3">
        <w:rPr>
          <w:rStyle w:val="normaltextrun"/>
          <w:color w:val="000000"/>
          <w:shd w:val="clear" w:color="auto" w:fill="FFFFFF"/>
        </w:rPr>
        <w:t xml:space="preserve"> or services</w:t>
      </w:r>
      <w:r w:rsidR="0071675E">
        <w:rPr>
          <w:rStyle w:val="normaltextrun"/>
          <w:color w:val="000000"/>
          <w:shd w:val="clear" w:color="auto" w:fill="FFFFFF"/>
        </w:rPr>
        <w:t>.</w:t>
      </w:r>
      <w:r>
        <w:rPr>
          <w:rStyle w:val="FootnoteReference"/>
          <w:shd w:val="clear" w:color="auto" w:fill="FFFFFF"/>
        </w:rPr>
        <w:footnoteReference w:id="4"/>
      </w:r>
      <w:r w:rsidR="00214CDC">
        <w:t xml:space="preserve"> </w:t>
      </w:r>
      <w:r w:rsidR="002B35DA">
        <w:t xml:space="preserve"> </w:t>
      </w:r>
      <w:r w:rsidR="006A2593">
        <w:t xml:space="preserve">On February 26, 2020, WCB and OEA </w:t>
      </w:r>
      <w:r w:rsidR="006640CD">
        <w:t>announced that</w:t>
      </w:r>
      <w:r w:rsidR="00B53027">
        <w:t xml:space="preserve"> the</w:t>
      </w:r>
      <w:r w:rsidR="006640CD">
        <w:t xml:space="preserve"> </w:t>
      </w:r>
      <w:r w:rsidR="00FB1BB0">
        <w:t xml:space="preserve">Supply Chain Information Collection had begun and that </w:t>
      </w:r>
      <w:r w:rsidR="008C0CDE">
        <w:t xml:space="preserve">ETCs </w:t>
      </w:r>
      <w:r w:rsidR="003829B4">
        <w:t xml:space="preserve">must </w:t>
      </w:r>
      <w:r w:rsidR="003B637E">
        <w:t xml:space="preserve">report </w:t>
      </w:r>
      <w:r w:rsidR="003829B4">
        <w:t xml:space="preserve">the required information through the portal </w:t>
      </w:r>
      <w:r w:rsidR="00ED184C">
        <w:t xml:space="preserve">established for this purpose </w:t>
      </w:r>
      <w:r w:rsidR="00F1416F">
        <w:t xml:space="preserve">by </w:t>
      </w:r>
      <w:r w:rsidR="006A2593">
        <w:t>April 22, 2020.</w:t>
      </w:r>
      <w:r>
        <w:rPr>
          <w:rStyle w:val="FootnoteReference"/>
        </w:rPr>
        <w:footnoteReference w:id="5"/>
      </w:r>
      <w:r w:rsidR="006A2593">
        <w:t xml:space="preserve">  </w:t>
      </w:r>
    </w:p>
    <w:p w:rsidR="00810076" w:rsidP="00ED65AA" w14:paraId="50E052A2" w14:textId="415AC288">
      <w:pPr>
        <w:pStyle w:val="ParaNum"/>
      </w:pPr>
      <w:r>
        <w:t xml:space="preserve">On March 24, 2020, </w:t>
      </w:r>
      <w:r w:rsidR="0003674B">
        <w:t>the Rural Wireless Association (</w:t>
      </w:r>
      <w:r>
        <w:t>RWA</w:t>
      </w:r>
      <w:r w:rsidR="0003674B">
        <w:t>)</w:t>
      </w:r>
      <w:r>
        <w:t xml:space="preserve"> </w:t>
      </w:r>
      <w:r w:rsidR="0003674B">
        <w:t>requested</w:t>
      </w:r>
      <w:r>
        <w:t xml:space="preserve"> </w:t>
      </w:r>
      <w:r w:rsidR="00AD1EDF">
        <w:t>that WCB and OEA extend</w:t>
      </w:r>
      <w:r w:rsidR="005E3573">
        <w:t xml:space="preserve"> the</w:t>
      </w:r>
      <w:r w:rsidR="0003674B">
        <w:t xml:space="preserve"> </w:t>
      </w:r>
      <w:r w:rsidR="00A967A8">
        <w:t>Supply Chain Information</w:t>
      </w:r>
      <w:r w:rsidR="005E3573">
        <w:t xml:space="preserve"> Collection d</w:t>
      </w:r>
      <w:r w:rsidR="00A967A8">
        <w:t>eadline</w:t>
      </w:r>
      <w:r>
        <w:t xml:space="preserve"> </w:t>
      </w:r>
      <w:r w:rsidR="00D63698">
        <w:t xml:space="preserve">by </w:t>
      </w:r>
      <w:r>
        <w:t>eight weeks to June 22, 2020</w:t>
      </w:r>
      <w:r w:rsidR="00236427">
        <w:t xml:space="preserve"> </w:t>
      </w:r>
      <w:r w:rsidR="006F004B">
        <w:t>because of complications arising from the COVID-19 pandemic.</w:t>
      </w:r>
      <w:r>
        <w:rPr>
          <w:rStyle w:val="FootnoteReference"/>
        </w:rPr>
        <w:footnoteReference w:id="6"/>
      </w:r>
      <w:r w:rsidR="006F004B">
        <w:t xml:space="preserve">  RWA </w:t>
      </w:r>
      <w:r w:rsidR="007F6B7F">
        <w:t xml:space="preserve">asserts that </w:t>
      </w:r>
      <w:r w:rsidR="006F004B">
        <w:t xml:space="preserve">the pandemic has caused </w:t>
      </w:r>
      <w:r w:rsidR="005F1396">
        <w:t xml:space="preserve">its </w:t>
      </w:r>
      <w:r w:rsidR="006F004B">
        <w:t xml:space="preserve">“member ETCs to devote substantial time and resources away from compliance with regulatory reporting obligations to numerous pandemic-related urgent new </w:t>
      </w:r>
      <w:bookmarkStart w:id="0" w:name="_GoBack"/>
      <w:bookmarkEnd w:id="0"/>
      <w:r w:rsidR="006F004B">
        <w:t>activities</w:t>
      </w:r>
      <w:r w:rsidR="00DB27F7">
        <w:t>,</w:t>
      </w:r>
      <w:r w:rsidR="006F004B">
        <w:t>”</w:t>
      </w:r>
      <w:r w:rsidR="00DB27F7">
        <w:t xml:space="preserve"> including </w:t>
      </w:r>
      <w:r w:rsidR="00327CC1">
        <w:t>reconfiguring their networks to accommodate increased demand for telecommunications services, and devot</w:t>
      </w:r>
      <w:r w:rsidR="006A2678">
        <w:t>ing</w:t>
      </w:r>
      <w:r w:rsidR="00327CC1">
        <w:t xml:space="preserve"> resources to their own business continuity issues.</w:t>
      </w:r>
      <w:r>
        <w:rPr>
          <w:rStyle w:val="FootnoteReference"/>
        </w:rPr>
        <w:footnoteReference w:id="7"/>
      </w:r>
      <w:r w:rsidR="006F004B">
        <w:t xml:space="preserve">  As a result, RWA </w:t>
      </w:r>
      <w:r w:rsidR="00835D0B">
        <w:t>argue</w:t>
      </w:r>
      <w:r w:rsidR="00D47FA0">
        <w:t>s</w:t>
      </w:r>
      <w:r w:rsidR="00835D0B">
        <w:t xml:space="preserve"> </w:t>
      </w:r>
      <w:r w:rsidR="006F004B">
        <w:t xml:space="preserve">its members do not have enough time to complete </w:t>
      </w:r>
      <w:r w:rsidR="00F51B5A">
        <w:t>the</w:t>
      </w:r>
      <w:r w:rsidR="006F004B">
        <w:t xml:space="preserve"> information collection.</w:t>
      </w:r>
      <w:r>
        <w:rPr>
          <w:rStyle w:val="FootnoteReference"/>
        </w:rPr>
        <w:footnoteReference w:id="8"/>
      </w:r>
      <w:r w:rsidR="006F004B">
        <w:t xml:space="preserve">  RWA</w:t>
      </w:r>
      <w:r w:rsidR="00F51B5A">
        <w:t xml:space="preserve"> also contend</w:t>
      </w:r>
      <w:r w:rsidR="00D47FA0">
        <w:t>s</w:t>
      </w:r>
      <w:r w:rsidR="00F51B5A">
        <w:t xml:space="preserve"> that its</w:t>
      </w:r>
      <w:r w:rsidR="006F004B">
        <w:t xml:space="preserve"> members are missing information from vendors needed to complete </w:t>
      </w:r>
      <w:r w:rsidR="00F51B5A">
        <w:t xml:space="preserve">the </w:t>
      </w:r>
      <w:r w:rsidR="006F004B">
        <w:t>information collection, as these vendors are also adversely impacted by the C</w:t>
      </w:r>
      <w:r w:rsidR="00A1200B">
        <w:t>OVID</w:t>
      </w:r>
      <w:r w:rsidR="006F004B">
        <w:t>-19 pandemic.</w:t>
      </w:r>
      <w:r>
        <w:rPr>
          <w:rStyle w:val="FootnoteReference"/>
        </w:rPr>
        <w:footnoteReference w:id="9"/>
      </w:r>
      <w:r w:rsidR="008B7B08">
        <w:t xml:space="preserve">  </w:t>
      </w:r>
    </w:p>
    <w:p w:rsidR="009E0EAF" w:rsidP="00ED65AA" w14:paraId="50960D89" w14:textId="48203176">
      <w:pPr>
        <w:pStyle w:val="ParaNum"/>
      </w:pPr>
      <w:r>
        <w:t xml:space="preserve">On March 27, 2020, USTelecom </w:t>
      </w:r>
      <w:r w:rsidR="00ED184C">
        <w:t xml:space="preserve">filed </w:t>
      </w:r>
      <w:r w:rsidR="00531D00">
        <w:t xml:space="preserve">two </w:t>
      </w:r>
      <w:r>
        <w:t xml:space="preserve">letters </w:t>
      </w:r>
      <w:r w:rsidR="00ED184C">
        <w:t xml:space="preserve">with </w:t>
      </w:r>
      <w:r>
        <w:t>the Commission</w:t>
      </w:r>
      <w:r w:rsidR="003829B4">
        <w:t xml:space="preserve">, the first </w:t>
      </w:r>
      <w:r>
        <w:t>requesting the Commission waive or postpone the April 22</w:t>
      </w:r>
      <w:r w:rsidR="00531D00">
        <w:t>, 2020</w:t>
      </w:r>
      <w:r>
        <w:t xml:space="preserve"> Supply Chain Information Collection deadline</w:t>
      </w:r>
      <w:r w:rsidR="00531D00">
        <w:t xml:space="preserve"> because of the pandemic</w:t>
      </w:r>
      <w:r w:rsidR="00F62A47">
        <w:t>,</w:t>
      </w:r>
      <w:r>
        <w:rPr>
          <w:rStyle w:val="FootnoteReference"/>
        </w:rPr>
        <w:footnoteReference w:id="10"/>
      </w:r>
      <w:r>
        <w:t xml:space="preserve"> and </w:t>
      </w:r>
      <w:r w:rsidR="003829B4">
        <w:t>the second</w:t>
      </w:r>
      <w:r w:rsidR="00531D00">
        <w:t xml:space="preserve"> </w:t>
      </w:r>
      <w:r>
        <w:t>expressing support for RWA’s request.</w:t>
      </w:r>
      <w:r>
        <w:rPr>
          <w:rStyle w:val="FootnoteReference"/>
        </w:rPr>
        <w:footnoteReference w:id="11"/>
      </w:r>
      <w:r w:rsidR="00531D00">
        <w:t xml:space="preserve">  USTelecom claim</w:t>
      </w:r>
      <w:r w:rsidR="00D47FA0">
        <w:t>s</w:t>
      </w:r>
      <w:r w:rsidR="00531D00">
        <w:t xml:space="preserve"> </w:t>
      </w:r>
      <w:r w:rsidR="007F6B7F">
        <w:t xml:space="preserve">that </w:t>
      </w:r>
      <w:r w:rsidR="00531D00">
        <w:t>its member</w:t>
      </w:r>
      <w:r w:rsidR="00ED184C">
        <w:t xml:space="preserve"> companie</w:t>
      </w:r>
      <w:r w:rsidR="00531D00">
        <w:t xml:space="preserve">s’ engineers and officers responsible for completing the </w:t>
      </w:r>
      <w:r w:rsidR="007F6B7F">
        <w:t xml:space="preserve">information collection </w:t>
      </w:r>
      <w:r w:rsidR="00531D00">
        <w:t>“are now fully occupied with the greater mission of serving their customers . . . necessitating more time to complete the information request.”</w:t>
      </w:r>
      <w:r>
        <w:rPr>
          <w:rStyle w:val="FootnoteReference"/>
        </w:rPr>
        <w:footnoteReference w:id="12"/>
      </w:r>
      <w:r>
        <w:t xml:space="preserve">  </w:t>
      </w:r>
    </w:p>
    <w:p w:rsidR="00246D3A" w:rsidP="00ED65AA" w14:paraId="126A5F92" w14:textId="497461E9">
      <w:pPr>
        <w:pStyle w:val="ParaNum"/>
      </w:pPr>
      <w:r>
        <w:t>On April 1, 2020, NTCA filed a letter with the Commission expressing support for RWA’s request.</w:t>
      </w:r>
      <w:r>
        <w:rPr>
          <w:rStyle w:val="FootnoteReference"/>
        </w:rPr>
        <w:footnoteReference w:id="13"/>
      </w:r>
      <w:r>
        <w:t xml:space="preserve">  NTCA </w:t>
      </w:r>
      <w:r w:rsidR="009E0EAF">
        <w:t>states that</w:t>
      </w:r>
      <w:r>
        <w:t xml:space="preserve"> employees </w:t>
      </w:r>
      <w:r w:rsidR="009E0EAF">
        <w:t>who</w:t>
      </w:r>
      <w:r>
        <w:t xml:space="preserve"> would </w:t>
      </w:r>
      <w:r w:rsidR="009E0EAF">
        <w:t xml:space="preserve">have </w:t>
      </w:r>
      <w:r>
        <w:t>normally prepare</w:t>
      </w:r>
      <w:r w:rsidR="009E0EAF">
        <w:t>d</w:t>
      </w:r>
      <w:r>
        <w:t xml:space="preserve"> the information necessary to complete the Supply Chain Information Collection </w:t>
      </w:r>
      <w:r w:rsidR="009E0EAF">
        <w:t xml:space="preserve">are currently needed to </w:t>
      </w:r>
      <w:r w:rsidR="00512D6B">
        <w:t xml:space="preserve">assist with </w:t>
      </w:r>
      <w:r>
        <w:t>new installations or increased bandwidth</w:t>
      </w:r>
      <w:r w:rsidR="009E0EAF">
        <w:t xml:space="preserve"> because of an increase in network demand in residential locations.</w:t>
      </w:r>
      <w:r>
        <w:rPr>
          <w:rStyle w:val="FootnoteReference"/>
        </w:rPr>
        <w:footnoteReference w:id="14"/>
      </w:r>
      <w:r>
        <w:t xml:space="preserve">  </w:t>
      </w:r>
    </w:p>
    <w:p w:rsidR="00D917D4" w:rsidP="00D917D4" w14:paraId="4D671F12" w14:textId="38A1EFC4">
      <w:pPr>
        <w:pStyle w:val="ParaNum"/>
      </w:pPr>
      <w:r>
        <w:t>As set forth in section 1.46 of the Commission’s rules,</w:t>
      </w:r>
      <w:r>
        <w:rPr>
          <w:rStyle w:val="FootnoteReference"/>
        </w:rPr>
        <w:footnoteReference w:id="15"/>
      </w:r>
      <w:r>
        <w:t xml:space="preserve"> it is the policy of the Commission that extensions of time shall not be routinely </w:t>
      </w:r>
      <w:r w:rsidR="008B7B08">
        <w:t xml:space="preserve">granted. </w:t>
      </w:r>
      <w:r>
        <w:t xml:space="preserve"> </w:t>
      </w:r>
      <w:r w:rsidR="34601BF0">
        <w:t xml:space="preserve">In light of the COVID-19 pandemic and community and business efforts to </w:t>
      </w:r>
      <w:r>
        <w:t>respond to this public safety crisis</w:t>
      </w:r>
      <w:r w:rsidR="00A00632">
        <w:t xml:space="preserve">, we find there is good cause to grant a limited extension of the </w:t>
      </w:r>
      <w:r w:rsidR="007F6B7F">
        <w:t xml:space="preserve">supply chain information collection </w:t>
      </w:r>
      <w:r w:rsidR="00A00632">
        <w:t>reporting and certification deadline.  We believe</w:t>
      </w:r>
      <w:r w:rsidR="0053117F">
        <w:t xml:space="preserve"> </w:t>
      </w:r>
      <w:r w:rsidR="007F6B7F">
        <w:t xml:space="preserve">that </w:t>
      </w:r>
      <w:r w:rsidR="00A00632">
        <w:t xml:space="preserve">an additional </w:t>
      </w:r>
      <w:r w:rsidR="003829B4">
        <w:t xml:space="preserve">30 </w:t>
      </w:r>
      <w:r w:rsidR="00A00632">
        <w:t xml:space="preserve">days </w:t>
      </w:r>
      <w:r w:rsidR="00594611">
        <w:t xml:space="preserve">will provide </w:t>
      </w:r>
      <w:r w:rsidR="00D07284">
        <w:t>enough</w:t>
      </w:r>
      <w:r w:rsidR="00594611">
        <w:t xml:space="preserve"> time </w:t>
      </w:r>
      <w:r w:rsidR="00A00632">
        <w:t xml:space="preserve">for ETCs to </w:t>
      </w:r>
      <w:r>
        <w:t xml:space="preserve">provide accurate </w:t>
      </w:r>
      <w:r w:rsidR="00A00632">
        <w:t xml:space="preserve">and complete </w:t>
      </w:r>
      <w:r>
        <w:t xml:space="preserve">responses to the </w:t>
      </w:r>
      <w:r w:rsidR="00A00632">
        <w:t>i</w:t>
      </w:r>
      <w:r>
        <w:t xml:space="preserve">nformation </w:t>
      </w:r>
      <w:r w:rsidR="00A00632">
        <w:t>c</w:t>
      </w:r>
      <w:r>
        <w:t>ollection</w:t>
      </w:r>
      <w:r w:rsidR="0053117F">
        <w:t xml:space="preserve"> </w:t>
      </w:r>
      <w:r w:rsidR="00594611">
        <w:t xml:space="preserve">while still allowing the Commission to expeditiously </w:t>
      </w:r>
      <w:r w:rsidR="00CF157C">
        <w:t xml:space="preserve">move forward with </w:t>
      </w:r>
      <w:r w:rsidR="00594611">
        <w:t>its efforts to increase the security of the communications supply chain</w:t>
      </w:r>
      <w:r>
        <w:t xml:space="preserve">.  We therefore grant RWA’s request in part and establish a new reporting and certification deadline of May 22, 2020.  We expect </w:t>
      </w:r>
      <w:r w:rsidR="007F6B7F">
        <w:t xml:space="preserve">that </w:t>
      </w:r>
      <w:r>
        <w:t xml:space="preserve">this extension </w:t>
      </w:r>
      <w:r w:rsidR="00A00632">
        <w:t>will “result in more meaningful data being provided to the Commission</w:t>
      </w:r>
      <w:r w:rsidR="00537DCF">
        <w:t>”</w:t>
      </w:r>
      <w:r>
        <w:t xml:space="preserve"> </w:t>
      </w:r>
      <w:r w:rsidR="00537DCF">
        <w:t>to help inform the Commission’s decision-making in this proceeding.</w:t>
      </w:r>
      <w:r>
        <w:rPr>
          <w:rStyle w:val="FootnoteReference"/>
        </w:rPr>
        <w:footnoteReference w:id="16"/>
      </w:r>
    </w:p>
    <w:p w:rsidR="002E5DA5" w:rsidP="00D917D4" w14:paraId="3D195020" w14:textId="4F309F0B">
      <w:pPr>
        <w:pStyle w:val="ParaNum"/>
      </w:pPr>
      <w:r>
        <w:t>ACCORDINGLY, IT IS ORDERED, pursuant to sections 4(</w:t>
      </w:r>
      <w:r>
        <w:t>i</w:t>
      </w:r>
      <w:r>
        <w:t>), 4(j), and 5(c) of the Communications Act, as amended, 47 U.S.C. §§ 154(</w:t>
      </w:r>
      <w:r>
        <w:t>i</w:t>
      </w:r>
      <w:r>
        <w:t>), 154(j), and 155(c), and sections</w:t>
      </w:r>
      <w:r w:rsidR="00ED255E">
        <w:t xml:space="preserve"> 0.21</w:t>
      </w:r>
      <w:r w:rsidR="0018766A">
        <w:t>,</w:t>
      </w:r>
      <w:r>
        <w:t xml:space="preserve"> 0.91, </w:t>
      </w:r>
      <w:r w:rsidR="006C2A11">
        <w:t>0.</w:t>
      </w:r>
      <w:r w:rsidR="00935E3F">
        <w:t xml:space="preserve">271, </w:t>
      </w:r>
      <w:r>
        <w:t xml:space="preserve">0.291, and 1.46 of the Commission’s rules, 47 CFR §§ </w:t>
      </w:r>
      <w:r w:rsidR="0018766A">
        <w:t xml:space="preserve">0.21, </w:t>
      </w:r>
      <w:r>
        <w:t xml:space="preserve">0.91, </w:t>
      </w:r>
      <w:r w:rsidR="00935E3F">
        <w:t xml:space="preserve">0.271, </w:t>
      </w:r>
      <w:r>
        <w:t>0.291, and 1.46 that RWA’s Request for an Extension of Time to Report Supply Chain Security Information IS GRANTED IN PART</w:t>
      </w:r>
      <w:r>
        <w:t>.</w:t>
      </w:r>
    </w:p>
    <w:p w:rsidR="00537DCF" w:rsidP="007F5D52" w14:paraId="2B438ACB" w14:textId="7877A1CE">
      <w:pPr>
        <w:pStyle w:val="ParaNum"/>
        <w:widowControl/>
      </w:pPr>
      <w:r>
        <w:t xml:space="preserve">IT IS FURTHER ORDERED that </w:t>
      </w:r>
      <w:r>
        <w:t xml:space="preserve">the deadline for ETCs to </w:t>
      </w:r>
      <w:r>
        <w:t xml:space="preserve">complete the </w:t>
      </w:r>
      <w:r w:rsidR="000565E4">
        <w:t>Supply Chain Information Collection</w:t>
      </w:r>
      <w:r>
        <w:t xml:space="preserve"> is extended until May 22, 2020. </w:t>
      </w:r>
    </w:p>
    <w:p w:rsidR="00537DCF" w:rsidP="00537DCF" w14:paraId="4ADB68BD" w14:textId="5E4DF685">
      <w:pPr>
        <w:pStyle w:val="ParaNum"/>
        <w:numPr>
          <w:ilvl w:val="0"/>
          <w:numId w:val="0"/>
        </w:numPr>
      </w:pPr>
    </w:p>
    <w:p w:rsidR="00537DCF" w:rsidP="00537DCF" w14:paraId="6FF740AD" w14:textId="1E19E0B7">
      <w:pPr>
        <w:pStyle w:val="ParaNum"/>
        <w:numPr>
          <w:ilvl w:val="0"/>
          <w:numId w:val="0"/>
        </w:numPr>
        <w:ind w:left="3600" w:firstLine="720"/>
      </w:pPr>
      <w:r>
        <w:t>FEDERAL COMMUNICATIONS COMMISSION</w:t>
      </w:r>
    </w:p>
    <w:p w:rsidR="00537DCF" w:rsidP="00537DCF" w14:paraId="61CE9648" w14:textId="35312377">
      <w:pPr>
        <w:pStyle w:val="ParaNum"/>
        <w:numPr>
          <w:ilvl w:val="0"/>
          <w:numId w:val="0"/>
        </w:numPr>
        <w:ind w:left="3600" w:firstLine="720"/>
      </w:pPr>
      <w:r>
        <w:tab/>
      </w:r>
    </w:p>
    <w:p w:rsidR="00283412" w:rsidP="005E4820" w14:paraId="640BD4B7" w14:textId="77777777">
      <w:pPr>
        <w:pStyle w:val="ParaNum"/>
        <w:numPr>
          <w:ilvl w:val="0"/>
          <w:numId w:val="0"/>
        </w:num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37DCF">
        <w:t>Kris Anne Monteith</w:t>
      </w:r>
    </w:p>
    <w:p w:rsidR="00283412" w:rsidP="005E4820" w14:paraId="1DF37423" w14:textId="20B70D50">
      <w:pPr>
        <w:pStyle w:val="ParaNum"/>
        <w:numPr>
          <w:ilvl w:val="0"/>
          <w:numId w:val="0"/>
        </w:num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37DCF">
        <w:t>Chief</w:t>
      </w:r>
      <w:r w:rsidR="00537DCF">
        <w:tab/>
      </w:r>
    </w:p>
    <w:p w:rsidR="00283412" w:rsidP="005E4820" w14:paraId="386F001B" w14:textId="77777777">
      <w:pPr>
        <w:pStyle w:val="ParaNum"/>
        <w:numPr>
          <w:ilvl w:val="0"/>
          <w:numId w:val="0"/>
        </w:num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Wireline Competition Bureau</w:t>
      </w:r>
    </w:p>
    <w:p w:rsidR="00283412" w:rsidP="005E4820" w14:paraId="2AC145AF" w14:textId="77777777">
      <w:pPr>
        <w:pStyle w:val="ParaNum"/>
        <w:numPr>
          <w:ilvl w:val="0"/>
          <w:numId w:val="0"/>
        </w:numPr>
        <w:spacing w:after="0"/>
      </w:pPr>
    </w:p>
    <w:p w:rsidR="00283412" w:rsidP="005E4820" w14:paraId="4E1F1A49" w14:textId="23AB76C4">
      <w:pPr>
        <w:pStyle w:val="ParaNum"/>
        <w:numPr>
          <w:ilvl w:val="0"/>
          <w:numId w:val="0"/>
        </w:num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37DCF">
        <w:t>Giulia McHenry</w:t>
      </w:r>
    </w:p>
    <w:p w:rsidR="00537DCF" w:rsidP="005E4820" w14:paraId="31D9A36F" w14:textId="6ABBC09A">
      <w:pPr>
        <w:pStyle w:val="ParaNum"/>
        <w:numPr>
          <w:ilvl w:val="0"/>
          <w:numId w:val="0"/>
        </w:num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Acting Chief</w:t>
      </w:r>
    </w:p>
    <w:p w:rsidR="00537DCF" w:rsidRPr="00D917D4" w:rsidP="005E4820" w14:paraId="1A660376" w14:textId="5F2326B8">
      <w:pPr>
        <w:pStyle w:val="ParaNum"/>
        <w:numPr>
          <w:ilvl w:val="0"/>
          <w:numId w:val="0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  <w:t>Office of Economics and Analytics</w:t>
      </w:r>
    </w:p>
    <w:sectPr w:rsidSect="0055614C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2888AC87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1E4F83B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7F5D52" w14:paraId="54BA7C67" w14:textId="0B2862D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7306C2D8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43311" w14:paraId="44CA2BEA" w14:textId="77777777">
      <w:r>
        <w:separator/>
      </w:r>
    </w:p>
  </w:footnote>
  <w:footnote w:type="continuationSeparator" w:id="1">
    <w:p w:rsidR="00543311" w:rsidP="00C721AC" w14:paraId="73E2C372" w14:textId="77777777">
      <w:pPr>
        <w:spacing w:before="120"/>
        <w:rPr>
          <w:sz w:val="20"/>
        </w:rPr>
      </w:pPr>
      <w:r>
        <w:rPr>
          <w:sz w:val="20"/>
        </w:rPr>
        <w:separator/>
      </w:r>
    </w:p>
  </w:footnote>
  <w:footnote w:type="continuationNotice" w:id="2">
    <w:p w:rsidR="00543311" w:rsidP="00C721AC" w14:paraId="503DBAA1" w14:textId="77777777">
      <w:pPr>
        <w:jc w:val="right"/>
        <w:rPr>
          <w:sz w:val="20"/>
        </w:rPr>
      </w:pPr>
    </w:p>
  </w:footnote>
  <w:footnote w:id="3">
    <w:p w:rsidR="00B83E13" w14:paraId="415F4643" w14:textId="364418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15636">
        <w:t xml:space="preserve">FCC, </w:t>
      </w:r>
      <w:r w:rsidRPr="00BA3BBF" w:rsidR="00BA3BBF">
        <w:t>Identifying Potentially Prohibited Communications Supply Chain Equipment and Services</w:t>
      </w:r>
      <w:r w:rsidR="00BA3BBF">
        <w:t xml:space="preserve">, </w:t>
      </w:r>
      <w:hyperlink r:id="rId1" w:history="1">
        <w:r w:rsidRPr="00881074" w:rsidR="00BA3BBF">
          <w:rPr>
            <w:rStyle w:val="Hyperlink"/>
          </w:rPr>
          <w:t>www.fcc.gov/supplychain</w:t>
        </w:r>
      </w:hyperlink>
      <w:r w:rsidR="00BA3BBF">
        <w:t xml:space="preserve">. </w:t>
      </w:r>
      <w:r w:rsidR="0007181E">
        <w:t xml:space="preserve"> </w:t>
      </w:r>
    </w:p>
  </w:footnote>
  <w:footnote w:id="4">
    <w:p w:rsidR="0071675E" w:rsidRPr="0071675E" w14:paraId="28AE7ECB" w14:textId="61178D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16EC61AF" w:rsidR="00950379">
        <w:rPr>
          <w:i/>
          <w:iCs/>
        </w:rPr>
        <w:t>See Protecting Against National Security Threats to the Communications Supply Chain Through FCC Programs</w:t>
      </w:r>
      <w:r w:rsidR="00950379">
        <w:t>, WC Docket No. 18-89,</w:t>
      </w:r>
      <w:r w:rsidRPr="16EC61AF" w:rsidR="00950379">
        <w:rPr>
          <w:i/>
          <w:iCs/>
        </w:rPr>
        <w:t xml:space="preserve"> </w:t>
      </w:r>
      <w:r w:rsidR="00950379">
        <w:t>Report and Order, Further Notice of Proposed Rulemaking, and Order, 34 FCC Rcd 11423, 11481-82, paras. 162-66 (2019) (</w:t>
      </w:r>
      <w:r w:rsidRPr="16EC61AF" w:rsidR="00950379">
        <w:rPr>
          <w:i/>
          <w:iCs/>
        </w:rPr>
        <w:t>2019 Supply Chain Order</w:t>
      </w:r>
      <w:r w:rsidR="00950379">
        <w:t>).</w:t>
      </w:r>
    </w:p>
  </w:footnote>
  <w:footnote w:id="5">
    <w:p w:rsidR="006A2593" w:rsidRPr="006A2593" w14:paraId="4DBAE673" w14:textId="0DC09C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Wireline Competition Bureau and Office of Economics and Analytics Open Reporting Portal for Supply Chain Security Information Collection</w:t>
      </w:r>
      <w:r>
        <w:t>, WC Docket No. 18-89, Public Notice, DA 20-166</w:t>
      </w:r>
      <w:r w:rsidR="00DE183C">
        <w:t xml:space="preserve"> (WCB</w:t>
      </w:r>
      <w:r w:rsidR="00594611">
        <w:t xml:space="preserve"> and OEA </w:t>
      </w:r>
      <w:r w:rsidR="00DE183C">
        <w:t>2020)</w:t>
      </w:r>
      <w:r w:rsidR="00876D0E">
        <w:t>.</w:t>
      </w:r>
    </w:p>
  </w:footnote>
  <w:footnote w:id="6">
    <w:p w:rsidR="00ED65AA" w:rsidP="00ED65AA" w14:paraId="5629BEBC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63698">
        <w:t xml:space="preserve">Request of RWA for Extension of Time to Report Supply Chain Security Information, WC Docket No. 18-89, (filed Mar. 24, 2020), </w:t>
      </w:r>
      <w:hyperlink r:id="rId2" w:history="1">
        <w:r w:rsidRPr="00520987">
          <w:rPr>
            <w:snapToGrid w:val="0"/>
            <w:color w:val="0000FF"/>
            <w:kern w:val="28"/>
            <w:u w:val="single"/>
          </w:rPr>
          <w:t>https://ecfsapi.fcc.gov/file/103241353608744/RNSCsupplychainextension%20%20FINAL.pdf</w:t>
        </w:r>
      </w:hyperlink>
      <w:r w:rsidRPr="00D63698">
        <w:t xml:space="preserve"> (RWA Request).</w:t>
      </w:r>
      <w:r>
        <w:t xml:space="preserve"> </w:t>
      </w:r>
    </w:p>
  </w:footnote>
  <w:footnote w:id="7">
    <w:p w:rsidR="006F004B" w14:paraId="04AF016E" w14:textId="66B0831C">
      <w:pPr>
        <w:pStyle w:val="FootnoteText"/>
      </w:pPr>
      <w:r>
        <w:rPr>
          <w:rStyle w:val="FootnoteReference"/>
        </w:rPr>
        <w:footnoteRef/>
      </w:r>
      <w:r>
        <w:t xml:space="preserve"> RWA Request at 2.  </w:t>
      </w:r>
    </w:p>
  </w:footnote>
  <w:footnote w:id="8">
    <w:p w:rsidR="006F004B" w14:paraId="68A86BF5" w14:textId="75303F80">
      <w:pPr>
        <w:pStyle w:val="FootnoteText"/>
      </w:pPr>
      <w:r>
        <w:rPr>
          <w:rStyle w:val="FootnoteReference"/>
        </w:rPr>
        <w:footnoteRef/>
      </w:r>
      <w:r>
        <w:t xml:space="preserve"> RWA Request at 3. </w:t>
      </w:r>
    </w:p>
  </w:footnote>
  <w:footnote w:id="9">
    <w:p w:rsidR="006F004B" w14:paraId="45B8DC5E" w14:textId="2D707BC5">
      <w:pPr>
        <w:pStyle w:val="FootnoteText"/>
      </w:pPr>
      <w:r>
        <w:rPr>
          <w:rStyle w:val="FootnoteReference"/>
        </w:rPr>
        <w:footnoteRef/>
      </w:r>
      <w:r>
        <w:t xml:space="preserve"> RWA Request at 5. </w:t>
      </w:r>
    </w:p>
  </w:footnote>
  <w:footnote w:id="10">
    <w:p w:rsidR="008B7B08" w14:paraId="13200A44" w14:textId="5C2A76CB">
      <w:pPr>
        <w:pStyle w:val="FootnoteText"/>
      </w:pPr>
      <w:r>
        <w:rPr>
          <w:rStyle w:val="FootnoteReference"/>
        </w:rPr>
        <w:footnoteRef/>
      </w:r>
      <w:r>
        <w:t xml:space="preserve"> Letter from Jonathan </w:t>
      </w:r>
      <w:r>
        <w:t>Spalter</w:t>
      </w:r>
      <w:r>
        <w:t xml:space="preserve">, President and Chief Executive Officer, USTelecom, to </w:t>
      </w:r>
      <w:r w:rsidR="00594611">
        <w:t>Ajit</w:t>
      </w:r>
      <w:r>
        <w:t xml:space="preserve"> Pai</w:t>
      </w:r>
      <w:r w:rsidR="00594611">
        <w:t>, Chairman, FCC</w:t>
      </w:r>
      <w:r w:rsidR="00531D00">
        <w:t xml:space="preserve">, WC Docket No. 18-89 (filed Mar. 27, 2020).  </w:t>
      </w:r>
    </w:p>
  </w:footnote>
  <w:footnote w:id="11">
    <w:p w:rsidR="00531D00" w14:paraId="7ECFD9C1" w14:textId="2DD6CE17">
      <w:pPr>
        <w:pStyle w:val="FootnoteText"/>
      </w:pPr>
      <w:r>
        <w:rPr>
          <w:rStyle w:val="FootnoteReference"/>
        </w:rPr>
        <w:footnoteRef/>
      </w:r>
      <w:r>
        <w:t xml:space="preserve"> Letter from Mike Saperstein, Vice President, Strategic Initiatives &amp; Partnerships, USTelecom, to Marlene H. Dortch, Secretary, FCC, WC Docket No. 18-89 (filed Mar. 27, 2020).  </w:t>
      </w:r>
    </w:p>
  </w:footnote>
  <w:footnote w:id="12">
    <w:p w:rsidR="00531D00" w:rsidRPr="00531D00" w14:paraId="2F67DBFC" w14:textId="658D8F5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  <w:r>
        <w:t xml:space="preserve"> at 1. </w:t>
      </w:r>
    </w:p>
  </w:footnote>
  <w:footnote w:id="13">
    <w:p w:rsidR="00246D3A" w14:paraId="09E9BFB5" w14:textId="7B455888">
      <w:pPr>
        <w:pStyle w:val="FootnoteText"/>
      </w:pPr>
      <w:r>
        <w:rPr>
          <w:rStyle w:val="FootnoteReference"/>
        </w:rPr>
        <w:footnoteRef/>
      </w:r>
      <w:r>
        <w:t xml:space="preserve"> Letter from Michael Romano, Senior Vice President – Industry Affairs and Business Development, NTCA, to Marlene H Dortch, Secretary, FCC, WC Docket No. 18-89 (filed Apr. 1, 2020).  </w:t>
      </w:r>
    </w:p>
  </w:footnote>
  <w:footnote w:id="14">
    <w:p w:rsidR="00246D3A" w:rsidRPr="00246D3A" w14:paraId="68690EE3" w14:textId="2BA5BA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Id.</w:t>
      </w:r>
      <w:r>
        <w:t xml:space="preserve"> </w:t>
      </w:r>
    </w:p>
  </w:footnote>
  <w:footnote w:id="15">
    <w:p w:rsidR="00431085" w:rsidP="00431085" w14:paraId="28C5CB3B" w14:textId="4C73F54F">
      <w:pPr>
        <w:pStyle w:val="FootnoteText"/>
      </w:pPr>
      <w:r>
        <w:rPr>
          <w:rStyle w:val="FootnoteReference"/>
        </w:rPr>
        <w:footnoteRef/>
      </w:r>
      <w:r>
        <w:t xml:space="preserve"> 47 CFR § 1.46.</w:t>
      </w:r>
    </w:p>
  </w:footnote>
  <w:footnote w:id="16">
    <w:p w:rsidR="00537DCF" w14:paraId="67E9C040" w14:textId="33A89DCF">
      <w:pPr>
        <w:pStyle w:val="FootnoteText"/>
      </w:pPr>
      <w:r>
        <w:rPr>
          <w:rStyle w:val="FootnoteReference"/>
        </w:rPr>
        <w:footnoteRef/>
      </w:r>
      <w:r>
        <w:t xml:space="preserve"> RWA Request at 5.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61B69881" w14:textId="7E5E1D69">
    <w:pPr>
      <w:pStyle w:val="Header"/>
      <w:rPr>
        <w:b w:val="0"/>
      </w:rPr>
    </w:pPr>
    <w:r>
      <w:tab/>
      <w:t>Federal Communications Commission</w:t>
    </w:r>
    <w:r>
      <w:tab/>
    </w:r>
    <w:r w:rsidR="00925E5F">
      <w:t>DA</w:t>
    </w:r>
    <w:r w:rsidR="00CB6095">
      <w:t xml:space="preserve"> 20-</w:t>
    </w:r>
    <w:r w:rsidR="00D21FD4">
      <w:t>370</w:t>
    </w:r>
  </w:p>
  <w:p w:rsidR="00D25FB5" w:rsidRPr="00D21FD4" w:rsidP="00D21FD4" w14:paraId="2C1C4F3C" w14:textId="7B9B366F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5EFF7896" w14:textId="4E6660CE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="00925E5F">
      <w:rPr>
        <w:spacing w:val="-2"/>
      </w:rPr>
      <w:t>DA 20-</w:t>
    </w:r>
    <w:r w:rsidR="00D21FD4">
      <w:rPr>
        <w:spacing w:val="-2"/>
      </w:rPr>
      <w:t>370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69D"/>
    <w:rsid w:val="000247F5"/>
    <w:rsid w:val="00035013"/>
    <w:rsid w:val="00036039"/>
    <w:rsid w:val="0003674B"/>
    <w:rsid w:val="00037F90"/>
    <w:rsid w:val="00042DD1"/>
    <w:rsid w:val="000565E4"/>
    <w:rsid w:val="000654B2"/>
    <w:rsid w:val="0007181E"/>
    <w:rsid w:val="000875BF"/>
    <w:rsid w:val="00096D8C"/>
    <w:rsid w:val="000B0663"/>
    <w:rsid w:val="000C0B65"/>
    <w:rsid w:val="000D3428"/>
    <w:rsid w:val="000E03C8"/>
    <w:rsid w:val="000E05FE"/>
    <w:rsid w:val="000E3D42"/>
    <w:rsid w:val="00101CEC"/>
    <w:rsid w:val="00111150"/>
    <w:rsid w:val="00122BD5"/>
    <w:rsid w:val="00133F79"/>
    <w:rsid w:val="0017591A"/>
    <w:rsid w:val="00183BCF"/>
    <w:rsid w:val="0018766A"/>
    <w:rsid w:val="00194A66"/>
    <w:rsid w:val="001A6FC1"/>
    <w:rsid w:val="001A713A"/>
    <w:rsid w:val="001A7D21"/>
    <w:rsid w:val="001B5B88"/>
    <w:rsid w:val="001C73B2"/>
    <w:rsid w:val="001D6BCF"/>
    <w:rsid w:val="001E01CA"/>
    <w:rsid w:val="001E11E6"/>
    <w:rsid w:val="00212221"/>
    <w:rsid w:val="00214CDC"/>
    <w:rsid w:val="00215636"/>
    <w:rsid w:val="00236427"/>
    <w:rsid w:val="00246D3A"/>
    <w:rsid w:val="00275CF5"/>
    <w:rsid w:val="00281E58"/>
    <w:rsid w:val="0028301F"/>
    <w:rsid w:val="00283412"/>
    <w:rsid w:val="00285017"/>
    <w:rsid w:val="00294840"/>
    <w:rsid w:val="002957B5"/>
    <w:rsid w:val="002A2D2E"/>
    <w:rsid w:val="002B35DA"/>
    <w:rsid w:val="002C00E8"/>
    <w:rsid w:val="002E5DA5"/>
    <w:rsid w:val="003101CD"/>
    <w:rsid w:val="00322AF7"/>
    <w:rsid w:val="00327CC1"/>
    <w:rsid w:val="00333489"/>
    <w:rsid w:val="00337ED1"/>
    <w:rsid w:val="00343749"/>
    <w:rsid w:val="0035404D"/>
    <w:rsid w:val="003660ED"/>
    <w:rsid w:val="003673BA"/>
    <w:rsid w:val="00374CFF"/>
    <w:rsid w:val="003829B4"/>
    <w:rsid w:val="003B0550"/>
    <w:rsid w:val="003B637E"/>
    <w:rsid w:val="003B694F"/>
    <w:rsid w:val="003C1299"/>
    <w:rsid w:val="003F171C"/>
    <w:rsid w:val="003F38E3"/>
    <w:rsid w:val="00412FC5"/>
    <w:rsid w:val="00422276"/>
    <w:rsid w:val="004242F1"/>
    <w:rsid w:val="00431085"/>
    <w:rsid w:val="004368C1"/>
    <w:rsid w:val="00445A00"/>
    <w:rsid w:val="00451B0F"/>
    <w:rsid w:val="004C2EE3"/>
    <w:rsid w:val="004C7445"/>
    <w:rsid w:val="004E1EC1"/>
    <w:rsid w:val="004E4A22"/>
    <w:rsid w:val="00506D9C"/>
    <w:rsid w:val="00511968"/>
    <w:rsid w:val="0051199D"/>
    <w:rsid w:val="00512D6B"/>
    <w:rsid w:val="00520987"/>
    <w:rsid w:val="0053117F"/>
    <w:rsid w:val="00531D00"/>
    <w:rsid w:val="005343E9"/>
    <w:rsid w:val="00537DCF"/>
    <w:rsid w:val="00543311"/>
    <w:rsid w:val="0055614C"/>
    <w:rsid w:val="00563F91"/>
    <w:rsid w:val="00566D06"/>
    <w:rsid w:val="0058515A"/>
    <w:rsid w:val="00594611"/>
    <w:rsid w:val="005A278C"/>
    <w:rsid w:val="005C300D"/>
    <w:rsid w:val="005E14C2"/>
    <w:rsid w:val="005E3573"/>
    <w:rsid w:val="005E4820"/>
    <w:rsid w:val="005F1396"/>
    <w:rsid w:val="00607BA5"/>
    <w:rsid w:val="0061180A"/>
    <w:rsid w:val="00626EB6"/>
    <w:rsid w:val="00655D03"/>
    <w:rsid w:val="006640CD"/>
    <w:rsid w:val="0066794B"/>
    <w:rsid w:val="00683388"/>
    <w:rsid w:val="00683F84"/>
    <w:rsid w:val="0069042B"/>
    <w:rsid w:val="006A2593"/>
    <w:rsid w:val="006A2678"/>
    <w:rsid w:val="006A6A81"/>
    <w:rsid w:val="006C2A11"/>
    <w:rsid w:val="006E1764"/>
    <w:rsid w:val="006F004B"/>
    <w:rsid w:val="006F6C38"/>
    <w:rsid w:val="006F7393"/>
    <w:rsid w:val="0070224F"/>
    <w:rsid w:val="007115F7"/>
    <w:rsid w:val="0071675E"/>
    <w:rsid w:val="00720AFD"/>
    <w:rsid w:val="00750E86"/>
    <w:rsid w:val="00754F1F"/>
    <w:rsid w:val="00760088"/>
    <w:rsid w:val="00785689"/>
    <w:rsid w:val="00792593"/>
    <w:rsid w:val="0079754B"/>
    <w:rsid w:val="007A0AD4"/>
    <w:rsid w:val="007A1E6D"/>
    <w:rsid w:val="007A7C24"/>
    <w:rsid w:val="007B0EB2"/>
    <w:rsid w:val="007C1733"/>
    <w:rsid w:val="007E1493"/>
    <w:rsid w:val="007F4041"/>
    <w:rsid w:val="007F5D52"/>
    <w:rsid w:val="007F6B7F"/>
    <w:rsid w:val="008026BA"/>
    <w:rsid w:val="00810076"/>
    <w:rsid w:val="00810B6F"/>
    <w:rsid w:val="00822CE0"/>
    <w:rsid w:val="00835D0B"/>
    <w:rsid w:val="00841AB1"/>
    <w:rsid w:val="0087094E"/>
    <w:rsid w:val="00876D0E"/>
    <w:rsid w:val="00881074"/>
    <w:rsid w:val="008A4B7A"/>
    <w:rsid w:val="008A7AA8"/>
    <w:rsid w:val="008B7B08"/>
    <w:rsid w:val="008C0CDE"/>
    <w:rsid w:val="008C68F1"/>
    <w:rsid w:val="00905EFA"/>
    <w:rsid w:val="00916A49"/>
    <w:rsid w:val="00921803"/>
    <w:rsid w:val="00925E5F"/>
    <w:rsid w:val="00926503"/>
    <w:rsid w:val="00935E3F"/>
    <w:rsid w:val="00942B2D"/>
    <w:rsid w:val="00950379"/>
    <w:rsid w:val="00953B3E"/>
    <w:rsid w:val="009726D8"/>
    <w:rsid w:val="009A5DCF"/>
    <w:rsid w:val="009D7308"/>
    <w:rsid w:val="009E0EAF"/>
    <w:rsid w:val="009F76DB"/>
    <w:rsid w:val="00A00632"/>
    <w:rsid w:val="00A04112"/>
    <w:rsid w:val="00A0538E"/>
    <w:rsid w:val="00A1200B"/>
    <w:rsid w:val="00A1362A"/>
    <w:rsid w:val="00A269DF"/>
    <w:rsid w:val="00A31EA8"/>
    <w:rsid w:val="00A32C3B"/>
    <w:rsid w:val="00A45F4F"/>
    <w:rsid w:val="00A518A6"/>
    <w:rsid w:val="00A5214C"/>
    <w:rsid w:val="00A600A9"/>
    <w:rsid w:val="00A667BB"/>
    <w:rsid w:val="00A967A8"/>
    <w:rsid w:val="00A9789B"/>
    <w:rsid w:val="00AA547C"/>
    <w:rsid w:val="00AA55B7"/>
    <w:rsid w:val="00AA5B9E"/>
    <w:rsid w:val="00AB2407"/>
    <w:rsid w:val="00AB30D6"/>
    <w:rsid w:val="00AB53DF"/>
    <w:rsid w:val="00AD1EDF"/>
    <w:rsid w:val="00B019F4"/>
    <w:rsid w:val="00B07E5C"/>
    <w:rsid w:val="00B15F42"/>
    <w:rsid w:val="00B35A73"/>
    <w:rsid w:val="00B417AD"/>
    <w:rsid w:val="00B53027"/>
    <w:rsid w:val="00B608CF"/>
    <w:rsid w:val="00B811F7"/>
    <w:rsid w:val="00B83E13"/>
    <w:rsid w:val="00B9679A"/>
    <w:rsid w:val="00BA3BBF"/>
    <w:rsid w:val="00BA5DC6"/>
    <w:rsid w:val="00BA6196"/>
    <w:rsid w:val="00BC6D8C"/>
    <w:rsid w:val="00C10C87"/>
    <w:rsid w:val="00C178A3"/>
    <w:rsid w:val="00C26F27"/>
    <w:rsid w:val="00C26F3B"/>
    <w:rsid w:val="00C34006"/>
    <w:rsid w:val="00C36B4C"/>
    <w:rsid w:val="00C426B1"/>
    <w:rsid w:val="00C43BC1"/>
    <w:rsid w:val="00C66160"/>
    <w:rsid w:val="00C721AC"/>
    <w:rsid w:val="00C90D6A"/>
    <w:rsid w:val="00CA247E"/>
    <w:rsid w:val="00CA6D21"/>
    <w:rsid w:val="00CB6095"/>
    <w:rsid w:val="00CC72B6"/>
    <w:rsid w:val="00CF157C"/>
    <w:rsid w:val="00CF671F"/>
    <w:rsid w:val="00D0218D"/>
    <w:rsid w:val="00D07284"/>
    <w:rsid w:val="00D21FD4"/>
    <w:rsid w:val="00D25FB5"/>
    <w:rsid w:val="00D33C68"/>
    <w:rsid w:val="00D35586"/>
    <w:rsid w:val="00D434D1"/>
    <w:rsid w:val="00D44223"/>
    <w:rsid w:val="00D47FA0"/>
    <w:rsid w:val="00D63698"/>
    <w:rsid w:val="00D67C2E"/>
    <w:rsid w:val="00D83041"/>
    <w:rsid w:val="00D83BEB"/>
    <w:rsid w:val="00D917D4"/>
    <w:rsid w:val="00D93C39"/>
    <w:rsid w:val="00D94E56"/>
    <w:rsid w:val="00DA2529"/>
    <w:rsid w:val="00DB130A"/>
    <w:rsid w:val="00DB27F7"/>
    <w:rsid w:val="00DB2EBB"/>
    <w:rsid w:val="00DC10A1"/>
    <w:rsid w:val="00DC655F"/>
    <w:rsid w:val="00DD0B59"/>
    <w:rsid w:val="00DD1B95"/>
    <w:rsid w:val="00DD772D"/>
    <w:rsid w:val="00DD7EBD"/>
    <w:rsid w:val="00DE183C"/>
    <w:rsid w:val="00DE2D15"/>
    <w:rsid w:val="00DF62B6"/>
    <w:rsid w:val="00E07225"/>
    <w:rsid w:val="00E5409F"/>
    <w:rsid w:val="00E54599"/>
    <w:rsid w:val="00E55912"/>
    <w:rsid w:val="00E7336C"/>
    <w:rsid w:val="00E73E73"/>
    <w:rsid w:val="00E92A2C"/>
    <w:rsid w:val="00EB1A5F"/>
    <w:rsid w:val="00EB2084"/>
    <w:rsid w:val="00EB309B"/>
    <w:rsid w:val="00EC51BF"/>
    <w:rsid w:val="00EC7A9D"/>
    <w:rsid w:val="00ED184C"/>
    <w:rsid w:val="00ED255E"/>
    <w:rsid w:val="00ED269D"/>
    <w:rsid w:val="00ED65AA"/>
    <w:rsid w:val="00EE6488"/>
    <w:rsid w:val="00EF4F70"/>
    <w:rsid w:val="00F01DD2"/>
    <w:rsid w:val="00F021FA"/>
    <w:rsid w:val="00F1416F"/>
    <w:rsid w:val="00F454C9"/>
    <w:rsid w:val="00F51B5A"/>
    <w:rsid w:val="00F62A47"/>
    <w:rsid w:val="00F62E97"/>
    <w:rsid w:val="00F64209"/>
    <w:rsid w:val="00F809C5"/>
    <w:rsid w:val="00F832B8"/>
    <w:rsid w:val="00F8466F"/>
    <w:rsid w:val="00F93BF5"/>
    <w:rsid w:val="00F9679B"/>
    <w:rsid w:val="00FB1BB0"/>
    <w:rsid w:val="00FB2095"/>
    <w:rsid w:val="00FF5AA7"/>
    <w:rsid w:val="018EAD42"/>
    <w:rsid w:val="05F12613"/>
    <w:rsid w:val="0E2977FB"/>
    <w:rsid w:val="16EC61AF"/>
    <w:rsid w:val="18A5D010"/>
    <w:rsid w:val="2377FEE4"/>
    <w:rsid w:val="26187979"/>
    <w:rsid w:val="2B53CD85"/>
    <w:rsid w:val="34601BF0"/>
    <w:rsid w:val="4A33EB3F"/>
    <w:rsid w:val="67E125E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8CCF4DB-01D6-4813-BCD7-139E97C7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B83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83E13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rsid w:val="00563F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3F91"/>
    <w:rPr>
      <w:sz w:val="20"/>
    </w:rPr>
  </w:style>
  <w:style w:type="character" w:customStyle="1" w:styleId="CommentTextChar">
    <w:name w:val="Comment Text Char"/>
    <w:link w:val="CommentText"/>
    <w:rsid w:val="00563F91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563F91"/>
    <w:rPr>
      <w:b/>
      <w:bCs/>
    </w:rPr>
  </w:style>
  <w:style w:type="character" w:customStyle="1" w:styleId="CommentSubjectChar">
    <w:name w:val="Comment Subject Char"/>
    <w:link w:val="CommentSubject"/>
    <w:rsid w:val="00563F91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563F91"/>
    <w:rPr>
      <w:snapToGrid w:val="0"/>
      <w:kern w:val="28"/>
      <w:sz w:val="22"/>
    </w:rPr>
  </w:style>
  <w:style w:type="character" w:customStyle="1" w:styleId="UnresolvedMention">
    <w:name w:val="Unresolved Mention"/>
    <w:uiPriority w:val="99"/>
    <w:unhideWhenUsed/>
    <w:rsid w:val="001C73B2"/>
    <w:rPr>
      <w:color w:val="605E5C"/>
      <w:shd w:val="clear" w:color="auto" w:fill="E1DFDD"/>
    </w:rPr>
  </w:style>
  <w:style w:type="character" w:customStyle="1" w:styleId="Mention">
    <w:name w:val="Mention"/>
    <w:uiPriority w:val="99"/>
    <w:unhideWhenUsed/>
    <w:rsid w:val="001C73B2"/>
    <w:rPr>
      <w:color w:val="2B579A"/>
      <w:shd w:val="clear" w:color="auto" w:fill="E1DFDD"/>
    </w:rPr>
  </w:style>
  <w:style w:type="character" w:customStyle="1" w:styleId="FootnoteTextChar">
    <w:name w:val="Footnote Text Char"/>
    <w:link w:val="FootnoteText"/>
    <w:uiPriority w:val="99"/>
    <w:rsid w:val="00214CDC"/>
  </w:style>
  <w:style w:type="character" w:customStyle="1" w:styleId="textrun">
    <w:name w:val="textrun"/>
    <w:rsid w:val="009A5DCF"/>
  </w:style>
  <w:style w:type="character" w:customStyle="1" w:styleId="normaltextrun">
    <w:name w:val="normaltextrun"/>
    <w:rsid w:val="009A5DCF"/>
  </w:style>
  <w:style w:type="character" w:customStyle="1" w:styleId="superscript">
    <w:name w:val="superscript"/>
    <w:rsid w:val="002B3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://www.fcc.gov/supplychain" TargetMode="External" /><Relationship Id="rId2" Type="http://schemas.openxmlformats.org/officeDocument/2006/relationships/hyperlink" Target="https://ecfsapi.fcc.gov/file/103241353608744/RNSCsupplychainextension%20%20FINAL.pdf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