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5D08" w:rsidRPr="00890EA9" w:rsidP="00F85D08" w14:paraId="37241400" w14:textId="05FCEB02">
      <w:pPr>
        <w:jc w:val="right"/>
        <w:rPr>
          <w:b/>
          <w:szCs w:val="22"/>
        </w:rPr>
      </w:pPr>
      <w:r w:rsidRPr="00890EA9">
        <w:rPr>
          <w:b/>
          <w:szCs w:val="22"/>
        </w:rPr>
        <w:t xml:space="preserve">DA </w:t>
      </w:r>
      <w:r w:rsidR="00916C2D">
        <w:rPr>
          <w:b/>
          <w:szCs w:val="22"/>
        </w:rPr>
        <w:t>20</w:t>
      </w:r>
      <w:r w:rsidRPr="00890EA9">
        <w:rPr>
          <w:b/>
          <w:szCs w:val="22"/>
        </w:rPr>
        <w:t>-</w:t>
      </w:r>
      <w:r w:rsidR="003E6EDC">
        <w:rPr>
          <w:b/>
          <w:szCs w:val="22"/>
        </w:rPr>
        <w:t>384</w:t>
      </w:r>
    </w:p>
    <w:p w:rsidR="00F85D08" w:rsidRPr="00890EA9" w:rsidP="00F85D08" w14:paraId="7E201166" w14:textId="2A176843">
      <w:pPr>
        <w:spacing w:before="60"/>
        <w:jc w:val="right"/>
        <w:rPr>
          <w:b/>
          <w:szCs w:val="22"/>
        </w:rPr>
      </w:pPr>
      <w:r w:rsidRPr="00890EA9">
        <w:rPr>
          <w:b/>
          <w:szCs w:val="22"/>
        </w:rPr>
        <w:t xml:space="preserve">Released:  </w:t>
      </w:r>
      <w:r w:rsidR="00916C2D">
        <w:rPr>
          <w:b/>
          <w:szCs w:val="22"/>
        </w:rPr>
        <w:t>April</w:t>
      </w:r>
      <w:r w:rsidR="00C21745">
        <w:rPr>
          <w:b/>
          <w:szCs w:val="22"/>
        </w:rPr>
        <w:t xml:space="preserve"> </w:t>
      </w:r>
      <w:r w:rsidR="003F6603">
        <w:rPr>
          <w:b/>
          <w:szCs w:val="22"/>
        </w:rPr>
        <w:t>6</w:t>
      </w:r>
      <w:r w:rsidRPr="00890EA9">
        <w:rPr>
          <w:b/>
          <w:szCs w:val="22"/>
        </w:rPr>
        <w:t>, 20</w:t>
      </w:r>
      <w:r w:rsidR="00916C2D">
        <w:rPr>
          <w:b/>
          <w:szCs w:val="22"/>
        </w:rPr>
        <w:t>20</w:t>
      </w:r>
    </w:p>
    <w:p w:rsidR="00F85D08" w:rsidRPr="00890EA9" w:rsidP="00F85D08" w14:paraId="2F48683F" w14:textId="77777777">
      <w:pPr>
        <w:jc w:val="right"/>
        <w:rPr>
          <w:szCs w:val="22"/>
        </w:rPr>
      </w:pPr>
    </w:p>
    <w:p w:rsidR="00F85D08" w:rsidRPr="00A23C1D" w:rsidP="00F85D08" w14:paraId="07D40BD6" w14:textId="0278CE8D">
      <w:pPr>
        <w:spacing w:after="240"/>
        <w:jc w:val="center"/>
        <w:rPr>
          <w:rFonts w:ascii="Times New Roman Bold" w:hAnsi="Times New Roman Bold"/>
          <w:b/>
          <w:caps/>
          <w:szCs w:val="22"/>
        </w:rPr>
      </w:pPr>
      <w:r w:rsidRPr="00A23C1D">
        <w:rPr>
          <w:rFonts w:ascii="Times New Roman Bold" w:hAnsi="Times New Roman Bold"/>
          <w:b/>
          <w:caps/>
          <w:szCs w:val="22"/>
        </w:rPr>
        <w:t>CONSUMER AND GOVERNMENTAL AFFAIRS BUREAU SEEKS COMMENT ON</w:t>
      </w:r>
      <w:r w:rsidRPr="00A23C1D" w:rsidR="00AD6711">
        <w:rPr>
          <w:rFonts w:ascii="Times New Roman Bold" w:hAnsi="Times New Roman Bold"/>
          <w:b/>
          <w:caps/>
          <w:szCs w:val="22"/>
        </w:rPr>
        <w:t xml:space="preserve"> </w:t>
      </w:r>
      <w:r w:rsidRPr="00A23C1D">
        <w:rPr>
          <w:rFonts w:ascii="Times New Roman Bold" w:hAnsi="Times New Roman Bold"/>
          <w:b/>
          <w:caps/>
          <w:szCs w:val="22"/>
        </w:rPr>
        <w:t xml:space="preserve">pETITION foR </w:t>
      </w:r>
      <w:r w:rsidR="00916C2D">
        <w:rPr>
          <w:rFonts w:ascii="Times New Roman Bold" w:hAnsi="Times New Roman Bold"/>
          <w:b/>
          <w:caps/>
          <w:szCs w:val="22"/>
        </w:rPr>
        <w:t>Expedited Declaratory Ruling, clarification, or Waiver</w:t>
      </w:r>
      <w:r w:rsidRPr="00A23C1D" w:rsidR="00AD6711">
        <w:rPr>
          <w:rFonts w:ascii="Times New Roman Bold" w:hAnsi="Times New Roman Bold"/>
          <w:b/>
          <w:caps/>
          <w:szCs w:val="22"/>
        </w:rPr>
        <w:t xml:space="preserve"> FILED BY </w:t>
      </w:r>
      <w:r w:rsidR="00072C29">
        <w:rPr>
          <w:rFonts w:ascii="Times New Roman Bold" w:hAnsi="Times New Roman Bold"/>
          <w:b/>
          <w:caps/>
          <w:szCs w:val="22"/>
        </w:rPr>
        <w:t xml:space="preserve">the </w:t>
      </w:r>
      <w:r w:rsidRPr="00A23C1D" w:rsidR="00AD6711">
        <w:rPr>
          <w:rFonts w:ascii="Times New Roman Bold" w:hAnsi="Times New Roman Bold"/>
          <w:b/>
          <w:caps/>
          <w:szCs w:val="22"/>
        </w:rPr>
        <w:t>AMERIC</w:t>
      </w:r>
      <w:r w:rsidR="00916C2D">
        <w:rPr>
          <w:rFonts w:ascii="Times New Roman Bold" w:hAnsi="Times New Roman Bold"/>
          <w:b/>
          <w:caps/>
          <w:szCs w:val="22"/>
        </w:rPr>
        <w:t>an Bankers Association et al.</w:t>
      </w:r>
    </w:p>
    <w:p w:rsidR="00F85D08" w:rsidRPr="00890EA9" w:rsidP="00F85D08" w14:paraId="6CD6C723" w14:textId="77777777">
      <w:pPr>
        <w:jc w:val="center"/>
        <w:rPr>
          <w:b/>
          <w:szCs w:val="22"/>
        </w:rPr>
      </w:pPr>
      <w:r w:rsidRPr="00890EA9">
        <w:rPr>
          <w:b/>
          <w:szCs w:val="22"/>
        </w:rPr>
        <w:t>CG Docket No. 02-278</w:t>
      </w:r>
    </w:p>
    <w:p w:rsidR="00F85D08" w:rsidRPr="00890EA9" w:rsidP="00784683" w14:paraId="06A284FA" w14:textId="77777777">
      <w:pPr>
        <w:rPr>
          <w:b/>
          <w:szCs w:val="22"/>
        </w:rPr>
      </w:pPr>
    </w:p>
    <w:p w:rsidR="00F85D08" w:rsidRPr="00890EA9" w:rsidP="00F85D08" w14:paraId="23D416A8" w14:textId="77777777">
      <w:pPr>
        <w:jc w:val="center"/>
        <w:rPr>
          <w:szCs w:val="22"/>
        </w:rPr>
      </w:pPr>
    </w:p>
    <w:p w:rsidR="00F85D08" w:rsidRPr="00890EA9" w:rsidP="00F85D08" w14:paraId="1A75E87A" w14:textId="412957A1">
      <w:pPr>
        <w:rPr>
          <w:b/>
          <w:szCs w:val="22"/>
        </w:rPr>
      </w:pPr>
      <w:r w:rsidRPr="00890EA9">
        <w:rPr>
          <w:b/>
          <w:szCs w:val="22"/>
        </w:rPr>
        <w:t xml:space="preserve">Comment Date:  </w:t>
      </w:r>
      <w:r w:rsidR="00C21745">
        <w:rPr>
          <w:b/>
          <w:szCs w:val="22"/>
        </w:rPr>
        <w:t xml:space="preserve">May </w:t>
      </w:r>
      <w:r w:rsidR="003F6603">
        <w:rPr>
          <w:b/>
          <w:szCs w:val="22"/>
        </w:rPr>
        <w:t>6</w:t>
      </w:r>
      <w:r w:rsidRPr="00890EA9">
        <w:rPr>
          <w:b/>
          <w:szCs w:val="22"/>
        </w:rPr>
        <w:t>, 20</w:t>
      </w:r>
      <w:r w:rsidR="00916C2D">
        <w:rPr>
          <w:b/>
          <w:szCs w:val="22"/>
        </w:rPr>
        <w:t>20</w:t>
      </w:r>
      <w:r w:rsidR="00652FBD">
        <w:rPr>
          <w:b/>
          <w:szCs w:val="22"/>
        </w:rPr>
        <w:tab/>
      </w:r>
      <w:r w:rsidR="00652FBD">
        <w:rPr>
          <w:b/>
          <w:szCs w:val="22"/>
        </w:rPr>
        <w:tab/>
      </w:r>
      <w:r w:rsidR="00652FBD">
        <w:rPr>
          <w:b/>
          <w:szCs w:val="22"/>
        </w:rPr>
        <w:tab/>
      </w:r>
      <w:r w:rsidR="00652FBD">
        <w:rPr>
          <w:b/>
          <w:szCs w:val="22"/>
        </w:rPr>
        <w:tab/>
      </w:r>
      <w:r w:rsidR="00652FBD">
        <w:rPr>
          <w:b/>
          <w:szCs w:val="22"/>
        </w:rPr>
        <w:tab/>
      </w:r>
      <w:r w:rsidR="00652FBD">
        <w:rPr>
          <w:b/>
          <w:szCs w:val="22"/>
        </w:rPr>
        <w:tab/>
      </w:r>
      <w:r w:rsidR="00652FBD">
        <w:rPr>
          <w:b/>
          <w:szCs w:val="22"/>
        </w:rPr>
        <w:tab/>
      </w:r>
      <w:r w:rsidR="00652FBD">
        <w:rPr>
          <w:b/>
          <w:szCs w:val="22"/>
        </w:rPr>
        <w:tab/>
      </w:r>
      <w:r w:rsidR="00652FBD">
        <w:rPr>
          <w:b/>
          <w:szCs w:val="22"/>
        </w:rPr>
        <w:tab/>
      </w:r>
      <w:r w:rsidR="00652FBD">
        <w:rPr>
          <w:b/>
          <w:szCs w:val="22"/>
        </w:rPr>
        <w:tab/>
      </w:r>
    </w:p>
    <w:p w:rsidR="00F85D08" w:rsidRPr="00890EA9" w:rsidP="00F85D08" w14:paraId="386441B3" w14:textId="3C20DE89">
      <w:pPr>
        <w:rPr>
          <w:b/>
          <w:szCs w:val="22"/>
        </w:rPr>
      </w:pPr>
      <w:r w:rsidRPr="00890EA9">
        <w:rPr>
          <w:b/>
          <w:szCs w:val="22"/>
        </w:rPr>
        <w:t xml:space="preserve">Reply Comment Date:  </w:t>
      </w:r>
      <w:r w:rsidR="00C21745">
        <w:rPr>
          <w:b/>
          <w:szCs w:val="22"/>
        </w:rPr>
        <w:t xml:space="preserve">May </w:t>
      </w:r>
      <w:r w:rsidR="003F6603">
        <w:rPr>
          <w:b/>
          <w:szCs w:val="22"/>
        </w:rPr>
        <w:t>21</w:t>
      </w:r>
      <w:r w:rsidRPr="00890EA9">
        <w:rPr>
          <w:b/>
          <w:szCs w:val="22"/>
        </w:rPr>
        <w:t>, 20</w:t>
      </w:r>
      <w:r w:rsidR="00916C2D">
        <w:rPr>
          <w:b/>
          <w:szCs w:val="22"/>
        </w:rPr>
        <w:t>20</w:t>
      </w:r>
    </w:p>
    <w:p w:rsidR="00F85D08" w:rsidP="00F85D08" w14:paraId="79393E66" w14:textId="77777777"/>
    <w:p w:rsidR="00F85D08" w:rsidP="00F85D08" w14:paraId="241BCF1C" w14:textId="7DF77438">
      <w:pPr>
        <w:ind w:firstLine="720"/>
      </w:pPr>
      <w:r>
        <w:t xml:space="preserve">With this Public Notice, we seek comment on a petition for </w:t>
      </w:r>
      <w:r w:rsidR="00916C2D">
        <w:t>expedited declaratory ruling, clarification</w:t>
      </w:r>
      <w:r w:rsidR="00647A80">
        <w:t>,</w:t>
      </w:r>
      <w:r w:rsidR="00916C2D">
        <w:t xml:space="preserve"> or </w:t>
      </w:r>
      <w:r w:rsidR="00784683">
        <w:t>waiver</w:t>
      </w:r>
      <w:r>
        <w:t xml:space="preserve"> filed by </w:t>
      </w:r>
      <w:r w:rsidR="005C69C4">
        <w:t xml:space="preserve">the American Bankers Association and </w:t>
      </w:r>
      <w:r w:rsidR="00916C2D">
        <w:t xml:space="preserve">several </w:t>
      </w:r>
      <w:r w:rsidR="005C69C4">
        <w:t xml:space="preserve">other </w:t>
      </w:r>
      <w:r w:rsidR="001A48E0">
        <w:t xml:space="preserve">financial </w:t>
      </w:r>
      <w:r w:rsidR="00916C2D">
        <w:t>associations</w:t>
      </w:r>
      <w:r>
        <w:t>.</w:t>
      </w:r>
      <w:r>
        <w:rPr>
          <w:rStyle w:val="FootnoteReference"/>
        </w:rPr>
        <w:footnoteReference w:id="3"/>
      </w:r>
      <w:r>
        <w:t xml:space="preserve">  </w:t>
      </w:r>
      <w:r w:rsidR="00BC6841">
        <w:t>Specifically,</w:t>
      </w:r>
      <w:r w:rsidR="001A48E0">
        <w:t xml:space="preserve"> the </w:t>
      </w:r>
      <w:r w:rsidR="001A48E0">
        <w:rPr>
          <w:i/>
          <w:iCs/>
        </w:rPr>
        <w:t>Petition</w:t>
      </w:r>
      <w:r w:rsidR="001A48E0">
        <w:t xml:space="preserve"> </w:t>
      </w:r>
      <w:r w:rsidR="00CD2B2B">
        <w:t>contends</w:t>
      </w:r>
      <w:r w:rsidR="001A48E0">
        <w:t xml:space="preserve"> that calls or texts placed by banks, credit unions, and other customer-facing financial service provide</w:t>
      </w:r>
      <w:r w:rsidR="00C52279">
        <w:t>r</w:t>
      </w:r>
      <w:r w:rsidR="001A48E0">
        <w:t xml:space="preserve">s using an automatic telephone dialing system or prerecorded or artificial voice on matters relating to the COVID-19 pandemic are calls made for </w:t>
      </w:r>
      <w:r w:rsidR="00C52279">
        <w:t>“</w:t>
      </w:r>
      <w:r w:rsidR="001A48E0">
        <w:t>emergency purposes</w:t>
      </w:r>
      <w:r w:rsidR="00C52279">
        <w:t>” under the Telephone Consumer Protection Act (TCPA)</w:t>
      </w:r>
      <w:r w:rsidR="001A48E0">
        <w:t xml:space="preserve">, and thus may be </w:t>
      </w:r>
      <w:r w:rsidR="00072C29">
        <w:t>made</w:t>
      </w:r>
      <w:r w:rsidR="001A48E0">
        <w:t xml:space="preserve"> without the prior </w:t>
      </w:r>
      <w:r w:rsidR="00C65026">
        <w:t xml:space="preserve">express </w:t>
      </w:r>
      <w:r w:rsidR="001A48E0">
        <w:t>consent of the called party</w:t>
      </w:r>
      <w:r w:rsidR="009B3B3C">
        <w:t>.</w:t>
      </w:r>
      <w:r>
        <w:rPr>
          <w:rStyle w:val="FootnoteReference"/>
        </w:rPr>
        <w:footnoteReference w:id="4"/>
      </w:r>
      <w:r>
        <w:t xml:space="preserve">  </w:t>
      </w:r>
      <w:r w:rsidR="00FE3A32">
        <w:t xml:space="preserve">In relevant part, the TCPA </w:t>
      </w:r>
      <w:r w:rsidRPr="00FE3A32" w:rsidR="00FE3A32">
        <w:t>prohibit</w:t>
      </w:r>
      <w:r w:rsidR="00FE3A32">
        <w:t>s</w:t>
      </w:r>
      <w:r w:rsidRPr="00FE3A32" w:rsidR="00FE3A32">
        <w:t xml:space="preserve"> autodialed, prerecorded, or artificial voice calls to wireless telephone numbers and other specified recipients absent an emergency purpose or the prior express consent of the called party</w:t>
      </w:r>
      <w:r w:rsidR="00FE3A32">
        <w:t>.</w:t>
      </w:r>
      <w:r>
        <w:rPr>
          <w:rStyle w:val="FootnoteReference"/>
        </w:rPr>
        <w:footnoteReference w:id="5"/>
      </w:r>
      <w:r w:rsidR="00FE3A32">
        <w:t xml:space="preserve"> </w:t>
      </w:r>
    </w:p>
    <w:p w:rsidR="00F85D08" w:rsidP="00F85D08" w14:paraId="59E528FB" w14:textId="77777777"/>
    <w:p w:rsidR="00F85D08" w:rsidP="00F85D08" w14:paraId="47620DC9" w14:textId="77777777">
      <w:pPr>
        <w:ind w:firstLine="720"/>
      </w:pPr>
      <w:r>
        <w:rPr>
          <w:szCs w:val="22"/>
        </w:rPr>
        <w:t xml:space="preserve">We seek comment on </w:t>
      </w:r>
      <w:r>
        <w:rPr>
          <w:szCs w:val="22"/>
        </w:rPr>
        <w:t>this</w:t>
      </w:r>
      <w:r>
        <w:rPr>
          <w:szCs w:val="22"/>
        </w:rPr>
        <w:t xml:space="preserve"> and any other issues raised by the </w:t>
      </w:r>
      <w:r>
        <w:rPr>
          <w:i/>
          <w:szCs w:val="22"/>
        </w:rPr>
        <w:t>Petition</w:t>
      </w:r>
      <w:r>
        <w:rPr>
          <w:szCs w:val="22"/>
        </w:rPr>
        <w:t>.</w:t>
      </w:r>
    </w:p>
    <w:p w:rsidR="00F85D08" w:rsidP="00F85D08" w14:paraId="17B7A161" w14:textId="77777777">
      <w:pPr>
        <w:autoSpaceDE w:val="0"/>
        <w:autoSpaceDN w:val="0"/>
        <w:adjustRightInd w:val="0"/>
        <w:rPr>
          <w:szCs w:val="22"/>
        </w:rPr>
      </w:pPr>
    </w:p>
    <w:p w:rsidR="00534F5A" w:rsidRPr="00534F5A" w:rsidP="00534F5A" w14:paraId="6C3A857E" w14:textId="21999D72">
      <w:pPr>
        <w:spacing w:after="120"/>
        <w:ind w:firstLine="720"/>
        <w:rPr>
          <w:szCs w:val="22"/>
        </w:rPr>
      </w:pPr>
      <w:r w:rsidRPr="00534F5A">
        <w:rPr>
          <w:szCs w:val="22"/>
        </w:rPr>
        <w:t>Pursuant to section 1.</w:t>
      </w:r>
      <w:r w:rsidR="001255AD">
        <w:rPr>
          <w:szCs w:val="22"/>
        </w:rPr>
        <w:t xml:space="preserve">2 </w:t>
      </w:r>
      <w:r w:rsidRPr="00534F5A">
        <w:rPr>
          <w:szCs w:val="22"/>
        </w:rPr>
        <w:t>of the Commission’s rules,</w:t>
      </w:r>
      <w:r>
        <w:rPr>
          <w:szCs w:val="22"/>
          <w:vertAlign w:val="superscript"/>
        </w:rPr>
        <w:footnoteReference w:id="6"/>
      </w:r>
      <w:r w:rsidRPr="00534F5A">
        <w:rPr>
          <w:szCs w:val="22"/>
        </w:rPr>
        <w:t xml:space="preserve"> interested parties may file comments and reply comments on or before the dates indicated </w:t>
      </w:r>
      <w:r w:rsidR="00C21745">
        <w:rPr>
          <w:szCs w:val="22"/>
        </w:rPr>
        <w:t>above</w:t>
      </w:r>
      <w:r w:rsidRPr="00534F5A">
        <w:rPr>
          <w:szCs w:val="22"/>
        </w:rPr>
        <w:t xml:space="preserve">.  Comments may be filed using the Commission’s Electronic Comment Filing System (ECFS).  </w:t>
      </w:r>
      <w:r w:rsidRPr="00534F5A">
        <w:rPr>
          <w:i/>
          <w:szCs w:val="22"/>
        </w:rPr>
        <w:t>See Electronic Filing of Documents in Rulemaking Proceedings</w:t>
      </w:r>
      <w:r w:rsidRPr="00534F5A">
        <w:rPr>
          <w:szCs w:val="22"/>
        </w:rPr>
        <w:t>, 63 FR 24121 (1998).</w:t>
      </w:r>
    </w:p>
    <w:p w:rsidR="00D90FAC" w:rsidRPr="00742D85" w:rsidP="00D90FAC" w14:paraId="62911872" w14:textId="77777777">
      <w:pPr>
        <w:pStyle w:val="ListParagraph"/>
        <w:numPr>
          <w:ilvl w:val="0"/>
          <w:numId w:val="11"/>
        </w:numPr>
        <w:rPr>
          <w:rFonts w:ascii="Times New Roman" w:hAnsi="Times New Roman" w:cs="Times New Roman"/>
        </w:rPr>
      </w:pPr>
      <w:r w:rsidRPr="00742D85">
        <w:rPr>
          <w:rFonts w:ascii="Times New Roman" w:hAnsi="Times New Roman" w:cs="Times New Roman"/>
        </w:rPr>
        <w:t xml:space="preserve">Electronic Filers:  Comments may be filed electronically using the Internet by accessing the ECFS:  http://apps.fcc.gov/ecfs/.  </w:t>
      </w:r>
    </w:p>
    <w:p w:rsidR="00D90FAC" w:rsidRPr="00742D85" w:rsidP="00D90FAC" w14:paraId="7363A693" w14:textId="77777777">
      <w:pPr>
        <w:pStyle w:val="ListParagraph"/>
        <w:rPr>
          <w:rFonts w:ascii="Times New Roman" w:hAnsi="Times New Roman" w:cs="Times New Roman"/>
        </w:rPr>
      </w:pPr>
    </w:p>
    <w:p w:rsidR="00D90FAC" w:rsidRPr="00742D85" w:rsidP="00D90FAC" w14:paraId="2F9322F8" w14:textId="0DDFF807">
      <w:pPr>
        <w:pStyle w:val="ListParagraph"/>
        <w:numPr>
          <w:ilvl w:val="0"/>
          <w:numId w:val="11"/>
        </w:numPr>
        <w:rPr>
          <w:rFonts w:ascii="Times New Roman" w:hAnsi="Times New Roman" w:cs="Times New Roman"/>
        </w:rPr>
      </w:pPr>
      <w:r w:rsidRPr="00742D85">
        <w:rPr>
          <w:rFonts w:ascii="Times New Roman" w:hAnsi="Times New Roman" w:cs="Times New Roman"/>
        </w:rPr>
        <w:t xml:space="preserve">Paper Filers:  Parties who choose to file by paper must file an original and one copy of each </w:t>
      </w:r>
      <w:bookmarkStart w:id="0" w:name="_GoBack"/>
      <w:bookmarkEnd w:id="0"/>
      <w:r w:rsidRPr="00742D85">
        <w:rPr>
          <w:rFonts w:ascii="Times New Roman" w:hAnsi="Times New Roman" w:cs="Times New Roman"/>
        </w:rPr>
        <w:t xml:space="preserve">filing. </w:t>
      </w:r>
    </w:p>
    <w:p w:rsidR="00D90FAC" w:rsidRPr="00742D85" w:rsidP="00D90FAC" w14:paraId="4039D956" w14:textId="6D5177D5">
      <w:pPr>
        <w:pStyle w:val="ListParagraph"/>
        <w:numPr>
          <w:ilvl w:val="0"/>
          <w:numId w:val="11"/>
        </w:numPr>
        <w:rPr>
          <w:rFonts w:ascii="Times New Roman" w:hAnsi="Times New Roman" w:cs="Times New Roman"/>
        </w:rPr>
      </w:pPr>
      <w:r w:rsidRPr="00742D85">
        <w:rPr>
          <w:rFonts w:ascii="Times New Roman" w:hAnsi="Times New Roman" w:cs="Times New Roman"/>
        </w:rPr>
        <w:t>Filings can be sent by commercial overnight courier, or by first-class or overnight U.S. Postal Service mail. All filings must be addressed to the Commission’s Secretary, Office of the Secretary, Federal Communications Commission.</w:t>
      </w:r>
    </w:p>
    <w:p w:rsidR="00D90FAC" w:rsidRPr="00742D85" w:rsidP="00D90FAC" w14:paraId="4C1E4392" w14:textId="53C42774">
      <w:pPr>
        <w:pStyle w:val="ListParagraph"/>
        <w:numPr>
          <w:ilvl w:val="0"/>
          <w:numId w:val="11"/>
        </w:numPr>
        <w:rPr>
          <w:rFonts w:ascii="Times New Roman" w:hAnsi="Times New Roman" w:cs="Times New Roman"/>
        </w:rPr>
      </w:pPr>
      <w:r w:rsidRPr="00742D85">
        <w:rPr>
          <w:rFonts w:ascii="Times New Roman" w:hAnsi="Times New Roman" w:cs="Times New Roman"/>
        </w:rPr>
        <w:t xml:space="preserve">Commercial overnight mail (other than U.S. Postal Service Express Mail and Priority Mail) must be sent to 9050 Junction Drive, Annapolis Junction, MD 20701.U.S. </w:t>
      </w:r>
    </w:p>
    <w:p w:rsidR="00D90FAC" w:rsidRPr="00742D85" w:rsidP="00D90FAC" w14:paraId="15902EAB" w14:textId="61228AF8">
      <w:pPr>
        <w:pStyle w:val="ListParagraph"/>
        <w:numPr>
          <w:ilvl w:val="0"/>
          <w:numId w:val="11"/>
        </w:numPr>
        <w:rPr>
          <w:rFonts w:ascii="Times New Roman" w:hAnsi="Times New Roman" w:cs="Times New Roman"/>
        </w:rPr>
      </w:pPr>
      <w:r w:rsidRPr="00742D85">
        <w:rPr>
          <w:rFonts w:ascii="Times New Roman" w:hAnsi="Times New Roman" w:cs="Times New Roman"/>
        </w:rPr>
        <w:t>Postal Service first-class, Express, and Priority mail must be addressed to 445 12th Street, SW, Washington DC  20554</w:t>
      </w:r>
    </w:p>
    <w:p w:rsidR="00D90FAC" w:rsidRPr="00D90FAC" w:rsidP="00D90FAC" w14:paraId="393F7847" w14:textId="78516702">
      <w:pPr>
        <w:pStyle w:val="ListParagraph"/>
        <w:numPr>
          <w:ilvl w:val="0"/>
          <w:numId w:val="11"/>
        </w:numPr>
        <w:rPr>
          <w:u w:val="single"/>
        </w:rPr>
      </w:pPr>
      <w:r w:rsidRPr="00D90FAC">
        <w:rPr>
          <w:rFonts w:ascii="Times New Roman" w:hAnsi="Times New Roman" w:cs="Times New Roman"/>
          <w:b/>
          <w:bCs/>
        </w:rPr>
        <w:t xml:space="preserve">Effective March 19, 2020, and until further notice, the Commission no longer accepts any hand or messenger delivered filings. </w:t>
      </w:r>
      <w:r w:rsidR="00742D85">
        <w:rPr>
          <w:rFonts w:ascii="Times New Roman" w:hAnsi="Times New Roman" w:cs="Times New Roman"/>
          <w:b/>
          <w:bCs/>
        </w:rPr>
        <w:t xml:space="preserve"> </w:t>
      </w:r>
      <w:r w:rsidRPr="00D90FAC">
        <w:rPr>
          <w:rFonts w:ascii="Times New Roman" w:hAnsi="Times New Roman" w:cs="Times New Roman"/>
          <w:b/>
          <w:bCs/>
        </w:rPr>
        <w:t xml:space="preserve">This is a temporary measure taken to help protect the health and safety of individuals, and to mitigate the transmission of COVID-19.  See </w:t>
      </w:r>
      <w:r w:rsidRPr="00D90FAC">
        <w:rPr>
          <w:rFonts w:ascii="Times New Roman" w:hAnsi="Times New Roman" w:cs="Times New Roman"/>
          <w:b/>
          <w:bCs/>
          <w:i/>
          <w:iCs/>
        </w:rPr>
        <w:t>FCC Announces Closure of FCC Headquarters Open Window and Change in Hand-Delivery Policy</w:t>
      </w:r>
      <w:r w:rsidRPr="00D90FAC">
        <w:rPr>
          <w:rFonts w:ascii="Times New Roman" w:hAnsi="Times New Roman" w:cs="Times New Roman"/>
          <w:b/>
          <w:bCs/>
        </w:rPr>
        <w:t>, Public Notice, DA 20-304 (March 19, 2020)</w:t>
      </w:r>
      <w:r w:rsidR="00E0708C">
        <w:rPr>
          <w:b/>
          <w:bCs/>
        </w:rPr>
        <w:t>,</w:t>
      </w:r>
      <w:r w:rsidRPr="00D90FAC">
        <w:rPr>
          <w:b/>
          <w:bCs/>
        </w:rPr>
        <w:t xml:space="preserve"> </w:t>
      </w:r>
      <w:hyperlink r:id="rId5" w:history="1">
        <w:r w:rsidRPr="00E44452">
          <w:rPr>
            <w:rStyle w:val="Hyperlink"/>
            <w:rFonts w:ascii="Times New Roman" w:hAnsi="Times New Roman" w:cs="Times New Roman"/>
            <w:b/>
            <w:bCs/>
          </w:rPr>
          <w:t>https://www.fcc.gov/document/fcc-closes-headquarters-open-window-and-changes-hand-delivery-policy</w:t>
        </w:r>
      </w:hyperlink>
      <w:r w:rsidR="00E0708C">
        <w:rPr>
          <w:rStyle w:val="Hyperlink"/>
          <w:rFonts w:ascii="Times New Roman" w:hAnsi="Times New Roman" w:cs="Times New Roman"/>
          <w:b/>
          <w:bCs/>
        </w:rPr>
        <w:t>.</w:t>
      </w:r>
    </w:p>
    <w:p w:rsidR="00534F5A" w:rsidRPr="00534F5A" w:rsidP="00534F5A" w14:paraId="72EDA508" w14:textId="77777777">
      <w:pPr>
        <w:spacing w:after="120"/>
        <w:ind w:firstLine="720"/>
        <w:rPr>
          <w:szCs w:val="22"/>
        </w:rPr>
      </w:pPr>
      <w:r w:rsidRPr="00534F5A">
        <w:rPr>
          <w:i/>
          <w:szCs w:val="22"/>
        </w:rPr>
        <w:t>People with Disabilities</w:t>
      </w:r>
      <w:r w:rsidRPr="00534F5A">
        <w:rPr>
          <w:szCs w:val="22"/>
        </w:rPr>
        <w:t xml:space="preserve">.  To request materials in accessible formats for people with disabilities (Braille, large print, electronic files, audio format), send an e-mail to </w:t>
      </w:r>
      <w:r w:rsidRPr="00534F5A">
        <w:rPr>
          <w:szCs w:val="22"/>
          <w:u w:val="single"/>
        </w:rPr>
        <w:t>fcc504@fcc.gov</w:t>
      </w:r>
      <w:r w:rsidRPr="00534F5A">
        <w:rPr>
          <w:szCs w:val="22"/>
        </w:rPr>
        <w:t xml:space="preserve"> or call the Consumer and Governmental Affairs Bureau at 202-418-0530 (voice), 202-418-0432 (</w:t>
      </w:r>
      <w:r w:rsidRPr="00534F5A">
        <w:rPr>
          <w:szCs w:val="22"/>
        </w:rPr>
        <w:t>tty</w:t>
      </w:r>
      <w:r w:rsidRPr="00534F5A">
        <w:rPr>
          <w:szCs w:val="22"/>
        </w:rPr>
        <w:t>).</w:t>
      </w:r>
    </w:p>
    <w:p w:rsidR="00534F5A" w:rsidRPr="00534F5A" w:rsidP="00534F5A" w14:paraId="21E1149A" w14:textId="77777777">
      <w:pPr>
        <w:spacing w:after="120"/>
        <w:ind w:firstLine="720"/>
        <w:rPr>
          <w:szCs w:val="22"/>
        </w:rPr>
      </w:pPr>
      <w:r w:rsidRPr="00534F5A">
        <w:rPr>
          <w:i/>
          <w:iCs/>
          <w:szCs w:val="22"/>
        </w:rPr>
        <w:t>Ex Parte Rules</w:t>
      </w:r>
      <w:r w:rsidRPr="00534F5A">
        <w:rPr>
          <w:szCs w:val="22"/>
        </w:rPr>
        <w:t xml:space="preserve">.  This proceeding shall be treated as a “permit-but-disclose” proceeding in accordance with the Commission’s </w:t>
      </w:r>
      <w:r w:rsidRPr="00534F5A">
        <w:rPr>
          <w:i/>
          <w:iCs/>
          <w:szCs w:val="22"/>
        </w:rPr>
        <w:t xml:space="preserve">ex parte </w:t>
      </w:r>
      <w:r w:rsidRPr="00534F5A">
        <w:rPr>
          <w:szCs w:val="22"/>
        </w:rPr>
        <w:t>rules.</w:t>
      </w:r>
      <w:r>
        <w:rPr>
          <w:szCs w:val="22"/>
          <w:vertAlign w:val="superscript"/>
        </w:rPr>
        <w:footnoteReference w:id="7"/>
      </w:r>
      <w:r w:rsidRPr="00534F5A">
        <w:rPr>
          <w:szCs w:val="22"/>
        </w:rPr>
        <w:t xml:space="preserve">  Persons making </w:t>
      </w:r>
      <w:r w:rsidRPr="00534F5A">
        <w:rPr>
          <w:i/>
          <w:iCs/>
          <w:szCs w:val="22"/>
        </w:rPr>
        <w:t xml:space="preserve">ex parte </w:t>
      </w:r>
      <w:r w:rsidRPr="00534F5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34F5A">
        <w:rPr>
          <w:i/>
          <w:iCs/>
          <w:szCs w:val="22"/>
        </w:rPr>
        <w:t xml:space="preserve">ex parte </w:t>
      </w:r>
      <w:r w:rsidRPr="00534F5A">
        <w:rPr>
          <w:szCs w:val="22"/>
        </w:rPr>
        <w:t xml:space="preserve">presentations are reminded that memoranda summarizing the presentation must: (1) list all persons attending or otherwise participating in the meeting at which the </w:t>
      </w:r>
      <w:r w:rsidRPr="00534F5A">
        <w:rPr>
          <w:i/>
          <w:iCs/>
          <w:szCs w:val="22"/>
        </w:rPr>
        <w:t xml:space="preserve">ex parte </w:t>
      </w:r>
      <w:r w:rsidRPr="00534F5A">
        <w:rPr>
          <w:szCs w:val="22"/>
        </w:rPr>
        <w:t xml:space="preserve">presentation was made; and (2) summarize all data presented and arguments made during the presentation.  </w:t>
      </w:r>
    </w:p>
    <w:p w:rsidR="00F85D08" w:rsidRPr="000D7702" w:rsidP="003320DE" w14:paraId="74FF1902" w14:textId="364FA8DA">
      <w:pPr>
        <w:spacing w:after="120"/>
        <w:ind w:firstLine="720"/>
        <w:rPr>
          <w:szCs w:val="22"/>
        </w:rPr>
      </w:pPr>
      <w:r w:rsidRPr="00534F5A">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34F5A">
        <w:rPr>
          <w:i/>
          <w:iCs/>
          <w:szCs w:val="22"/>
        </w:rPr>
        <w:t xml:space="preserve">ex parte </w:t>
      </w:r>
      <w:r w:rsidRPr="00534F5A">
        <w:rPr>
          <w:szCs w:val="22"/>
        </w:rPr>
        <w:t xml:space="preserve">meetings are deemed to be written </w:t>
      </w:r>
      <w:r w:rsidRPr="00534F5A">
        <w:rPr>
          <w:i/>
          <w:iCs/>
          <w:szCs w:val="22"/>
        </w:rPr>
        <w:t xml:space="preserve">ex parte </w:t>
      </w:r>
      <w:r w:rsidRPr="00534F5A">
        <w:rPr>
          <w:szCs w:val="22"/>
        </w:rPr>
        <w:t>presentations and must be filed consistent with section 1.1206(b) of the Commission’s rules.</w:t>
      </w:r>
      <w:r>
        <w:rPr>
          <w:szCs w:val="22"/>
          <w:vertAlign w:val="superscript"/>
        </w:rPr>
        <w:footnoteReference w:id="8"/>
      </w:r>
      <w:r w:rsidRPr="00534F5A">
        <w:rPr>
          <w:szCs w:val="22"/>
        </w:rPr>
        <w:t xml:space="preserve">  In proceedings governed by section 1.49(f) of the rules or for which the Commission has made available a method of electronic filing, written </w:t>
      </w:r>
      <w:r w:rsidRPr="00534F5A">
        <w:rPr>
          <w:i/>
          <w:iCs/>
          <w:szCs w:val="22"/>
        </w:rPr>
        <w:t xml:space="preserve">ex parte </w:t>
      </w:r>
      <w:r w:rsidRPr="00534F5A">
        <w:rPr>
          <w:szCs w:val="22"/>
        </w:rPr>
        <w:t xml:space="preserve">presentations and memoranda summarizing oral </w:t>
      </w:r>
      <w:r w:rsidRPr="00534F5A">
        <w:rPr>
          <w:i/>
          <w:iCs/>
          <w:szCs w:val="22"/>
        </w:rPr>
        <w:t xml:space="preserve">ex parte </w:t>
      </w:r>
      <w:r w:rsidRPr="00534F5A">
        <w:rPr>
          <w:szCs w:val="22"/>
        </w:rPr>
        <w:t>presentations, and all attachments thereto, must be filed through the electronic comment filing system available for that proceeding, and must be filed in their native format (</w:t>
      </w:r>
      <w:r w:rsidRPr="00534F5A">
        <w:rPr>
          <w:iCs/>
          <w:szCs w:val="22"/>
        </w:rPr>
        <w:t>e.g.</w:t>
      </w:r>
      <w:r w:rsidRPr="00534F5A">
        <w:rPr>
          <w:szCs w:val="22"/>
        </w:rPr>
        <w:t>, .doc, .xml, .ppt, searchable .pdf).</w:t>
      </w:r>
      <w:r>
        <w:rPr>
          <w:szCs w:val="22"/>
          <w:vertAlign w:val="superscript"/>
        </w:rPr>
        <w:footnoteReference w:id="9"/>
      </w:r>
      <w:r w:rsidRPr="00534F5A">
        <w:rPr>
          <w:szCs w:val="22"/>
        </w:rPr>
        <w:t xml:space="preserve">  Participants in this proceeding should familiarize themselves with the Commission’s </w:t>
      </w:r>
      <w:r w:rsidRPr="00534F5A">
        <w:rPr>
          <w:i/>
          <w:iCs/>
          <w:szCs w:val="22"/>
        </w:rPr>
        <w:t xml:space="preserve">ex parte </w:t>
      </w:r>
      <w:r w:rsidRPr="00534F5A">
        <w:rPr>
          <w:szCs w:val="22"/>
        </w:rPr>
        <w:t>rules.</w:t>
      </w:r>
    </w:p>
    <w:p w:rsidR="00F85D08" w:rsidP="00F85D08" w14:paraId="796F630D" w14:textId="58D578A2">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sidR="00A23E23">
        <w:rPr>
          <w:szCs w:val="22"/>
        </w:rPr>
        <w:t>Richard D. Smith</w:t>
      </w:r>
      <w:r>
        <w:rPr>
          <w:szCs w:val="22"/>
        </w:rPr>
        <w:t>, Consumer Policy Division,</w:t>
      </w:r>
      <w:r w:rsidRPr="001411E5">
        <w:rPr>
          <w:szCs w:val="22"/>
        </w:rPr>
        <w:t xml:space="preserve"> Consumer</w:t>
      </w:r>
      <w:r>
        <w:rPr>
          <w:szCs w:val="22"/>
        </w:rPr>
        <w:t xml:space="preserve"> </w:t>
      </w:r>
      <w:r w:rsidR="00BB7C88">
        <w:rPr>
          <w:szCs w:val="22"/>
        </w:rPr>
        <w:t>and</w:t>
      </w:r>
      <w:r w:rsidRPr="001411E5">
        <w:rPr>
          <w:szCs w:val="22"/>
        </w:rPr>
        <w:t xml:space="preserve"> Governmental Affairs Bureau, at (</w:t>
      </w:r>
      <w:r w:rsidR="00A23E23">
        <w:rPr>
          <w:szCs w:val="22"/>
        </w:rPr>
        <w:t>717</w:t>
      </w:r>
      <w:r w:rsidRPr="001411E5">
        <w:rPr>
          <w:szCs w:val="22"/>
        </w:rPr>
        <w:t xml:space="preserve">) </w:t>
      </w:r>
      <w:r w:rsidR="001C36D4">
        <w:rPr>
          <w:szCs w:val="22"/>
        </w:rPr>
        <w:t>338</w:t>
      </w:r>
      <w:r w:rsidRPr="001411E5">
        <w:rPr>
          <w:szCs w:val="22"/>
        </w:rPr>
        <w:t>-</w:t>
      </w:r>
      <w:r w:rsidR="00A23E23">
        <w:rPr>
          <w:szCs w:val="22"/>
        </w:rPr>
        <w:t>2797</w:t>
      </w:r>
      <w:r w:rsidRPr="001411E5">
        <w:rPr>
          <w:szCs w:val="22"/>
        </w:rPr>
        <w:t xml:space="preserve"> or </w:t>
      </w:r>
      <w:hyperlink r:id="rId6" w:history="1">
        <w:r w:rsidRPr="003445AC" w:rsidR="00BC6841">
          <w:rPr>
            <w:rStyle w:val="Hyperlink"/>
            <w:szCs w:val="22"/>
          </w:rPr>
          <w:t>Richard.Smith@fcc.gov</w:t>
        </w:r>
      </w:hyperlink>
      <w:r w:rsidRPr="001411E5">
        <w:rPr>
          <w:szCs w:val="22"/>
        </w:rPr>
        <w:t>.</w:t>
      </w:r>
    </w:p>
    <w:p w:rsidR="00F85D08" w:rsidP="00F85D08" w14:paraId="4137D758" w14:textId="77777777">
      <w:pPr>
        <w:widowControl/>
      </w:pPr>
    </w:p>
    <w:p w:rsidR="00930ECF" w:rsidRPr="00930ECF" w:rsidP="00F96F63" w14:paraId="61B450E0" w14:textId="77777777">
      <w:pPr>
        <w:rPr>
          <w:sz w:val="24"/>
        </w:rPr>
      </w:pPr>
    </w:p>
    <w:sectPr w:rsidSect="00AD6711">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AD" w:rsidP="0055614C" w14:paraId="4BE4A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55AD" w14:paraId="1DDABC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AD" w:rsidP="00910F12" w14:paraId="29973A31" w14:textId="77777777">
    <w:pPr>
      <w:pStyle w:val="Footer"/>
      <w:jc w:val="center"/>
    </w:pPr>
    <w:r>
      <w:fldChar w:fldCharType="begin"/>
    </w:r>
    <w:r>
      <w:instrText xml:space="preserve"> PAGE   \* MERGEFORMAT </w:instrText>
    </w:r>
    <w:r>
      <w:fldChar w:fldCharType="separate"/>
    </w:r>
    <w:r w:rsidR="00E0708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AD" w14:paraId="192D91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55AD" w14:paraId="4B281525" w14:textId="77777777">
      <w:r>
        <w:separator/>
      </w:r>
    </w:p>
  </w:footnote>
  <w:footnote w:type="continuationSeparator" w:id="1">
    <w:p w:rsidR="001255AD" w14:paraId="6F900E68" w14:textId="77777777">
      <w:pPr>
        <w:rPr>
          <w:sz w:val="20"/>
        </w:rPr>
      </w:pPr>
      <w:r>
        <w:rPr>
          <w:sz w:val="20"/>
        </w:rPr>
        <w:t xml:space="preserve">(Continued from previous page)  </w:t>
      </w:r>
      <w:r>
        <w:rPr>
          <w:sz w:val="20"/>
        </w:rPr>
        <w:separator/>
      </w:r>
    </w:p>
  </w:footnote>
  <w:footnote w:type="continuationNotice" w:id="2">
    <w:p w:rsidR="001255AD" w:rsidP="00910F12" w14:paraId="1751B23A" w14:textId="77777777">
      <w:pPr>
        <w:jc w:val="right"/>
        <w:rPr>
          <w:sz w:val="20"/>
        </w:rPr>
      </w:pPr>
      <w:r>
        <w:rPr>
          <w:sz w:val="20"/>
        </w:rPr>
        <w:t>(continued….)</w:t>
      </w:r>
    </w:p>
  </w:footnote>
  <w:footnote w:id="3">
    <w:p w:rsidR="001255AD" w:rsidP="00F85D08" w14:paraId="327872C0" w14:textId="69651D31">
      <w:pPr>
        <w:pStyle w:val="FootnoteText"/>
      </w:pPr>
      <w:r>
        <w:rPr>
          <w:rStyle w:val="FootnoteReference"/>
        </w:rPr>
        <w:footnoteRef/>
      </w:r>
      <w:r>
        <w:t xml:space="preserve"> </w:t>
      </w:r>
      <w:r>
        <w:rPr>
          <w:i/>
          <w:iCs/>
        </w:rPr>
        <w:t>Petition for Expedited Declaratory Ruling, Clarification, or Waiver of the American Bankers Association et al.,</w:t>
      </w:r>
      <w:r>
        <w:t xml:space="preserve"> CG Docket No. 02-278 (</w:t>
      </w:r>
      <w:r w:rsidRPr="003606A7">
        <w:t xml:space="preserve">filed </w:t>
      </w:r>
      <w:r>
        <w:t>Mar. 30, 2020) (</w:t>
      </w:r>
      <w:r>
        <w:rPr>
          <w:i/>
        </w:rPr>
        <w:t>Petition</w:t>
      </w:r>
      <w:r>
        <w:t>).</w:t>
      </w:r>
    </w:p>
  </w:footnote>
  <w:footnote w:id="4">
    <w:p w:rsidR="001255AD" w:rsidRPr="00A23E23" w:rsidP="00F85D08" w14:paraId="51D6EF10" w14:textId="5FE9B52C">
      <w:pPr>
        <w:pStyle w:val="FootnoteText"/>
      </w:pPr>
      <w:r>
        <w:rPr>
          <w:rStyle w:val="FootnoteReference"/>
        </w:rPr>
        <w:footnoteRef/>
      </w:r>
      <w:r>
        <w:t xml:space="preserve"> </w:t>
      </w:r>
      <w:r w:rsidRPr="00DD566C">
        <w:rPr>
          <w:i/>
        </w:rPr>
        <w:t>Petition</w:t>
      </w:r>
      <w:r>
        <w:t xml:space="preserve"> at 4 (indicating that such calls may include, for example, outreach calls and texts to consumers to: offer payment deferrals, fee waivers, extension of payment terms or other delays in payment, modification, or forbearance on mortgage payments and other loans; advise of branch closures or reduced hours; warn of potential fraud; or otherwise make consumers aware of programs, relief, and resources offered in response to the pandemic).  The TCPA is codified at section 227 of the Communications Act of 1934, as amended.  </w:t>
      </w:r>
      <w:r>
        <w:rPr>
          <w:i/>
        </w:rPr>
        <w:t>See</w:t>
      </w:r>
      <w:r>
        <w:t xml:space="preserve"> 47 U.S.C. § 227. </w:t>
      </w:r>
    </w:p>
  </w:footnote>
  <w:footnote w:id="5">
    <w:p w:rsidR="001255AD" w14:paraId="5B6B0909" w14:textId="23043F55">
      <w:pPr>
        <w:pStyle w:val="FootnoteText"/>
      </w:pPr>
      <w:r>
        <w:rPr>
          <w:rStyle w:val="FootnoteReference"/>
        </w:rPr>
        <w:footnoteRef/>
      </w:r>
      <w:r>
        <w:t xml:space="preserve"> </w:t>
      </w:r>
      <w:r w:rsidRPr="00FE3A32">
        <w:rPr>
          <w:i/>
        </w:rPr>
        <w:t>See</w:t>
      </w:r>
      <w:r w:rsidRPr="00FE3A32">
        <w:t xml:space="preserve"> 47 U.S.C. § 227 (b)(1)</w:t>
      </w:r>
      <w:r>
        <w:t xml:space="preserve">.  </w:t>
      </w:r>
      <w:r w:rsidRPr="00FE3A32">
        <w:t>The Commission’s rules define “emergency purposes” to mean “calls made necessary in any situation affecting the health and safety of consumers.”</w:t>
      </w:r>
      <w:r w:rsidRPr="00FE3A32">
        <w:rPr>
          <w:iCs/>
          <w:snapToGrid w:val="0"/>
          <w:kern w:val="28"/>
          <w:sz w:val="22"/>
        </w:rPr>
        <w:t xml:space="preserve"> </w:t>
      </w:r>
      <w:r>
        <w:rPr>
          <w:iCs/>
          <w:snapToGrid w:val="0"/>
          <w:kern w:val="28"/>
          <w:sz w:val="22"/>
        </w:rPr>
        <w:t xml:space="preserve"> </w:t>
      </w:r>
      <w:r w:rsidRPr="00FE3A32">
        <w:rPr>
          <w:iCs/>
        </w:rPr>
        <w:t xml:space="preserve">47 CFR </w:t>
      </w:r>
      <w:r w:rsidRPr="00FE3A32">
        <w:t>§ 64.1200(f)(4).</w:t>
      </w:r>
    </w:p>
  </w:footnote>
  <w:footnote w:id="6">
    <w:p w:rsidR="001255AD" w:rsidRPr="00BD7B85" w:rsidP="00534F5A" w14:paraId="7936F37D" w14:textId="3D35DFDF">
      <w:pPr>
        <w:pStyle w:val="FootnoteText"/>
      </w:pPr>
      <w:r w:rsidRPr="00BD7B85">
        <w:rPr>
          <w:rStyle w:val="FootnoteReference"/>
          <w:sz w:val="20"/>
        </w:rPr>
        <w:footnoteRef/>
      </w:r>
      <w:r w:rsidRPr="00BD7B85">
        <w:t xml:space="preserve"> 47 CFR § 1.</w:t>
      </w:r>
      <w:r>
        <w:t>2</w:t>
      </w:r>
      <w:r w:rsidRPr="00BD7B85">
        <w:t>.</w:t>
      </w:r>
    </w:p>
  </w:footnote>
  <w:footnote w:id="7">
    <w:p w:rsidR="001255AD" w:rsidRPr="00BD7B85" w:rsidP="00534F5A" w14:paraId="4C27F62D" w14:textId="7CF1CF23">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w:t>
      </w:r>
      <w:r w:rsidR="00B01006">
        <w:rPr>
          <w:color w:val="242021"/>
          <w:spacing w:val="-2"/>
        </w:rPr>
        <w:t>47 CFR</w:t>
      </w:r>
      <w:r w:rsidRPr="00BD7B85">
        <w:rPr>
          <w:color w:val="242021"/>
          <w:spacing w:val="-5"/>
        </w:rPr>
        <w:t xml:space="preserve"> </w:t>
      </w:r>
      <w:r w:rsidRPr="00BD7B85">
        <w:rPr>
          <w:color w:val="242021"/>
          <w:spacing w:val="1"/>
        </w:rPr>
        <w:t>§</w:t>
      </w:r>
      <w:r w:rsidRPr="00BD7B85">
        <w:rPr>
          <w:color w:val="242021"/>
        </w:rPr>
        <w:t>§</w:t>
      </w:r>
      <w:r w:rsidRPr="00BD7B85">
        <w:rPr>
          <w:color w:val="242021"/>
          <w:spacing w:val="-2"/>
        </w:rPr>
        <w:t xml:space="preserve"> </w:t>
      </w:r>
      <w:r w:rsidRPr="00BD7B85">
        <w:rPr>
          <w:color w:val="242021"/>
          <w:spacing w:val="1"/>
        </w:rPr>
        <w:t>1.120</w:t>
      </w:r>
      <w:r w:rsidRPr="00BD7B85">
        <w:rPr>
          <w:color w:val="242021"/>
        </w:rPr>
        <w:t>0</w:t>
      </w:r>
      <w:r w:rsidRPr="00BD7B85">
        <w:rPr>
          <w:color w:val="242021"/>
          <w:spacing w:val="-4"/>
        </w:rPr>
        <w:t xml:space="preserve"> </w:t>
      </w:r>
      <w:r w:rsidRPr="00BD7B85">
        <w:rPr>
          <w:i/>
          <w:iCs/>
          <w:color w:val="242021"/>
          <w:spacing w:val="-1"/>
        </w:rPr>
        <w:t>e</w:t>
      </w:r>
      <w:r w:rsidRPr="00BD7B85">
        <w:rPr>
          <w:i/>
          <w:iCs/>
          <w:color w:val="242021"/>
        </w:rPr>
        <w:t>t</w:t>
      </w:r>
      <w:r w:rsidRPr="00BD7B85">
        <w:rPr>
          <w:i/>
          <w:iCs/>
          <w:color w:val="242021"/>
          <w:spacing w:val="-1"/>
        </w:rPr>
        <w:t xml:space="preserve"> se</w:t>
      </w:r>
      <w:r w:rsidRPr="00BD7B85">
        <w:rPr>
          <w:i/>
          <w:iCs/>
          <w:color w:val="242021"/>
          <w:spacing w:val="1"/>
        </w:rPr>
        <w:t>q</w:t>
      </w:r>
      <w:r w:rsidRPr="00BD7B85">
        <w:rPr>
          <w:color w:val="242021"/>
        </w:rPr>
        <w:t>.</w:t>
      </w:r>
    </w:p>
  </w:footnote>
  <w:footnote w:id="8">
    <w:p w:rsidR="001255AD" w:rsidRPr="00BD7B85" w:rsidP="00534F5A" w14:paraId="341BE840" w14:textId="77777777">
      <w:pPr>
        <w:pStyle w:val="FootnoteText"/>
      </w:pPr>
      <w:r w:rsidRPr="00BD7B85">
        <w:rPr>
          <w:rStyle w:val="FootnoteReference"/>
          <w:sz w:val="20"/>
        </w:rPr>
        <w:footnoteRef/>
      </w:r>
      <w:r w:rsidRPr="00BD7B85">
        <w:t xml:space="preserve"> </w:t>
      </w:r>
      <w:r w:rsidRPr="00BD7B85">
        <w:rPr>
          <w:i/>
        </w:rPr>
        <w:t xml:space="preserve">Id. </w:t>
      </w:r>
      <w:r w:rsidRPr="00BD7B85">
        <w:t>§ 1.1206(b).</w:t>
      </w:r>
    </w:p>
  </w:footnote>
  <w:footnote w:id="9">
    <w:p w:rsidR="001255AD" w:rsidRPr="00BD7B85" w:rsidP="00534F5A" w14:paraId="2DA9B92A" w14:textId="77777777">
      <w:pPr>
        <w:pStyle w:val="FootnoteText"/>
      </w:pPr>
      <w:r w:rsidRPr="00BD7B85">
        <w:rPr>
          <w:rStyle w:val="FootnoteReference"/>
          <w:sz w:val="20"/>
        </w:rPr>
        <w:footnoteRef/>
      </w:r>
      <w:r w:rsidRPr="00BD7B85">
        <w:t xml:space="preserve"> </w:t>
      </w:r>
      <w:r w:rsidRPr="00BD7B85">
        <w:rPr>
          <w:i/>
        </w:rPr>
        <w:t>Id.</w:t>
      </w:r>
      <w:r w:rsidRPr="00BD7B85">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AD" w:rsidRPr="009838BC" w:rsidP="009838BC" w14:paraId="606C7CE8" w14:textId="2B013A88">
    <w:pPr>
      <w:tabs>
        <w:tab w:val="center" w:pos="4680"/>
        <w:tab w:val="right" w:pos="9360"/>
      </w:tabs>
    </w:pPr>
    <w:r w:rsidRPr="009838BC">
      <w:rPr>
        <w:b/>
      </w:rPr>
      <w:tab/>
      <w:t>Federal Communications Commission</w:t>
    </w:r>
    <w:r w:rsidRPr="009838BC">
      <w:rPr>
        <w:b/>
      </w:rPr>
      <w:tab/>
    </w:r>
    <w:r>
      <w:rPr>
        <w:b/>
      </w:rPr>
      <w:t xml:space="preserve">DA </w:t>
    </w:r>
    <w:r w:rsidR="00A45896">
      <w:rPr>
        <w:b/>
      </w:rPr>
      <w:t>20</w:t>
    </w:r>
    <w:r>
      <w:rPr>
        <w:b/>
      </w:rPr>
      <w:t>-</w:t>
    </w:r>
    <w:r w:rsidR="003E6EDC">
      <w:rPr>
        <w:b/>
      </w:rPr>
      <w:t>384</w:t>
    </w:r>
  </w:p>
  <w:p w:rsidR="001255AD" w:rsidRPr="009838BC" w:rsidP="009838BC" w14:paraId="3D00BC0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p>
  <w:p w:rsidR="001255AD" w:rsidRPr="009838BC" w:rsidP="009838BC" w14:paraId="603A3A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AD" w:rsidRPr="00A866AC" w:rsidP="009838BC" w14:paraId="7F8173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55AD" w:rsidP="009838BC" w14:textId="77777777">
                          <w:pPr>
                            <w:rPr>
                              <w:rFonts w:ascii="Arial" w:hAnsi="Arial"/>
                              <w:b/>
                            </w:rPr>
                          </w:pPr>
                          <w:r>
                            <w:rPr>
                              <w:rFonts w:ascii="Arial" w:hAnsi="Arial"/>
                              <w:b/>
                            </w:rPr>
                            <w:t>Federal Communications Commission</w:t>
                          </w:r>
                        </w:p>
                        <w:p w:rsidR="001255AD"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55AD"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255AD" w:rsidP="009838BC" w14:paraId="21FAD12A" w14:textId="77777777">
                    <w:pPr>
                      <w:rPr>
                        <w:rFonts w:ascii="Arial" w:hAnsi="Arial"/>
                        <w:b/>
                      </w:rPr>
                    </w:pPr>
                    <w:r>
                      <w:rPr>
                        <w:rFonts w:ascii="Arial" w:hAnsi="Arial"/>
                        <w:b/>
                      </w:rPr>
                      <w:t>Federal Communications Commission</w:t>
                    </w:r>
                  </w:p>
                  <w:p w:rsidR="001255AD" w:rsidP="009838BC" w14:paraId="2E36F2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55AD" w:rsidP="009838BC" w14:paraId="0D01115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255AD" w:rsidRPr="00357D50" w:rsidP="009838BC" w14:paraId="243CB37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55AD" w:rsidP="009838BC" w14:textId="77777777">
                          <w:pPr>
                            <w:spacing w:before="40"/>
                            <w:jc w:val="right"/>
                            <w:rPr>
                              <w:rFonts w:ascii="Arial" w:hAnsi="Arial"/>
                              <w:b/>
                              <w:sz w:val="16"/>
                            </w:rPr>
                          </w:pPr>
                          <w:r>
                            <w:rPr>
                              <w:rFonts w:ascii="Arial" w:hAnsi="Arial"/>
                              <w:b/>
                              <w:sz w:val="16"/>
                            </w:rPr>
                            <w:t>News Media Information 202 / 418-0500</w:t>
                          </w:r>
                        </w:p>
                        <w:p w:rsidR="001255AD"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255AD"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1255AD" w:rsidP="009838BC" w14:paraId="6A32E885" w14:textId="77777777">
                    <w:pPr>
                      <w:spacing w:before="40"/>
                      <w:jc w:val="right"/>
                      <w:rPr>
                        <w:rFonts w:ascii="Arial" w:hAnsi="Arial"/>
                        <w:b/>
                        <w:sz w:val="16"/>
                      </w:rPr>
                    </w:pPr>
                    <w:r>
                      <w:rPr>
                        <w:rFonts w:ascii="Arial" w:hAnsi="Arial"/>
                        <w:b/>
                        <w:sz w:val="16"/>
                      </w:rPr>
                      <w:t>News Media Information 202 / 418-0500</w:t>
                    </w:r>
                  </w:p>
                  <w:p w:rsidR="001255AD" w:rsidP="009838BC" w14:paraId="3E0F1E8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255AD" w:rsidP="009838BC" w14:paraId="6513875F" w14:textId="77777777">
                    <w:pPr>
                      <w:jc w:val="right"/>
                    </w:pPr>
                    <w:r>
                      <w:rPr>
                        <w:rFonts w:ascii="Arial" w:hAnsi="Arial"/>
                        <w:b/>
                        <w:sz w:val="16"/>
                      </w:rPr>
                      <w:t>TTY: 1-888-835-5322</w:t>
                    </w:r>
                  </w:p>
                </w:txbxContent>
              </v:textbox>
            </v:shape>
          </w:pict>
        </mc:Fallback>
      </mc:AlternateContent>
    </w:r>
  </w:p>
  <w:p w:rsidR="001255AD" w:rsidRPr="009838BC" w:rsidP="009838BC" w14:paraId="47BC971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9"/>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A3A4C"/>
    <w:rsid w:val="00013A8B"/>
    <w:rsid w:val="00017291"/>
    <w:rsid w:val="00026574"/>
    <w:rsid w:val="00035D3C"/>
    <w:rsid w:val="00047EB6"/>
    <w:rsid w:val="000535B9"/>
    <w:rsid w:val="00066218"/>
    <w:rsid w:val="00072C29"/>
    <w:rsid w:val="00080C31"/>
    <w:rsid w:val="000A5065"/>
    <w:rsid w:val="000D7702"/>
    <w:rsid w:val="000D7A80"/>
    <w:rsid w:val="000F0734"/>
    <w:rsid w:val="0012123A"/>
    <w:rsid w:val="0012325A"/>
    <w:rsid w:val="001255AD"/>
    <w:rsid w:val="001411E5"/>
    <w:rsid w:val="00167E7F"/>
    <w:rsid w:val="00192305"/>
    <w:rsid w:val="0019379B"/>
    <w:rsid w:val="00196EBD"/>
    <w:rsid w:val="001A48E0"/>
    <w:rsid w:val="001B5766"/>
    <w:rsid w:val="001C1E54"/>
    <w:rsid w:val="001C36D4"/>
    <w:rsid w:val="001D19C0"/>
    <w:rsid w:val="001D7413"/>
    <w:rsid w:val="001E7198"/>
    <w:rsid w:val="001F02B9"/>
    <w:rsid w:val="001F397F"/>
    <w:rsid w:val="00214D03"/>
    <w:rsid w:val="00243037"/>
    <w:rsid w:val="002A317B"/>
    <w:rsid w:val="002A38A1"/>
    <w:rsid w:val="002A7971"/>
    <w:rsid w:val="002C1095"/>
    <w:rsid w:val="002D52F2"/>
    <w:rsid w:val="002F2D40"/>
    <w:rsid w:val="003248B2"/>
    <w:rsid w:val="003320DE"/>
    <w:rsid w:val="003445AC"/>
    <w:rsid w:val="00346CFC"/>
    <w:rsid w:val="00357D50"/>
    <w:rsid w:val="003606A7"/>
    <w:rsid w:val="0036388A"/>
    <w:rsid w:val="003C4DC9"/>
    <w:rsid w:val="003D5107"/>
    <w:rsid w:val="003D6F21"/>
    <w:rsid w:val="003E6EDC"/>
    <w:rsid w:val="003F6603"/>
    <w:rsid w:val="0042485D"/>
    <w:rsid w:val="00487972"/>
    <w:rsid w:val="004C00AC"/>
    <w:rsid w:val="004E5D45"/>
    <w:rsid w:val="004F00D2"/>
    <w:rsid w:val="004F15F8"/>
    <w:rsid w:val="00530B6D"/>
    <w:rsid w:val="00534F5A"/>
    <w:rsid w:val="0055614C"/>
    <w:rsid w:val="0056120C"/>
    <w:rsid w:val="00564A86"/>
    <w:rsid w:val="005904F6"/>
    <w:rsid w:val="00591FE8"/>
    <w:rsid w:val="00593C02"/>
    <w:rsid w:val="005A72AF"/>
    <w:rsid w:val="005B37F2"/>
    <w:rsid w:val="005C69C4"/>
    <w:rsid w:val="005E39EF"/>
    <w:rsid w:val="005F6441"/>
    <w:rsid w:val="00603636"/>
    <w:rsid w:val="00603ACB"/>
    <w:rsid w:val="006109FB"/>
    <w:rsid w:val="00647A80"/>
    <w:rsid w:val="00652FBD"/>
    <w:rsid w:val="00672BB7"/>
    <w:rsid w:val="00674185"/>
    <w:rsid w:val="00694752"/>
    <w:rsid w:val="00695C5A"/>
    <w:rsid w:val="006A10FD"/>
    <w:rsid w:val="006C05A3"/>
    <w:rsid w:val="006F0B50"/>
    <w:rsid w:val="006F3C75"/>
    <w:rsid w:val="006F7393"/>
    <w:rsid w:val="00742D85"/>
    <w:rsid w:val="007431FC"/>
    <w:rsid w:val="00784683"/>
    <w:rsid w:val="00787B11"/>
    <w:rsid w:val="00787D6D"/>
    <w:rsid w:val="00790DB2"/>
    <w:rsid w:val="007C63B6"/>
    <w:rsid w:val="008003CA"/>
    <w:rsid w:val="00801F23"/>
    <w:rsid w:val="008322B2"/>
    <w:rsid w:val="008332DC"/>
    <w:rsid w:val="00890EA9"/>
    <w:rsid w:val="0089558D"/>
    <w:rsid w:val="008A6518"/>
    <w:rsid w:val="008B7D28"/>
    <w:rsid w:val="008E0277"/>
    <w:rsid w:val="00910F12"/>
    <w:rsid w:val="00911BEB"/>
    <w:rsid w:val="0091222B"/>
    <w:rsid w:val="00916C2D"/>
    <w:rsid w:val="00930ECF"/>
    <w:rsid w:val="00966719"/>
    <w:rsid w:val="009838BC"/>
    <w:rsid w:val="009B3B3C"/>
    <w:rsid w:val="009D3861"/>
    <w:rsid w:val="009D6646"/>
    <w:rsid w:val="009E6F69"/>
    <w:rsid w:val="009F1555"/>
    <w:rsid w:val="00A06E25"/>
    <w:rsid w:val="00A23C1D"/>
    <w:rsid w:val="00A23E23"/>
    <w:rsid w:val="00A26735"/>
    <w:rsid w:val="00A45896"/>
    <w:rsid w:val="00A51296"/>
    <w:rsid w:val="00A62DF9"/>
    <w:rsid w:val="00A7105A"/>
    <w:rsid w:val="00A717A9"/>
    <w:rsid w:val="00A866AC"/>
    <w:rsid w:val="00A91E13"/>
    <w:rsid w:val="00A97E74"/>
    <w:rsid w:val="00AB1832"/>
    <w:rsid w:val="00AB7244"/>
    <w:rsid w:val="00AD6711"/>
    <w:rsid w:val="00B01006"/>
    <w:rsid w:val="00B162B0"/>
    <w:rsid w:val="00B316C8"/>
    <w:rsid w:val="00B44DC6"/>
    <w:rsid w:val="00B459B4"/>
    <w:rsid w:val="00B52515"/>
    <w:rsid w:val="00BA05A4"/>
    <w:rsid w:val="00BB7C88"/>
    <w:rsid w:val="00BC6841"/>
    <w:rsid w:val="00BD7B85"/>
    <w:rsid w:val="00C0022F"/>
    <w:rsid w:val="00C142CB"/>
    <w:rsid w:val="00C17DC1"/>
    <w:rsid w:val="00C21745"/>
    <w:rsid w:val="00C23559"/>
    <w:rsid w:val="00C30CC7"/>
    <w:rsid w:val="00C3571C"/>
    <w:rsid w:val="00C46A5A"/>
    <w:rsid w:val="00C52279"/>
    <w:rsid w:val="00C61D14"/>
    <w:rsid w:val="00C65026"/>
    <w:rsid w:val="00C66FCD"/>
    <w:rsid w:val="00C920DF"/>
    <w:rsid w:val="00CC0FE7"/>
    <w:rsid w:val="00CC4CF5"/>
    <w:rsid w:val="00CD2B2B"/>
    <w:rsid w:val="00CD42FD"/>
    <w:rsid w:val="00D0273A"/>
    <w:rsid w:val="00D216CD"/>
    <w:rsid w:val="00D2344E"/>
    <w:rsid w:val="00D53730"/>
    <w:rsid w:val="00D90FAC"/>
    <w:rsid w:val="00DA3A4C"/>
    <w:rsid w:val="00DB791D"/>
    <w:rsid w:val="00DC224B"/>
    <w:rsid w:val="00DD527E"/>
    <w:rsid w:val="00DD566C"/>
    <w:rsid w:val="00E0708C"/>
    <w:rsid w:val="00E17388"/>
    <w:rsid w:val="00E2587D"/>
    <w:rsid w:val="00E31814"/>
    <w:rsid w:val="00E44452"/>
    <w:rsid w:val="00EB5811"/>
    <w:rsid w:val="00EC76B9"/>
    <w:rsid w:val="00ED462A"/>
    <w:rsid w:val="00ED4C47"/>
    <w:rsid w:val="00F12F8B"/>
    <w:rsid w:val="00F83438"/>
    <w:rsid w:val="00F85D08"/>
    <w:rsid w:val="00F96F63"/>
    <w:rsid w:val="00F97F71"/>
    <w:rsid w:val="00FC2795"/>
    <w:rsid w:val="00FE3A3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5EFBAFC-1BDA-48BA-B884-0B88706F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rsid w:val="00BC6841"/>
    <w:rPr>
      <w:color w:val="605E5C"/>
      <w:shd w:val="clear" w:color="auto" w:fill="E1DFDD"/>
    </w:rPr>
  </w:style>
  <w:style w:type="paragraph" w:styleId="ListParagraph">
    <w:name w:val="List Paragraph"/>
    <w:basedOn w:val="Normal"/>
    <w:uiPriority w:val="34"/>
    <w:qFormat/>
    <w:rsid w:val="00D90FAC"/>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UnresolvedMention3">
    <w:name w:val="Unresolved Mention3"/>
    <w:basedOn w:val="DefaultParagraphFont"/>
    <w:uiPriority w:val="99"/>
    <w:semiHidden/>
    <w:unhideWhenUsed/>
    <w:rsid w:val="00D9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Richard.Smith@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