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0D2AE748" w14:textId="5540D96D">
      <w:pPr>
        <w:jc w:val="right"/>
        <w:rPr>
          <w:b/>
          <w:sz w:val="24"/>
        </w:rPr>
      </w:pPr>
      <w:r>
        <w:rPr>
          <w:b/>
          <w:sz w:val="24"/>
        </w:rPr>
        <w:t>DA 20-</w:t>
      </w:r>
      <w:r w:rsidR="00C65633">
        <w:rPr>
          <w:b/>
          <w:sz w:val="24"/>
        </w:rPr>
        <w:t>395</w:t>
      </w:r>
    </w:p>
    <w:p w:rsidR="00013A8B" w:rsidRPr="00B20363" w:rsidP="00013A8B" w14:paraId="41F77332" w14:textId="17CC1CCC">
      <w:pPr>
        <w:spacing w:before="60"/>
        <w:jc w:val="right"/>
        <w:rPr>
          <w:b/>
          <w:sz w:val="24"/>
        </w:rPr>
      </w:pPr>
      <w:r>
        <w:rPr>
          <w:b/>
          <w:sz w:val="24"/>
        </w:rPr>
        <w:t xml:space="preserve">Released:  </w:t>
      </w:r>
      <w:r w:rsidR="00BA5A87">
        <w:rPr>
          <w:b/>
          <w:sz w:val="24"/>
        </w:rPr>
        <w:t xml:space="preserve">April </w:t>
      </w:r>
      <w:r w:rsidR="00C65633">
        <w:rPr>
          <w:b/>
          <w:sz w:val="24"/>
        </w:rPr>
        <w:t>9</w:t>
      </w:r>
      <w:r w:rsidR="00BA5A87">
        <w:rPr>
          <w:b/>
          <w:sz w:val="24"/>
        </w:rPr>
        <w:t>, 2020</w:t>
      </w:r>
    </w:p>
    <w:p w:rsidR="00013A8B" w:rsidP="00013A8B" w14:paraId="4D0B2E4A" w14:textId="77777777">
      <w:pPr>
        <w:jc w:val="right"/>
        <w:rPr>
          <w:sz w:val="24"/>
        </w:rPr>
      </w:pPr>
    </w:p>
    <w:p w:rsidR="00BA5A87" w:rsidRPr="00B20363" w:rsidP="00BA5A87" w14:paraId="23FA0E94" w14:textId="2E4BCEDD">
      <w:pPr>
        <w:spacing w:after="240"/>
        <w:jc w:val="center"/>
        <w:rPr>
          <w:rFonts w:ascii="Times New Roman Bold" w:hAnsi="Times New Roman Bold"/>
          <w:b/>
          <w:caps/>
          <w:sz w:val="24"/>
        </w:rPr>
      </w:pPr>
      <w:r>
        <w:rPr>
          <w:rFonts w:ascii="Times New Roman Bold" w:hAnsi="Times New Roman Bold"/>
          <w:b/>
          <w:caps/>
          <w:sz w:val="24"/>
        </w:rPr>
        <w:t>WIRELINE COMPETITION BUREAU APPROVES ALASKA COMMUNICATION</w:t>
      </w:r>
      <w:r w:rsidR="00502626">
        <w:rPr>
          <w:rFonts w:ascii="Times New Roman Bold" w:hAnsi="Times New Roman Bold"/>
          <w:b/>
          <w:caps/>
          <w:sz w:val="24"/>
        </w:rPr>
        <w:t>S</w:t>
      </w:r>
      <w:r>
        <w:rPr>
          <w:rFonts w:ascii="Times New Roman Bold" w:hAnsi="Times New Roman Bold"/>
          <w:b/>
          <w:caps/>
          <w:sz w:val="24"/>
        </w:rPr>
        <w:t xml:space="preserve"> SYSTEMS’ 10 Year CAF PHASE II DEPLOYMENT PLAN</w:t>
      </w:r>
    </w:p>
    <w:p w:rsidR="00BA5A87" w:rsidP="00BA5A87" w14:paraId="4B0E0986" w14:textId="77777777">
      <w:pPr>
        <w:jc w:val="center"/>
        <w:rPr>
          <w:b/>
          <w:sz w:val="24"/>
        </w:rPr>
      </w:pPr>
      <w:r>
        <w:rPr>
          <w:b/>
          <w:sz w:val="24"/>
        </w:rPr>
        <w:t>WC Docket No. 10-90</w:t>
      </w:r>
    </w:p>
    <w:p w:rsidR="00F96F63" w:rsidP="00F96F63" w14:paraId="40ADA4CA" w14:textId="0B71F15D">
      <w:pPr>
        <w:rPr>
          <w:b/>
          <w:sz w:val="24"/>
        </w:rPr>
      </w:pPr>
      <w:bookmarkStart w:id="0" w:name="TOChere"/>
    </w:p>
    <w:p w:rsidR="00BA5A87" w:rsidRPr="00B95EBE" w:rsidP="00BA5A87" w14:paraId="0DBDEC38" w14:textId="77777777">
      <w:pPr>
        <w:widowControl/>
        <w:spacing w:after="160" w:line="259" w:lineRule="auto"/>
        <w:ind w:firstLine="720"/>
        <w:rPr>
          <w:rFonts w:eastAsia="Calibri"/>
          <w:snapToGrid/>
          <w:kern w:val="0"/>
          <w:szCs w:val="22"/>
        </w:rPr>
      </w:pPr>
      <w:r>
        <w:rPr>
          <w:rFonts w:eastAsia="Calibri"/>
          <w:snapToGrid/>
          <w:kern w:val="0"/>
          <w:szCs w:val="22"/>
        </w:rPr>
        <w:t xml:space="preserve">By this Public Notice, the Wireline Competition Bureau (Bureau) announces the approval of </w:t>
      </w:r>
      <w:r w:rsidRPr="00B95EBE">
        <w:rPr>
          <w:rFonts w:eastAsia="Calibri"/>
          <w:snapToGrid/>
          <w:kern w:val="0"/>
          <w:szCs w:val="22"/>
        </w:rPr>
        <w:t>Alaska Communications Sy</w:t>
      </w:r>
      <w:bookmarkStart w:id="1" w:name="_GoBack"/>
      <w:bookmarkEnd w:id="1"/>
      <w:r w:rsidRPr="00B95EBE">
        <w:rPr>
          <w:rFonts w:eastAsia="Calibri"/>
          <w:snapToGrid/>
          <w:kern w:val="0"/>
          <w:szCs w:val="22"/>
        </w:rPr>
        <w:t>stems</w:t>
      </w:r>
      <w:r>
        <w:rPr>
          <w:rFonts w:eastAsia="Calibri"/>
          <w:snapToGrid/>
          <w:kern w:val="0"/>
          <w:szCs w:val="22"/>
        </w:rPr>
        <w:t>’</w:t>
      </w:r>
      <w:r w:rsidRPr="00B95EBE">
        <w:rPr>
          <w:rFonts w:eastAsia="Calibri"/>
          <w:snapToGrid/>
          <w:kern w:val="0"/>
          <w:szCs w:val="22"/>
        </w:rPr>
        <w:t xml:space="preserve"> (ACS)</w:t>
      </w:r>
      <w:r>
        <w:rPr>
          <w:rFonts w:eastAsia="Calibri"/>
          <w:snapToGrid/>
          <w:kern w:val="0"/>
          <w:szCs w:val="22"/>
        </w:rPr>
        <w:t xml:space="preserve"> 10-year Connect America Fund Phase II deployment plan.  In </w:t>
      </w:r>
      <w:r w:rsidRPr="00B95EBE">
        <w:rPr>
          <w:rFonts w:eastAsia="Calibri"/>
          <w:snapToGrid/>
          <w:kern w:val="0"/>
          <w:szCs w:val="22"/>
        </w:rPr>
        <w:t xml:space="preserve">2016, the Federal Communications Commission (Commission) adopted tailored service obligations for </w:t>
      </w:r>
      <w:r>
        <w:rPr>
          <w:rFonts w:eastAsia="Calibri"/>
          <w:snapToGrid/>
          <w:kern w:val="0"/>
          <w:szCs w:val="22"/>
        </w:rPr>
        <w:t>ACS acknowledging the unique climate and geographic conditions of serving Alaska</w:t>
      </w:r>
      <w:r w:rsidRPr="00B95EBE">
        <w:rPr>
          <w:rFonts w:eastAsia="Calibri"/>
          <w:snapToGrid/>
          <w:kern w:val="0"/>
          <w:szCs w:val="22"/>
        </w:rPr>
        <w:t>.</w:t>
      </w:r>
      <w:r>
        <w:rPr>
          <w:rFonts w:eastAsia="Calibri"/>
          <w:snapToGrid/>
          <w:kern w:val="0"/>
          <w:szCs w:val="22"/>
          <w:vertAlign w:val="superscript"/>
        </w:rPr>
        <w:footnoteReference w:id="3"/>
      </w:r>
      <w:r w:rsidRPr="00B95EBE">
        <w:rPr>
          <w:rFonts w:eastAsia="Calibri"/>
          <w:snapToGrid/>
          <w:kern w:val="0"/>
          <w:szCs w:val="22"/>
        </w:rPr>
        <w:t xml:space="preserve">  In the </w:t>
      </w:r>
      <w:r w:rsidRPr="003D4502">
        <w:rPr>
          <w:i/>
          <w:iCs/>
          <w:szCs w:val="22"/>
        </w:rPr>
        <w:t>ACS CAF Phase II Order</w:t>
      </w:r>
      <w:r w:rsidRPr="00B95EBE">
        <w:rPr>
          <w:rFonts w:eastAsia="Calibri"/>
          <w:snapToGrid/>
          <w:kern w:val="0"/>
          <w:szCs w:val="22"/>
        </w:rPr>
        <w:t>, the Commission granted ACS nearly $20 million annually in frozen support</w:t>
      </w:r>
      <w:r>
        <w:rPr>
          <w:rFonts w:eastAsia="Calibri"/>
          <w:snapToGrid/>
          <w:kern w:val="0"/>
          <w:szCs w:val="22"/>
        </w:rPr>
        <w:t>,</w:t>
      </w:r>
      <w:r w:rsidRPr="00B95EBE">
        <w:rPr>
          <w:rFonts w:eastAsia="Calibri"/>
          <w:snapToGrid/>
          <w:kern w:val="0"/>
          <w:szCs w:val="22"/>
        </w:rPr>
        <w:t xml:space="preserve"> in lieu of model-based support</w:t>
      </w:r>
      <w:r>
        <w:rPr>
          <w:rFonts w:eastAsia="Calibri"/>
          <w:snapToGrid/>
          <w:kern w:val="0"/>
          <w:szCs w:val="22"/>
        </w:rPr>
        <w:t>,</w:t>
      </w:r>
      <w:r w:rsidRPr="00B95EBE">
        <w:rPr>
          <w:rFonts w:eastAsia="Calibri"/>
          <w:snapToGrid/>
          <w:kern w:val="0"/>
          <w:szCs w:val="22"/>
        </w:rPr>
        <w:t xml:space="preserve"> to serve Alaska for a 10-year period.</w:t>
      </w:r>
      <w:r>
        <w:rPr>
          <w:rFonts w:eastAsia="Calibri"/>
          <w:snapToGrid/>
          <w:kern w:val="0"/>
          <w:szCs w:val="22"/>
          <w:vertAlign w:val="superscript"/>
        </w:rPr>
        <w:footnoteReference w:id="4"/>
      </w:r>
      <w:r w:rsidRPr="00B95EBE">
        <w:rPr>
          <w:rFonts w:eastAsia="Calibri"/>
          <w:snapToGrid/>
          <w:kern w:val="0"/>
          <w:szCs w:val="22"/>
        </w:rPr>
        <w:t xml:space="preserve">  ACS is required to offer voice and broadband service at the same speed, latency, usage and pricing metrics</w:t>
      </w:r>
      <w:r>
        <w:rPr>
          <w:rFonts w:eastAsia="Calibri"/>
          <w:snapToGrid/>
          <w:kern w:val="0"/>
          <w:szCs w:val="22"/>
          <w:vertAlign w:val="superscript"/>
        </w:rPr>
        <w:footnoteReference w:id="5"/>
      </w:r>
      <w:r w:rsidRPr="00B95EBE">
        <w:rPr>
          <w:rFonts w:eastAsia="Calibri"/>
          <w:snapToGrid/>
          <w:kern w:val="0"/>
          <w:szCs w:val="22"/>
        </w:rPr>
        <w:t xml:space="preserve"> as CAF Phase II model-based carriers to at least 31,571 locations.</w:t>
      </w:r>
      <w:r>
        <w:rPr>
          <w:rFonts w:eastAsia="Calibri"/>
          <w:snapToGrid/>
          <w:kern w:val="0"/>
          <w:szCs w:val="22"/>
          <w:vertAlign w:val="superscript"/>
        </w:rPr>
        <w:footnoteReference w:id="6"/>
      </w:r>
      <w:r w:rsidRPr="00B95EBE">
        <w:rPr>
          <w:rFonts w:eastAsia="Calibri"/>
          <w:snapToGrid/>
          <w:kern w:val="0"/>
          <w:szCs w:val="22"/>
        </w:rPr>
        <w:t xml:space="preserve">  </w:t>
      </w:r>
      <w:r>
        <w:rPr>
          <w:rFonts w:eastAsia="Calibri"/>
          <w:snapToGrid/>
          <w:kern w:val="0"/>
          <w:szCs w:val="22"/>
        </w:rPr>
        <w:t>As part of its obligation, t</w:t>
      </w:r>
      <w:r w:rsidRPr="00B95EBE">
        <w:rPr>
          <w:rFonts w:eastAsia="Calibri"/>
          <w:snapToGrid/>
          <w:kern w:val="0"/>
          <w:szCs w:val="22"/>
        </w:rPr>
        <w:t>he Commission</w:t>
      </w:r>
      <w:r>
        <w:rPr>
          <w:rFonts w:eastAsia="Calibri"/>
          <w:snapToGrid/>
          <w:kern w:val="0"/>
          <w:szCs w:val="22"/>
        </w:rPr>
        <w:t xml:space="preserve"> granted</w:t>
      </w:r>
      <w:r w:rsidRPr="00B95EBE">
        <w:rPr>
          <w:rFonts w:eastAsia="Calibri"/>
          <w:snapToGrid/>
          <w:kern w:val="0"/>
          <w:szCs w:val="22"/>
        </w:rPr>
        <w:t xml:space="preserve"> ACS </w:t>
      </w:r>
      <w:r>
        <w:rPr>
          <w:rFonts w:eastAsia="Calibri"/>
          <w:snapToGrid/>
          <w:kern w:val="0"/>
          <w:szCs w:val="22"/>
        </w:rPr>
        <w:t xml:space="preserve">the flexibility </w:t>
      </w:r>
      <w:r w:rsidRPr="00B95EBE">
        <w:rPr>
          <w:rFonts w:eastAsia="Calibri"/>
          <w:snapToGrid/>
          <w:kern w:val="0"/>
          <w:szCs w:val="22"/>
        </w:rPr>
        <w:t xml:space="preserve">to substitute up to </w:t>
      </w:r>
      <w:r>
        <w:rPr>
          <w:rFonts w:eastAsia="Calibri"/>
          <w:snapToGrid/>
          <w:kern w:val="0"/>
          <w:szCs w:val="22"/>
        </w:rPr>
        <w:t xml:space="preserve">7,900 </w:t>
      </w:r>
      <w:r w:rsidRPr="00B95EBE">
        <w:rPr>
          <w:rFonts w:eastAsia="Calibri"/>
          <w:snapToGrid/>
          <w:kern w:val="0"/>
          <w:szCs w:val="22"/>
        </w:rPr>
        <w:t>locations in partially-served census blocks</w:t>
      </w:r>
      <w:r>
        <w:rPr>
          <w:rStyle w:val="FootnoteReference"/>
          <w:rFonts w:eastAsia="Calibri"/>
          <w:snapToGrid/>
          <w:kern w:val="0"/>
          <w:szCs w:val="22"/>
        </w:rPr>
        <w:footnoteReference w:id="7"/>
      </w:r>
      <w:r w:rsidRPr="00B95EBE">
        <w:rPr>
          <w:rFonts w:eastAsia="Calibri"/>
          <w:snapToGrid/>
          <w:kern w:val="0"/>
          <w:szCs w:val="22"/>
        </w:rPr>
        <w:t xml:space="preserve"> and 2,714 locations in low-cost census blocks requiring $5,000 or more in capital expenditures</w:t>
      </w:r>
      <w:r>
        <w:rPr>
          <w:rFonts w:eastAsia="Calibri"/>
          <w:snapToGrid/>
          <w:kern w:val="0"/>
          <w:szCs w:val="22"/>
          <w:vertAlign w:val="superscript"/>
        </w:rPr>
        <w:footnoteReference w:id="8"/>
      </w:r>
      <w:r w:rsidRPr="00B95EBE">
        <w:rPr>
          <w:rFonts w:eastAsia="Calibri"/>
          <w:snapToGrid/>
          <w:kern w:val="0"/>
          <w:szCs w:val="22"/>
        </w:rPr>
        <w:t xml:space="preserve"> to count towards i</w:t>
      </w:r>
      <w:r>
        <w:rPr>
          <w:rFonts w:eastAsia="Calibri"/>
          <w:snapToGrid/>
          <w:kern w:val="0"/>
          <w:szCs w:val="22"/>
        </w:rPr>
        <w:t>t</w:t>
      </w:r>
      <w:r w:rsidRPr="00B95EBE">
        <w:rPr>
          <w:rFonts w:eastAsia="Calibri"/>
          <w:snapToGrid/>
          <w:kern w:val="0"/>
          <w:szCs w:val="22"/>
        </w:rPr>
        <w:t xml:space="preserve">s total deployment obligation of 31,571 locations.  </w:t>
      </w:r>
    </w:p>
    <w:p w:rsidR="00BA5A87" w:rsidP="00BA5A87" w14:paraId="4A1BD0D2" w14:textId="77777777">
      <w:pPr>
        <w:widowControl/>
        <w:spacing w:after="160" w:line="259" w:lineRule="auto"/>
        <w:ind w:firstLine="720"/>
        <w:rPr>
          <w:rFonts w:eastAsia="Calibri"/>
          <w:snapToGrid/>
          <w:kern w:val="0"/>
          <w:szCs w:val="22"/>
        </w:rPr>
      </w:pPr>
      <w:r w:rsidRPr="00B95EBE">
        <w:rPr>
          <w:rFonts w:eastAsia="Calibri"/>
          <w:snapToGrid/>
          <w:kern w:val="0"/>
          <w:szCs w:val="22"/>
        </w:rPr>
        <w:t xml:space="preserve">In accordance with the </w:t>
      </w:r>
      <w:r>
        <w:rPr>
          <w:rFonts w:eastAsia="Calibri"/>
          <w:snapToGrid/>
          <w:kern w:val="0"/>
          <w:szCs w:val="22"/>
        </w:rPr>
        <w:t>parameters of</w:t>
      </w:r>
      <w:r w:rsidRPr="00B95EBE">
        <w:rPr>
          <w:rFonts w:eastAsia="Calibri"/>
          <w:snapToGrid/>
          <w:kern w:val="0"/>
          <w:szCs w:val="22"/>
        </w:rPr>
        <w:t xml:space="preserve"> </w:t>
      </w:r>
      <w:r>
        <w:rPr>
          <w:rFonts w:eastAsia="Calibri"/>
          <w:snapToGrid/>
          <w:kern w:val="0"/>
          <w:szCs w:val="22"/>
        </w:rPr>
        <w:t xml:space="preserve">the </w:t>
      </w:r>
      <w:r w:rsidRPr="003D4502">
        <w:rPr>
          <w:i/>
          <w:iCs/>
          <w:szCs w:val="22"/>
        </w:rPr>
        <w:t>ACS CAF Phase II Order</w:t>
      </w:r>
      <w:r w:rsidRPr="00B95EBE">
        <w:rPr>
          <w:rFonts w:eastAsia="Calibri"/>
          <w:snapToGrid/>
          <w:kern w:val="0"/>
          <w:szCs w:val="22"/>
        </w:rPr>
        <w:t xml:space="preserve">, the Bureau conducted a challenge process for </w:t>
      </w:r>
      <w:r>
        <w:rPr>
          <w:rFonts w:eastAsia="Calibri"/>
          <w:snapToGrid/>
          <w:kern w:val="0"/>
          <w:szCs w:val="22"/>
        </w:rPr>
        <w:t xml:space="preserve">new </w:t>
      </w:r>
      <w:r w:rsidRPr="00B95EBE">
        <w:rPr>
          <w:rFonts w:eastAsia="Calibri"/>
          <w:snapToGrid/>
          <w:kern w:val="0"/>
          <w:szCs w:val="22"/>
        </w:rPr>
        <w:t>locations ACS proposed to serve in partially-served census blocks to</w:t>
      </w:r>
      <w:r>
        <w:rPr>
          <w:rFonts w:eastAsia="Calibri"/>
          <w:snapToGrid/>
          <w:kern w:val="0"/>
          <w:szCs w:val="22"/>
        </w:rPr>
        <w:t xml:space="preserve"> meet</w:t>
      </w:r>
      <w:r w:rsidRPr="00B95EBE">
        <w:rPr>
          <w:rFonts w:eastAsia="Calibri"/>
          <w:snapToGrid/>
          <w:kern w:val="0"/>
          <w:szCs w:val="22"/>
        </w:rPr>
        <w:t xml:space="preserve"> its minimum location requirement.</w:t>
      </w:r>
      <w:r>
        <w:rPr>
          <w:rFonts w:eastAsia="Calibri"/>
          <w:snapToGrid/>
          <w:kern w:val="0"/>
          <w:szCs w:val="22"/>
          <w:vertAlign w:val="superscript"/>
        </w:rPr>
        <w:footnoteReference w:id="9"/>
      </w:r>
      <w:r w:rsidRPr="00B95EBE">
        <w:rPr>
          <w:rFonts w:eastAsia="Calibri"/>
          <w:snapToGrid/>
          <w:kern w:val="0"/>
          <w:szCs w:val="22"/>
        </w:rPr>
        <w:t xml:space="preserve">  Following two challenge rounds, the Bureau approved specific geocode locations in partially-served census blocks to count towards ACS’</w:t>
      </w:r>
      <w:r>
        <w:rPr>
          <w:rFonts w:eastAsia="Calibri"/>
          <w:snapToGrid/>
          <w:kern w:val="0"/>
          <w:szCs w:val="22"/>
        </w:rPr>
        <w:t>s</w:t>
      </w:r>
      <w:r w:rsidRPr="00B95EBE">
        <w:rPr>
          <w:rFonts w:eastAsia="Calibri"/>
          <w:snapToGrid/>
          <w:kern w:val="0"/>
          <w:szCs w:val="22"/>
        </w:rPr>
        <w:t xml:space="preserve"> total deployment obligations.</w:t>
      </w:r>
      <w:r>
        <w:rPr>
          <w:rStyle w:val="FootnoteReference"/>
          <w:rFonts w:eastAsia="Calibri"/>
          <w:snapToGrid/>
          <w:kern w:val="0"/>
          <w:szCs w:val="22"/>
        </w:rPr>
        <w:footnoteReference w:id="10"/>
      </w:r>
      <w:r w:rsidRPr="00B95EBE">
        <w:rPr>
          <w:rFonts w:eastAsia="Calibri"/>
          <w:snapToGrid/>
          <w:kern w:val="0"/>
          <w:szCs w:val="22"/>
        </w:rPr>
        <w:t xml:space="preserve">  </w:t>
      </w:r>
      <w:r>
        <w:rPr>
          <w:rFonts w:eastAsia="Calibri"/>
          <w:snapToGrid/>
          <w:kern w:val="0"/>
          <w:szCs w:val="22"/>
        </w:rPr>
        <w:t xml:space="preserve">As provided by the </w:t>
      </w:r>
      <w:r w:rsidRPr="003D4502">
        <w:rPr>
          <w:i/>
          <w:iCs/>
          <w:szCs w:val="22"/>
        </w:rPr>
        <w:t>ACS CAF Phase II Order</w:t>
      </w:r>
      <w:r>
        <w:rPr>
          <w:szCs w:val="22"/>
        </w:rPr>
        <w:t>,</w:t>
      </w:r>
      <w:r w:rsidRPr="00B95EBE">
        <w:rPr>
          <w:rFonts w:eastAsia="Calibri"/>
          <w:snapToGrid/>
          <w:kern w:val="0"/>
          <w:szCs w:val="22"/>
        </w:rPr>
        <w:t xml:space="preserve"> </w:t>
      </w:r>
      <w:r>
        <w:rPr>
          <w:rFonts w:eastAsia="Calibri"/>
          <w:snapToGrid/>
          <w:kern w:val="0"/>
          <w:szCs w:val="22"/>
        </w:rPr>
        <w:t xml:space="preserve">following the challenge process, </w:t>
      </w:r>
      <w:r w:rsidRPr="00B95EBE">
        <w:rPr>
          <w:rFonts w:eastAsia="Calibri"/>
          <w:snapToGrid/>
          <w:kern w:val="0"/>
          <w:szCs w:val="22"/>
        </w:rPr>
        <w:t xml:space="preserve">ACS filed its 10-year CAF </w:t>
      </w:r>
      <w:r w:rsidRPr="00B95EBE">
        <w:rPr>
          <w:rFonts w:eastAsia="Calibri"/>
          <w:snapToGrid/>
          <w:kern w:val="0"/>
          <w:szCs w:val="22"/>
        </w:rPr>
        <w:t>Phase II deployment plan</w:t>
      </w:r>
      <w:r w:rsidRPr="00354C0A">
        <w:rPr>
          <w:rFonts w:eastAsia="Calibri"/>
          <w:snapToGrid/>
          <w:kern w:val="0"/>
          <w:szCs w:val="22"/>
        </w:rPr>
        <w:t xml:space="preserve"> </w:t>
      </w:r>
      <w:r>
        <w:rPr>
          <w:rFonts w:eastAsia="Calibri"/>
          <w:snapToGrid/>
          <w:kern w:val="0"/>
          <w:szCs w:val="22"/>
        </w:rPr>
        <w:t>o</w:t>
      </w:r>
      <w:r w:rsidRPr="00B95EBE">
        <w:rPr>
          <w:rFonts w:eastAsia="Calibri"/>
          <w:snapToGrid/>
          <w:kern w:val="0"/>
          <w:szCs w:val="22"/>
        </w:rPr>
        <w:t>n May 6, 2019</w:t>
      </w:r>
      <w:r>
        <w:rPr>
          <w:rFonts w:eastAsia="Calibri"/>
          <w:snapToGrid/>
          <w:kern w:val="0"/>
          <w:szCs w:val="22"/>
        </w:rPr>
        <w:t>,</w:t>
      </w:r>
      <w:r w:rsidRPr="00B95EBE">
        <w:rPr>
          <w:rFonts w:eastAsia="Calibri"/>
          <w:snapToGrid/>
          <w:kern w:val="0"/>
          <w:szCs w:val="22"/>
          <w:vertAlign w:val="superscript"/>
        </w:rPr>
        <w:t xml:space="preserve"> </w:t>
      </w:r>
      <w:r>
        <w:rPr>
          <w:rFonts w:eastAsia="Calibri"/>
          <w:snapToGrid/>
          <w:kern w:val="0"/>
          <w:szCs w:val="22"/>
          <w:vertAlign w:val="superscript"/>
        </w:rPr>
        <w:footnoteReference w:id="11"/>
      </w:r>
      <w:r>
        <w:rPr>
          <w:rFonts w:eastAsia="Calibri"/>
          <w:snapToGrid/>
          <w:kern w:val="0"/>
          <w:szCs w:val="22"/>
        </w:rPr>
        <w:t xml:space="preserve"> and o</w:t>
      </w:r>
      <w:r w:rsidRPr="00B95EBE">
        <w:rPr>
          <w:rFonts w:eastAsia="Calibri"/>
          <w:snapToGrid/>
          <w:kern w:val="0"/>
          <w:szCs w:val="22"/>
        </w:rPr>
        <w:t xml:space="preserve">n </w:t>
      </w:r>
      <w:r>
        <w:rPr>
          <w:rFonts w:eastAsia="Calibri"/>
          <w:snapToGrid/>
          <w:kern w:val="0"/>
          <w:szCs w:val="22"/>
        </w:rPr>
        <w:t>December 4</w:t>
      </w:r>
      <w:r w:rsidRPr="00B95EBE">
        <w:rPr>
          <w:rFonts w:eastAsia="Calibri"/>
          <w:snapToGrid/>
          <w:kern w:val="0"/>
          <w:szCs w:val="22"/>
        </w:rPr>
        <w:t xml:space="preserve">, 2019, </w:t>
      </w:r>
      <w:r>
        <w:rPr>
          <w:rFonts w:eastAsia="Calibri"/>
          <w:snapToGrid/>
          <w:kern w:val="0"/>
          <w:szCs w:val="22"/>
        </w:rPr>
        <w:t>ACS submitted an updated</w:t>
      </w:r>
      <w:r w:rsidRPr="00B95EBE">
        <w:rPr>
          <w:rFonts w:eastAsia="Calibri"/>
          <w:snapToGrid/>
          <w:kern w:val="0"/>
          <w:szCs w:val="22"/>
        </w:rPr>
        <w:t xml:space="preserve"> deployment plan</w:t>
      </w:r>
      <w:r>
        <w:rPr>
          <w:rFonts w:eastAsia="Calibri"/>
          <w:snapToGrid/>
          <w:kern w:val="0"/>
          <w:szCs w:val="22"/>
        </w:rPr>
        <w:t xml:space="preserve"> to correct, add, and remove certain geocoded locations.</w:t>
      </w:r>
      <w:r>
        <w:rPr>
          <w:rFonts w:eastAsia="Calibri"/>
          <w:snapToGrid/>
          <w:kern w:val="0"/>
          <w:szCs w:val="22"/>
          <w:vertAlign w:val="superscript"/>
        </w:rPr>
        <w:footnoteReference w:id="12"/>
      </w:r>
      <w:r w:rsidRPr="00B95EBE">
        <w:rPr>
          <w:rFonts w:eastAsia="Calibri"/>
          <w:snapToGrid/>
          <w:kern w:val="0"/>
          <w:szCs w:val="22"/>
        </w:rPr>
        <w:t xml:space="preserve">  </w:t>
      </w:r>
      <w:r>
        <w:rPr>
          <w:rFonts w:eastAsia="Calibri"/>
          <w:snapToGrid/>
          <w:kern w:val="0"/>
          <w:szCs w:val="22"/>
        </w:rPr>
        <w:t>In particular, ACS added 172 locations in partially-served census blocks that the Bureau previously approved during the prior challenge process that were not included as part of the original deployment plan; removed 45 geocoded locations that it determined were duplicative of other locations listed in the deployment plan, and corrected the geocodes of seven locations.</w:t>
      </w:r>
      <w:r>
        <w:rPr>
          <w:rStyle w:val="FootnoteReference"/>
          <w:rFonts w:eastAsia="Calibri"/>
          <w:snapToGrid/>
          <w:kern w:val="0"/>
          <w:szCs w:val="22"/>
        </w:rPr>
        <w:footnoteReference w:id="13"/>
      </w:r>
      <w:r>
        <w:rPr>
          <w:rFonts w:eastAsia="Calibri"/>
          <w:snapToGrid/>
          <w:kern w:val="0"/>
          <w:szCs w:val="22"/>
        </w:rPr>
        <w:t xml:space="preserve">  In total, ACS indicates that it intends to deploy to 32,518 new locations.</w:t>
      </w:r>
      <w:r>
        <w:rPr>
          <w:rStyle w:val="FootnoteReference"/>
          <w:rFonts w:eastAsia="Calibri"/>
          <w:snapToGrid/>
          <w:kern w:val="0"/>
          <w:szCs w:val="22"/>
        </w:rPr>
        <w:footnoteReference w:id="14"/>
      </w:r>
      <w:r>
        <w:rPr>
          <w:rFonts w:eastAsia="Calibri"/>
          <w:snapToGrid/>
          <w:kern w:val="0"/>
          <w:szCs w:val="22"/>
        </w:rPr>
        <w:t xml:space="preserve"> </w:t>
      </w:r>
    </w:p>
    <w:p w:rsidR="00BA5A87" w:rsidP="00BA5A87" w14:paraId="2826F623" w14:textId="77777777">
      <w:pPr>
        <w:widowControl/>
        <w:spacing w:after="160" w:line="259" w:lineRule="auto"/>
        <w:ind w:firstLine="720"/>
        <w:rPr>
          <w:rFonts w:eastAsia="Calibri"/>
          <w:snapToGrid/>
          <w:kern w:val="0"/>
          <w:szCs w:val="22"/>
        </w:rPr>
      </w:pPr>
      <w:r>
        <w:rPr>
          <w:rFonts w:eastAsia="Calibri"/>
          <w:snapToGrid/>
          <w:kern w:val="0"/>
          <w:szCs w:val="22"/>
        </w:rPr>
        <w:t>Based on our review of the updated deployment plan, the Bureau finds</w:t>
      </w:r>
      <w:r w:rsidRPr="00B95EBE">
        <w:rPr>
          <w:rFonts w:eastAsia="Calibri"/>
          <w:snapToGrid/>
          <w:kern w:val="0"/>
          <w:szCs w:val="22"/>
        </w:rPr>
        <w:t xml:space="preserve"> </w:t>
      </w:r>
      <w:r>
        <w:rPr>
          <w:rFonts w:eastAsia="Calibri"/>
          <w:snapToGrid/>
          <w:kern w:val="0"/>
          <w:szCs w:val="22"/>
        </w:rPr>
        <w:t>that ACS’s service obligations are in the public interest as ACS will provide advanced communication service to at least 31,571 new locations.</w:t>
      </w:r>
      <w:r>
        <w:rPr>
          <w:rStyle w:val="FootnoteReference"/>
          <w:rFonts w:eastAsia="Calibri"/>
          <w:snapToGrid/>
          <w:kern w:val="0"/>
          <w:szCs w:val="22"/>
        </w:rPr>
        <w:footnoteReference w:id="15"/>
      </w:r>
      <w:r>
        <w:rPr>
          <w:rFonts w:eastAsia="Calibri"/>
          <w:snapToGrid/>
          <w:kern w:val="0"/>
          <w:szCs w:val="22"/>
        </w:rPr>
        <w:t xml:space="preserve">  The Bureau finds that the locations identified in</w:t>
      </w:r>
      <w:r w:rsidRPr="00B95EBE">
        <w:rPr>
          <w:rFonts w:eastAsia="Calibri"/>
          <w:snapToGrid/>
          <w:kern w:val="0"/>
          <w:szCs w:val="22"/>
        </w:rPr>
        <w:t xml:space="preserve"> ACS’</w:t>
      </w:r>
      <w:r>
        <w:rPr>
          <w:rFonts w:eastAsia="Calibri"/>
          <w:snapToGrid/>
          <w:kern w:val="0"/>
          <w:szCs w:val="22"/>
        </w:rPr>
        <w:t>s</w:t>
      </w:r>
      <w:r w:rsidRPr="00B95EBE">
        <w:rPr>
          <w:rFonts w:eastAsia="Calibri"/>
          <w:snapToGrid/>
          <w:kern w:val="0"/>
          <w:szCs w:val="22"/>
        </w:rPr>
        <w:t xml:space="preserve"> </w:t>
      </w:r>
      <w:r>
        <w:rPr>
          <w:rFonts w:eastAsia="Calibri"/>
          <w:snapToGrid/>
          <w:kern w:val="0"/>
          <w:szCs w:val="22"/>
        </w:rPr>
        <w:t>updated d</w:t>
      </w:r>
      <w:r w:rsidRPr="00B95EBE">
        <w:rPr>
          <w:rFonts w:eastAsia="Calibri"/>
          <w:snapToGrid/>
          <w:kern w:val="0"/>
          <w:szCs w:val="22"/>
        </w:rPr>
        <w:t xml:space="preserve">eployment </w:t>
      </w:r>
      <w:r>
        <w:rPr>
          <w:rFonts w:eastAsia="Calibri"/>
          <w:snapToGrid/>
          <w:kern w:val="0"/>
          <w:szCs w:val="22"/>
        </w:rPr>
        <w:t>p</w:t>
      </w:r>
      <w:r w:rsidRPr="00B95EBE">
        <w:rPr>
          <w:rFonts w:eastAsia="Calibri"/>
          <w:snapToGrid/>
          <w:kern w:val="0"/>
          <w:szCs w:val="22"/>
        </w:rPr>
        <w:t>lan</w:t>
      </w:r>
      <w:r>
        <w:rPr>
          <w:rFonts w:eastAsia="Calibri"/>
          <w:snapToGrid/>
          <w:kern w:val="0"/>
          <w:szCs w:val="22"/>
        </w:rPr>
        <w:t>, following the challenge process,</w:t>
      </w:r>
      <w:r w:rsidRPr="00B95EBE">
        <w:rPr>
          <w:rFonts w:eastAsia="Calibri"/>
          <w:snapToGrid/>
          <w:kern w:val="0"/>
          <w:szCs w:val="22"/>
        </w:rPr>
        <w:t xml:space="preserve"> </w:t>
      </w:r>
      <w:r>
        <w:rPr>
          <w:rFonts w:eastAsia="Calibri"/>
          <w:snapToGrid/>
          <w:kern w:val="0"/>
          <w:szCs w:val="22"/>
        </w:rPr>
        <w:t xml:space="preserve">are consistent with the provisions of the </w:t>
      </w:r>
      <w:r w:rsidRPr="00572999">
        <w:rPr>
          <w:rFonts w:eastAsia="Calibri"/>
          <w:i/>
          <w:iCs/>
          <w:snapToGrid/>
          <w:kern w:val="0"/>
          <w:szCs w:val="22"/>
        </w:rPr>
        <w:t>ACS CAF Phase II Order</w:t>
      </w:r>
      <w:r>
        <w:rPr>
          <w:rFonts w:eastAsia="Calibri"/>
          <w:snapToGrid/>
          <w:kern w:val="0"/>
          <w:szCs w:val="22"/>
        </w:rPr>
        <w:t>, subject to specific conditions and exceptions described below</w:t>
      </w:r>
      <w:r w:rsidRPr="00B95EBE">
        <w:rPr>
          <w:rFonts w:eastAsia="Calibri"/>
          <w:snapToGrid/>
          <w:kern w:val="0"/>
          <w:szCs w:val="22"/>
        </w:rPr>
        <w:t xml:space="preserve">.  </w:t>
      </w:r>
      <w:r>
        <w:rPr>
          <w:rFonts w:eastAsia="Calibri"/>
          <w:snapToGrid/>
          <w:kern w:val="0"/>
          <w:szCs w:val="22"/>
        </w:rPr>
        <w:t>First</w:t>
      </w:r>
      <w:r w:rsidRPr="00B95EBE">
        <w:rPr>
          <w:rFonts w:eastAsia="Calibri"/>
          <w:snapToGrid/>
          <w:kern w:val="0"/>
          <w:szCs w:val="22"/>
        </w:rPr>
        <w:t xml:space="preserve">, ACS indicates that it may seek to deploy voice and broadband service to locations </w:t>
      </w:r>
      <w:r>
        <w:rPr>
          <w:rFonts w:eastAsia="Calibri"/>
          <w:snapToGrid/>
          <w:kern w:val="0"/>
          <w:szCs w:val="22"/>
        </w:rPr>
        <w:t xml:space="preserve">that are </w:t>
      </w:r>
      <w:r w:rsidRPr="00B95EBE">
        <w:rPr>
          <w:rFonts w:eastAsia="Calibri"/>
          <w:snapToGrid/>
          <w:kern w:val="0"/>
          <w:szCs w:val="22"/>
        </w:rPr>
        <w:t>not currently listed in its deployment plan</w:t>
      </w:r>
      <w:r>
        <w:rPr>
          <w:rFonts w:eastAsia="Calibri"/>
          <w:snapToGrid/>
          <w:kern w:val="0"/>
          <w:szCs w:val="22"/>
        </w:rPr>
        <w:t>, but located in eligible census blocks,</w:t>
      </w:r>
      <w:r w:rsidRPr="00B95EBE">
        <w:rPr>
          <w:rFonts w:eastAsia="Calibri"/>
          <w:snapToGrid/>
          <w:kern w:val="0"/>
          <w:szCs w:val="22"/>
        </w:rPr>
        <w:t xml:space="preserve"> </w:t>
      </w:r>
      <w:r>
        <w:rPr>
          <w:rFonts w:eastAsia="Calibri"/>
          <w:snapToGrid/>
          <w:kern w:val="0"/>
          <w:szCs w:val="22"/>
        </w:rPr>
        <w:t xml:space="preserve">to meet </w:t>
      </w:r>
      <w:r w:rsidRPr="00B95EBE">
        <w:rPr>
          <w:rFonts w:eastAsia="Calibri"/>
          <w:snapToGrid/>
          <w:kern w:val="0"/>
          <w:szCs w:val="22"/>
        </w:rPr>
        <w:t>its minimum deployment obligation</w:t>
      </w:r>
      <w:r>
        <w:rPr>
          <w:rFonts w:eastAsia="Calibri"/>
          <w:snapToGrid/>
          <w:kern w:val="0"/>
          <w:szCs w:val="22"/>
        </w:rPr>
        <w:t>.</w:t>
      </w:r>
      <w:r>
        <w:rPr>
          <w:rFonts w:eastAsia="Calibri"/>
          <w:snapToGrid/>
          <w:kern w:val="0"/>
          <w:szCs w:val="22"/>
          <w:vertAlign w:val="superscript"/>
        </w:rPr>
        <w:footnoteReference w:id="16"/>
      </w:r>
      <w:r w:rsidRPr="00B95EBE">
        <w:rPr>
          <w:rFonts w:eastAsia="Calibri"/>
          <w:snapToGrid/>
          <w:kern w:val="0"/>
          <w:szCs w:val="22"/>
        </w:rPr>
        <w:t xml:space="preserve"> </w:t>
      </w:r>
      <w:r>
        <w:rPr>
          <w:rFonts w:eastAsia="Calibri"/>
          <w:snapToGrid/>
          <w:kern w:val="0"/>
          <w:szCs w:val="22"/>
        </w:rPr>
        <w:t xml:space="preserve"> While the Commission has provided ACS with certain flexibilities to meet its service obligation in a manner that is logical, maximizes its network and is reasonable based on unique service territory conditions, we note that ACS must abide by the </w:t>
      </w:r>
      <w:r w:rsidRPr="00B95EBE">
        <w:rPr>
          <w:rFonts w:eastAsia="Calibri"/>
          <w:snapToGrid/>
          <w:kern w:val="0"/>
          <w:szCs w:val="22"/>
        </w:rPr>
        <w:t xml:space="preserve">provisions of the </w:t>
      </w:r>
      <w:r w:rsidRPr="003D4502">
        <w:rPr>
          <w:i/>
          <w:iCs/>
          <w:szCs w:val="22"/>
        </w:rPr>
        <w:t>ACS CAF Phase II Order</w:t>
      </w:r>
      <w:r>
        <w:rPr>
          <w:i/>
          <w:iCs/>
          <w:szCs w:val="22"/>
        </w:rPr>
        <w:t xml:space="preserve"> </w:t>
      </w:r>
      <w:r>
        <w:rPr>
          <w:szCs w:val="22"/>
        </w:rPr>
        <w:t xml:space="preserve">for </w:t>
      </w:r>
      <w:r>
        <w:rPr>
          <w:rFonts w:eastAsia="Calibri"/>
          <w:snapToGrid/>
          <w:kern w:val="0"/>
          <w:szCs w:val="22"/>
        </w:rPr>
        <w:t>each location intended to satisfy its service obligations</w:t>
      </w:r>
      <w:r w:rsidRPr="00B95EBE">
        <w:rPr>
          <w:rFonts w:eastAsia="Calibri"/>
          <w:snapToGrid/>
          <w:kern w:val="0"/>
          <w:szCs w:val="22"/>
        </w:rPr>
        <w:t>.</w:t>
      </w:r>
      <w:r>
        <w:rPr>
          <w:rStyle w:val="FootnoteReference"/>
          <w:rFonts w:eastAsia="Calibri"/>
          <w:snapToGrid/>
          <w:kern w:val="0"/>
          <w:szCs w:val="22"/>
        </w:rPr>
        <w:footnoteReference w:id="17"/>
      </w:r>
      <w:r w:rsidRPr="00B95EBE">
        <w:rPr>
          <w:rFonts w:eastAsia="Calibri"/>
          <w:snapToGrid/>
          <w:kern w:val="0"/>
          <w:szCs w:val="22"/>
        </w:rPr>
        <w:t xml:space="preserve">  </w:t>
      </w:r>
      <w:r>
        <w:rPr>
          <w:rFonts w:eastAsia="Calibri"/>
          <w:snapToGrid/>
          <w:kern w:val="0"/>
          <w:szCs w:val="22"/>
        </w:rPr>
        <w:t>Second</w:t>
      </w:r>
      <w:r w:rsidRPr="00B95EBE">
        <w:rPr>
          <w:rFonts w:eastAsia="Calibri"/>
          <w:snapToGrid/>
          <w:kern w:val="0"/>
          <w:szCs w:val="22"/>
        </w:rPr>
        <w:t>, we remind ACS that its planned deployment to locations in approximately 130 low-cost census blocks that are immediately adjacent to high-cost census blocks require a certification that the capital expenditure for each location deployment is at least $5,000 in order to count towards its minimum location</w:t>
      </w:r>
      <w:r>
        <w:rPr>
          <w:rFonts w:eastAsia="Calibri"/>
          <w:snapToGrid/>
          <w:kern w:val="0"/>
          <w:szCs w:val="22"/>
        </w:rPr>
        <w:t xml:space="preserve"> deployment</w:t>
      </w:r>
      <w:r w:rsidRPr="00B95EBE">
        <w:rPr>
          <w:rFonts w:eastAsia="Calibri"/>
          <w:snapToGrid/>
          <w:kern w:val="0"/>
          <w:szCs w:val="22"/>
        </w:rPr>
        <w:t xml:space="preserve"> requirement.</w:t>
      </w:r>
      <w:r>
        <w:rPr>
          <w:rFonts w:eastAsia="Calibri"/>
          <w:snapToGrid/>
          <w:kern w:val="0"/>
          <w:szCs w:val="22"/>
          <w:vertAlign w:val="superscript"/>
        </w:rPr>
        <w:footnoteReference w:id="18"/>
      </w:r>
      <w:r w:rsidRPr="00B95EBE">
        <w:rPr>
          <w:rFonts w:eastAsia="Calibri"/>
          <w:snapToGrid/>
          <w:kern w:val="0"/>
          <w:szCs w:val="22"/>
        </w:rPr>
        <w:t xml:space="preserve">  Finally, we remind ACS of its annual obligation to report the total </w:t>
      </w:r>
      <w:r>
        <w:rPr>
          <w:rFonts w:eastAsia="Calibri"/>
          <w:snapToGrid/>
          <w:kern w:val="0"/>
          <w:szCs w:val="22"/>
        </w:rPr>
        <w:t>a</w:t>
      </w:r>
      <w:r w:rsidRPr="00B95EBE">
        <w:rPr>
          <w:rFonts w:eastAsia="Calibri"/>
          <w:snapToGrid/>
          <w:kern w:val="0"/>
          <w:szCs w:val="22"/>
        </w:rPr>
        <w:t>mount of CAF Phase II support, if any, used for capital expenditures in the previous calendar year</w:t>
      </w:r>
      <w:r>
        <w:rPr>
          <w:rFonts w:eastAsia="Calibri"/>
          <w:snapToGrid/>
          <w:kern w:val="0"/>
          <w:szCs w:val="22"/>
          <w:vertAlign w:val="superscript"/>
        </w:rPr>
        <w:footnoteReference w:id="19"/>
      </w:r>
      <w:r w:rsidRPr="00B95EBE">
        <w:rPr>
          <w:rFonts w:eastAsia="Calibri"/>
          <w:snapToGrid/>
          <w:kern w:val="0"/>
          <w:szCs w:val="22"/>
        </w:rPr>
        <w:t xml:space="preserve"> and </w:t>
      </w:r>
      <w:r>
        <w:rPr>
          <w:rFonts w:eastAsia="Calibri"/>
          <w:snapToGrid/>
          <w:kern w:val="0"/>
          <w:szCs w:val="22"/>
        </w:rPr>
        <w:t xml:space="preserve">of the </w:t>
      </w:r>
      <w:r w:rsidRPr="00B95EBE">
        <w:rPr>
          <w:rFonts w:eastAsia="Calibri"/>
          <w:snapToGrid/>
          <w:kern w:val="0"/>
          <w:szCs w:val="22"/>
        </w:rPr>
        <w:t xml:space="preserve">location reporting requirements consistent with the </w:t>
      </w:r>
      <w:r w:rsidRPr="00B95EBE">
        <w:rPr>
          <w:rFonts w:eastAsia="Calibri"/>
          <w:i/>
          <w:snapToGrid/>
          <w:kern w:val="0"/>
          <w:szCs w:val="22"/>
        </w:rPr>
        <w:t>Order</w:t>
      </w:r>
      <w:r w:rsidRPr="00B95EBE">
        <w:rPr>
          <w:rFonts w:eastAsia="Calibri"/>
          <w:snapToGrid/>
          <w:kern w:val="0"/>
          <w:szCs w:val="22"/>
        </w:rPr>
        <w:t>.</w:t>
      </w:r>
      <w:r>
        <w:rPr>
          <w:rFonts w:eastAsia="Calibri"/>
          <w:snapToGrid/>
          <w:kern w:val="0"/>
          <w:szCs w:val="22"/>
          <w:vertAlign w:val="superscript"/>
        </w:rPr>
        <w:footnoteReference w:id="20"/>
      </w:r>
      <w:r w:rsidRPr="009E344C">
        <w:rPr>
          <w:rFonts w:eastAsia="Calibri"/>
          <w:snapToGrid/>
          <w:kern w:val="0"/>
          <w:szCs w:val="22"/>
        </w:rPr>
        <w:t xml:space="preserve"> </w:t>
      </w:r>
      <w:r>
        <w:rPr>
          <w:rFonts w:eastAsia="Calibri"/>
          <w:snapToGrid/>
          <w:kern w:val="0"/>
          <w:szCs w:val="22"/>
        </w:rPr>
        <w:t xml:space="preserve"> </w:t>
      </w:r>
    </w:p>
    <w:p w:rsidR="00BA5A87" w:rsidRPr="00B95EBE" w:rsidP="00BA5A87" w14:paraId="79BD5B20" w14:textId="77777777">
      <w:pPr>
        <w:widowControl/>
        <w:spacing w:after="160" w:line="259" w:lineRule="auto"/>
        <w:ind w:firstLine="720"/>
        <w:rPr>
          <w:rFonts w:eastAsia="Calibri"/>
          <w:snapToGrid/>
          <w:kern w:val="0"/>
          <w:szCs w:val="22"/>
        </w:rPr>
      </w:pPr>
      <w:r>
        <w:rPr>
          <w:rFonts w:eastAsia="Calibri"/>
          <w:snapToGrid/>
          <w:kern w:val="0"/>
          <w:szCs w:val="22"/>
        </w:rPr>
        <w:t>In addition to revising its deployment plan, ACS requested that the Commission review specific locations in Hope, Alaska to determine their eligibility for CAF Phase II high-cost support.</w:t>
      </w:r>
      <w:r>
        <w:rPr>
          <w:rStyle w:val="FootnoteReference"/>
          <w:rFonts w:eastAsia="Calibri"/>
          <w:snapToGrid/>
          <w:kern w:val="0"/>
          <w:szCs w:val="22"/>
        </w:rPr>
        <w:footnoteReference w:id="21"/>
      </w:r>
      <w:r>
        <w:rPr>
          <w:rFonts w:eastAsia="Calibri"/>
          <w:snapToGrid/>
          <w:kern w:val="0"/>
          <w:szCs w:val="22"/>
        </w:rPr>
        <w:t xml:space="preserve">  According </w:t>
      </w:r>
      <w:r>
        <w:rPr>
          <w:rFonts w:eastAsia="Calibri"/>
          <w:snapToGrid/>
          <w:kern w:val="0"/>
          <w:szCs w:val="22"/>
        </w:rPr>
        <w:t>to ACS, study area boundaries used for the Connect America Cost Model (CAM) incorrectly identify 138 locations as within the service territory of an unaffiliated local exchange carrier even though the community is served by ACS.</w:t>
      </w:r>
      <w:r>
        <w:rPr>
          <w:rStyle w:val="FootnoteReference"/>
          <w:rFonts w:eastAsia="Calibri"/>
          <w:snapToGrid/>
          <w:kern w:val="0"/>
          <w:szCs w:val="22"/>
        </w:rPr>
        <w:footnoteReference w:id="22"/>
      </w:r>
      <w:r>
        <w:rPr>
          <w:rFonts w:eastAsia="Calibri"/>
          <w:snapToGrid/>
          <w:kern w:val="0"/>
          <w:szCs w:val="22"/>
        </w:rPr>
        <w:t xml:space="preserve">  Based on our review of the most recent certified study area boundaries submitted to the Commission, we find that the 138 locations in Hope, Alaska, and the associated census blocks, fall within the study area boundary for ACS and no other carrier reports these same census blocks within its service territory.  We also find that these unserved locations should be considered eligible in satisfaction of ACS’s CAF Phase II deployment obligations.  We therefore conclude that the 138 locations identified by ACS are eligible for CAF Phase II support and may count towards its service obligation consistent with the </w:t>
      </w:r>
      <w:r w:rsidRPr="003D4502">
        <w:rPr>
          <w:i/>
          <w:iCs/>
          <w:szCs w:val="22"/>
        </w:rPr>
        <w:t>ACS CAF Phase II Order</w:t>
      </w:r>
      <w:r>
        <w:rPr>
          <w:rFonts w:eastAsia="Calibri"/>
          <w:snapToGrid/>
          <w:kern w:val="0"/>
          <w:szCs w:val="22"/>
        </w:rPr>
        <w:t xml:space="preserve">.    </w:t>
      </w:r>
    </w:p>
    <w:p w:rsidR="00BA5A87" w:rsidRPr="00B95EBE" w:rsidP="00BA5A87" w14:paraId="705DE697" w14:textId="77777777">
      <w:pPr>
        <w:spacing w:after="200"/>
        <w:ind w:firstLine="720"/>
        <w:rPr>
          <w:b/>
          <w:szCs w:val="22"/>
        </w:rPr>
      </w:pPr>
      <w:r w:rsidRPr="00B95EBE">
        <w:rPr>
          <w:szCs w:val="22"/>
        </w:rPr>
        <w:t xml:space="preserve">For additional information on this proceeding, contact Alexander Minard, </w:t>
      </w:r>
      <w:hyperlink r:id="rId5" w:history="1">
        <w:r w:rsidRPr="00B95EBE">
          <w:rPr>
            <w:color w:val="0563C1"/>
            <w:szCs w:val="22"/>
            <w:u w:val="single"/>
          </w:rPr>
          <w:t>alexander.minard@fcc.gov</w:t>
        </w:r>
      </w:hyperlink>
      <w:r w:rsidRPr="00B95EBE">
        <w:rPr>
          <w:szCs w:val="22"/>
        </w:rPr>
        <w:t xml:space="preserve">, or Dangkhoa Nguyen, </w:t>
      </w:r>
      <w:hyperlink r:id="rId6" w:history="1">
        <w:r w:rsidRPr="00B95EBE">
          <w:rPr>
            <w:color w:val="0563C1"/>
            <w:szCs w:val="22"/>
            <w:u w:val="single"/>
          </w:rPr>
          <w:t>dangkhoa.nguyen@fcc.gov</w:t>
        </w:r>
      </w:hyperlink>
      <w:r w:rsidRPr="00B95EBE">
        <w:rPr>
          <w:szCs w:val="22"/>
        </w:rPr>
        <w:t>, of the Wireline Competition Bureau, Telecommunications Access Policy Division, (202) 418-7400.</w:t>
      </w:r>
    </w:p>
    <w:p w:rsidR="00BA5A87" w:rsidRPr="00BA5A87" w:rsidP="00BA5A87" w14:paraId="2D454039" w14:textId="6015AD7F">
      <w:pPr>
        <w:jc w:val="center"/>
        <w:rPr>
          <w:b/>
          <w:bCs/>
          <w:sz w:val="24"/>
        </w:rPr>
      </w:pPr>
      <w:r w:rsidRPr="00BA5A87">
        <w:rPr>
          <w:b/>
          <w:bCs/>
          <w:sz w:val="24"/>
        </w:rPr>
        <w:t>- FCC -</w:t>
      </w:r>
    </w:p>
    <w:bookmarkEnd w:id="0"/>
    <w:p w:rsidR="00F96F63" w:rsidP="00F96F63" w14:paraId="6097B5D8" w14:textId="77777777">
      <w:pPr>
        <w:rPr>
          <w:sz w:val="24"/>
        </w:rPr>
      </w:pPr>
    </w:p>
    <w:p w:rsidR="00930ECF" w:rsidRPr="00930ECF" w:rsidP="00F96F63" w14:paraId="3727FEDA"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1F552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B633B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E98B1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866944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5A87" w14:paraId="1468D3CE" w14:textId="77777777">
      <w:r>
        <w:separator/>
      </w:r>
    </w:p>
  </w:footnote>
  <w:footnote w:type="continuationSeparator" w:id="1">
    <w:p w:rsidR="00BA5A87" w14:paraId="48E70126" w14:textId="77777777">
      <w:pPr>
        <w:rPr>
          <w:sz w:val="20"/>
        </w:rPr>
      </w:pPr>
      <w:r>
        <w:rPr>
          <w:sz w:val="20"/>
        </w:rPr>
        <w:t xml:space="preserve">(Continued from previous page)  </w:t>
      </w:r>
      <w:r>
        <w:rPr>
          <w:sz w:val="20"/>
        </w:rPr>
        <w:separator/>
      </w:r>
    </w:p>
  </w:footnote>
  <w:footnote w:type="continuationNotice" w:id="2">
    <w:p w:rsidR="00BA5A87" w:rsidP="00910F12" w14:paraId="38B51E38" w14:textId="77777777">
      <w:pPr>
        <w:jc w:val="right"/>
        <w:rPr>
          <w:sz w:val="20"/>
        </w:rPr>
      </w:pPr>
      <w:r>
        <w:rPr>
          <w:sz w:val="20"/>
        </w:rPr>
        <w:t>(continued….)</w:t>
      </w:r>
    </w:p>
  </w:footnote>
  <w:footnote w:id="3">
    <w:p w:rsidR="00BA5A87" w:rsidRPr="007A69C6" w:rsidP="00BA5A87" w14:paraId="5D641462" w14:textId="77777777">
      <w:pPr>
        <w:pStyle w:val="FootnoteText"/>
      </w:pPr>
      <w:r w:rsidRPr="007A69C6">
        <w:rPr>
          <w:rStyle w:val="FootnoteReference"/>
        </w:rPr>
        <w:footnoteRef/>
      </w:r>
      <w:r w:rsidRPr="007A69C6">
        <w:t xml:space="preserve"> </w:t>
      </w:r>
      <w:r w:rsidRPr="007A69C6">
        <w:rPr>
          <w:i/>
        </w:rPr>
        <w:t>Connect America Fund</w:t>
      </w:r>
      <w:r w:rsidRPr="007A69C6">
        <w:t>, Order, 31 FCC Rcd 12086 (2016) (</w:t>
      </w:r>
      <w:r w:rsidRPr="003D4502">
        <w:rPr>
          <w:i/>
          <w:iCs/>
        </w:rPr>
        <w:t>ACS CAF Phase II Order</w:t>
      </w:r>
      <w:r w:rsidRPr="007A69C6">
        <w:t>).</w:t>
      </w:r>
    </w:p>
  </w:footnote>
  <w:footnote w:id="4">
    <w:p w:rsidR="00BA5A87" w:rsidRPr="007A69C6" w:rsidP="00BA5A87" w14:paraId="636ED23C" w14:textId="77777777">
      <w:pPr>
        <w:pStyle w:val="FootnoteText"/>
      </w:pPr>
      <w:r w:rsidRPr="007A69C6">
        <w:rPr>
          <w:rStyle w:val="FootnoteReference"/>
        </w:rPr>
        <w:footnoteRef/>
      </w:r>
      <w:r w:rsidRPr="007A69C6">
        <w:t xml:space="preserve"> </w:t>
      </w:r>
      <w:r>
        <w:rPr>
          <w:i/>
        </w:rPr>
        <w:t>Id.</w:t>
      </w:r>
      <w:r>
        <w:t xml:space="preserve"> at 12086, para. 1</w:t>
      </w:r>
      <w:r w:rsidRPr="007A69C6">
        <w:t>.</w:t>
      </w:r>
    </w:p>
  </w:footnote>
  <w:footnote w:id="5">
    <w:p w:rsidR="00BA5A87" w:rsidRPr="007A69C6" w:rsidP="00BA5A87" w14:paraId="2D843172" w14:textId="77777777">
      <w:pPr>
        <w:pStyle w:val="FootnoteText"/>
      </w:pPr>
      <w:r w:rsidRPr="007A69C6">
        <w:rPr>
          <w:rStyle w:val="FootnoteReference"/>
        </w:rPr>
        <w:footnoteRef/>
      </w:r>
      <w:r w:rsidRPr="007A69C6">
        <w:t xml:space="preserve"> </w:t>
      </w:r>
      <w:r>
        <w:rPr>
          <w:i/>
        </w:rPr>
        <w:t>Id.</w:t>
      </w:r>
      <w:r>
        <w:t xml:space="preserve"> a</w:t>
      </w:r>
      <w:r w:rsidRPr="007A69C6">
        <w:t xml:space="preserve">t </w:t>
      </w:r>
      <w:r>
        <w:t xml:space="preserve">12089-92, </w:t>
      </w:r>
      <w:r w:rsidRPr="007A69C6">
        <w:t>paras. 9-21.</w:t>
      </w:r>
    </w:p>
  </w:footnote>
  <w:footnote w:id="6">
    <w:p w:rsidR="00BA5A87" w:rsidRPr="007A69C6" w:rsidP="00BA5A87" w14:paraId="4369C099" w14:textId="77777777">
      <w:pPr>
        <w:pStyle w:val="FootnoteText"/>
      </w:pPr>
      <w:r w:rsidRPr="007A69C6">
        <w:rPr>
          <w:rStyle w:val="FootnoteReference"/>
        </w:rPr>
        <w:footnoteRef/>
      </w:r>
      <w:r w:rsidRPr="007A69C6">
        <w:t xml:space="preserve"> </w:t>
      </w:r>
      <w:r>
        <w:rPr>
          <w:i/>
        </w:rPr>
        <w:t>Id.</w:t>
      </w:r>
      <w:r w:rsidRPr="007A69C6">
        <w:t xml:space="preserve"> </w:t>
      </w:r>
      <w:r>
        <w:t xml:space="preserve">at 12094, </w:t>
      </w:r>
      <w:r w:rsidRPr="007A69C6">
        <w:t>para. 30.</w:t>
      </w:r>
    </w:p>
  </w:footnote>
  <w:footnote w:id="7">
    <w:p w:rsidR="00BA5A87" w:rsidP="00BA5A87" w14:paraId="4B0E93C9" w14:textId="77777777">
      <w:pPr>
        <w:pStyle w:val="FootnoteText"/>
      </w:pPr>
      <w:r>
        <w:rPr>
          <w:rStyle w:val="FootnoteReference"/>
        </w:rPr>
        <w:footnoteRef/>
      </w:r>
      <w:r>
        <w:t xml:space="preserve"> </w:t>
      </w:r>
      <w:r>
        <w:rPr>
          <w:i/>
        </w:rPr>
        <w:t>Id.</w:t>
      </w:r>
      <w:r w:rsidRPr="007A69C6">
        <w:t xml:space="preserve"> </w:t>
      </w:r>
      <w:r>
        <w:t xml:space="preserve">at 12096, </w:t>
      </w:r>
      <w:r w:rsidRPr="007A69C6">
        <w:t>para. 3</w:t>
      </w:r>
      <w:r>
        <w:t xml:space="preserve">5 (limiting ACS to no more than 7,900 unserved locations in </w:t>
      </w:r>
      <w:r>
        <w:t>partially-served</w:t>
      </w:r>
      <w:r>
        <w:t xml:space="preserve"> census blocks and requiring ACS to certify that it does not itself serve the locations in such blocks at the time the proposed locations were submitted).</w:t>
      </w:r>
    </w:p>
  </w:footnote>
  <w:footnote w:id="8">
    <w:p w:rsidR="00BA5A87" w:rsidRPr="007A69C6" w:rsidP="00BA5A87" w14:paraId="09485692" w14:textId="77777777">
      <w:pPr>
        <w:pStyle w:val="FootnoteText"/>
      </w:pPr>
      <w:r w:rsidRPr="007A69C6">
        <w:rPr>
          <w:rStyle w:val="FootnoteReference"/>
        </w:rPr>
        <w:footnoteRef/>
      </w:r>
      <w:r w:rsidRPr="007A69C6">
        <w:t xml:space="preserve"> </w:t>
      </w:r>
      <w:r>
        <w:rPr>
          <w:i/>
        </w:rPr>
        <w:t>Id.</w:t>
      </w:r>
      <w:r w:rsidRPr="007A69C6">
        <w:t xml:space="preserve"> at </w:t>
      </w:r>
      <w:r>
        <w:t xml:space="preserve">12098, </w:t>
      </w:r>
      <w:r w:rsidRPr="007A69C6">
        <w:t>para. 39.</w:t>
      </w:r>
    </w:p>
  </w:footnote>
  <w:footnote w:id="9">
    <w:p w:rsidR="00BA5A87" w:rsidRPr="007A69C6" w:rsidP="00BA5A87" w14:paraId="372DDCA2" w14:textId="77777777">
      <w:pPr>
        <w:pStyle w:val="FootnoteText"/>
      </w:pPr>
      <w:r w:rsidRPr="007A69C6">
        <w:rPr>
          <w:rStyle w:val="FootnoteReference"/>
        </w:rPr>
        <w:footnoteRef/>
      </w:r>
      <w:r w:rsidRPr="007A69C6">
        <w:t xml:space="preserve"> </w:t>
      </w:r>
      <w:bookmarkStart w:id="2" w:name="_Hlk34388131"/>
      <w:r w:rsidRPr="007A69C6">
        <w:t xml:space="preserve">The </w:t>
      </w:r>
      <w:r>
        <w:t>Bureau</w:t>
      </w:r>
      <w:r w:rsidRPr="007A69C6">
        <w:t xml:space="preserve"> resolved challenges to locations ACS identified as unserved in partially served census blocks.  </w:t>
      </w:r>
      <w:r w:rsidRPr="007A69C6">
        <w:rPr>
          <w:i/>
        </w:rPr>
        <w:t>Connect America Fund and Connect America Phase II Challenge Process Order</w:t>
      </w:r>
      <w:r w:rsidRPr="007A69C6">
        <w:t>, WC Docket Nos. 10-90 and 14-93, Order, DA 18-999, 33 FCC Rcd 890</w:t>
      </w:r>
      <w:r>
        <w:t>8</w:t>
      </w:r>
      <w:r w:rsidRPr="007A69C6">
        <w:t xml:space="preserve"> (WCB 2018); </w:t>
      </w:r>
      <w:r w:rsidRPr="007A69C6">
        <w:rPr>
          <w:i/>
        </w:rPr>
        <w:t>Connect America Fund et al.</w:t>
      </w:r>
      <w:r w:rsidRPr="007A69C6">
        <w:t>, WC Docket Nos. 10-90 et al., Order, DA 19-144</w:t>
      </w:r>
      <w:r>
        <w:t>,</w:t>
      </w:r>
      <w:r w:rsidRPr="007A69C6">
        <w:t xml:space="preserve"> </w:t>
      </w:r>
      <w:r>
        <w:t xml:space="preserve">34 FCC Rcd 1067 </w:t>
      </w:r>
      <w:r w:rsidRPr="007A69C6">
        <w:t>(WCB 2019).</w:t>
      </w:r>
    </w:p>
    <w:bookmarkEnd w:id="2"/>
  </w:footnote>
  <w:footnote w:id="10">
    <w:p w:rsidR="00BA5A87" w:rsidP="00BA5A87" w14:paraId="7575F22A" w14:textId="77777777">
      <w:pPr>
        <w:pStyle w:val="FootnoteText"/>
      </w:pPr>
      <w:r>
        <w:rPr>
          <w:rStyle w:val="FootnoteReference"/>
        </w:rPr>
        <w:footnoteRef/>
      </w:r>
      <w:r>
        <w:t xml:space="preserve"> </w:t>
      </w:r>
      <w:r w:rsidRPr="002140E0">
        <w:rPr>
          <w:i/>
          <w:iCs/>
        </w:rPr>
        <w:t>Id</w:t>
      </w:r>
      <w:r>
        <w:t>.</w:t>
      </w:r>
    </w:p>
  </w:footnote>
  <w:footnote w:id="11">
    <w:p w:rsidR="00BA5A87" w:rsidRPr="007A69C6" w:rsidP="00BA5A87" w14:paraId="48D821C1" w14:textId="77777777">
      <w:pPr>
        <w:pStyle w:val="FootnoteText"/>
      </w:pPr>
      <w:r w:rsidRPr="007A69C6">
        <w:rPr>
          <w:rStyle w:val="FootnoteReference"/>
        </w:rPr>
        <w:footnoteRef/>
      </w:r>
      <w:r w:rsidRPr="007A69C6">
        <w:t xml:space="preserve"> Letter from Karen Brinkmann, Counsel to Alaska Communications Systems, to Marlene H. Dortch, Secretary, Federal Communications Commission, WC Docket No. 10-90 (May 6, 2019) (ACS Deployment Plan).  </w:t>
      </w:r>
    </w:p>
  </w:footnote>
  <w:footnote w:id="12">
    <w:p w:rsidR="00BA5A87" w:rsidRPr="007A69C6" w:rsidP="00BA5A87" w14:paraId="2693C38E" w14:textId="77777777">
      <w:pPr>
        <w:pStyle w:val="FootnoteText"/>
      </w:pPr>
      <w:r w:rsidRPr="007A69C6">
        <w:rPr>
          <w:rStyle w:val="FootnoteReference"/>
        </w:rPr>
        <w:footnoteRef/>
      </w:r>
      <w:r w:rsidRPr="007A69C6">
        <w:t xml:space="preserve"> Letter from Karen Brinkmann, Counsel to Alaska Communications Systems, to Marlene H. Dortch, Secretary, Federal Communications Commission, WC Docket No. 10-90 (</w:t>
      </w:r>
      <w:r>
        <w:t>Dec. 4</w:t>
      </w:r>
      <w:r w:rsidRPr="007A69C6">
        <w:t>, 2019) (Revised ACS Deployment Plan).</w:t>
      </w:r>
    </w:p>
  </w:footnote>
  <w:footnote w:id="13">
    <w:p w:rsidR="00BA5A87" w:rsidP="00BA5A87" w14:paraId="0DC1DB48" w14:textId="77777777">
      <w:pPr>
        <w:pStyle w:val="FootnoteText"/>
      </w:pPr>
      <w:r>
        <w:rPr>
          <w:rStyle w:val="FootnoteReference"/>
        </w:rPr>
        <w:footnoteRef/>
      </w:r>
      <w:r>
        <w:t xml:space="preserve"> Revised ACS Deployment Plan at 2-3.</w:t>
      </w:r>
    </w:p>
  </w:footnote>
  <w:footnote w:id="14">
    <w:p w:rsidR="00BA5A87" w:rsidP="00BA5A87" w14:paraId="61061193" w14:textId="77777777">
      <w:pPr>
        <w:pStyle w:val="FootnoteText"/>
      </w:pPr>
      <w:r>
        <w:rPr>
          <w:rStyle w:val="FootnoteReference"/>
        </w:rPr>
        <w:footnoteRef/>
      </w:r>
      <w:r>
        <w:t xml:space="preserve"> Revised ACS Deployment Plan, Attachment “ACS 10-Year Plan Filing Revision Dec 2019.”  The deployment plan indicates that the total number of locations is based on 28,368 unique geocodes.</w:t>
      </w:r>
    </w:p>
  </w:footnote>
  <w:footnote w:id="15">
    <w:p w:rsidR="00BA5A87" w:rsidP="00BA5A87" w14:paraId="40DD2BFD" w14:textId="77777777">
      <w:pPr>
        <w:pStyle w:val="FootnoteText"/>
      </w:pPr>
      <w:r>
        <w:rPr>
          <w:rStyle w:val="FootnoteReference"/>
        </w:rPr>
        <w:footnoteRef/>
      </w:r>
      <w:r>
        <w:t xml:space="preserve"> </w:t>
      </w:r>
      <w:r w:rsidRPr="00456154">
        <w:t>ACS’</w:t>
      </w:r>
      <w:r>
        <w:t>s</w:t>
      </w:r>
      <w:r w:rsidRPr="00456154">
        <w:t xml:space="preserve"> eligible areas are illustrated on the Universal Service Administrative Company’s (USAC) Connect America Fund Broadband Map (CAF Map), as well as the specific fixed locations where ACS has already reported deployment in satisfaction of its CAF </w:t>
      </w:r>
      <w:r>
        <w:t xml:space="preserve">Phase </w:t>
      </w:r>
      <w:r w:rsidRPr="00456154">
        <w:t>II obligations</w:t>
      </w:r>
      <w:r>
        <w:t>, which will be updated annually as ACS reports additional deployment</w:t>
      </w:r>
      <w:r w:rsidRPr="00456154">
        <w:t xml:space="preserve">.  The CAF Map is available at </w:t>
      </w:r>
      <w:hyperlink r:id="rId1" w:history="1">
        <w:r w:rsidRPr="00456154">
          <w:rPr>
            <w:rStyle w:val="Hyperlink"/>
          </w:rPr>
          <w:t>https://data.usac.org/publicreports/caf-map/</w:t>
        </w:r>
      </w:hyperlink>
      <w:r w:rsidRPr="00456154">
        <w:t>.</w:t>
      </w:r>
    </w:p>
  </w:footnote>
  <w:footnote w:id="16">
    <w:p w:rsidR="00BA5A87" w:rsidRPr="007A69C6" w:rsidP="00BA5A87" w14:paraId="7FED5ED9" w14:textId="77777777">
      <w:pPr>
        <w:pStyle w:val="FootnoteText"/>
      </w:pPr>
      <w:r w:rsidRPr="007A69C6">
        <w:rPr>
          <w:rStyle w:val="FootnoteReference"/>
        </w:rPr>
        <w:footnoteRef/>
      </w:r>
      <w:r w:rsidRPr="007A69C6">
        <w:t xml:space="preserve"> </w:t>
      </w:r>
      <w:r>
        <w:t xml:space="preserve">Revised </w:t>
      </w:r>
      <w:r w:rsidRPr="007A69C6">
        <w:t>ACS Deployment Plan at 3.</w:t>
      </w:r>
    </w:p>
  </w:footnote>
  <w:footnote w:id="17">
    <w:p w:rsidR="00BA5A87" w:rsidP="00BA5A87" w14:paraId="505CB825" w14:textId="77777777">
      <w:pPr>
        <w:pStyle w:val="FootnoteText"/>
      </w:pPr>
      <w:r>
        <w:rPr>
          <w:rStyle w:val="FootnoteReference"/>
        </w:rPr>
        <w:footnoteRef/>
      </w:r>
      <w:r>
        <w:t xml:space="preserve"> In particular, the Bureau’s review of the Revised ACS Deployment Plan appears to indicate a discrepancy between the geocodes and associated census blocks provided by ACS for approximately 58 locations which must be corrected.  However, due to the small number of locations, the possible discrepancy does not appear to affect ACS’s service obligation of at least 31,571 locations as required by the </w:t>
      </w:r>
      <w:r w:rsidRPr="003D4502">
        <w:rPr>
          <w:i/>
          <w:iCs/>
        </w:rPr>
        <w:t>ACS CAF Phase II Order</w:t>
      </w:r>
      <w:r>
        <w:t xml:space="preserve">. </w:t>
      </w:r>
    </w:p>
  </w:footnote>
  <w:footnote w:id="18">
    <w:p w:rsidR="00BA5A87" w:rsidRPr="007A69C6" w:rsidP="00BA5A87" w14:paraId="10115376" w14:textId="77777777">
      <w:pPr>
        <w:pStyle w:val="FootnoteText"/>
      </w:pPr>
      <w:r w:rsidRPr="007A69C6">
        <w:rPr>
          <w:rStyle w:val="FootnoteReference"/>
        </w:rPr>
        <w:footnoteRef/>
      </w:r>
      <w:r w:rsidRPr="003D4502">
        <w:rPr>
          <w:i/>
          <w:iCs/>
        </w:rPr>
        <w:t>ACS CAF Phase II Order</w:t>
      </w:r>
      <w:r w:rsidRPr="00FE7D9D">
        <w:rPr>
          <w:iCs/>
        </w:rPr>
        <w:t>,</w:t>
      </w:r>
      <w:r>
        <w:rPr>
          <w:i/>
        </w:rPr>
        <w:t xml:space="preserve"> </w:t>
      </w:r>
      <w:r>
        <w:rPr>
          <w:iCs/>
        </w:rPr>
        <w:t xml:space="preserve">31 FCC Rcd at 12098, </w:t>
      </w:r>
      <w:r>
        <w:t>para. 39.</w:t>
      </w:r>
    </w:p>
  </w:footnote>
  <w:footnote w:id="19">
    <w:p w:rsidR="00BA5A87" w:rsidRPr="007A69C6" w:rsidP="00BA5A87" w14:paraId="03BB9E8D" w14:textId="77777777">
      <w:pPr>
        <w:pStyle w:val="FootnoteText"/>
      </w:pPr>
      <w:r w:rsidRPr="007A69C6">
        <w:rPr>
          <w:rStyle w:val="FootnoteReference"/>
        </w:rPr>
        <w:footnoteRef/>
      </w:r>
      <w:r w:rsidRPr="007A69C6">
        <w:t xml:space="preserve"> </w:t>
      </w:r>
      <w:r>
        <w:rPr>
          <w:i/>
        </w:rPr>
        <w:t>Id.</w:t>
      </w:r>
      <w:r w:rsidRPr="007A69C6">
        <w:t xml:space="preserve"> at </w:t>
      </w:r>
      <w:r>
        <w:t xml:space="preserve">12101, </w:t>
      </w:r>
      <w:r w:rsidRPr="007A69C6">
        <w:t>para. 49.</w:t>
      </w:r>
    </w:p>
  </w:footnote>
  <w:footnote w:id="20">
    <w:p w:rsidR="00BA5A87" w:rsidRPr="007A69C6" w:rsidP="00BA5A87" w14:paraId="4FBE420A" w14:textId="77777777">
      <w:pPr>
        <w:pStyle w:val="FootnoteText"/>
      </w:pPr>
      <w:r w:rsidRPr="007A69C6">
        <w:rPr>
          <w:rStyle w:val="FootnoteReference"/>
        </w:rPr>
        <w:footnoteRef/>
      </w:r>
      <w:r w:rsidRPr="007A69C6">
        <w:t xml:space="preserve"> </w:t>
      </w:r>
      <w:r>
        <w:rPr>
          <w:i/>
        </w:rPr>
        <w:t>Id.</w:t>
      </w:r>
      <w:r w:rsidRPr="007A69C6">
        <w:t xml:space="preserve"> at </w:t>
      </w:r>
      <w:r>
        <w:t xml:space="preserve">12102, </w:t>
      </w:r>
      <w:r w:rsidRPr="007A69C6">
        <w:t>para. 52.</w:t>
      </w:r>
    </w:p>
  </w:footnote>
  <w:footnote w:id="21">
    <w:p w:rsidR="00BA5A87" w:rsidP="00BA5A87" w14:paraId="50F86A06" w14:textId="77777777">
      <w:pPr>
        <w:pStyle w:val="FootnoteText"/>
      </w:pPr>
      <w:r>
        <w:rPr>
          <w:rStyle w:val="FootnoteReference"/>
        </w:rPr>
        <w:footnoteRef/>
      </w:r>
      <w:r>
        <w:t xml:space="preserve"> Revised ACS Deployment Plan at 3.</w:t>
      </w:r>
    </w:p>
  </w:footnote>
  <w:footnote w:id="22">
    <w:p w:rsidR="00BA5A87" w:rsidP="00BA5A87" w14:paraId="650853B3" w14:textId="77777777">
      <w:pPr>
        <w:pStyle w:val="FootnoteText"/>
      </w:pPr>
      <w:r>
        <w:rPr>
          <w:rStyle w:val="FootnoteReference"/>
        </w:rPr>
        <w:footnoteRef/>
      </w:r>
      <w:r>
        <w:t xml:space="preserve"> </w:t>
      </w:r>
      <w:r w:rsidRPr="00CC5EA7">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87ED027" w14:textId="6F2B555C">
    <w:pPr>
      <w:tabs>
        <w:tab w:val="center" w:pos="4680"/>
        <w:tab w:val="right" w:pos="9360"/>
      </w:tabs>
    </w:pPr>
    <w:r w:rsidRPr="009838BC">
      <w:rPr>
        <w:b/>
      </w:rPr>
      <w:tab/>
      <w:t>Federal Communications Commission</w:t>
    </w:r>
    <w:r w:rsidRPr="009838BC">
      <w:rPr>
        <w:b/>
      </w:rPr>
      <w:tab/>
    </w:r>
    <w:r w:rsidR="00BA5A87">
      <w:rPr>
        <w:b/>
      </w:rPr>
      <w:t>DA 20-</w:t>
    </w:r>
    <w:r w:rsidR="00C65633">
      <w:rPr>
        <w:b/>
      </w:rPr>
      <w:t>395</w:t>
    </w:r>
  </w:p>
  <w:p w:rsidR="009838BC" w:rsidRPr="009838BC" w:rsidP="009838BC" w14:paraId="5404233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DC7AD8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E68053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53EF91EB" w14:textId="77777777">
                <w:pPr>
                  <w:rPr>
                    <w:rFonts w:ascii="Arial" w:hAnsi="Arial"/>
                    <w:b/>
                  </w:rPr>
                </w:pPr>
                <w:r>
                  <w:rPr>
                    <w:rFonts w:ascii="Arial" w:hAnsi="Arial"/>
                    <w:b/>
                  </w:rPr>
                  <w:t>Federal Communications Commission</w:t>
                </w:r>
              </w:p>
              <w:p w:rsidR="009838BC" w:rsidP="009838BC" w14:paraId="28BDCF8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4CEF16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79CA68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6DA817F" w14:textId="77777777">
                <w:pPr>
                  <w:spacing w:before="40"/>
                  <w:jc w:val="right"/>
                  <w:rPr>
                    <w:rFonts w:ascii="Arial" w:hAnsi="Arial"/>
                    <w:b/>
                    <w:sz w:val="16"/>
                  </w:rPr>
                </w:pPr>
                <w:r>
                  <w:rPr>
                    <w:rFonts w:ascii="Arial" w:hAnsi="Arial"/>
                    <w:b/>
                    <w:sz w:val="16"/>
                  </w:rPr>
                  <w:t>News Media Information 202 / 418-0500</w:t>
                </w:r>
              </w:p>
              <w:p w:rsidR="009838BC" w:rsidP="009838BC" w14:paraId="27A6A906"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FAF1463" w14:textId="77777777">
                <w:pPr>
                  <w:jc w:val="right"/>
                </w:pPr>
                <w:r>
                  <w:rPr>
                    <w:rFonts w:ascii="Arial" w:hAnsi="Arial"/>
                    <w:b/>
                    <w:sz w:val="16"/>
                  </w:rPr>
                  <w:t>TTY: 1-888-835-5322</w:t>
                </w:r>
              </w:p>
            </w:txbxContent>
          </v:textbox>
        </v:shape>
      </w:pict>
    </w:r>
  </w:p>
  <w:p w:rsidR="006F7393" w:rsidRPr="009838BC" w:rsidP="009838BC" w14:paraId="7FACA46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87"/>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140E0"/>
    <w:rsid w:val="00226822"/>
    <w:rsid w:val="00260594"/>
    <w:rsid w:val="00285017"/>
    <w:rsid w:val="002A2D2E"/>
    <w:rsid w:val="00343749"/>
    <w:rsid w:val="00354C0A"/>
    <w:rsid w:val="00357D50"/>
    <w:rsid w:val="003925DC"/>
    <w:rsid w:val="003B0550"/>
    <w:rsid w:val="003B694F"/>
    <w:rsid w:val="003D4502"/>
    <w:rsid w:val="003F171C"/>
    <w:rsid w:val="00412FC5"/>
    <w:rsid w:val="00422276"/>
    <w:rsid w:val="004242F1"/>
    <w:rsid w:val="00445A00"/>
    <w:rsid w:val="00451B0F"/>
    <w:rsid w:val="00456154"/>
    <w:rsid w:val="0046125F"/>
    <w:rsid w:val="00487524"/>
    <w:rsid w:val="00496106"/>
    <w:rsid w:val="004C12D0"/>
    <w:rsid w:val="004C2EE3"/>
    <w:rsid w:val="004E4A22"/>
    <w:rsid w:val="00502626"/>
    <w:rsid w:val="00511968"/>
    <w:rsid w:val="0055614C"/>
    <w:rsid w:val="00572999"/>
    <w:rsid w:val="00607BA5"/>
    <w:rsid w:val="00626EB6"/>
    <w:rsid w:val="006353A3"/>
    <w:rsid w:val="00655D03"/>
    <w:rsid w:val="00683F84"/>
    <w:rsid w:val="006A6A81"/>
    <w:rsid w:val="006E26AF"/>
    <w:rsid w:val="006F7393"/>
    <w:rsid w:val="0070224F"/>
    <w:rsid w:val="007115F7"/>
    <w:rsid w:val="00785689"/>
    <w:rsid w:val="0079754B"/>
    <w:rsid w:val="007A1E6D"/>
    <w:rsid w:val="007A69C6"/>
    <w:rsid w:val="00822CE0"/>
    <w:rsid w:val="00837C62"/>
    <w:rsid w:val="00841AB1"/>
    <w:rsid w:val="008C22FD"/>
    <w:rsid w:val="00910F12"/>
    <w:rsid w:val="00926503"/>
    <w:rsid w:val="00930ECF"/>
    <w:rsid w:val="009838BC"/>
    <w:rsid w:val="009E344C"/>
    <w:rsid w:val="00A45F4F"/>
    <w:rsid w:val="00A600A9"/>
    <w:rsid w:val="00A866AC"/>
    <w:rsid w:val="00AA55B7"/>
    <w:rsid w:val="00AA5B9E"/>
    <w:rsid w:val="00AB2407"/>
    <w:rsid w:val="00AB53DF"/>
    <w:rsid w:val="00B07E5C"/>
    <w:rsid w:val="00B20363"/>
    <w:rsid w:val="00B326E3"/>
    <w:rsid w:val="00B811F7"/>
    <w:rsid w:val="00B95EBE"/>
    <w:rsid w:val="00BA5A87"/>
    <w:rsid w:val="00BA5DC6"/>
    <w:rsid w:val="00BA6196"/>
    <w:rsid w:val="00BC6D8C"/>
    <w:rsid w:val="00C16AF2"/>
    <w:rsid w:val="00C34006"/>
    <w:rsid w:val="00C426B1"/>
    <w:rsid w:val="00C65633"/>
    <w:rsid w:val="00C82B6B"/>
    <w:rsid w:val="00C90D6A"/>
    <w:rsid w:val="00CC5EA7"/>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E7D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6243028-F04A-45F5-8D66-05F23EA0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33"/>
    <w:pPr>
      <w:widowControl w:val="0"/>
    </w:pPr>
    <w:rPr>
      <w:snapToGrid w:val="0"/>
      <w:kern w:val="28"/>
      <w:sz w:val="22"/>
    </w:rPr>
  </w:style>
  <w:style w:type="paragraph" w:styleId="Heading1">
    <w:name w:val="heading 1"/>
    <w:basedOn w:val="Normal"/>
    <w:next w:val="ParaNum"/>
    <w:qFormat/>
    <w:rsid w:val="00C6563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65633"/>
    <w:pPr>
      <w:keepNext/>
      <w:numPr>
        <w:ilvl w:val="1"/>
        <w:numId w:val="3"/>
      </w:numPr>
      <w:spacing w:after="120"/>
      <w:outlineLvl w:val="1"/>
    </w:pPr>
    <w:rPr>
      <w:b/>
    </w:rPr>
  </w:style>
  <w:style w:type="paragraph" w:styleId="Heading3">
    <w:name w:val="heading 3"/>
    <w:basedOn w:val="Normal"/>
    <w:next w:val="ParaNum"/>
    <w:qFormat/>
    <w:rsid w:val="00C65633"/>
    <w:pPr>
      <w:keepNext/>
      <w:numPr>
        <w:ilvl w:val="2"/>
        <w:numId w:val="3"/>
      </w:numPr>
      <w:tabs>
        <w:tab w:val="left" w:pos="2160"/>
      </w:tabs>
      <w:spacing w:after="120"/>
      <w:outlineLvl w:val="2"/>
    </w:pPr>
    <w:rPr>
      <w:b/>
    </w:rPr>
  </w:style>
  <w:style w:type="paragraph" w:styleId="Heading4">
    <w:name w:val="heading 4"/>
    <w:basedOn w:val="Normal"/>
    <w:next w:val="ParaNum"/>
    <w:qFormat/>
    <w:rsid w:val="00C65633"/>
    <w:pPr>
      <w:keepNext/>
      <w:numPr>
        <w:ilvl w:val="3"/>
        <w:numId w:val="3"/>
      </w:numPr>
      <w:tabs>
        <w:tab w:val="left" w:pos="2880"/>
      </w:tabs>
      <w:spacing w:after="120"/>
      <w:outlineLvl w:val="3"/>
    </w:pPr>
    <w:rPr>
      <w:b/>
    </w:rPr>
  </w:style>
  <w:style w:type="paragraph" w:styleId="Heading5">
    <w:name w:val="heading 5"/>
    <w:basedOn w:val="Normal"/>
    <w:next w:val="ParaNum"/>
    <w:qFormat/>
    <w:rsid w:val="00C6563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65633"/>
    <w:pPr>
      <w:numPr>
        <w:ilvl w:val="5"/>
        <w:numId w:val="3"/>
      </w:numPr>
      <w:tabs>
        <w:tab w:val="left" w:pos="4320"/>
      </w:tabs>
      <w:spacing w:after="120"/>
      <w:outlineLvl w:val="5"/>
    </w:pPr>
    <w:rPr>
      <w:b/>
    </w:rPr>
  </w:style>
  <w:style w:type="paragraph" w:styleId="Heading7">
    <w:name w:val="heading 7"/>
    <w:basedOn w:val="Normal"/>
    <w:next w:val="ParaNum"/>
    <w:qFormat/>
    <w:rsid w:val="00C6563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563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6563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656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65633"/>
  </w:style>
  <w:style w:type="paragraph" w:customStyle="1" w:styleId="ParaNum">
    <w:name w:val="ParaNum"/>
    <w:basedOn w:val="Normal"/>
    <w:rsid w:val="00C65633"/>
    <w:pPr>
      <w:numPr>
        <w:numId w:val="2"/>
      </w:numPr>
      <w:tabs>
        <w:tab w:val="clear" w:pos="1080"/>
        <w:tab w:val="num" w:pos="1440"/>
      </w:tabs>
      <w:spacing w:after="120"/>
    </w:pPr>
  </w:style>
  <w:style w:type="paragraph" w:styleId="EndnoteText">
    <w:name w:val="endnote text"/>
    <w:basedOn w:val="Normal"/>
    <w:semiHidden/>
    <w:rsid w:val="00C65633"/>
    <w:rPr>
      <w:sz w:val="20"/>
    </w:rPr>
  </w:style>
  <w:style w:type="character" w:styleId="EndnoteReference">
    <w:name w:val="endnote reference"/>
    <w:semiHidden/>
    <w:rsid w:val="00C65633"/>
    <w:rPr>
      <w:vertAlign w:val="superscript"/>
    </w:rPr>
  </w:style>
  <w:style w:type="paragraph" w:styleId="FootnoteText">
    <w:name w:val="footnote text"/>
    <w:semiHidden/>
    <w:rsid w:val="00C65633"/>
    <w:pPr>
      <w:spacing w:after="120"/>
    </w:pPr>
  </w:style>
  <w:style w:type="character" w:styleId="FootnoteReference">
    <w:name w:val="footnote reference"/>
    <w:semiHidden/>
    <w:rsid w:val="00C65633"/>
    <w:rPr>
      <w:rFonts w:ascii="Times New Roman" w:hAnsi="Times New Roman"/>
      <w:dstrike w:val="0"/>
      <w:color w:val="auto"/>
      <w:sz w:val="22"/>
      <w:vertAlign w:val="superscript"/>
    </w:rPr>
  </w:style>
  <w:style w:type="paragraph" w:styleId="TOC1">
    <w:name w:val="toc 1"/>
    <w:basedOn w:val="Normal"/>
    <w:next w:val="Normal"/>
    <w:uiPriority w:val="39"/>
    <w:rsid w:val="00C6563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5633"/>
    <w:pPr>
      <w:tabs>
        <w:tab w:val="left" w:pos="720"/>
        <w:tab w:val="right" w:leader="dot" w:pos="9360"/>
      </w:tabs>
      <w:suppressAutoHyphens/>
      <w:ind w:left="720" w:right="720" w:hanging="360"/>
    </w:pPr>
    <w:rPr>
      <w:noProof/>
    </w:rPr>
  </w:style>
  <w:style w:type="paragraph" w:styleId="TOC3">
    <w:name w:val="toc 3"/>
    <w:basedOn w:val="Normal"/>
    <w:next w:val="Normal"/>
    <w:semiHidden/>
    <w:rsid w:val="00C6563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563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563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563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563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563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563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5633"/>
    <w:pPr>
      <w:tabs>
        <w:tab w:val="right" w:pos="9360"/>
      </w:tabs>
      <w:suppressAutoHyphens/>
    </w:pPr>
  </w:style>
  <w:style w:type="character" w:customStyle="1" w:styleId="EquationCaption">
    <w:name w:val="_Equation Caption"/>
    <w:rsid w:val="00C65633"/>
  </w:style>
  <w:style w:type="paragraph" w:styleId="Header">
    <w:name w:val="header"/>
    <w:basedOn w:val="Normal"/>
    <w:autoRedefine/>
    <w:rsid w:val="00C6563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65633"/>
    <w:pPr>
      <w:tabs>
        <w:tab w:val="center" w:pos="4320"/>
        <w:tab w:val="right" w:pos="8640"/>
      </w:tabs>
    </w:pPr>
  </w:style>
  <w:style w:type="character" w:styleId="PageNumber">
    <w:name w:val="page number"/>
    <w:basedOn w:val="DefaultParagraphFont"/>
    <w:rsid w:val="00C65633"/>
  </w:style>
  <w:style w:type="paragraph" w:styleId="BlockText">
    <w:name w:val="Block Text"/>
    <w:basedOn w:val="Normal"/>
    <w:rsid w:val="00C65633"/>
    <w:pPr>
      <w:spacing w:after="240"/>
      <w:ind w:left="1440" w:right="1440"/>
    </w:pPr>
  </w:style>
  <w:style w:type="paragraph" w:customStyle="1" w:styleId="Paratitle">
    <w:name w:val="Para title"/>
    <w:basedOn w:val="Normal"/>
    <w:rsid w:val="00C65633"/>
    <w:pPr>
      <w:tabs>
        <w:tab w:val="center" w:pos="9270"/>
      </w:tabs>
      <w:spacing w:after="240"/>
    </w:pPr>
    <w:rPr>
      <w:spacing w:val="-2"/>
    </w:rPr>
  </w:style>
  <w:style w:type="paragraph" w:customStyle="1" w:styleId="Bullet">
    <w:name w:val="Bullet"/>
    <w:basedOn w:val="Normal"/>
    <w:rsid w:val="00C65633"/>
    <w:pPr>
      <w:numPr>
        <w:numId w:val="1"/>
      </w:numPr>
      <w:tabs>
        <w:tab w:val="clear" w:pos="360"/>
        <w:tab w:val="left" w:pos="2160"/>
      </w:tabs>
      <w:spacing w:after="220"/>
      <w:ind w:left="2160" w:hanging="720"/>
    </w:pPr>
  </w:style>
  <w:style w:type="paragraph" w:customStyle="1" w:styleId="TableFormat">
    <w:name w:val="TableFormat"/>
    <w:basedOn w:val="Bullet"/>
    <w:rsid w:val="00C65633"/>
    <w:pPr>
      <w:numPr>
        <w:numId w:val="0"/>
      </w:numPr>
      <w:tabs>
        <w:tab w:val="clear" w:pos="2160"/>
        <w:tab w:val="left" w:pos="5040"/>
      </w:tabs>
      <w:ind w:left="5040" w:hanging="3600"/>
    </w:pPr>
  </w:style>
  <w:style w:type="paragraph" w:customStyle="1" w:styleId="TOCTitle">
    <w:name w:val="TOC Title"/>
    <w:basedOn w:val="Normal"/>
    <w:rsid w:val="00C6563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5633"/>
    <w:pPr>
      <w:jc w:val="center"/>
    </w:pPr>
    <w:rPr>
      <w:rFonts w:ascii="Times New Roman Bold" w:hAnsi="Times New Roman Bold"/>
      <w:b/>
      <w:bCs/>
      <w:caps/>
      <w:szCs w:val="22"/>
    </w:rPr>
  </w:style>
  <w:style w:type="character" w:styleId="Hyperlink">
    <w:name w:val="Hyperlink"/>
    <w:rsid w:val="00C65633"/>
    <w:rPr>
      <w:color w:val="0000FF"/>
      <w:u w:val="single"/>
    </w:rPr>
  </w:style>
  <w:style w:type="character" w:customStyle="1" w:styleId="FooterChar">
    <w:name w:val="Footer Char"/>
    <w:link w:val="Footer"/>
    <w:uiPriority w:val="99"/>
    <w:rsid w:val="00C65633"/>
    <w:rPr>
      <w:snapToGrid w:val="0"/>
      <w:kern w:val="28"/>
      <w:sz w:val="22"/>
    </w:rPr>
  </w:style>
  <w:style w:type="paragraph" w:styleId="BalloonText">
    <w:name w:val="Balloon Text"/>
    <w:basedOn w:val="Normal"/>
    <w:link w:val="BalloonTextChar"/>
    <w:uiPriority w:val="99"/>
    <w:semiHidden/>
    <w:unhideWhenUsed/>
    <w:rsid w:val="00C65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3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exander.minard@fcc.gov" TargetMode="External" /><Relationship Id="rId6" Type="http://schemas.openxmlformats.org/officeDocument/2006/relationships/hyperlink" Target="mailto:dangkhoa.nguy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ata.usac.org/publicreports/caf-map/"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