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B90998E"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55FBC32" w14:textId="77777777">
      <w:pPr>
        <w:pStyle w:val="StyleBoldCentered"/>
      </w:pPr>
      <w:r>
        <w:t>F</w:t>
      </w:r>
      <w:r>
        <w:rPr>
          <w:caps w:val="0"/>
        </w:rPr>
        <w:t>ederal Communications Commission</w:t>
      </w:r>
    </w:p>
    <w:p w:rsidR="004C2EE3" w:rsidP="00096D8C" w14:paraId="54C39B4F" w14:textId="77777777">
      <w:pPr>
        <w:pStyle w:val="StyleBoldCentered"/>
      </w:pPr>
      <w:r>
        <w:rPr>
          <w:caps w:val="0"/>
        </w:rPr>
        <w:t>Washington, D.C. 20554</w:t>
      </w:r>
    </w:p>
    <w:p w:rsidR="004C2EE3" w:rsidP="0070224F" w14:paraId="6F2A1B09" w14:textId="77777777"/>
    <w:p w:rsidR="004C2EE3" w:rsidP="0070224F" w14:paraId="3D5C1358" w14:textId="77777777"/>
    <w:tbl>
      <w:tblPr>
        <w:tblW w:w="0" w:type="auto"/>
        <w:tblLayout w:type="fixed"/>
        <w:tblLook w:val="0000"/>
      </w:tblPr>
      <w:tblGrid>
        <w:gridCol w:w="4698"/>
        <w:gridCol w:w="630"/>
        <w:gridCol w:w="4248"/>
      </w:tblGrid>
      <w:tr w14:paraId="4A1953AC" w14:textId="77777777">
        <w:tblPrEx>
          <w:tblW w:w="0" w:type="auto"/>
          <w:tblLayout w:type="fixed"/>
          <w:tblLook w:val="0000"/>
        </w:tblPrEx>
        <w:tc>
          <w:tcPr>
            <w:tcW w:w="4698" w:type="dxa"/>
          </w:tcPr>
          <w:p w:rsidR="00D045CA" w:rsidP="007115F7" w14:paraId="105EE02D" w14:textId="77777777">
            <w:pPr>
              <w:tabs>
                <w:tab w:val="center" w:pos="4680"/>
              </w:tabs>
              <w:suppressAutoHyphens/>
              <w:rPr>
                <w:spacing w:val="-2"/>
              </w:rPr>
            </w:pPr>
            <w:r>
              <w:rPr>
                <w:spacing w:val="-2"/>
              </w:rPr>
              <w:t>In the Matter of</w:t>
            </w:r>
          </w:p>
          <w:p w:rsidR="00D045CA" w:rsidP="007115F7" w14:paraId="22CAE395" w14:textId="77777777">
            <w:pPr>
              <w:tabs>
                <w:tab w:val="center" w:pos="4680"/>
              </w:tabs>
              <w:suppressAutoHyphens/>
              <w:rPr>
                <w:spacing w:val="-2"/>
              </w:rPr>
            </w:pPr>
          </w:p>
          <w:p w:rsidR="00CC78BE" w:rsidP="007115F7" w14:paraId="5C899EAC" w14:textId="77777777">
            <w:pPr>
              <w:tabs>
                <w:tab w:val="center" w:pos="4680"/>
              </w:tabs>
              <w:suppressAutoHyphens/>
              <w:rPr>
                <w:spacing w:val="-2"/>
              </w:rPr>
            </w:pPr>
            <w:r>
              <w:rPr>
                <w:spacing w:val="-2"/>
              </w:rPr>
              <w:t>Waiver of FCC Rule Sections 1.946 (c) and (d) for</w:t>
            </w:r>
            <w:r w:rsidR="00046586">
              <w:rPr>
                <w:spacing w:val="-2"/>
              </w:rPr>
              <w:t xml:space="preserve"> </w:t>
            </w:r>
          </w:p>
          <w:p w:rsidR="00D045CA" w:rsidRPr="007115F7" w:rsidP="007115F7" w14:paraId="26991AA1" w14:textId="77777777">
            <w:pPr>
              <w:tabs>
                <w:tab w:val="center" w:pos="4680"/>
              </w:tabs>
              <w:suppressAutoHyphens/>
              <w:rPr>
                <w:spacing w:val="-2"/>
              </w:rPr>
            </w:pPr>
            <w:r>
              <w:rPr>
                <w:spacing w:val="-2"/>
              </w:rPr>
              <w:t>Wireless Site-based and Mobile-only System</w:t>
            </w:r>
          </w:p>
        </w:tc>
        <w:tc>
          <w:tcPr>
            <w:tcW w:w="630" w:type="dxa"/>
          </w:tcPr>
          <w:p w:rsidR="004C2EE3" w14:paraId="5A9F6CC7" w14:textId="77777777">
            <w:pPr>
              <w:tabs>
                <w:tab w:val="center" w:pos="4680"/>
              </w:tabs>
              <w:suppressAutoHyphens/>
              <w:rPr>
                <w:b/>
                <w:spacing w:val="-2"/>
              </w:rPr>
            </w:pPr>
            <w:r>
              <w:rPr>
                <w:b/>
                <w:spacing w:val="-2"/>
              </w:rPr>
              <w:t>)</w:t>
            </w:r>
          </w:p>
          <w:p w:rsidR="004C2EE3" w14:paraId="311CE36A" w14:textId="77777777">
            <w:pPr>
              <w:tabs>
                <w:tab w:val="center" w:pos="4680"/>
              </w:tabs>
              <w:suppressAutoHyphens/>
              <w:rPr>
                <w:b/>
                <w:spacing w:val="-2"/>
              </w:rPr>
            </w:pPr>
            <w:r>
              <w:rPr>
                <w:b/>
                <w:spacing w:val="-2"/>
              </w:rPr>
              <w:t>)</w:t>
            </w:r>
          </w:p>
          <w:p w:rsidR="004C2EE3" w14:paraId="3C4D1A2C" w14:textId="77777777">
            <w:pPr>
              <w:tabs>
                <w:tab w:val="center" w:pos="4680"/>
              </w:tabs>
              <w:suppressAutoHyphens/>
              <w:rPr>
                <w:b/>
                <w:spacing w:val="-2"/>
              </w:rPr>
            </w:pPr>
            <w:r>
              <w:rPr>
                <w:b/>
                <w:spacing w:val="-2"/>
              </w:rPr>
              <w:t>)</w:t>
            </w:r>
          </w:p>
          <w:p w:rsidR="009F729C" w:rsidRPr="00AF6230" w14:paraId="74F1DA74" w14:textId="77777777">
            <w:pPr>
              <w:tabs>
                <w:tab w:val="center" w:pos="4680"/>
              </w:tabs>
              <w:suppressAutoHyphens/>
              <w:rPr>
                <w:b/>
                <w:spacing w:val="-2"/>
              </w:rPr>
            </w:pPr>
            <w:r>
              <w:rPr>
                <w:b/>
                <w:spacing w:val="-2"/>
              </w:rPr>
              <w:t>)</w:t>
            </w:r>
          </w:p>
        </w:tc>
        <w:tc>
          <w:tcPr>
            <w:tcW w:w="4248" w:type="dxa"/>
          </w:tcPr>
          <w:p w:rsidR="004C2EE3" w14:paraId="7D56977D" w14:textId="77777777">
            <w:pPr>
              <w:tabs>
                <w:tab w:val="center" w:pos="4680"/>
              </w:tabs>
              <w:suppressAutoHyphens/>
              <w:rPr>
                <w:spacing w:val="-2"/>
              </w:rPr>
            </w:pPr>
          </w:p>
          <w:p w:rsidR="004C2EE3" w14:paraId="7DFE8048" w14:textId="77777777">
            <w:pPr>
              <w:pStyle w:val="TOAHeading"/>
              <w:tabs>
                <w:tab w:val="center" w:pos="4680"/>
                <w:tab w:val="clear" w:pos="9360"/>
              </w:tabs>
              <w:rPr>
                <w:spacing w:val="-2"/>
              </w:rPr>
            </w:pPr>
          </w:p>
          <w:p w:rsidR="004C2EE3" w14:paraId="278C3D53" w14:textId="77777777">
            <w:pPr>
              <w:tabs>
                <w:tab w:val="center" w:pos="4680"/>
              </w:tabs>
              <w:suppressAutoHyphens/>
              <w:rPr>
                <w:spacing w:val="-2"/>
              </w:rPr>
            </w:pPr>
            <w:r>
              <w:rPr>
                <w:spacing w:val="-2"/>
              </w:rPr>
              <w:t xml:space="preserve"> </w:t>
            </w:r>
          </w:p>
        </w:tc>
      </w:tr>
    </w:tbl>
    <w:p w:rsidR="004C2EE3" w:rsidP="0070224F" w14:paraId="48ABC201" w14:textId="77777777"/>
    <w:p w:rsidR="00841AB1" w:rsidP="00F5390E" w14:paraId="003E7603" w14:textId="77777777">
      <w:pPr>
        <w:pStyle w:val="StyleBoldCentered"/>
      </w:pPr>
      <w:r>
        <w:t>ORDER</w:t>
      </w:r>
    </w:p>
    <w:p w:rsidR="004C2EE3" w14:paraId="7741F5CD" w14:textId="77777777">
      <w:pPr>
        <w:tabs>
          <w:tab w:val="left" w:pos="-720"/>
        </w:tabs>
        <w:suppressAutoHyphens/>
        <w:spacing w:line="227" w:lineRule="auto"/>
        <w:rPr>
          <w:spacing w:val="-2"/>
        </w:rPr>
      </w:pPr>
    </w:p>
    <w:p w:rsidR="004C2EE3" w:rsidP="00133F79" w14:paraId="387FB9D4" w14:textId="77777777">
      <w:pPr>
        <w:tabs>
          <w:tab w:val="left" w:pos="720"/>
          <w:tab w:val="right" w:pos="9360"/>
        </w:tabs>
        <w:suppressAutoHyphens/>
        <w:spacing w:line="227" w:lineRule="auto"/>
        <w:rPr>
          <w:spacing w:val="-2"/>
        </w:rPr>
      </w:pPr>
      <w:r>
        <w:rPr>
          <w:b/>
          <w:spacing w:val="-2"/>
        </w:rPr>
        <w:t xml:space="preserve">Adopted:  </w:t>
      </w:r>
      <w:r w:rsidR="00D045CA">
        <w:rPr>
          <w:b/>
          <w:spacing w:val="-2"/>
        </w:rPr>
        <w:t>April 15,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45CA">
        <w:rPr>
          <w:b/>
          <w:spacing w:val="-2"/>
        </w:rPr>
        <w:t>April 15, 2020</w:t>
      </w:r>
    </w:p>
    <w:p w:rsidR="00822CE0" w14:paraId="1708C1BA" w14:textId="77777777"/>
    <w:p w:rsidR="004C2EE3" w:rsidP="00D045CA" w14:paraId="45FCA987" w14:textId="77777777">
      <w:pPr>
        <w:tabs>
          <w:tab w:val="left" w:pos="5760"/>
        </w:tabs>
        <w:rPr>
          <w:spacing w:val="-2"/>
        </w:rPr>
      </w:pPr>
      <w:r>
        <w:t xml:space="preserve">By </w:t>
      </w:r>
      <w:r w:rsidR="004E4A22">
        <w:t>the</w:t>
      </w:r>
      <w:r w:rsidR="002A2D2E">
        <w:t xml:space="preserve"> </w:t>
      </w:r>
      <w:r w:rsidR="00A60D72">
        <w:rPr>
          <w:spacing w:val="-2"/>
        </w:rPr>
        <w:t>Chief, Wireless Telecommunications Bureau</w:t>
      </w:r>
      <w:r w:rsidR="00D045CA">
        <w:rPr>
          <w:spacing w:val="-2"/>
        </w:rPr>
        <w:t>; Chief, Public Safety and Homeland Security Bureau</w:t>
      </w:r>
      <w:r w:rsidR="003A5411">
        <w:rPr>
          <w:spacing w:val="-2"/>
        </w:rPr>
        <w:t>:</w:t>
      </w:r>
    </w:p>
    <w:p w:rsidR="00D045CA" w:rsidRPr="004D4B9C" w:rsidP="00D045CA" w14:paraId="7483194A" w14:textId="77777777">
      <w:pPr>
        <w:tabs>
          <w:tab w:val="left" w:pos="5760"/>
        </w:tabs>
        <w:rPr>
          <w:b/>
        </w:rPr>
      </w:pPr>
    </w:p>
    <w:p w:rsidR="00822CE0" w:rsidRPr="00D045CA" w:rsidP="00D045CA" w14:paraId="09007949" w14:textId="3DA07DE9">
      <w:pPr>
        <w:pStyle w:val="Heading1"/>
        <w:tabs>
          <w:tab w:val="num" w:pos="720"/>
        </w:tabs>
        <w:spacing w:after="220"/>
        <w:jc w:val="both"/>
      </w:pPr>
      <w:r w:rsidRPr="004D4B9C">
        <w:t>introduction</w:t>
      </w:r>
    </w:p>
    <w:p w:rsidR="00D045CA" w:rsidP="00D045CA" w14:paraId="7239A5CE" w14:textId="77777777">
      <w:pPr>
        <w:pStyle w:val="ParaNum"/>
        <w:numPr>
          <w:ilvl w:val="0"/>
          <w:numId w:val="11"/>
        </w:numPr>
        <w:tabs>
          <w:tab w:val="left" w:pos="1440"/>
        </w:tabs>
      </w:pPr>
      <w:r>
        <w:t>This Order addresses a petition for waiver of construction requirements (Petition) filed on March 27, 2020, by the Enterprise Wireless Alliance (EWA).</w:t>
      </w:r>
      <w:r>
        <w:rPr>
          <w:rStyle w:val="FootnoteReference"/>
        </w:rPr>
        <w:footnoteReference w:id="3"/>
      </w:r>
      <w:r>
        <w:t xml:space="preserve">  EWA requests a waiver for certain site-based and mobile-only wireless </w:t>
      </w:r>
      <w:r>
        <w:t>licensees</w:t>
      </w:r>
      <w:r>
        <w:t xml:space="preserve"> to give them additional time to satisfy their construction requirements in light of the disruptions caused by the coronavirus pandemic (COVID-19).</w:t>
      </w:r>
      <w:r>
        <w:rPr>
          <w:rStyle w:val="FootnoteReference"/>
        </w:rPr>
        <w:footnoteReference w:id="4"/>
      </w:r>
      <w:r>
        <w:t xml:space="preserve">  Pursuant to section 1.925(b)(3)(ii) of the Commission’s rules,</w:t>
      </w:r>
      <w:r>
        <w:rPr>
          <w:rStyle w:val="FootnoteReference"/>
        </w:rPr>
        <w:footnoteReference w:id="5"/>
      </w:r>
      <w:r>
        <w:t xml:space="preserve"> the Wireless Telecommunications Bureau and the Public Safety and Homeland Security Bureau grant the Petition in part.  Specifically, this Order provides all site-based and mobile-only wireless licensees with construction deadlines from March 15, 2020, through and including May 15, 2020 (Licensees),</w:t>
      </w:r>
      <w:r>
        <w:rPr>
          <w:rStyle w:val="FootnoteReference"/>
        </w:rPr>
        <w:footnoteReference w:id="6"/>
      </w:r>
      <w:r>
        <w:t xml:space="preserve"> an additional 60 days to meet their existing deadlines.</w:t>
      </w:r>
      <w:r>
        <w:rPr>
          <w:rStyle w:val="FootnoteReference"/>
        </w:rPr>
        <w:footnoteReference w:id="7"/>
      </w:r>
    </w:p>
    <w:p w:rsidR="00D045CA" w:rsidP="00D045CA" w14:paraId="289ACA32" w14:textId="77777777">
      <w:pPr>
        <w:pStyle w:val="ParaNum"/>
        <w:numPr>
          <w:ilvl w:val="0"/>
          <w:numId w:val="11"/>
        </w:numPr>
        <w:tabs>
          <w:tab w:val="left" w:pos="1440"/>
        </w:tabs>
      </w:pPr>
      <w:r w:rsidRPr="0025634A">
        <w:t>We take this action</w:t>
      </w:r>
      <w:r>
        <w:t xml:space="preserve"> in the public interest</w:t>
      </w:r>
      <w:r w:rsidRPr="0025634A">
        <w:t xml:space="preserve"> to </w:t>
      </w:r>
      <w:r>
        <w:t xml:space="preserve">provide temporary relief to the Licensees in light of the supply chain delays and other construction and equipment delivery delays </w:t>
      </w:r>
      <w:r w:rsidRPr="008C0CCB">
        <w:t>that may occur</w:t>
      </w:r>
      <w:r>
        <w:t xml:space="preserve"> as a result of COVID-19 and the declared state of national emergency</w:t>
      </w:r>
      <w:r w:rsidRPr="0025634A">
        <w:t>.</w:t>
      </w:r>
      <w:r>
        <w:rPr>
          <w:rStyle w:val="FootnoteReference"/>
        </w:rPr>
        <w:footnoteReference w:id="8"/>
      </w:r>
      <w:r w:rsidRPr="0025634A">
        <w:t xml:space="preserve">  </w:t>
      </w:r>
      <w:r>
        <w:t>Because information related to the pandemic is changing quickly, the Commission is continuing to monitor the situation and may consider further extensions.</w:t>
      </w:r>
      <w:r w:rsidRPr="0025634A">
        <w:t xml:space="preserve"> </w:t>
      </w:r>
      <w:r>
        <w:t xml:space="preserve">      </w:t>
      </w:r>
    </w:p>
    <w:p w:rsidR="00D045CA" w:rsidRPr="0025634A" w:rsidP="00D045CA" w14:paraId="554BAB77" w14:textId="77777777">
      <w:pPr>
        <w:pStyle w:val="Heading1"/>
        <w:tabs>
          <w:tab w:val="num" w:pos="720"/>
        </w:tabs>
        <w:spacing w:after="220"/>
        <w:jc w:val="both"/>
      </w:pPr>
      <w:r w:rsidRPr="0025634A">
        <w:t>discussion</w:t>
      </w:r>
    </w:p>
    <w:p w:rsidR="00D045CA" w:rsidP="00D045CA" w14:paraId="52FDE320" w14:textId="77777777">
      <w:pPr>
        <w:pStyle w:val="ParaNum"/>
        <w:numPr>
          <w:ilvl w:val="0"/>
          <w:numId w:val="11"/>
        </w:numPr>
        <w:tabs>
          <w:tab w:val="left" w:pos="1440"/>
        </w:tabs>
      </w:pPr>
      <w:r>
        <w:t xml:space="preserve">It is well-established that the Commission may waive a rule where the particular facts make </w:t>
      </w:r>
      <w:r>
        <w:t>strict compliance inconsistent with the public interest,</w:t>
      </w:r>
      <w:r>
        <w:rPr>
          <w:rStyle w:val="FootnoteReference"/>
        </w:rPr>
        <w:footnoteReference w:id="9"/>
      </w:r>
      <w:r>
        <w:t xml:space="preserve"> </w:t>
      </w:r>
      <w:r w:rsidRPr="003C0DB8">
        <w:t xml:space="preserve">and it may take into account </w:t>
      </w:r>
      <w:r>
        <w:t xml:space="preserve">unique </w:t>
      </w:r>
      <w:r w:rsidRPr="003C0DB8">
        <w:t>considerations of hardship, equity, or more effective implementation of overall policy on an individual basis.</w:t>
      </w:r>
      <w:r>
        <w:rPr>
          <w:rStyle w:val="FootnoteReference"/>
        </w:rPr>
        <w:footnoteReference w:id="10"/>
      </w:r>
      <w:r w:rsidRPr="003C0DB8">
        <w:t xml:space="preserve">  </w:t>
      </w:r>
      <w:r>
        <w:t>The Commission may grant a waiver pursuant to section 1.925(b)(3) of the Commission’s rules when: (</w:t>
      </w:r>
      <w:r>
        <w:t>i</w:t>
      </w:r>
      <w:r>
        <w:t>)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11"/>
      </w:r>
      <w:r>
        <w:t xml:space="preserve">  We find it in the public interest to grant, in part, EWA’s waiver request because application of our construction rule would be</w:t>
      </w:r>
      <w:r w:rsidRPr="00E442B6">
        <w:t xml:space="preserve"> unduly burdensome</w:t>
      </w:r>
      <w:r>
        <w:t xml:space="preserve"> and contrary to the public interest given the unique and unusual circumstances presented by COVID-19. </w:t>
      </w:r>
    </w:p>
    <w:p w:rsidR="00D045CA" w:rsidRPr="0025634A" w:rsidP="00D045CA" w14:paraId="70FF15DE" w14:textId="77777777">
      <w:pPr>
        <w:pStyle w:val="ParaNum"/>
        <w:numPr>
          <w:ilvl w:val="0"/>
          <w:numId w:val="11"/>
        </w:numPr>
        <w:tabs>
          <w:tab w:val="left" w:pos="1440"/>
        </w:tabs>
      </w:pPr>
      <w:r>
        <w:t xml:space="preserve">In the Petition, EWA </w:t>
      </w:r>
      <w:r w:rsidRPr="007C75CF">
        <w:t>seeks a waiver</w:t>
      </w:r>
      <w:r>
        <w:t>,</w:t>
      </w:r>
      <w:r w:rsidRPr="007C75CF">
        <w:t xml:space="preserve"> pursuant to section 1.925 of the Commission’s rules, of Commission rule sections 1.946(c) and (d), which articulate the </w:t>
      </w:r>
      <w:r>
        <w:t>c</w:t>
      </w:r>
      <w:r w:rsidRPr="007C75CF">
        <w:t xml:space="preserve">onsequences for failure to meet the </w:t>
      </w:r>
      <w:r>
        <w:t xml:space="preserve">construction </w:t>
      </w:r>
      <w:r w:rsidRPr="007C75CF">
        <w:t xml:space="preserve">requirements </w:t>
      </w:r>
      <w:r>
        <w:t xml:space="preserve">and the </w:t>
      </w:r>
      <w:r w:rsidRPr="007C75CF">
        <w:t>requirements for licensees to notify the Commission of compliance with their construction and coverage requirements.</w:t>
      </w:r>
      <w:r>
        <w:rPr>
          <w:rStyle w:val="FootnoteReference"/>
        </w:rPr>
        <w:footnoteReference w:id="12"/>
      </w:r>
      <w:r>
        <w:t xml:space="preserve">  EWA specifically requests a waiver for all site-based and mobile-only wireless licensees with construction deadlines between March 15, 2020, and August 31, 2020, to satisfy their construction requirements</w:t>
      </w:r>
      <w:r w:rsidRPr="008813D7">
        <w:t xml:space="preserve"> </w:t>
      </w:r>
      <w:r>
        <w:t>by August 31, 2020.</w:t>
      </w:r>
      <w:r>
        <w:rPr>
          <w:rStyle w:val="FootnoteReference"/>
        </w:rPr>
        <w:footnoteReference w:id="13"/>
      </w:r>
      <w:r>
        <w:t xml:space="preserve">  In support of this request, EWA suggests that additional time is warranted and in the public interest given the “extraordinary disruption” being caused by COVID-19 during times that are “unprecedented” and clearly “not normal.”</w:t>
      </w:r>
      <w:r>
        <w:rPr>
          <w:rStyle w:val="FootnoteReference"/>
        </w:rPr>
        <w:footnoteReference w:id="14"/>
      </w:r>
      <w:r>
        <w:t xml:space="preserve">  Indeed, EWA explains that much of the country is under mandatory or recommended self-quarantine at home and social distancing outside of their homes.</w:t>
      </w:r>
      <w:r>
        <w:rPr>
          <w:rStyle w:val="FootnoteReference"/>
        </w:rPr>
        <w:footnoteReference w:id="15"/>
      </w:r>
      <w:r>
        <w:t xml:space="preserve">  EWA describes significant supply chain delays that affect the availability of wireless telecommunications equipment and the unavailability of employees to prepare the equipment, deliver the equipment, and place it into operation.</w:t>
      </w:r>
      <w:r>
        <w:rPr>
          <w:rStyle w:val="FootnoteReference"/>
        </w:rPr>
        <w:footnoteReference w:id="16"/>
      </w:r>
      <w:r>
        <w:t xml:space="preserve">  Not only are employees’ movements restricted during the pandemic, EWA explains, but also those employees who are available must prioritize critical communications services, particularly those used by public safety entities and medical providers.</w:t>
      </w:r>
      <w:r>
        <w:rPr>
          <w:rStyle w:val="FootnoteReference"/>
        </w:rPr>
        <w:footnoteReference w:id="17"/>
      </w:r>
    </w:p>
    <w:p w:rsidR="00D045CA" w:rsidP="00D045CA" w14:paraId="04F6DE49" w14:textId="77777777">
      <w:pPr>
        <w:pStyle w:val="ParaNum"/>
        <w:numPr>
          <w:ilvl w:val="0"/>
          <w:numId w:val="11"/>
        </w:numPr>
        <w:tabs>
          <w:tab w:val="left" w:pos="1440"/>
        </w:tabs>
      </w:pPr>
      <w:r>
        <w:t>We agree with EWA that COVID-19 is affecting the ability of many site-based and mobile-only licensees to meet their construction deadlines.  Unlike a construction waiver involving a natural disaster impacting discrete parts of the country,</w:t>
      </w:r>
      <w:r>
        <w:rPr>
          <w:rStyle w:val="FootnoteReference"/>
        </w:rPr>
        <w:footnoteReference w:id="18"/>
      </w:r>
      <w:r>
        <w:t xml:space="preserve"> the pandemic involves </w:t>
      </w:r>
      <w:r>
        <w:t>the vast majority of</w:t>
      </w:r>
      <w:r>
        <w:t xml:space="preserve"> states’ issuing “stay-at-home” orders to non-essential businesses and social distancing guidelines for workers.  These orders and guidelines are essential to secure the health and safety of the public, but they also create gaps in all phases of the supply and deployment chain.  We recognize that the construction of a communications system involves participation from a wide variety of people across state lines, from programmers to tower climbers, from the designing and manufacturing, shipment, and delivery of equipment, as well as site-preparation, installation, testing, and provisioning.  Accordingly, we find that COVID-19 presents unique and unusual circumstances sufficient to support our grant of a waiver </w:t>
      </w:r>
      <w:r>
        <w:t>providing an additional 60 days to Licensees with construction deadlines from March 15, 2020, through and including May 15, 2020, to meet their construction requirements.</w:t>
      </w:r>
      <w:r>
        <w:rPr>
          <w:rStyle w:val="FootnoteReference"/>
        </w:rPr>
        <w:footnoteReference w:id="19"/>
      </w:r>
      <w:r>
        <w:t xml:space="preserve">  We decline, however, to extend all the Licensees’ construction deadlines until August 31, 2020, as EWA requests, but the Commission may consider further extensions if warranted. </w:t>
      </w:r>
    </w:p>
    <w:p w:rsidR="00D045CA" w:rsidRPr="0025634A" w:rsidP="00D045CA" w14:paraId="0DBA5B15" w14:textId="77777777">
      <w:pPr>
        <w:pStyle w:val="Heading1"/>
        <w:tabs>
          <w:tab w:val="num" w:pos="720"/>
        </w:tabs>
        <w:spacing w:after="220"/>
        <w:jc w:val="both"/>
      </w:pPr>
      <w:r w:rsidRPr="0025634A">
        <w:t>Ordering clauses</w:t>
      </w:r>
    </w:p>
    <w:p w:rsidR="00D045CA" w:rsidP="00D045CA" w14:paraId="4144EFD3" w14:textId="77777777">
      <w:pPr>
        <w:pStyle w:val="ParaNum"/>
        <w:numPr>
          <w:ilvl w:val="0"/>
          <w:numId w:val="11"/>
        </w:numPr>
        <w:tabs>
          <w:tab w:val="left" w:pos="1440"/>
        </w:tabs>
      </w:pPr>
      <w:r w:rsidRPr="00BB4E53">
        <w:t>Accordingly, IT IS ORDERED that, pursuant to Section 4(</w:t>
      </w:r>
      <w:r w:rsidRPr="00BB4E53">
        <w:t>i</w:t>
      </w:r>
      <w:r w:rsidRPr="00BB4E53">
        <w:t>) of the Communications Act of 1934, as amended, 47 U.S.C. § 154(</w:t>
      </w:r>
      <w:r w:rsidRPr="00BB4E53">
        <w:t>i</w:t>
      </w:r>
      <w:r w:rsidRPr="00BB4E53">
        <w:t xml:space="preserve">), and </w:t>
      </w:r>
      <w:r>
        <w:t>s</w:t>
      </w:r>
      <w:r w:rsidRPr="00BB4E53">
        <w:t>ection 1.925(b)</w:t>
      </w:r>
      <w:r>
        <w:t>(3)(ii)</w:t>
      </w:r>
      <w:r w:rsidRPr="00BB4E53">
        <w:t xml:space="preserve"> </w:t>
      </w:r>
      <w:r>
        <w:t>of the Commission’s rules, 47 C</w:t>
      </w:r>
      <w:r w:rsidRPr="00BB4E53">
        <w:t>F</w:t>
      </w:r>
      <w:r>
        <w:t>R</w:t>
      </w:r>
      <w:r w:rsidRPr="00BB4E53">
        <w:t xml:space="preserve"> § 1.925</w:t>
      </w:r>
      <w:r>
        <w:t>(b)(3)(ii), the petition for waiver filed March 27, 2020, by the Enterprise Wireless Alliance, is hereby GRANTED IN PART, to the extent provided and explained herein.</w:t>
      </w:r>
    </w:p>
    <w:p w:rsidR="00D045CA" w:rsidP="00D045CA" w14:paraId="0CB1382A" w14:textId="77777777">
      <w:pPr>
        <w:pStyle w:val="ParaNum"/>
        <w:numPr>
          <w:ilvl w:val="0"/>
          <w:numId w:val="11"/>
        </w:numPr>
        <w:tabs>
          <w:tab w:val="left" w:pos="1440"/>
        </w:tabs>
      </w:pPr>
      <w:r>
        <w:t xml:space="preserve">IT IS FURTHER ORDERED that Part 22, 80, 87, 90, and 101 licensees under the radio service codes listed in Appendix A hereto having construction deadlines from March 15, 2020, through and including May 15, 2020, shall have their construction deadlines extended for 60 days as described herein.  </w:t>
      </w:r>
    </w:p>
    <w:p w:rsidR="00D045CA" w:rsidRPr="002D0D24" w:rsidP="00D045CA" w14:paraId="05C453D1" w14:textId="77777777">
      <w:pPr>
        <w:pStyle w:val="ParaNum"/>
        <w:numPr>
          <w:ilvl w:val="0"/>
          <w:numId w:val="11"/>
        </w:numPr>
        <w:tabs>
          <w:tab w:val="left" w:pos="1440"/>
        </w:tabs>
      </w:pPr>
      <w:r w:rsidRPr="00BB4E53">
        <w:t xml:space="preserve">These actions are taken under delegated authority pursuant to Sections 0.131 and 0.331 </w:t>
      </w:r>
      <w:r>
        <w:t>of the Commission’s rules, 47 CFR</w:t>
      </w:r>
      <w:r w:rsidRPr="00BB4E53">
        <w:t xml:space="preserve"> §§ 0.131, 0.331.</w:t>
      </w:r>
      <w:r>
        <w:t xml:space="preserve"> </w:t>
      </w:r>
    </w:p>
    <w:p w:rsidR="00D045CA" w:rsidRPr="0025634A" w:rsidP="00D045CA" w14:paraId="57D02103" w14:textId="77777777">
      <w:pPr>
        <w:pStyle w:val="ParaNum"/>
        <w:numPr>
          <w:ilvl w:val="0"/>
          <w:numId w:val="0"/>
        </w:numPr>
        <w:ind w:left="720"/>
        <w:rPr>
          <w:u w:val="single"/>
        </w:rPr>
      </w:pPr>
    </w:p>
    <w:p w:rsidR="00D045CA" w:rsidRPr="0025634A" w:rsidP="00A9750F" w14:paraId="668F50BF" w14:textId="5DB762F5">
      <w:pPr>
        <w:pStyle w:val="ParaNum"/>
        <w:numPr>
          <w:ilvl w:val="0"/>
          <w:numId w:val="0"/>
        </w:numPr>
        <w:tabs>
          <w:tab w:val="left" w:pos="4860"/>
        </w:tabs>
        <w:jc w:val="right"/>
      </w:pPr>
      <w:r w:rsidRPr="0025634A">
        <w:t>FEDERAL COMMUNICATIONS COMMISSION</w:t>
      </w:r>
    </w:p>
    <w:p w:rsidR="00D045CA" w:rsidRPr="0025634A" w:rsidP="00D045CA" w14:paraId="2319955E" w14:textId="77777777">
      <w:pPr>
        <w:pStyle w:val="ParaNum"/>
        <w:numPr>
          <w:ilvl w:val="0"/>
          <w:numId w:val="0"/>
        </w:numPr>
        <w:jc w:val="right"/>
      </w:pPr>
    </w:p>
    <w:p w:rsidR="00D045CA" w:rsidRPr="0025634A" w:rsidP="00A9750F" w14:paraId="2783F2CB" w14:textId="4B6E5C7E">
      <w:pPr>
        <w:pStyle w:val="ParaNum"/>
        <w:numPr>
          <w:ilvl w:val="0"/>
          <w:numId w:val="0"/>
        </w:numPr>
        <w:tabs>
          <w:tab w:val="left" w:pos="4860"/>
        </w:tabs>
        <w:spacing w:after="0"/>
      </w:pPr>
      <w:r w:rsidRPr="0025634A">
        <w:t xml:space="preserve">                                                                             </w:t>
      </w:r>
      <w:r w:rsidR="00A9750F">
        <w:tab/>
      </w:r>
      <w:r w:rsidRPr="0025634A">
        <w:t>Donald K. Stockdale</w:t>
      </w:r>
    </w:p>
    <w:p w:rsidR="00D045CA" w:rsidRPr="0025634A" w:rsidP="00A9750F" w14:paraId="0C061FB4" w14:textId="37403F8A">
      <w:pPr>
        <w:pStyle w:val="ParaNum"/>
        <w:numPr>
          <w:ilvl w:val="0"/>
          <w:numId w:val="0"/>
        </w:numPr>
        <w:tabs>
          <w:tab w:val="left" w:pos="4860"/>
        </w:tabs>
        <w:spacing w:after="0"/>
      </w:pPr>
      <w:r w:rsidRPr="0025634A">
        <w:t xml:space="preserve">                                                                              </w:t>
      </w:r>
      <w:r w:rsidR="00A9750F">
        <w:tab/>
      </w:r>
      <w:r w:rsidRPr="0025634A">
        <w:t>Chief</w:t>
      </w:r>
    </w:p>
    <w:p w:rsidR="00D045CA" w:rsidP="00A9750F" w14:paraId="61FAFA94" w14:textId="36D26F9E">
      <w:pPr>
        <w:pStyle w:val="ParaNum"/>
        <w:numPr>
          <w:ilvl w:val="0"/>
          <w:numId w:val="0"/>
        </w:numPr>
        <w:tabs>
          <w:tab w:val="left" w:pos="4860"/>
        </w:tabs>
        <w:spacing w:after="0"/>
      </w:pPr>
      <w:r w:rsidRPr="0025634A">
        <w:t xml:space="preserve">                                                                              </w:t>
      </w:r>
      <w:r w:rsidR="00A9750F">
        <w:tab/>
      </w:r>
      <w:r w:rsidRPr="0025634A">
        <w:t xml:space="preserve">Wireless Telecommunications Bureau   </w:t>
      </w:r>
    </w:p>
    <w:p w:rsidR="00D045CA" w:rsidP="00D045CA" w14:paraId="746BF6D3" w14:textId="77777777">
      <w:pPr>
        <w:pStyle w:val="ParaNum"/>
        <w:numPr>
          <w:ilvl w:val="0"/>
          <w:numId w:val="0"/>
        </w:numPr>
        <w:spacing w:after="0"/>
      </w:pPr>
    </w:p>
    <w:p w:rsidR="00D045CA" w:rsidP="00D045CA" w14:paraId="6CE8EE8A" w14:textId="77777777">
      <w:pPr>
        <w:pStyle w:val="ParaNum"/>
        <w:numPr>
          <w:ilvl w:val="0"/>
          <w:numId w:val="0"/>
        </w:numPr>
        <w:spacing w:after="0"/>
      </w:pPr>
    </w:p>
    <w:p w:rsidR="00D045CA" w:rsidP="00D045CA" w14:paraId="3F1427EF" w14:textId="77777777">
      <w:pPr>
        <w:pStyle w:val="ParaNum"/>
        <w:numPr>
          <w:ilvl w:val="0"/>
          <w:numId w:val="0"/>
        </w:numPr>
        <w:spacing w:after="0"/>
      </w:pPr>
    </w:p>
    <w:p w:rsidR="00D045CA" w:rsidP="00A9750F" w14:paraId="034CC2C9" w14:textId="5CAFC51A">
      <w:pPr>
        <w:pStyle w:val="ParaNum"/>
        <w:numPr>
          <w:ilvl w:val="0"/>
          <w:numId w:val="0"/>
        </w:numPr>
        <w:tabs>
          <w:tab w:val="left" w:pos="4860"/>
        </w:tabs>
        <w:spacing w:after="0"/>
      </w:pPr>
      <w:r>
        <w:tab/>
        <w:t>Lisa M. Fowlkes</w:t>
      </w:r>
    </w:p>
    <w:p w:rsidR="00D045CA" w:rsidP="00A9750F" w14:paraId="32D94D05" w14:textId="2CB0DB59">
      <w:pPr>
        <w:pStyle w:val="ParaNum"/>
        <w:numPr>
          <w:ilvl w:val="0"/>
          <w:numId w:val="0"/>
        </w:numPr>
        <w:tabs>
          <w:tab w:val="left" w:pos="4860"/>
        </w:tabs>
        <w:spacing w:after="0"/>
      </w:pPr>
      <w:r>
        <w:tab/>
        <w:t>Chief</w:t>
      </w:r>
    </w:p>
    <w:p w:rsidR="00D045CA" w:rsidP="00A9750F" w14:paraId="556C94E8" w14:textId="53FA3EB8">
      <w:pPr>
        <w:pStyle w:val="ParaNum"/>
        <w:numPr>
          <w:ilvl w:val="0"/>
          <w:numId w:val="0"/>
        </w:numPr>
        <w:tabs>
          <w:tab w:val="left" w:pos="4860"/>
        </w:tabs>
        <w:spacing w:after="0"/>
      </w:pPr>
      <w:r>
        <w:tab/>
        <w:t>Public Safety and Homeland Security Bureau</w:t>
      </w:r>
    </w:p>
    <w:p w:rsidR="00A448AC" w14:paraId="41995BD4" w14:textId="42C0306B">
      <w:pPr>
        <w:widowControl/>
        <w:rPr>
          <w:rFonts w:ascii="Times New Roman Bold" w:hAnsi="Times New Roman Bold"/>
          <w:b/>
          <w:caps/>
        </w:rPr>
      </w:pPr>
      <w:r>
        <w:br w:type="page"/>
      </w:r>
    </w:p>
    <w:p w:rsidR="00A448AC" w:rsidP="00A448AC" w14:paraId="0898DCE4" w14:textId="77777777">
      <w:pPr>
        <w:jc w:val="center"/>
        <w:rPr>
          <w:b/>
          <w:szCs w:val="22"/>
        </w:rPr>
      </w:pPr>
      <w:r w:rsidRPr="0025634A">
        <w:rPr>
          <w:b/>
          <w:szCs w:val="22"/>
        </w:rPr>
        <w:t>APPENDIX A</w:t>
      </w:r>
    </w:p>
    <w:p w:rsidR="00A448AC" w:rsidP="00A448AC" w14:paraId="6B5EDB16" w14:textId="77777777">
      <w:pPr>
        <w:jc w:val="center"/>
        <w:rPr>
          <w:b/>
          <w:szCs w:val="22"/>
        </w:rPr>
      </w:pPr>
    </w:p>
    <w:p w:rsidR="00A448AC" w:rsidP="00A448AC" w14:paraId="3107C70A" w14:textId="77777777">
      <w:pPr>
        <w:jc w:val="center"/>
        <w:rPr>
          <w:b/>
          <w:bCs/>
        </w:rPr>
      </w:pPr>
      <w:r>
        <w:rPr>
          <w:b/>
          <w:bCs/>
        </w:rPr>
        <w:t>NON PUBLIC</w:t>
      </w:r>
      <w:r>
        <w:rPr>
          <w:b/>
          <w:bCs/>
        </w:rPr>
        <w:t xml:space="preserve"> SAFETY </w:t>
      </w:r>
      <w:r w:rsidRPr="00476A32">
        <w:rPr>
          <w:b/>
          <w:bCs/>
        </w:rPr>
        <w:t>SITE-BASED</w:t>
      </w:r>
      <w:r>
        <w:rPr>
          <w:b/>
          <w:bCs/>
        </w:rPr>
        <w:t xml:space="preserve"> AND MOBILE-ONLY</w:t>
      </w:r>
      <w:r w:rsidRPr="00476A32">
        <w:rPr>
          <w:b/>
          <w:bCs/>
        </w:rPr>
        <w:t xml:space="preserve"> RADIO SERVICES FOR PURPOSE</w:t>
      </w:r>
      <w:r>
        <w:rPr>
          <w:b/>
          <w:bCs/>
        </w:rPr>
        <w:t>S</w:t>
      </w:r>
      <w:r w:rsidRPr="00476A32">
        <w:rPr>
          <w:b/>
          <w:bCs/>
        </w:rPr>
        <w:t xml:space="preserve"> OF THIS ORDER</w:t>
      </w:r>
    </w:p>
    <w:p w:rsidR="00A448AC" w:rsidRPr="00476A32" w:rsidP="00A448AC" w14:paraId="126BA1C7" w14:textId="77777777">
      <w:pPr>
        <w:rPr>
          <w:b/>
          <w:bCs/>
        </w:rPr>
      </w:pPr>
    </w:p>
    <w:tbl>
      <w:tblPr>
        <w:tblStyle w:val="TableGrid"/>
        <w:tblW w:w="0" w:type="auto"/>
        <w:tblLook w:val="04A0"/>
      </w:tblPr>
      <w:tblGrid>
        <w:gridCol w:w="2358"/>
        <w:gridCol w:w="6750"/>
      </w:tblGrid>
      <w:tr w14:paraId="0FC5B2AB" w14:textId="77777777" w:rsidTr="00E15BF9">
        <w:tblPrEx>
          <w:tblW w:w="0" w:type="auto"/>
          <w:tblLook w:val="04A0"/>
        </w:tblPrEx>
        <w:tc>
          <w:tcPr>
            <w:tcW w:w="2358" w:type="dxa"/>
            <w:shd w:val="clear" w:color="auto" w:fill="595959" w:themeFill="text1" w:themeFillTint="A6"/>
          </w:tcPr>
          <w:p w:rsidR="00A448AC" w:rsidRPr="004D5196" w:rsidP="00E15BF9" w14:paraId="462A0C49" w14:textId="77777777">
            <w:pPr>
              <w:jc w:val="center"/>
              <w:rPr>
                <w:b/>
                <w:bCs/>
                <w:color w:val="FFFFFF" w:themeColor="background1"/>
              </w:rPr>
            </w:pPr>
          </w:p>
        </w:tc>
        <w:tc>
          <w:tcPr>
            <w:tcW w:w="6750" w:type="dxa"/>
            <w:shd w:val="clear" w:color="auto" w:fill="595959" w:themeFill="text1" w:themeFillTint="A6"/>
          </w:tcPr>
          <w:p w:rsidR="00A448AC" w:rsidRPr="004D5196" w:rsidP="00E15BF9" w14:paraId="562620D0" w14:textId="77777777">
            <w:pPr>
              <w:jc w:val="center"/>
              <w:rPr>
                <w:b/>
                <w:bCs/>
                <w:color w:val="FFFFFF" w:themeColor="background1"/>
              </w:rPr>
            </w:pPr>
          </w:p>
        </w:tc>
      </w:tr>
      <w:tr w14:paraId="7DEA6280" w14:textId="77777777" w:rsidTr="00E15BF9">
        <w:tblPrEx>
          <w:tblW w:w="0" w:type="auto"/>
          <w:tblLook w:val="04A0"/>
        </w:tblPrEx>
        <w:tc>
          <w:tcPr>
            <w:tcW w:w="2358" w:type="dxa"/>
          </w:tcPr>
          <w:p w:rsidR="00A448AC" w:rsidRPr="00876BD4" w:rsidP="00E15BF9" w14:paraId="2E63FB33" w14:textId="77777777">
            <w:r w:rsidRPr="00876BD4">
              <w:rPr>
                <w:color w:val="000000"/>
              </w:rPr>
              <w:t>AA</w:t>
            </w:r>
          </w:p>
        </w:tc>
        <w:tc>
          <w:tcPr>
            <w:tcW w:w="6750" w:type="dxa"/>
          </w:tcPr>
          <w:p w:rsidR="00A448AC" w:rsidRPr="00876BD4" w:rsidP="00E15BF9" w14:paraId="4CA8AC64" w14:textId="77777777">
            <w:r w:rsidRPr="00876BD4">
              <w:rPr>
                <w:color w:val="000000"/>
              </w:rPr>
              <w:t>Aviation Auxiliary Group</w:t>
            </w:r>
          </w:p>
        </w:tc>
      </w:tr>
      <w:tr w14:paraId="685FBAA4" w14:textId="77777777" w:rsidTr="00E15BF9">
        <w:tblPrEx>
          <w:tblW w:w="0" w:type="auto"/>
          <w:tblLook w:val="04A0"/>
        </w:tblPrEx>
        <w:tc>
          <w:tcPr>
            <w:tcW w:w="2358" w:type="dxa"/>
          </w:tcPr>
          <w:p w:rsidR="00A448AC" w:rsidRPr="00876BD4" w:rsidP="00E15BF9" w14:paraId="23D1B11A" w14:textId="77777777">
            <w:r w:rsidRPr="00876BD4">
              <w:rPr>
                <w:color w:val="000000"/>
              </w:rPr>
              <w:t>AB</w:t>
            </w:r>
          </w:p>
        </w:tc>
        <w:tc>
          <w:tcPr>
            <w:tcW w:w="6750" w:type="dxa"/>
          </w:tcPr>
          <w:p w:rsidR="00A448AC" w:rsidRPr="00876BD4" w:rsidP="00E15BF9" w14:paraId="3E83FBCD" w14:textId="77777777">
            <w:r w:rsidRPr="00876BD4">
              <w:rPr>
                <w:color w:val="000000"/>
              </w:rPr>
              <w:t>Aural Microwave Booster</w:t>
            </w:r>
          </w:p>
        </w:tc>
      </w:tr>
      <w:tr w14:paraId="1E7AA01E" w14:textId="77777777" w:rsidTr="00E15BF9">
        <w:tblPrEx>
          <w:tblW w:w="0" w:type="auto"/>
          <w:tblLook w:val="04A0"/>
        </w:tblPrEx>
        <w:tc>
          <w:tcPr>
            <w:tcW w:w="2358" w:type="dxa"/>
          </w:tcPr>
          <w:p w:rsidR="00A448AC" w:rsidRPr="00876BD4" w:rsidP="00E15BF9" w14:paraId="3B88173F" w14:textId="77777777">
            <w:r w:rsidRPr="00876BD4">
              <w:rPr>
                <w:color w:val="000000"/>
              </w:rPr>
              <w:t>AF</w:t>
            </w:r>
          </w:p>
        </w:tc>
        <w:tc>
          <w:tcPr>
            <w:tcW w:w="6750" w:type="dxa"/>
          </w:tcPr>
          <w:p w:rsidR="00A448AC" w:rsidRPr="00876BD4" w:rsidP="00E15BF9" w14:paraId="6EF0946A" w14:textId="77777777">
            <w:r w:rsidRPr="00876BD4">
              <w:rPr>
                <w:color w:val="000000"/>
              </w:rPr>
              <w:t>Aeronautical and Fixed</w:t>
            </w:r>
          </w:p>
        </w:tc>
      </w:tr>
      <w:tr w14:paraId="7CDD8533" w14:textId="77777777" w:rsidTr="00E15BF9">
        <w:tblPrEx>
          <w:tblW w:w="0" w:type="auto"/>
          <w:tblLook w:val="04A0"/>
        </w:tblPrEx>
        <w:tc>
          <w:tcPr>
            <w:tcW w:w="2358" w:type="dxa"/>
          </w:tcPr>
          <w:p w:rsidR="00A448AC" w:rsidRPr="00876BD4" w:rsidP="00E15BF9" w14:paraId="615D713E" w14:textId="77777777">
            <w:r w:rsidRPr="00876BD4">
              <w:rPr>
                <w:color w:val="000000"/>
              </w:rPr>
              <w:t>AI</w:t>
            </w:r>
          </w:p>
        </w:tc>
        <w:tc>
          <w:tcPr>
            <w:tcW w:w="6750" w:type="dxa"/>
          </w:tcPr>
          <w:p w:rsidR="00A448AC" w:rsidRPr="00876BD4" w:rsidP="00E15BF9" w14:paraId="58CE4943" w14:textId="77777777">
            <w:r w:rsidRPr="00876BD4">
              <w:rPr>
                <w:color w:val="000000"/>
              </w:rPr>
              <w:t>Aural Intercity Relay</w:t>
            </w:r>
          </w:p>
        </w:tc>
      </w:tr>
      <w:tr w14:paraId="6B136555" w14:textId="77777777" w:rsidTr="00E15BF9">
        <w:tblPrEx>
          <w:tblW w:w="0" w:type="auto"/>
          <w:tblLook w:val="04A0"/>
        </w:tblPrEx>
        <w:tc>
          <w:tcPr>
            <w:tcW w:w="2358" w:type="dxa"/>
          </w:tcPr>
          <w:p w:rsidR="00A448AC" w:rsidRPr="00876BD4" w:rsidP="00E15BF9" w14:paraId="594BEB04" w14:textId="77777777">
            <w:r w:rsidRPr="00876BD4">
              <w:rPr>
                <w:color w:val="000000"/>
              </w:rPr>
              <w:t>AR</w:t>
            </w:r>
          </w:p>
        </w:tc>
        <w:tc>
          <w:tcPr>
            <w:tcW w:w="6750" w:type="dxa"/>
          </w:tcPr>
          <w:p w:rsidR="00A448AC" w:rsidRPr="00876BD4" w:rsidP="00E15BF9" w14:paraId="5083CB19" w14:textId="77777777">
            <w:r w:rsidRPr="00876BD4">
              <w:rPr>
                <w:color w:val="000000"/>
              </w:rPr>
              <w:t xml:space="preserve">Aviation </w:t>
            </w:r>
            <w:r w:rsidRPr="00876BD4">
              <w:rPr>
                <w:color w:val="000000"/>
              </w:rPr>
              <w:t>Radionavigation</w:t>
            </w:r>
          </w:p>
        </w:tc>
      </w:tr>
      <w:tr w14:paraId="60214760" w14:textId="77777777" w:rsidTr="00E15BF9">
        <w:tblPrEx>
          <w:tblW w:w="0" w:type="auto"/>
          <w:tblLook w:val="04A0"/>
        </w:tblPrEx>
        <w:tc>
          <w:tcPr>
            <w:tcW w:w="2358" w:type="dxa"/>
          </w:tcPr>
          <w:p w:rsidR="00A448AC" w:rsidRPr="00876BD4" w:rsidP="00E15BF9" w14:paraId="62235341" w14:textId="77777777">
            <w:r w:rsidRPr="00876BD4">
              <w:rPr>
                <w:color w:val="000000"/>
              </w:rPr>
              <w:t>AS</w:t>
            </w:r>
          </w:p>
        </w:tc>
        <w:tc>
          <w:tcPr>
            <w:tcW w:w="6750" w:type="dxa"/>
          </w:tcPr>
          <w:p w:rsidR="00A448AC" w:rsidRPr="00876BD4" w:rsidP="00E15BF9" w14:paraId="003DDBAE" w14:textId="77777777">
            <w:r w:rsidRPr="00876BD4">
              <w:rPr>
                <w:color w:val="000000"/>
              </w:rPr>
              <w:t>Aural Studio Transmitter Link</w:t>
            </w:r>
          </w:p>
        </w:tc>
      </w:tr>
      <w:tr w14:paraId="2E0D78A1" w14:textId="77777777" w:rsidTr="00E15BF9">
        <w:tblPrEx>
          <w:tblW w:w="0" w:type="auto"/>
          <w:tblLook w:val="04A0"/>
        </w:tblPrEx>
        <w:tc>
          <w:tcPr>
            <w:tcW w:w="2358" w:type="dxa"/>
          </w:tcPr>
          <w:p w:rsidR="00A448AC" w:rsidRPr="00876BD4" w:rsidP="00E15BF9" w14:paraId="77BC0B4F" w14:textId="77777777">
            <w:r w:rsidRPr="00876BD4">
              <w:rPr>
                <w:color w:val="000000"/>
              </w:rPr>
              <w:t>CA</w:t>
            </w:r>
          </w:p>
        </w:tc>
        <w:tc>
          <w:tcPr>
            <w:tcW w:w="6750" w:type="dxa"/>
          </w:tcPr>
          <w:p w:rsidR="00A448AC" w:rsidRPr="00876BD4" w:rsidP="00E15BF9" w14:paraId="040AD156" w14:textId="77777777">
            <w:r w:rsidRPr="00876BD4">
              <w:rPr>
                <w:color w:val="000000"/>
              </w:rPr>
              <w:t>Commercial Air-Ground Radiotelephone</w:t>
            </w:r>
          </w:p>
        </w:tc>
      </w:tr>
      <w:tr w14:paraId="13E23030" w14:textId="77777777" w:rsidTr="00E15BF9">
        <w:tblPrEx>
          <w:tblW w:w="0" w:type="auto"/>
          <w:tblLook w:val="04A0"/>
        </w:tblPrEx>
        <w:tc>
          <w:tcPr>
            <w:tcW w:w="2358" w:type="dxa"/>
          </w:tcPr>
          <w:p w:rsidR="00A448AC" w:rsidRPr="00876BD4" w:rsidP="00E15BF9" w14:paraId="55D98EA8" w14:textId="77777777">
            <w:r w:rsidRPr="00876BD4">
              <w:rPr>
                <w:color w:val="000000"/>
              </w:rPr>
              <w:t>CB</w:t>
            </w:r>
          </w:p>
        </w:tc>
        <w:tc>
          <w:tcPr>
            <w:tcW w:w="6750" w:type="dxa"/>
          </w:tcPr>
          <w:p w:rsidR="00A448AC" w:rsidRPr="00876BD4" w:rsidP="00E15BF9" w14:paraId="16429887" w14:textId="77777777">
            <w:r w:rsidRPr="00876BD4">
              <w:rPr>
                <w:color w:val="000000"/>
              </w:rPr>
              <w:t>BETRS</w:t>
            </w:r>
          </w:p>
        </w:tc>
      </w:tr>
      <w:tr w14:paraId="0CC34E5C" w14:textId="77777777" w:rsidTr="00E15BF9">
        <w:tblPrEx>
          <w:tblW w:w="0" w:type="auto"/>
          <w:tblLook w:val="04A0"/>
        </w:tblPrEx>
        <w:tc>
          <w:tcPr>
            <w:tcW w:w="2358" w:type="dxa"/>
          </w:tcPr>
          <w:p w:rsidR="00A448AC" w:rsidRPr="00876BD4" w:rsidP="00E15BF9" w14:paraId="675F5D4E" w14:textId="77777777">
            <w:r w:rsidRPr="00876BD4">
              <w:rPr>
                <w:color w:val="000000"/>
              </w:rPr>
              <w:t>CD</w:t>
            </w:r>
          </w:p>
        </w:tc>
        <w:tc>
          <w:tcPr>
            <w:tcW w:w="6750" w:type="dxa"/>
          </w:tcPr>
          <w:p w:rsidR="00A448AC" w:rsidRPr="00876BD4" w:rsidP="00E15BF9" w14:paraId="508B5832" w14:textId="77777777">
            <w:r w:rsidRPr="00876BD4">
              <w:rPr>
                <w:color w:val="000000"/>
              </w:rPr>
              <w:t>Paging and Radiotelephone</w:t>
            </w:r>
          </w:p>
        </w:tc>
      </w:tr>
      <w:tr w14:paraId="60C2AF28" w14:textId="77777777" w:rsidTr="00E15BF9">
        <w:tblPrEx>
          <w:tblW w:w="0" w:type="auto"/>
          <w:tblLook w:val="04A0"/>
        </w:tblPrEx>
        <w:tc>
          <w:tcPr>
            <w:tcW w:w="2358" w:type="dxa"/>
          </w:tcPr>
          <w:p w:rsidR="00A448AC" w:rsidRPr="00876BD4" w:rsidP="00E15BF9" w14:paraId="3BA1CAE2" w14:textId="77777777">
            <w:r w:rsidRPr="00876BD4">
              <w:rPr>
                <w:color w:val="000000"/>
              </w:rPr>
              <w:t>CE</w:t>
            </w:r>
          </w:p>
        </w:tc>
        <w:tc>
          <w:tcPr>
            <w:tcW w:w="6750" w:type="dxa"/>
          </w:tcPr>
          <w:p w:rsidR="00A448AC" w:rsidRPr="00876BD4" w:rsidP="00E15BF9" w14:paraId="48F10110" w14:textId="77777777">
            <w:r w:rsidRPr="00876BD4">
              <w:rPr>
                <w:color w:val="000000"/>
              </w:rPr>
              <w:t>Digital Electronic Message Service (Common Carrier)</w:t>
            </w:r>
          </w:p>
        </w:tc>
      </w:tr>
      <w:tr w14:paraId="64A324F1" w14:textId="77777777" w:rsidTr="00E15BF9">
        <w:tblPrEx>
          <w:tblW w:w="0" w:type="auto"/>
          <w:tblLook w:val="04A0"/>
        </w:tblPrEx>
        <w:tc>
          <w:tcPr>
            <w:tcW w:w="2358" w:type="dxa"/>
          </w:tcPr>
          <w:p w:rsidR="00A448AC" w:rsidRPr="00876BD4" w:rsidP="00E15BF9" w14:paraId="27C68466" w14:textId="77777777">
            <w:r w:rsidRPr="00876BD4">
              <w:rPr>
                <w:color w:val="000000"/>
              </w:rPr>
              <w:t>CF</w:t>
            </w:r>
          </w:p>
        </w:tc>
        <w:tc>
          <w:tcPr>
            <w:tcW w:w="6750" w:type="dxa"/>
          </w:tcPr>
          <w:p w:rsidR="00A448AC" w:rsidRPr="00876BD4" w:rsidP="00E15BF9" w14:paraId="05D201FE" w14:textId="77777777">
            <w:r w:rsidRPr="00876BD4">
              <w:rPr>
                <w:color w:val="000000"/>
              </w:rPr>
              <w:t>Common Carrier Fixed Point-to-Point Microwave</w:t>
            </w:r>
          </w:p>
        </w:tc>
      </w:tr>
      <w:tr w14:paraId="75E46AB4" w14:textId="77777777" w:rsidTr="00E15BF9">
        <w:tblPrEx>
          <w:tblW w:w="0" w:type="auto"/>
          <w:tblLook w:val="04A0"/>
        </w:tblPrEx>
        <w:tc>
          <w:tcPr>
            <w:tcW w:w="2358" w:type="dxa"/>
          </w:tcPr>
          <w:p w:rsidR="00A448AC" w:rsidRPr="00876BD4" w:rsidP="00E15BF9" w14:paraId="61CD302E" w14:textId="77777777">
            <w:r w:rsidRPr="00876BD4">
              <w:rPr>
                <w:color w:val="000000"/>
              </w:rPr>
              <w:t>CG</w:t>
            </w:r>
          </w:p>
        </w:tc>
        <w:tc>
          <w:tcPr>
            <w:tcW w:w="6750" w:type="dxa"/>
          </w:tcPr>
          <w:p w:rsidR="00A448AC" w:rsidRPr="00876BD4" w:rsidP="00E15BF9" w14:paraId="17BE2D81" w14:textId="77777777">
            <w:r w:rsidRPr="00876BD4">
              <w:rPr>
                <w:color w:val="000000"/>
              </w:rPr>
              <w:t>General Aviation Air-ground Radiotelephone</w:t>
            </w:r>
          </w:p>
        </w:tc>
      </w:tr>
      <w:tr w14:paraId="7AAA2383" w14:textId="77777777" w:rsidTr="00E15BF9">
        <w:tblPrEx>
          <w:tblW w:w="0" w:type="auto"/>
          <w:tblLook w:val="04A0"/>
        </w:tblPrEx>
        <w:tc>
          <w:tcPr>
            <w:tcW w:w="2358" w:type="dxa"/>
          </w:tcPr>
          <w:p w:rsidR="00A448AC" w:rsidRPr="00876BD4" w:rsidP="00E15BF9" w14:paraId="56DE681C" w14:textId="77777777">
            <w:r w:rsidRPr="00876BD4">
              <w:rPr>
                <w:color w:val="000000"/>
              </w:rPr>
              <w:t>CJ</w:t>
            </w:r>
          </w:p>
        </w:tc>
        <w:tc>
          <w:tcPr>
            <w:tcW w:w="6750" w:type="dxa"/>
          </w:tcPr>
          <w:p w:rsidR="00A448AC" w:rsidRPr="00876BD4" w:rsidP="00E15BF9" w14:paraId="2D4CE997" w14:textId="77777777">
            <w:r w:rsidRPr="00876BD4">
              <w:rPr>
                <w:color w:val="000000"/>
              </w:rPr>
              <w:t>Commercial Aviation Air-ground Radiotelephone</w:t>
            </w:r>
          </w:p>
        </w:tc>
      </w:tr>
      <w:tr w14:paraId="442FC45D" w14:textId="77777777" w:rsidTr="00E15BF9">
        <w:tblPrEx>
          <w:tblW w:w="0" w:type="auto"/>
          <w:tblLook w:val="04A0"/>
        </w:tblPrEx>
        <w:tc>
          <w:tcPr>
            <w:tcW w:w="2358" w:type="dxa"/>
          </w:tcPr>
          <w:p w:rsidR="00A448AC" w:rsidRPr="00876BD4" w:rsidP="00E15BF9" w14:paraId="6C215ABD" w14:textId="77777777">
            <w:r w:rsidRPr="00876BD4">
              <w:rPr>
                <w:color w:val="000000"/>
              </w:rPr>
              <w:t>CL</w:t>
            </w:r>
          </w:p>
        </w:tc>
        <w:tc>
          <w:tcPr>
            <w:tcW w:w="6750" w:type="dxa"/>
          </w:tcPr>
          <w:p w:rsidR="00A448AC" w:rsidRPr="00876BD4" w:rsidP="00E15BF9" w14:paraId="56A2F221" w14:textId="77777777">
            <w:r w:rsidRPr="00876BD4">
              <w:rPr>
                <w:color w:val="000000"/>
              </w:rPr>
              <w:t>Cellular</w:t>
            </w:r>
          </w:p>
        </w:tc>
      </w:tr>
      <w:tr w14:paraId="3EBA3027" w14:textId="77777777" w:rsidTr="00E15BF9">
        <w:tblPrEx>
          <w:tblW w:w="0" w:type="auto"/>
          <w:tblLook w:val="04A0"/>
        </w:tblPrEx>
        <w:tc>
          <w:tcPr>
            <w:tcW w:w="2358" w:type="dxa"/>
          </w:tcPr>
          <w:p w:rsidR="00A448AC" w:rsidRPr="00876BD4" w:rsidP="00E15BF9" w14:paraId="778CFE98" w14:textId="77777777">
            <w:r w:rsidRPr="00876BD4">
              <w:rPr>
                <w:color w:val="000000"/>
              </w:rPr>
              <w:t>CO</w:t>
            </w:r>
          </w:p>
        </w:tc>
        <w:tc>
          <w:tcPr>
            <w:tcW w:w="6750" w:type="dxa"/>
          </w:tcPr>
          <w:p w:rsidR="00A448AC" w:rsidRPr="00876BD4" w:rsidP="00E15BF9" w14:paraId="7710131D" w14:textId="77777777">
            <w:r w:rsidRPr="00876BD4">
              <w:rPr>
                <w:color w:val="000000"/>
              </w:rPr>
              <w:t>Offshore Radiotelephone</w:t>
            </w:r>
          </w:p>
        </w:tc>
      </w:tr>
      <w:tr w14:paraId="36A86202" w14:textId="77777777" w:rsidTr="00E15BF9">
        <w:tblPrEx>
          <w:tblW w:w="0" w:type="auto"/>
          <w:tblLook w:val="04A0"/>
        </w:tblPrEx>
        <w:tc>
          <w:tcPr>
            <w:tcW w:w="2358" w:type="dxa"/>
          </w:tcPr>
          <w:p w:rsidR="00A448AC" w:rsidRPr="00876BD4" w:rsidP="00E15BF9" w14:paraId="07D6224F" w14:textId="77777777">
            <w:r w:rsidRPr="00876BD4">
              <w:rPr>
                <w:color w:val="000000"/>
              </w:rPr>
              <w:t>CR</w:t>
            </w:r>
          </w:p>
        </w:tc>
        <w:tc>
          <w:tcPr>
            <w:tcW w:w="6750" w:type="dxa"/>
          </w:tcPr>
          <w:p w:rsidR="00A448AC" w:rsidRPr="00876BD4" w:rsidP="00E15BF9" w14:paraId="3CEEF7E2" w14:textId="77777777">
            <w:r w:rsidRPr="00876BD4">
              <w:rPr>
                <w:color w:val="000000"/>
              </w:rPr>
              <w:t>Rural Radiotelephone</w:t>
            </w:r>
          </w:p>
        </w:tc>
      </w:tr>
      <w:tr w14:paraId="2087F48F" w14:textId="77777777" w:rsidTr="00E15BF9">
        <w:tblPrEx>
          <w:tblW w:w="0" w:type="auto"/>
          <w:tblLook w:val="04A0"/>
        </w:tblPrEx>
        <w:tc>
          <w:tcPr>
            <w:tcW w:w="2358" w:type="dxa"/>
          </w:tcPr>
          <w:p w:rsidR="00A448AC" w:rsidRPr="00876BD4" w:rsidP="00E15BF9" w14:paraId="74C4B673" w14:textId="77777777">
            <w:r w:rsidRPr="00876BD4">
              <w:rPr>
                <w:color w:val="000000"/>
              </w:rPr>
              <w:t>CT</w:t>
            </w:r>
          </w:p>
        </w:tc>
        <w:tc>
          <w:tcPr>
            <w:tcW w:w="6750" w:type="dxa"/>
          </w:tcPr>
          <w:p w:rsidR="00A448AC" w:rsidRPr="00876BD4" w:rsidP="00E15BF9" w14:paraId="39983DCF" w14:textId="77777777">
            <w:r w:rsidRPr="00876BD4">
              <w:rPr>
                <w:color w:val="000000"/>
              </w:rPr>
              <w:t>Local Television Transmission</w:t>
            </w:r>
          </w:p>
        </w:tc>
      </w:tr>
      <w:tr w14:paraId="7DD9BF13" w14:textId="77777777" w:rsidTr="00E15BF9">
        <w:tblPrEx>
          <w:tblW w:w="0" w:type="auto"/>
          <w:tblLook w:val="04A0"/>
        </w:tblPrEx>
        <w:tc>
          <w:tcPr>
            <w:tcW w:w="2358" w:type="dxa"/>
          </w:tcPr>
          <w:p w:rsidR="00A448AC" w:rsidRPr="00876BD4" w:rsidP="00E15BF9" w14:paraId="1ABDDAEF" w14:textId="77777777">
            <w:r w:rsidRPr="00876BD4">
              <w:rPr>
                <w:color w:val="000000"/>
              </w:rPr>
              <w:t>GB</w:t>
            </w:r>
          </w:p>
        </w:tc>
        <w:tc>
          <w:tcPr>
            <w:tcW w:w="6750" w:type="dxa"/>
          </w:tcPr>
          <w:p w:rsidR="00A448AC" w:rsidRPr="00876BD4" w:rsidP="00E15BF9" w14:paraId="0084B328" w14:textId="77777777">
            <w:r w:rsidRPr="00876BD4">
              <w:rPr>
                <w:color w:val="000000"/>
              </w:rPr>
              <w:t>Business, 806-821/851-866 MHz, Conventional</w:t>
            </w:r>
          </w:p>
        </w:tc>
      </w:tr>
      <w:tr w14:paraId="05805506" w14:textId="77777777" w:rsidTr="00E15BF9">
        <w:tblPrEx>
          <w:tblW w:w="0" w:type="auto"/>
          <w:tblLook w:val="04A0"/>
        </w:tblPrEx>
        <w:tc>
          <w:tcPr>
            <w:tcW w:w="2358" w:type="dxa"/>
          </w:tcPr>
          <w:p w:rsidR="00A448AC" w:rsidRPr="00876BD4" w:rsidP="00E15BF9" w14:paraId="258428ED" w14:textId="77777777">
            <w:r w:rsidRPr="00876BD4">
              <w:rPr>
                <w:color w:val="000000"/>
              </w:rPr>
              <w:t>GI</w:t>
            </w:r>
          </w:p>
        </w:tc>
        <w:tc>
          <w:tcPr>
            <w:tcW w:w="6750" w:type="dxa"/>
          </w:tcPr>
          <w:p w:rsidR="00A448AC" w:rsidRPr="00876BD4" w:rsidP="00E15BF9" w14:paraId="5A22D633" w14:textId="77777777">
            <w:r w:rsidRPr="00876BD4">
              <w:rPr>
                <w:color w:val="000000"/>
              </w:rPr>
              <w:t xml:space="preserve">Other </w:t>
            </w:r>
            <w:r w:rsidRPr="00876BD4">
              <w:rPr>
                <w:color w:val="000000"/>
              </w:rPr>
              <w:t>Indust</w:t>
            </w:r>
            <w:r w:rsidRPr="00876BD4">
              <w:rPr>
                <w:color w:val="000000"/>
              </w:rPr>
              <w:t xml:space="preserve">/Land </w:t>
            </w:r>
            <w:r w:rsidRPr="00876BD4">
              <w:rPr>
                <w:color w:val="000000"/>
              </w:rPr>
              <w:t>Transp</w:t>
            </w:r>
            <w:r w:rsidRPr="00876BD4">
              <w:rPr>
                <w:color w:val="000000"/>
              </w:rPr>
              <w:t>, 896-901/935-940 MHz, Conv.</w:t>
            </w:r>
          </w:p>
        </w:tc>
      </w:tr>
      <w:tr w14:paraId="0764EC26" w14:textId="77777777" w:rsidTr="00E15BF9">
        <w:tblPrEx>
          <w:tblW w:w="0" w:type="auto"/>
          <w:tblLook w:val="04A0"/>
        </w:tblPrEx>
        <w:tc>
          <w:tcPr>
            <w:tcW w:w="2358" w:type="dxa"/>
          </w:tcPr>
          <w:p w:rsidR="00A448AC" w:rsidRPr="00876BD4" w:rsidP="00E15BF9" w14:paraId="274A6946" w14:textId="77777777">
            <w:pPr>
              <w:rPr>
                <w:color w:val="000000"/>
              </w:rPr>
            </w:pPr>
            <w:r>
              <w:rPr>
                <w:color w:val="000000"/>
              </w:rPr>
              <w:t>GJ</w:t>
            </w:r>
          </w:p>
        </w:tc>
        <w:tc>
          <w:tcPr>
            <w:tcW w:w="6750" w:type="dxa"/>
          </w:tcPr>
          <w:p w:rsidR="00A448AC" w:rsidRPr="00876BD4" w:rsidP="00E15BF9" w14:paraId="6CB56EB4" w14:textId="77777777">
            <w:pPr>
              <w:rPr>
                <w:color w:val="000000"/>
              </w:rPr>
            </w:pPr>
            <w:r>
              <w:t>809-824/854-869 MHz, Conventional (post-</w:t>
            </w:r>
            <w:r>
              <w:t>rebanding</w:t>
            </w:r>
            <w:r>
              <w:t xml:space="preserve"> code per FCC 04-168)</w:t>
            </w:r>
          </w:p>
        </w:tc>
      </w:tr>
      <w:tr w14:paraId="472CAA22" w14:textId="77777777" w:rsidTr="00E15BF9">
        <w:tblPrEx>
          <w:tblW w:w="0" w:type="auto"/>
          <w:tblLook w:val="04A0"/>
        </w:tblPrEx>
        <w:tc>
          <w:tcPr>
            <w:tcW w:w="2358" w:type="dxa"/>
          </w:tcPr>
          <w:p w:rsidR="00A448AC" w:rsidRPr="00876BD4" w:rsidP="00E15BF9" w14:paraId="45C431EA" w14:textId="77777777">
            <w:r w:rsidRPr="00876BD4">
              <w:rPr>
                <w:color w:val="000000"/>
              </w:rPr>
              <w:t>GL</w:t>
            </w:r>
          </w:p>
        </w:tc>
        <w:tc>
          <w:tcPr>
            <w:tcW w:w="6750" w:type="dxa"/>
          </w:tcPr>
          <w:p w:rsidR="00A448AC" w:rsidRPr="00876BD4" w:rsidP="00E15BF9" w14:paraId="12BBBC1F" w14:textId="77777777">
            <w:r w:rsidRPr="00876BD4">
              <w:rPr>
                <w:color w:val="000000"/>
              </w:rPr>
              <w:t>900 MHz Convention SMR (SMR, Site-Specific)</w:t>
            </w:r>
          </w:p>
        </w:tc>
      </w:tr>
      <w:tr w14:paraId="2BFDA9E4" w14:textId="77777777" w:rsidTr="00E15BF9">
        <w:tblPrEx>
          <w:tblW w:w="0" w:type="auto"/>
          <w:tblLook w:val="04A0"/>
        </w:tblPrEx>
        <w:tc>
          <w:tcPr>
            <w:tcW w:w="2358" w:type="dxa"/>
          </w:tcPr>
          <w:p w:rsidR="00A448AC" w:rsidRPr="00876BD4" w:rsidP="00E15BF9" w14:paraId="1787AF06" w14:textId="77777777">
            <w:r w:rsidRPr="00876BD4">
              <w:rPr>
                <w:color w:val="000000"/>
              </w:rPr>
              <w:t>GM</w:t>
            </w:r>
          </w:p>
        </w:tc>
        <w:tc>
          <w:tcPr>
            <w:tcW w:w="6750" w:type="dxa"/>
          </w:tcPr>
          <w:p w:rsidR="00A448AC" w:rsidRPr="00876BD4" w:rsidP="00E15BF9" w14:paraId="4B523665" w14:textId="77777777">
            <w:r w:rsidRPr="00876BD4">
              <w:rPr>
                <w:color w:val="000000"/>
              </w:rPr>
              <w:t>800 MHz Convention SMR (SMR, Site-Specific)</w:t>
            </w:r>
          </w:p>
        </w:tc>
      </w:tr>
      <w:tr w14:paraId="350FB9D3" w14:textId="77777777" w:rsidTr="00E15BF9">
        <w:tblPrEx>
          <w:tblW w:w="0" w:type="auto"/>
          <w:tblLook w:val="04A0"/>
        </w:tblPrEx>
        <w:tc>
          <w:tcPr>
            <w:tcW w:w="2358" w:type="dxa"/>
          </w:tcPr>
          <w:p w:rsidR="00A448AC" w:rsidRPr="00876BD4" w:rsidP="00E15BF9" w14:paraId="3D6B6A91" w14:textId="77777777">
            <w:r w:rsidRPr="00876BD4">
              <w:rPr>
                <w:color w:val="000000"/>
              </w:rPr>
              <w:t>GO</w:t>
            </w:r>
          </w:p>
        </w:tc>
        <w:tc>
          <w:tcPr>
            <w:tcW w:w="6750" w:type="dxa"/>
          </w:tcPr>
          <w:p w:rsidR="00A448AC" w:rsidRPr="00876BD4" w:rsidP="00E15BF9" w14:paraId="5CE4153D" w14:textId="77777777">
            <w:r w:rsidRPr="00876BD4">
              <w:rPr>
                <w:color w:val="000000"/>
              </w:rPr>
              <w:t xml:space="preserve">Other </w:t>
            </w:r>
            <w:r w:rsidRPr="00876BD4">
              <w:rPr>
                <w:color w:val="000000"/>
              </w:rPr>
              <w:t>Indust</w:t>
            </w:r>
            <w:r w:rsidRPr="00876BD4">
              <w:rPr>
                <w:color w:val="000000"/>
              </w:rPr>
              <w:t xml:space="preserve">/Land </w:t>
            </w:r>
            <w:r w:rsidRPr="00876BD4">
              <w:rPr>
                <w:color w:val="000000"/>
              </w:rPr>
              <w:t>Transp</w:t>
            </w:r>
            <w:r w:rsidRPr="00876BD4">
              <w:rPr>
                <w:color w:val="000000"/>
              </w:rPr>
              <w:t>, 806-821/851-866 MHz, Conv.</w:t>
            </w:r>
          </w:p>
        </w:tc>
      </w:tr>
      <w:tr w14:paraId="3D6B7F31" w14:textId="77777777" w:rsidTr="00E15BF9">
        <w:tblPrEx>
          <w:tblW w:w="0" w:type="auto"/>
          <w:tblLook w:val="04A0"/>
        </w:tblPrEx>
        <w:tc>
          <w:tcPr>
            <w:tcW w:w="2358" w:type="dxa"/>
          </w:tcPr>
          <w:p w:rsidR="00A448AC" w:rsidRPr="00876BD4" w:rsidP="00E15BF9" w14:paraId="3758A660" w14:textId="77777777">
            <w:r w:rsidRPr="00876BD4">
              <w:rPr>
                <w:color w:val="000000"/>
              </w:rPr>
              <w:t>GR</w:t>
            </w:r>
          </w:p>
        </w:tc>
        <w:tc>
          <w:tcPr>
            <w:tcW w:w="6750" w:type="dxa"/>
          </w:tcPr>
          <w:p w:rsidR="00A448AC" w:rsidRPr="00876BD4" w:rsidP="00E15BF9" w14:paraId="5EF378BB" w14:textId="77777777">
            <w:r w:rsidRPr="00876BD4">
              <w:rPr>
                <w:color w:val="000000"/>
              </w:rPr>
              <w:t>SMR, 896-901/935-940 MHz, Conventional</w:t>
            </w:r>
          </w:p>
        </w:tc>
      </w:tr>
      <w:tr w14:paraId="458E468B" w14:textId="77777777" w:rsidTr="00E15BF9">
        <w:tblPrEx>
          <w:tblW w:w="0" w:type="auto"/>
          <w:tblLook w:val="04A0"/>
        </w:tblPrEx>
        <w:tc>
          <w:tcPr>
            <w:tcW w:w="2358" w:type="dxa"/>
          </w:tcPr>
          <w:p w:rsidR="00A448AC" w:rsidRPr="00876BD4" w:rsidP="00E15BF9" w14:paraId="5FFB4BCC" w14:textId="77777777">
            <w:r w:rsidRPr="00876BD4">
              <w:rPr>
                <w:color w:val="000000"/>
              </w:rPr>
              <w:t>GS</w:t>
            </w:r>
          </w:p>
        </w:tc>
        <w:tc>
          <w:tcPr>
            <w:tcW w:w="6750" w:type="dxa"/>
          </w:tcPr>
          <w:p w:rsidR="00A448AC" w:rsidRPr="00876BD4" w:rsidP="00E15BF9" w14:paraId="4697B883" w14:textId="77777777">
            <w:r w:rsidRPr="00876BD4">
              <w:rPr>
                <w:color w:val="000000"/>
              </w:rPr>
              <w:t>Private Carrier Paging, 929-930 MHz</w:t>
            </w:r>
          </w:p>
        </w:tc>
      </w:tr>
      <w:tr w14:paraId="1786E9F3" w14:textId="77777777" w:rsidTr="00E15BF9">
        <w:tblPrEx>
          <w:tblW w:w="0" w:type="auto"/>
          <w:tblLook w:val="04A0"/>
        </w:tblPrEx>
        <w:tc>
          <w:tcPr>
            <w:tcW w:w="2358" w:type="dxa"/>
          </w:tcPr>
          <w:p w:rsidR="00A448AC" w:rsidRPr="00876BD4" w:rsidP="00E15BF9" w14:paraId="7E350AE0" w14:textId="77777777">
            <w:r w:rsidRPr="00876BD4">
              <w:rPr>
                <w:color w:val="000000"/>
              </w:rPr>
              <w:t>GU</w:t>
            </w:r>
          </w:p>
        </w:tc>
        <w:tc>
          <w:tcPr>
            <w:tcW w:w="6750" w:type="dxa"/>
          </w:tcPr>
          <w:p w:rsidR="00A448AC" w:rsidRPr="00876BD4" w:rsidP="00E15BF9" w14:paraId="53EF1F0C" w14:textId="77777777">
            <w:r w:rsidRPr="00876BD4">
              <w:rPr>
                <w:color w:val="000000"/>
              </w:rPr>
              <w:t>Business, 896-901/935-940 MHz, Conventional</w:t>
            </w:r>
          </w:p>
        </w:tc>
      </w:tr>
      <w:tr w14:paraId="6C03C39F" w14:textId="77777777" w:rsidTr="00E15BF9">
        <w:tblPrEx>
          <w:tblW w:w="0" w:type="auto"/>
          <w:tblLook w:val="04A0"/>
        </w:tblPrEx>
        <w:tc>
          <w:tcPr>
            <w:tcW w:w="2358" w:type="dxa"/>
          </w:tcPr>
          <w:p w:rsidR="00A448AC" w:rsidRPr="00876BD4" w:rsidP="00E15BF9" w14:paraId="2DC9D9E8" w14:textId="77777777">
            <w:r w:rsidRPr="00876BD4">
              <w:rPr>
                <w:color w:val="000000"/>
              </w:rPr>
              <w:t>GX</w:t>
            </w:r>
          </w:p>
        </w:tc>
        <w:tc>
          <w:tcPr>
            <w:tcW w:w="6750" w:type="dxa"/>
          </w:tcPr>
          <w:p w:rsidR="00A448AC" w:rsidRPr="00876BD4" w:rsidP="00E15BF9" w14:paraId="33B96FD3" w14:textId="77777777">
            <w:r w:rsidRPr="00876BD4">
              <w:rPr>
                <w:color w:val="000000"/>
              </w:rPr>
              <w:t>SMR, 806-821/851-866 MHz, Conventional</w:t>
            </w:r>
          </w:p>
        </w:tc>
      </w:tr>
      <w:tr w14:paraId="2FCA9FA5" w14:textId="77777777" w:rsidTr="00E15BF9">
        <w:tblPrEx>
          <w:tblW w:w="0" w:type="auto"/>
          <w:tblLook w:val="04A0"/>
        </w:tblPrEx>
        <w:tc>
          <w:tcPr>
            <w:tcW w:w="2358" w:type="dxa"/>
          </w:tcPr>
          <w:p w:rsidR="00A448AC" w:rsidRPr="00876BD4" w:rsidP="00E15BF9" w14:paraId="6774A006" w14:textId="77777777">
            <w:r w:rsidRPr="00876BD4">
              <w:rPr>
                <w:color w:val="000000"/>
              </w:rPr>
              <w:t>IG</w:t>
            </w:r>
          </w:p>
        </w:tc>
        <w:tc>
          <w:tcPr>
            <w:tcW w:w="6750" w:type="dxa"/>
          </w:tcPr>
          <w:p w:rsidR="00A448AC" w:rsidRPr="00876BD4" w:rsidP="00E15BF9" w14:paraId="002BEA5D" w14:textId="77777777">
            <w:r w:rsidRPr="00876BD4">
              <w:rPr>
                <w:color w:val="000000"/>
              </w:rPr>
              <w:t>Industrial/Business Pool, Conventional</w:t>
            </w:r>
          </w:p>
        </w:tc>
      </w:tr>
      <w:tr w14:paraId="7B4435DE" w14:textId="77777777" w:rsidTr="00E15BF9">
        <w:tblPrEx>
          <w:tblW w:w="0" w:type="auto"/>
          <w:tblLook w:val="04A0"/>
        </w:tblPrEx>
        <w:tc>
          <w:tcPr>
            <w:tcW w:w="2358" w:type="dxa"/>
          </w:tcPr>
          <w:p w:rsidR="00A448AC" w:rsidRPr="00876BD4" w:rsidP="00E15BF9" w14:paraId="0B5B36B7" w14:textId="77777777">
            <w:r w:rsidRPr="00876BD4">
              <w:rPr>
                <w:color w:val="000000"/>
              </w:rPr>
              <w:t>IK</w:t>
            </w:r>
          </w:p>
        </w:tc>
        <w:tc>
          <w:tcPr>
            <w:tcW w:w="6750" w:type="dxa"/>
          </w:tcPr>
          <w:p w:rsidR="00A448AC" w:rsidRPr="00876BD4" w:rsidP="00E15BF9" w14:paraId="454ECE11" w14:textId="77777777">
            <w:r w:rsidRPr="00876BD4">
              <w:rPr>
                <w:color w:val="000000"/>
              </w:rPr>
              <w:t>Industrial/Business Pool, Commercial, Conventional</w:t>
            </w:r>
          </w:p>
        </w:tc>
      </w:tr>
      <w:tr w14:paraId="263FD70E" w14:textId="77777777" w:rsidTr="00E15BF9">
        <w:tblPrEx>
          <w:tblW w:w="0" w:type="auto"/>
          <w:tblLook w:val="04A0"/>
        </w:tblPrEx>
        <w:tc>
          <w:tcPr>
            <w:tcW w:w="2358" w:type="dxa"/>
          </w:tcPr>
          <w:p w:rsidR="00A448AC" w:rsidRPr="00876BD4" w:rsidP="00E15BF9" w14:paraId="02D381BC" w14:textId="77777777">
            <w:r w:rsidRPr="00876BD4">
              <w:rPr>
                <w:color w:val="000000"/>
              </w:rPr>
              <w:t>LN</w:t>
            </w:r>
          </w:p>
        </w:tc>
        <w:tc>
          <w:tcPr>
            <w:tcW w:w="6750" w:type="dxa"/>
          </w:tcPr>
          <w:p w:rsidR="00A448AC" w:rsidRPr="00876BD4" w:rsidP="00E15BF9" w14:paraId="0724B4FC" w14:textId="77777777">
            <w:r w:rsidRPr="00876BD4">
              <w:rPr>
                <w:color w:val="000000"/>
              </w:rPr>
              <w:t>902-928 MHz Location Narrowband (non-</w:t>
            </w:r>
            <w:r w:rsidRPr="00876BD4">
              <w:rPr>
                <w:color w:val="000000"/>
              </w:rPr>
              <w:t>multilateration</w:t>
            </w:r>
            <w:r w:rsidRPr="00876BD4">
              <w:rPr>
                <w:color w:val="000000"/>
              </w:rPr>
              <w:t>)</w:t>
            </w:r>
          </w:p>
        </w:tc>
      </w:tr>
      <w:tr w14:paraId="48572330" w14:textId="77777777" w:rsidTr="00E15BF9">
        <w:tblPrEx>
          <w:tblW w:w="0" w:type="auto"/>
          <w:tblLook w:val="04A0"/>
        </w:tblPrEx>
        <w:tc>
          <w:tcPr>
            <w:tcW w:w="2358" w:type="dxa"/>
          </w:tcPr>
          <w:p w:rsidR="00A448AC" w:rsidRPr="00876BD4" w:rsidP="00E15BF9" w14:paraId="7A2A04B2" w14:textId="77777777">
            <w:r w:rsidRPr="00876BD4">
              <w:rPr>
                <w:color w:val="000000"/>
              </w:rPr>
              <w:t>LP</w:t>
            </w:r>
          </w:p>
        </w:tc>
        <w:tc>
          <w:tcPr>
            <w:tcW w:w="6750" w:type="dxa"/>
          </w:tcPr>
          <w:p w:rsidR="00A448AC" w:rsidRPr="00876BD4" w:rsidP="00E15BF9" w14:paraId="390322B4" w14:textId="77777777">
            <w:r w:rsidRPr="00876BD4">
              <w:rPr>
                <w:color w:val="000000"/>
              </w:rPr>
              <w:t>Broadcast Auxiliary Low Power</w:t>
            </w:r>
          </w:p>
        </w:tc>
      </w:tr>
      <w:tr w14:paraId="2CE63A95" w14:textId="77777777" w:rsidTr="00E15BF9">
        <w:tblPrEx>
          <w:tblW w:w="0" w:type="auto"/>
          <w:tblLook w:val="04A0"/>
        </w:tblPrEx>
        <w:tc>
          <w:tcPr>
            <w:tcW w:w="2358" w:type="dxa"/>
          </w:tcPr>
          <w:p w:rsidR="00A448AC" w:rsidRPr="00876BD4" w:rsidP="00E15BF9" w14:paraId="51EDD36F" w14:textId="77777777">
            <w:r w:rsidRPr="00876BD4">
              <w:rPr>
                <w:color w:val="000000"/>
              </w:rPr>
              <w:t>LV</w:t>
            </w:r>
          </w:p>
        </w:tc>
        <w:tc>
          <w:tcPr>
            <w:tcW w:w="6750" w:type="dxa"/>
          </w:tcPr>
          <w:p w:rsidR="00A448AC" w:rsidRPr="00876BD4" w:rsidP="00E15BF9" w14:paraId="2BD531DA" w14:textId="77777777">
            <w:r w:rsidRPr="00876BD4">
              <w:rPr>
                <w:color w:val="000000"/>
              </w:rPr>
              <w:t>Low Power Wireless Assist Video Devices</w:t>
            </w:r>
          </w:p>
        </w:tc>
      </w:tr>
      <w:tr w14:paraId="27E0CE50" w14:textId="77777777" w:rsidTr="00E15BF9">
        <w:tblPrEx>
          <w:tblW w:w="0" w:type="auto"/>
          <w:tblLook w:val="04A0"/>
        </w:tblPrEx>
        <w:tc>
          <w:tcPr>
            <w:tcW w:w="2358" w:type="dxa"/>
          </w:tcPr>
          <w:p w:rsidR="00A448AC" w:rsidRPr="00876BD4" w:rsidP="00E15BF9" w14:paraId="17623D6C" w14:textId="77777777">
            <w:r w:rsidRPr="00876BD4">
              <w:rPr>
                <w:color w:val="000000"/>
              </w:rPr>
              <w:t>LW</w:t>
            </w:r>
          </w:p>
        </w:tc>
        <w:tc>
          <w:tcPr>
            <w:tcW w:w="6750" w:type="dxa"/>
          </w:tcPr>
          <w:p w:rsidR="00A448AC" w:rsidRPr="00876BD4" w:rsidP="00E15BF9" w14:paraId="2EDB232A" w14:textId="77777777">
            <w:r w:rsidRPr="00876BD4">
              <w:rPr>
                <w:color w:val="000000"/>
              </w:rPr>
              <w:t>902-928 MHz Location Wideband (Grandfathered AVM)</w:t>
            </w:r>
          </w:p>
        </w:tc>
      </w:tr>
      <w:tr w14:paraId="7F466ADA" w14:textId="77777777" w:rsidTr="00E15BF9">
        <w:tblPrEx>
          <w:tblW w:w="0" w:type="auto"/>
          <w:tblLook w:val="04A0"/>
        </w:tblPrEx>
        <w:tc>
          <w:tcPr>
            <w:tcW w:w="2358" w:type="dxa"/>
          </w:tcPr>
          <w:p w:rsidR="00A448AC" w:rsidRPr="00876BD4" w:rsidP="00E15BF9" w14:paraId="7657948C" w14:textId="77777777">
            <w:r w:rsidRPr="00876BD4">
              <w:rPr>
                <w:color w:val="000000"/>
              </w:rPr>
              <w:t>MA</w:t>
            </w:r>
          </w:p>
        </w:tc>
        <w:tc>
          <w:tcPr>
            <w:tcW w:w="6750" w:type="dxa"/>
          </w:tcPr>
          <w:p w:rsidR="00A448AC" w:rsidRPr="00876BD4" w:rsidP="00E15BF9" w14:paraId="18EAB5A0" w14:textId="77777777">
            <w:r w:rsidRPr="00876BD4">
              <w:rPr>
                <w:color w:val="000000"/>
              </w:rPr>
              <w:t>Marine Auxiliary Group</w:t>
            </w:r>
          </w:p>
        </w:tc>
      </w:tr>
      <w:tr w14:paraId="14FC0A79" w14:textId="77777777" w:rsidTr="00E15BF9">
        <w:tblPrEx>
          <w:tblW w:w="0" w:type="auto"/>
          <w:tblLook w:val="04A0"/>
        </w:tblPrEx>
        <w:tc>
          <w:tcPr>
            <w:tcW w:w="2358" w:type="dxa"/>
          </w:tcPr>
          <w:p w:rsidR="00A448AC" w:rsidRPr="00876BD4" w:rsidP="00E15BF9" w14:paraId="4B7E2215" w14:textId="77777777">
            <w:r w:rsidRPr="00876BD4">
              <w:rPr>
                <w:color w:val="000000"/>
              </w:rPr>
              <w:t>MC</w:t>
            </w:r>
          </w:p>
        </w:tc>
        <w:tc>
          <w:tcPr>
            <w:tcW w:w="6750" w:type="dxa"/>
          </w:tcPr>
          <w:p w:rsidR="00A448AC" w:rsidRPr="00876BD4" w:rsidP="00E15BF9" w14:paraId="40EE6741" w14:textId="77777777">
            <w:r w:rsidRPr="00876BD4">
              <w:rPr>
                <w:color w:val="000000"/>
              </w:rPr>
              <w:t>Coastal Group</w:t>
            </w:r>
          </w:p>
        </w:tc>
      </w:tr>
      <w:tr w14:paraId="77856D8F" w14:textId="77777777" w:rsidTr="00E15BF9">
        <w:tblPrEx>
          <w:tblW w:w="0" w:type="auto"/>
          <w:tblLook w:val="04A0"/>
        </w:tblPrEx>
        <w:tc>
          <w:tcPr>
            <w:tcW w:w="2358" w:type="dxa"/>
          </w:tcPr>
          <w:p w:rsidR="00A448AC" w:rsidRPr="00876BD4" w:rsidP="00E15BF9" w14:paraId="242A7FFA" w14:textId="77777777">
            <w:r w:rsidRPr="00876BD4">
              <w:rPr>
                <w:color w:val="000000"/>
              </w:rPr>
              <w:t>MK</w:t>
            </w:r>
          </w:p>
        </w:tc>
        <w:tc>
          <w:tcPr>
            <w:tcW w:w="6750" w:type="dxa"/>
          </w:tcPr>
          <w:p w:rsidR="00A448AC" w:rsidRPr="00876BD4" w:rsidP="00E15BF9" w14:paraId="0D7C6042" w14:textId="77777777">
            <w:r w:rsidRPr="00876BD4">
              <w:rPr>
                <w:color w:val="000000"/>
              </w:rPr>
              <w:t>Alaska Group</w:t>
            </w:r>
          </w:p>
        </w:tc>
      </w:tr>
      <w:tr w14:paraId="226395D8" w14:textId="77777777" w:rsidTr="00E15BF9">
        <w:tblPrEx>
          <w:tblW w:w="0" w:type="auto"/>
          <w:tblLook w:val="04A0"/>
        </w:tblPrEx>
        <w:tc>
          <w:tcPr>
            <w:tcW w:w="2358" w:type="dxa"/>
          </w:tcPr>
          <w:p w:rsidR="00A448AC" w:rsidRPr="00876BD4" w:rsidP="00E15BF9" w14:paraId="54C8FFE2" w14:textId="77777777">
            <w:r w:rsidRPr="00876BD4">
              <w:rPr>
                <w:color w:val="000000"/>
              </w:rPr>
              <w:t>MG</w:t>
            </w:r>
          </w:p>
        </w:tc>
        <w:tc>
          <w:tcPr>
            <w:tcW w:w="6750" w:type="dxa"/>
          </w:tcPr>
          <w:p w:rsidR="00A448AC" w:rsidRPr="00876BD4" w:rsidP="00E15BF9" w14:paraId="3E0D6189" w14:textId="77777777">
            <w:r w:rsidRPr="00876BD4">
              <w:rPr>
                <w:color w:val="000000"/>
              </w:rPr>
              <w:t>Microwave Industrial/Business Pool</w:t>
            </w:r>
          </w:p>
        </w:tc>
      </w:tr>
      <w:tr w14:paraId="5EBC8CEC" w14:textId="77777777" w:rsidTr="00E15BF9">
        <w:tblPrEx>
          <w:tblW w:w="0" w:type="auto"/>
          <w:tblLook w:val="04A0"/>
        </w:tblPrEx>
        <w:tc>
          <w:tcPr>
            <w:tcW w:w="2358" w:type="dxa"/>
          </w:tcPr>
          <w:p w:rsidR="00A448AC" w:rsidRPr="00876BD4" w:rsidP="00E15BF9" w14:paraId="61784779" w14:textId="77777777">
            <w:r w:rsidRPr="00876BD4">
              <w:rPr>
                <w:color w:val="000000"/>
              </w:rPr>
              <w:t>MR</w:t>
            </w:r>
          </w:p>
        </w:tc>
        <w:tc>
          <w:tcPr>
            <w:tcW w:w="6750" w:type="dxa"/>
          </w:tcPr>
          <w:p w:rsidR="00A448AC" w:rsidRPr="00876BD4" w:rsidP="00E15BF9" w14:paraId="5E5ADC26" w14:textId="77777777">
            <w:r w:rsidRPr="00876BD4">
              <w:rPr>
                <w:color w:val="000000"/>
              </w:rPr>
              <w:t>Marine Radiolocation Land</w:t>
            </w:r>
          </w:p>
        </w:tc>
      </w:tr>
      <w:tr w14:paraId="6EFC7369" w14:textId="77777777" w:rsidTr="00E15BF9">
        <w:tblPrEx>
          <w:tblW w:w="0" w:type="auto"/>
          <w:tblLook w:val="04A0"/>
        </w:tblPrEx>
        <w:tc>
          <w:tcPr>
            <w:tcW w:w="2358" w:type="dxa"/>
          </w:tcPr>
          <w:p w:rsidR="00A448AC" w:rsidRPr="00876BD4" w:rsidP="00E15BF9" w14:paraId="027721E4" w14:textId="77777777">
            <w:r w:rsidRPr="00876BD4">
              <w:rPr>
                <w:color w:val="000000"/>
              </w:rPr>
              <w:t>NC</w:t>
            </w:r>
          </w:p>
        </w:tc>
        <w:tc>
          <w:tcPr>
            <w:tcW w:w="6750" w:type="dxa"/>
          </w:tcPr>
          <w:p w:rsidR="00A448AC" w:rsidRPr="00876BD4" w:rsidP="00E15BF9" w14:paraId="2F5BC760" w14:textId="77777777">
            <w:r w:rsidRPr="00876BD4">
              <w:rPr>
                <w:color w:val="000000"/>
              </w:rPr>
              <w:t>Nationwide Commercial 5 Channel, 220 MHz</w:t>
            </w:r>
          </w:p>
        </w:tc>
      </w:tr>
      <w:tr w14:paraId="7BA5AF65" w14:textId="77777777" w:rsidTr="00E15BF9">
        <w:tblPrEx>
          <w:tblW w:w="0" w:type="auto"/>
          <w:tblLook w:val="04A0"/>
        </w:tblPrEx>
        <w:tc>
          <w:tcPr>
            <w:tcW w:w="2358" w:type="dxa"/>
          </w:tcPr>
          <w:p w:rsidR="00A448AC" w:rsidRPr="00876BD4" w:rsidP="00E15BF9" w14:paraId="65E46333" w14:textId="77777777">
            <w:r w:rsidRPr="00876BD4">
              <w:rPr>
                <w:color w:val="000000"/>
              </w:rPr>
              <w:t>PE</w:t>
            </w:r>
          </w:p>
        </w:tc>
        <w:tc>
          <w:tcPr>
            <w:tcW w:w="6750" w:type="dxa"/>
          </w:tcPr>
          <w:p w:rsidR="00A448AC" w:rsidRPr="00876BD4" w:rsidP="00E15BF9" w14:paraId="05BE96A3" w14:textId="77777777">
            <w:r w:rsidRPr="00876BD4">
              <w:rPr>
                <w:color w:val="000000"/>
              </w:rPr>
              <w:t>Digital Electronic Message Service (Private Operational Fixed)</w:t>
            </w:r>
          </w:p>
        </w:tc>
      </w:tr>
      <w:tr w14:paraId="1BC35A26" w14:textId="77777777" w:rsidTr="00E15BF9">
        <w:tblPrEx>
          <w:tblW w:w="0" w:type="auto"/>
          <w:tblLook w:val="04A0"/>
        </w:tblPrEx>
        <w:tc>
          <w:tcPr>
            <w:tcW w:w="2358" w:type="dxa"/>
          </w:tcPr>
          <w:p w:rsidR="00A448AC" w:rsidRPr="00876BD4" w:rsidP="00E15BF9" w14:paraId="1E46C123" w14:textId="77777777">
            <w:r w:rsidRPr="00876BD4">
              <w:rPr>
                <w:color w:val="000000"/>
              </w:rPr>
              <w:t>QD</w:t>
            </w:r>
          </w:p>
        </w:tc>
        <w:tc>
          <w:tcPr>
            <w:tcW w:w="6750" w:type="dxa"/>
          </w:tcPr>
          <w:p w:rsidR="00A448AC" w:rsidRPr="00876BD4" w:rsidP="00E15BF9" w14:paraId="1B6C108B" w14:textId="77777777">
            <w:r w:rsidRPr="00876BD4">
              <w:rPr>
                <w:color w:val="000000"/>
              </w:rPr>
              <w:t>Non-Nationwide Data, 220 MHz</w:t>
            </w:r>
          </w:p>
        </w:tc>
      </w:tr>
      <w:tr w14:paraId="0B989159" w14:textId="77777777" w:rsidTr="00E15BF9">
        <w:tblPrEx>
          <w:tblW w:w="0" w:type="auto"/>
          <w:tblLook w:val="04A0"/>
        </w:tblPrEx>
        <w:tc>
          <w:tcPr>
            <w:tcW w:w="2358" w:type="dxa"/>
          </w:tcPr>
          <w:p w:rsidR="00A448AC" w:rsidRPr="00876BD4" w:rsidP="00E15BF9" w14:paraId="30661961" w14:textId="77777777">
            <w:r w:rsidRPr="00876BD4">
              <w:rPr>
                <w:color w:val="000000"/>
              </w:rPr>
              <w:t>QO</w:t>
            </w:r>
          </w:p>
        </w:tc>
        <w:tc>
          <w:tcPr>
            <w:tcW w:w="6750" w:type="dxa"/>
          </w:tcPr>
          <w:p w:rsidR="00A448AC" w:rsidRPr="00876BD4" w:rsidP="00E15BF9" w14:paraId="57E87335" w14:textId="77777777">
            <w:r w:rsidRPr="00876BD4">
              <w:rPr>
                <w:color w:val="000000"/>
              </w:rPr>
              <w:t>Non-Nationwide Other, 220 MHz</w:t>
            </w:r>
          </w:p>
        </w:tc>
      </w:tr>
      <w:tr w14:paraId="2B17B41E" w14:textId="77777777" w:rsidTr="00E15BF9">
        <w:tblPrEx>
          <w:tblW w:w="0" w:type="auto"/>
          <w:tblLook w:val="04A0"/>
        </w:tblPrEx>
        <w:tc>
          <w:tcPr>
            <w:tcW w:w="2358" w:type="dxa"/>
          </w:tcPr>
          <w:p w:rsidR="00A448AC" w:rsidRPr="00876BD4" w:rsidP="00E15BF9" w14:paraId="770CB5AE" w14:textId="77777777">
            <w:r w:rsidRPr="00876BD4">
              <w:rPr>
                <w:color w:val="000000"/>
              </w:rPr>
              <w:t>QQ</w:t>
            </w:r>
          </w:p>
        </w:tc>
        <w:tc>
          <w:tcPr>
            <w:tcW w:w="6750" w:type="dxa"/>
          </w:tcPr>
          <w:p w:rsidR="00A448AC" w:rsidRPr="00876BD4" w:rsidP="00E15BF9" w14:paraId="3DA2D6D0" w14:textId="77777777">
            <w:r w:rsidRPr="00876BD4">
              <w:rPr>
                <w:color w:val="000000"/>
              </w:rPr>
              <w:t>Intelligent Transportation Service (Non-Public Safety)</w:t>
            </w:r>
          </w:p>
        </w:tc>
      </w:tr>
      <w:tr w14:paraId="7F619B3E" w14:textId="77777777" w:rsidTr="00E15BF9">
        <w:tblPrEx>
          <w:tblW w:w="0" w:type="auto"/>
          <w:tblLook w:val="04A0"/>
        </w:tblPrEx>
        <w:tc>
          <w:tcPr>
            <w:tcW w:w="2358" w:type="dxa"/>
          </w:tcPr>
          <w:p w:rsidR="00A448AC" w:rsidRPr="00876BD4" w:rsidP="00E15BF9" w14:paraId="4765B279" w14:textId="77777777">
            <w:r w:rsidRPr="00876BD4">
              <w:rPr>
                <w:color w:val="000000"/>
              </w:rPr>
              <w:t>QT</w:t>
            </w:r>
          </w:p>
        </w:tc>
        <w:tc>
          <w:tcPr>
            <w:tcW w:w="6750" w:type="dxa"/>
          </w:tcPr>
          <w:p w:rsidR="00A448AC" w:rsidRPr="00876BD4" w:rsidP="00E15BF9" w14:paraId="237CA20D" w14:textId="77777777">
            <w:r w:rsidRPr="00876BD4">
              <w:rPr>
                <w:color w:val="000000"/>
              </w:rPr>
              <w:t>Non-Nationwide 5 Channel Trunked, 220 MHz</w:t>
            </w:r>
          </w:p>
        </w:tc>
      </w:tr>
      <w:tr w14:paraId="33E58DAB" w14:textId="77777777" w:rsidTr="00E15BF9">
        <w:tblPrEx>
          <w:tblW w:w="0" w:type="auto"/>
          <w:tblLook w:val="04A0"/>
        </w:tblPrEx>
        <w:tc>
          <w:tcPr>
            <w:tcW w:w="2358" w:type="dxa"/>
          </w:tcPr>
          <w:p w:rsidR="00A448AC" w:rsidRPr="00876BD4" w:rsidP="00E15BF9" w14:paraId="5E8DA783" w14:textId="77777777">
            <w:r w:rsidRPr="00876BD4">
              <w:rPr>
                <w:color w:val="000000"/>
              </w:rPr>
              <w:t>RP</w:t>
            </w:r>
          </w:p>
        </w:tc>
        <w:tc>
          <w:tcPr>
            <w:tcW w:w="6750" w:type="dxa"/>
          </w:tcPr>
          <w:p w:rsidR="00A448AC" w:rsidRPr="00876BD4" w:rsidP="00E15BF9" w14:paraId="7B602E85" w14:textId="77777777">
            <w:r w:rsidRPr="00876BD4">
              <w:rPr>
                <w:color w:val="000000"/>
              </w:rPr>
              <w:t>Broadcast Auxiliary Remote Pickup</w:t>
            </w:r>
          </w:p>
        </w:tc>
      </w:tr>
      <w:tr w14:paraId="0671A024" w14:textId="77777777" w:rsidTr="00E15BF9">
        <w:tblPrEx>
          <w:tblW w:w="0" w:type="auto"/>
          <w:tblLook w:val="04A0"/>
        </w:tblPrEx>
        <w:tc>
          <w:tcPr>
            <w:tcW w:w="2358" w:type="dxa"/>
          </w:tcPr>
          <w:p w:rsidR="00A448AC" w:rsidRPr="00876BD4" w:rsidP="00E15BF9" w14:paraId="08789B96" w14:textId="77777777">
            <w:r w:rsidRPr="00876BD4">
              <w:rPr>
                <w:color w:val="000000"/>
              </w:rPr>
              <w:t>RS</w:t>
            </w:r>
          </w:p>
        </w:tc>
        <w:tc>
          <w:tcPr>
            <w:tcW w:w="6750" w:type="dxa"/>
          </w:tcPr>
          <w:p w:rsidR="00A448AC" w:rsidRPr="00876BD4" w:rsidP="00E15BF9" w14:paraId="15F58164" w14:textId="77777777">
            <w:r w:rsidRPr="00876BD4">
              <w:rPr>
                <w:color w:val="000000"/>
              </w:rPr>
              <w:t>Land Mobile Radiolocation</w:t>
            </w:r>
          </w:p>
        </w:tc>
      </w:tr>
      <w:tr w14:paraId="3518BFF0" w14:textId="77777777" w:rsidTr="00E15BF9">
        <w:tblPrEx>
          <w:tblW w:w="0" w:type="auto"/>
          <w:tblLook w:val="04A0"/>
        </w:tblPrEx>
        <w:tc>
          <w:tcPr>
            <w:tcW w:w="2358" w:type="dxa"/>
          </w:tcPr>
          <w:p w:rsidR="00A448AC" w:rsidRPr="00876BD4" w:rsidP="00E15BF9" w14:paraId="50192B24" w14:textId="77777777">
            <w:r w:rsidRPr="00876BD4">
              <w:rPr>
                <w:color w:val="000000"/>
              </w:rPr>
              <w:t>TB</w:t>
            </w:r>
          </w:p>
        </w:tc>
        <w:tc>
          <w:tcPr>
            <w:tcW w:w="6750" w:type="dxa"/>
          </w:tcPr>
          <w:p w:rsidR="00A448AC" w:rsidRPr="00876BD4" w:rsidP="00E15BF9" w14:paraId="7098E868" w14:textId="77777777">
            <w:r w:rsidRPr="00876BD4">
              <w:rPr>
                <w:color w:val="000000"/>
              </w:rPr>
              <w:t>TV Microwave Booster</w:t>
            </w:r>
          </w:p>
        </w:tc>
      </w:tr>
      <w:tr w14:paraId="45CDA3FE" w14:textId="77777777" w:rsidTr="00E15BF9">
        <w:tblPrEx>
          <w:tblW w:w="0" w:type="auto"/>
          <w:tblLook w:val="04A0"/>
        </w:tblPrEx>
        <w:tc>
          <w:tcPr>
            <w:tcW w:w="2358" w:type="dxa"/>
          </w:tcPr>
          <w:p w:rsidR="00A448AC" w:rsidRPr="00876BD4" w:rsidP="00E15BF9" w14:paraId="1188323B" w14:textId="77777777">
            <w:r w:rsidRPr="00876BD4">
              <w:rPr>
                <w:color w:val="000000"/>
              </w:rPr>
              <w:t>TI</w:t>
            </w:r>
          </w:p>
        </w:tc>
        <w:tc>
          <w:tcPr>
            <w:tcW w:w="6750" w:type="dxa"/>
          </w:tcPr>
          <w:p w:rsidR="00A448AC" w:rsidRPr="00876BD4" w:rsidP="00E15BF9" w14:paraId="30FBC552" w14:textId="77777777">
            <w:r w:rsidRPr="00876BD4">
              <w:rPr>
                <w:color w:val="000000"/>
              </w:rPr>
              <w:t>TV Intercity Relay</w:t>
            </w:r>
          </w:p>
        </w:tc>
      </w:tr>
      <w:tr w14:paraId="78D4FDCD" w14:textId="77777777" w:rsidTr="00E15BF9">
        <w:tblPrEx>
          <w:tblW w:w="0" w:type="auto"/>
          <w:tblLook w:val="04A0"/>
        </w:tblPrEx>
        <w:tc>
          <w:tcPr>
            <w:tcW w:w="2358" w:type="dxa"/>
          </w:tcPr>
          <w:p w:rsidR="00A448AC" w:rsidRPr="00876BD4" w:rsidP="00E15BF9" w14:paraId="7D1932DE" w14:textId="77777777">
            <w:r w:rsidRPr="00876BD4">
              <w:rPr>
                <w:color w:val="000000"/>
              </w:rPr>
              <w:t>TP</w:t>
            </w:r>
          </w:p>
        </w:tc>
        <w:tc>
          <w:tcPr>
            <w:tcW w:w="6750" w:type="dxa"/>
          </w:tcPr>
          <w:p w:rsidR="00A448AC" w:rsidRPr="00876BD4" w:rsidP="00E15BF9" w14:paraId="4AC1688E" w14:textId="77777777">
            <w:r w:rsidRPr="00876BD4">
              <w:rPr>
                <w:color w:val="000000"/>
              </w:rPr>
              <w:t>TV Pickup</w:t>
            </w:r>
          </w:p>
        </w:tc>
      </w:tr>
      <w:tr w14:paraId="0AA4E9A0" w14:textId="77777777" w:rsidTr="00E15BF9">
        <w:tblPrEx>
          <w:tblW w:w="0" w:type="auto"/>
          <w:tblLook w:val="04A0"/>
        </w:tblPrEx>
        <w:tc>
          <w:tcPr>
            <w:tcW w:w="2358" w:type="dxa"/>
          </w:tcPr>
          <w:p w:rsidR="00A448AC" w:rsidRPr="00876BD4" w:rsidP="00E15BF9" w14:paraId="1E19A918" w14:textId="77777777">
            <w:r w:rsidRPr="00876BD4">
              <w:rPr>
                <w:color w:val="000000"/>
              </w:rPr>
              <w:t>TS</w:t>
            </w:r>
          </w:p>
        </w:tc>
        <w:tc>
          <w:tcPr>
            <w:tcW w:w="6750" w:type="dxa"/>
          </w:tcPr>
          <w:p w:rsidR="00A448AC" w:rsidRPr="00876BD4" w:rsidP="00E15BF9" w14:paraId="5978CEDD" w14:textId="77777777">
            <w:r w:rsidRPr="00876BD4">
              <w:rPr>
                <w:color w:val="000000"/>
              </w:rPr>
              <w:t>TV Studio Transmitter Link</w:t>
            </w:r>
          </w:p>
        </w:tc>
      </w:tr>
      <w:tr w14:paraId="6B353CA3" w14:textId="77777777" w:rsidTr="00E15BF9">
        <w:tblPrEx>
          <w:tblW w:w="0" w:type="auto"/>
          <w:tblLook w:val="04A0"/>
        </w:tblPrEx>
        <w:tc>
          <w:tcPr>
            <w:tcW w:w="2358" w:type="dxa"/>
          </w:tcPr>
          <w:p w:rsidR="00A448AC" w:rsidRPr="00876BD4" w:rsidP="00E15BF9" w14:paraId="73A363D5" w14:textId="77777777">
            <w:r w:rsidRPr="00876BD4">
              <w:rPr>
                <w:color w:val="000000"/>
              </w:rPr>
              <w:t>TT</w:t>
            </w:r>
          </w:p>
        </w:tc>
        <w:tc>
          <w:tcPr>
            <w:tcW w:w="6750" w:type="dxa"/>
          </w:tcPr>
          <w:p w:rsidR="00A448AC" w:rsidRPr="00876BD4" w:rsidP="00E15BF9" w14:paraId="5E39D1DF" w14:textId="77777777">
            <w:r w:rsidRPr="00876BD4">
              <w:rPr>
                <w:color w:val="000000"/>
              </w:rPr>
              <w:t>TV Translator Relay</w:t>
            </w:r>
          </w:p>
        </w:tc>
      </w:tr>
      <w:tr w14:paraId="26CA61E0" w14:textId="77777777" w:rsidTr="00E15BF9">
        <w:tblPrEx>
          <w:tblW w:w="0" w:type="auto"/>
          <w:tblLook w:val="04A0"/>
        </w:tblPrEx>
        <w:tc>
          <w:tcPr>
            <w:tcW w:w="2358" w:type="dxa"/>
          </w:tcPr>
          <w:p w:rsidR="00A448AC" w:rsidRPr="00876BD4" w:rsidP="00E15BF9" w14:paraId="7464373E" w14:textId="77777777">
            <w:r w:rsidRPr="00876BD4">
              <w:rPr>
                <w:color w:val="000000"/>
              </w:rPr>
              <w:t>WA</w:t>
            </w:r>
          </w:p>
        </w:tc>
        <w:tc>
          <w:tcPr>
            <w:tcW w:w="6750" w:type="dxa"/>
          </w:tcPr>
          <w:p w:rsidR="00A448AC" w:rsidRPr="00876BD4" w:rsidP="00E15BF9" w14:paraId="43A83371" w14:textId="77777777">
            <w:r w:rsidRPr="00876BD4">
              <w:rPr>
                <w:color w:val="000000"/>
              </w:rPr>
              <w:t>Microwave Aviation</w:t>
            </w:r>
          </w:p>
        </w:tc>
      </w:tr>
      <w:tr w14:paraId="47021BB8" w14:textId="77777777" w:rsidTr="00E15BF9">
        <w:tblPrEx>
          <w:tblW w:w="0" w:type="auto"/>
          <w:tblLook w:val="04A0"/>
        </w:tblPrEx>
        <w:tc>
          <w:tcPr>
            <w:tcW w:w="2358" w:type="dxa"/>
          </w:tcPr>
          <w:p w:rsidR="00A448AC" w:rsidRPr="00876BD4" w:rsidP="00E15BF9" w14:paraId="3D199076" w14:textId="77777777">
            <w:r w:rsidRPr="00876BD4">
              <w:rPr>
                <w:color w:val="000000"/>
              </w:rPr>
              <w:t>WM</w:t>
            </w:r>
          </w:p>
        </w:tc>
        <w:tc>
          <w:tcPr>
            <w:tcW w:w="6750" w:type="dxa"/>
          </w:tcPr>
          <w:p w:rsidR="00A448AC" w:rsidRPr="00876BD4" w:rsidP="00E15BF9" w14:paraId="18C7E0A7" w14:textId="77777777">
            <w:r w:rsidRPr="00876BD4">
              <w:rPr>
                <w:color w:val="000000"/>
              </w:rPr>
              <w:t>Microwave Marine</w:t>
            </w:r>
          </w:p>
        </w:tc>
      </w:tr>
      <w:tr w14:paraId="6B663A94" w14:textId="77777777" w:rsidTr="00E15BF9">
        <w:tblPrEx>
          <w:tblW w:w="0" w:type="auto"/>
          <w:tblLook w:val="04A0"/>
        </w:tblPrEx>
        <w:tc>
          <w:tcPr>
            <w:tcW w:w="2358" w:type="dxa"/>
          </w:tcPr>
          <w:p w:rsidR="00A448AC" w:rsidRPr="00876BD4" w:rsidP="00E15BF9" w14:paraId="36EE2C66" w14:textId="77777777">
            <w:r w:rsidRPr="00876BD4">
              <w:rPr>
                <w:color w:val="000000"/>
              </w:rPr>
              <w:t>WR</w:t>
            </w:r>
          </w:p>
        </w:tc>
        <w:tc>
          <w:tcPr>
            <w:tcW w:w="6750" w:type="dxa"/>
          </w:tcPr>
          <w:p w:rsidR="00A448AC" w:rsidRPr="00876BD4" w:rsidP="00E15BF9" w14:paraId="6A2A14A0" w14:textId="77777777">
            <w:r w:rsidRPr="00876BD4">
              <w:rPr>
                <w:color w:val="000000"/>
              </w:rPr>
              <w:t>Microwave Radiolocation</w:t>
            </w:r>
          </w:p>
        </w:tc>
      </w:tr>
      <w:tr w14:paraId="7A326919" w14:textId="77777777" w:rsidTr="00E15BF9">
        <w:tblPrEx>
          <w:tblW w:w="0" w:type="auto"/>
          <w:tblLook w:val="04A0"/>
        </w:tblPrEx>
        <w:tc>
          <w:tcPr>
            <w:tcW w:w="2358" w:type="dxa"/>
          </w:tcPr>
          <w:p w:rsidR="00A448AC" w:rsidRPr="00876BD4" w:rsidP="00E15BF9" w14:paraId="4BE234A7" w14:textId="77777777">
            <w:r w:rsidRPr="00876BD4">
              <w:rPr>
                <w:color w:val="000000"/>
              </w:rPr>
              <w:t>YB</w:t>
            </w:r>
          </w:p>
        </w:tc>
        <w:tc>
          <w:tcPr>
            <w:tcW w:w="6750" w:type="dxa"/>
          </w:tcPr>
          <w:p w:rsidR="00A448AC" w:rsidRPr="00876BD4" w:rsidP="00E15BF9" w14:paraId="400AD24B" w14:textId="77777777">
            <w:r w:rsidRPr="00876BD4">
              <w:rPr>
                <w:color w:val="000000"/>
              </w:rPr>
              <w:t>Business, 806-821/851-866 MHz, Trunked</w:t>
            </w:r>
          </w:p>
        </w:tc>
      </w:tr>
      <w:tr w14:paraId="030CB6AD" w14:textId="77777777" w:rsidTr="00E15BF9">
        <w:tblPrEx>
          <w:tblW w:w="0" w:type="auto"/>
          <w:tblLook w:val="04A0"/>
        </w:tblPrEx>
        <w:tc>
          <w:tcPr>
            <w:tcW w:w="2358" w:type="dxa"/>
          </w:tcPr>
          <w:p w:rsidR="00A448AC" w:rsidRPr="00876BD4" w:rsidP="00E15BF9" w14:paraId="7AF6ECD3" w14:textId="77777777">
            <w:r w:rsidRPr="00876BD4">
              <w:rPr>
                <w:color w:val="000000"/>
              </w:rPr>
              <w:t>YG</w:t>
            </w:r>
          </w:p>
        </w:tc>
        <w:tc>
          <w:tcPr>
            <w:tcW w:w="6750" w:type="dxa"/>
          </w:tcPr>
          <w:p w:rsidR="00A448AC" w:rsidRPr="00876BD4" w:rsidP="00E15BF9" w14:paraId="6DE84785" w14:textId="77777777">
            <w:r w:rsidRPr="00876BD4">
              <w:rPr>
                <w:color w:val="000000"/>
              </w:rPr>
              <w:t>Industrial/Business Pool, Trunked</w:t>
            </w:r>
          </w:p>
        </w:tc>
      </w:tr>
      <w:tr w14:paraId="6BEE5C62" w14:textId="77777777" w:rsidTr="00E15BF9">
        <w:tblPrEx>
          <w:tblW w:w="0" w:type="auto"/>
          <w:tblLook w:val="04A0"/>
        </w:tblPrEx>
        <w:tc>
          <w:tcPr>
            <w:tcW w:w="2358" w:type="dxa"/>
          </w:tcPr>
          <w:p w:rsidR="00A448AC" w:rsidRPr="00876BD4" w:rsidP="00E15BF9" w14:paraId="19C8B9FB" w14:textId="77777777">
            <w:r w:rsidRPr="00876BD4">
              <w:rPr>
                <w:color w:val="000000"/>
              </w:rPr>
              <w:t>YI</w:t>
            </w:r>
          </w:p>
        </w:tc>
        <w:tc>
          <w:tcPr>
            <w:tcW w:w="6750" w:type="dxa"/>
          </w:tcPr>
          <w:p w:rsidR="00A448AC" w:rsidRPr="00876BD4" w:rsidP="00E15BF9" w14:paraId="44938F54" w14:textId="77777777">
            <w:r w:rsidRPr="00876BD4">
              <w:rPr>
                <w:color w:val="000000"/>
              </w:rPr>
              <w:t>Industrial/Business Pool, Trunked</w:t>
            </w:r>
          </w:p>
        </w:tc>
      </w:tr>
      <w:tr w14:paraId="24BF0165" w14:textId="77777777" w:rsidTr="00E15BF9">
        <w:tblPrEx>
          <w:tblW w:w="0" w:type="auto"/>
          <w:tblLook w:val="04A0"/>
        </w:tblPrEx>
        <w:tc>
          <w:tcPr>
            <w:tcW w:w="2358" w:type="dxa"/>
          </w:tcPr>
          <w:p w:rsidR="00A448AC" w:rsidRPr="00876BD4" w:rsidP="00E15BF9" w14:paraId="325B17C2" w14:textId="77777777">
            <w:r w:rsidRPr="00876BD4">
              <w:rPr>
                <w:color w:val="000000"/>
              </w:rPr>
              <w:t>YJ</w:t>
            </w:r>
          </w:p>
        </w:tc>
        <w:tc>
          <w:tcPr>
            <w:tcW w:w="6750" w:type="dxa"/>
          </w:tcPr>
          <w:p w:rsidR="00A448AC" w:rsidRPr="00876BD4" w:rsidP="00E15BF9" w14:paraId="6BAB4690" w14:textId="77777777">
            <w:r w:rsidRPr="00876BD4">
              <w:rPr>
                <w:color w:val="000000"/>
              </w:rPr>
              <w:t>Business/Industrial/Land Trans, 809-824/854-869 MHz, Trunked</w:t>
            </w:r>
          </w:p>
        </w:tc>
      </w:tr>
      <w:tr w14:paraId="5932B523" w14:textId="77777777" w:rsidTr="00E15BF9">
        <w:tblPrEx>
          <w:tblW w:w="0" w:type="auto"/>
          <w:tblLook w:val="04A0"/>
        </w:tblPrEx>
        <w:tc>
          <w:tcPr>
            <w:tcW w:w="2358" w:type="dxa"/>
          </w:tcPr>
          <w:p w:rsidR="00A448AC" w:rsidRPr="00876BD4" w:rsidP="00E15BF9" w14:paraId="4EA53590" w14:textId="77777777">
            <w:r w:rsidRPr="00876BD4">
              <w:rPr>
                <w:color w:val="000000"/>
              </w:rPr>
              <w:t>YK</w:t>
            </w:r>
          </w:p>
        </w:tc>
        <w:tc>
          <w:tcPr>
            <w:tcW w:w="6750" w:type="dxa"/>
          </w:tcPr>
          <w:p w:rsidR="00A448AC" w:rsidRPr="00876BD4" w:rsidP="00E15BF9" w14:paraId="3304C628" w14:textId="77777777">
            <w:r w:rsidRPr="00876BD4">
              <w:rPr>
                <w:color w:val="000000"/>
              </w:rPr>
              <w:t>Industrial/Business Pool - Commercial, Trunked</w:t>
            </w:r>
          </w:p>
        </w:tc>
      </w:tr>
      <w:tr w14:paraId="3CE244D2" w14:textId="77777777" w:rsidTr="00E15BF9">
        <w:tblPrEx>
          <w:tblW w:w="0" w:type="auto"/>
          <w:tblLook w:val="04A0"/>
        </w:tblPrEx>
        <w:tc>
          <w:tcPr>
            <w:tcW w:w="2358" w:type="dxa"/>
          </w:tcPr>
          <w:p w:rsidR="00A448AC" w:rsidRPr="00F55639" w:rsidP="00E15BF9" w14:paraId="095BD9EF" w14:textId="77777777">
            <w:pPr>
              <w:rPr>
                <w:color w:val="000000"/>
              </w:rPr>
            </w:pPr>
            <w:r w:rsidRPr="00F55639">
              <w:rPr>
                <w:color w:val="000000"/>
              </w:rPr>
              <w:t>YL</w:t>
            </w:r>
          </w:p>
        </w:tc>
        <w:tc>
          <w:tcPr>
            <w:tcW w:w="6750" w:type="dxa"/>
          </w:tcPr>
          <w:p w:rsidR="00A448AC" w:rsidRPr="00F55639" w:rsidP="00E15BF9" w14:paraId="23C44D9D" w14:textId="77777777">
            <w:pPr>
              <w:rPr>
                <w:color w:val="000000"/>
              </w:rPr>
            </w:pPr>
            <w:r w:rsidRPr="00F55639">
              <w:t>896-901/935-940 MHz, Trunked (post-</w:t>
            </w:r>
            <w:r w:rsidRPr="00F55639">
              <w:t>rebanding</w:t>
            </w:r>
            <w:r w:rsidRPr="00F55639">
              <w:t xml:space="preserve"> code per FCC 04-168)</w:t>
            </w:r>
          </w:p>
        </w:tc>
      </w:tr>
      <w:tr w14:paraId="51ABF3FF" w14:textId="77777777" w:rsidTr="00E15BF9">
        <w:tblPrEx>
          <w:tblW w:w="0" w:type="auto"/>
          <w:tblLook w:val="04A0"/>
        </w:tblPrEx>
        <w:tc>
          <w:tcPr>
            <w:tcW w:w="2358" w:type="dxa"/>
          </w:tcPr>
          <w:p w:rsidR="00A448AC" w:rsidRPr="00876BD4" w:rsidP="00E15BF9" w14:paraId="4F76FC63" w14:textId="77777777">
            <w:r w:rsidRPr="00876BD4">
              <w:rPr>
                <w:color w:val="000000"/>
              </w:rPr>
              <w:t>YM</w:t>
            </w:r>
          </w:p>
        </w:tc>
        <w:tc>
          <w:tcPr>
            <w:tcW w:w="6750" w:type="dxa"/>
          </w:tcPr>
          <w:p w:rsidR="00A448AC" w:rsidRPr="00876BD4" w:rsidP="00E15BF9" w14:paraId="22BD4279" w14:textId="77777777">
            <w:r w:rsidRPr="00876BD4">
              <w:rPr>
                <w:color w:val="000000"/>
              </w:rPr>
              <w:t>800 MHz Trunked SMR (SMR, Site-Specific)</w:t>
            </w:r>
          </w:p>
        </w:tc>
      </w:tr>
      <w:tr w14:paraId="1E8CE3B8" w14:textId="77777777" w:rsidTr="00E15BF9">
        <w:tblPrEx>
          <w:tblW w:w="0" w:type="auto"/>
          <w:tblLook w:val="04A0"/>
        </w:tblPrEx>
        <w:tc>
          <w:tcPr>
            <w:tcW w:w="2358" w:type="dxa"/>
          </w:tcPr>
          <w:p w:rsidR="00A448AC" w:rsidRPr="00876BD4" w:rsidP="00E15BF9" w14:paraId="4CBC67E2" w14:textId="77777777">
            <w:r w:rsidRPr="00876BD4">
              <w:rPr>
                <w:color w:val="000000"/>
              </w:rPr>
              <w:t>YO</w:t>
            </w:r>
          </w:p>
        </w:tc>
        <w:tc>
          <w:tcPr>
            <w:tcW w:w="6750" w:type="dxa"/>
          </w:tcPr>
          <w:p w:rsidR="00A448AC" w:rsidRPr="00876BD4" w:rsidP="00E15BF9" w14:paraId="72EA38AB" w14:textId="77777777">
            <w:r w:rsidRPr="00876BD4">
              <w:rPr>
                <w:color w:val="000000"/>
              </w:rPr>
              <w:t>Other</w:t>
            </w:r>
            <w:r w:rsidRPr="00876BD4">
              <w:rPr>
                <w:color w:val="000000"/>
              </w:rPr>
              <w:t xml:space="preserve"> </w:t>
            </w:r>
            <w:r w:rsidRPr="00876BD4">
              <w:rPr>
                <w:color w:val="000000"/>
              </w:rPr>
              <w:t>Indust</w:t>
            </w:r>
            <w:r w:rsidRPr="00876BD4">
              <w:rPr>
                <w:color w:val="000000"/>
              </w:rPr>
              <w:t>/Land Transp. 806-821/851-866 MHz, Trunked</w:t>
            </w:r>
          </w:p>
        </w:tc>
      </w:tr>
      <w:tr w14:paraId="165DC577" w14:textId="77777777" w:rsidTr="00E15BF9">
        <w:tblPrEx>
          <w:tblW w:w="0" w:type="auto"/>
          <w:tblLook w:val="04A0"/>
        </w:tblPrEx>
        <w:tc>
          <w:tcPr>
            <w:tcW w:w="2358" w:type="dxa"/>
          </w:tcPr>
          <w:p w:rsidR="00A448AC" w:rsidRPr="00876BD4" w:rsidP="00E15BF9" w14:paraId="1E08DD64" w14:textId="77777777">
            <w:r w:rsidRPr="00876BD4">
              <w:rPr>
                <w:color w:val="000000"/>
              </w:rPr>
              <w:t>YS</w:t>
            </w:r>
          </w:p>
        </w:tc>
        <w:tc>
          <w:tcPr>
            <w:tcW w:w="6750" w:type="dxa"/>
          </w:tcPr>
          <w:p w:rsidR="00A448AC" w:rsidRPr="00876BD4" w:rsidP="00E15BF9" w14:paraId="55220D1C" w14:textId="77777777">
            <w:r w:rsidRPr="00876BD4">
              <w:rPr>
                <w:color w:val="000000"/>
              </w:rPr>
              <w:t>SMR, 896-901/935-940 MHz, Trunked</w:t>
            </w:r>
          </w:p>
        </w:tc>
      </w:tr>
      <w:tr w14:paraId="212F4DE1" w14:textId="77777777" w:rsidTr="00E15BF9">
        <w:tblPrEx>
          <w:tblW w:w="0" w:type="auto"/>
          <w:tblLook w:val="04A0"/>
        </w:tblPrEx>
        <w:tc>
          <w:tcPr>
            <w:tcW w:w="2358" w:type="dxa"/>
          </w:tcPr>
          <w:p w:rsidR="00A448AC" w:rsidRPr="00876BD4" w:rsidP="00E15BF9" w14:paraId="266D14FD" w14:textId="77777777">
            <w:r w:rsidRPr="00876BD4">
              <w:rPr>
                <w:color w:val="000000"/>
              </w:rPr>
              <w:t>YU</w:t>
            </w:r>
          </w:p>
        </w:tc>
        <w:tc>
          <w:tcPr>
            <w:tcW w:w="6750" w:type="dxa"/>
          </w:tcPr>
          <w:p w:rsidR="00A448AC" w:rsidRPr="00876BD4" w:rsidP="00E15BF9" w14:paraId="41CAEE93" w14:textId="77777777">
            <w:r w:rsidRPr="00876BD4">
              <w:rPr>
                <w:color w:val="000000"/>
              </w:rPr>
              <w:t>Business, 896-901/935-940 MHz, Trunked</w:t>
            </w:r>
          </w:p>
        </w:tc>
      </w:tr>
      <w:tr w14:paraId="2C193678" w14:textId="77777777" w:rsidTr="00E15BF9">
        <w:tblPrEx>
          <w:tblW w:w="0" w:type="auto"/>
          <w:tblLook w:val="04A0"/>
        </w:tblPrEx>
        <w:tc>
          <w:tcPr>
            <w:tcW w:w="2358" w:type="dxa"/>
          </w:tcPr>
          <w:p w:rsidR="00A448AC" w:rsidRPr="00876BD4" w:rsidP="00E15BF9" w14:paraId="2ECB675D" w14:textId="77777777">
            <w:r w:rsidRPr="00876BD4">
              <w:rPr>
                <w:color w:val="000000"/>
              </w:rPr>
              <w:t>YX</w:t>
            </w:r>
          </w:p>
        </w:tc>
        <w:tc>
          <w:tcPr>
            <w:tcW w:w="6750" w:type="dxa"/>
          </w:tcPr>
          <w:p w:rsidR="00A448AC" w:rsidRPr="00876BD4" w:rsidP="00E15BF9" w14:paraId="4C491E38" w14:textId="77777777">
            <w:r w:rsidRPr="00876BD4">
              <w:rPr>
                <w:color w:val="000000"/>
              </w:rPr>
              <w:t>SMR, 806-821/851-866 MHz, Trunked</w:t>
            </w:r>
          </w:p>
        </w:tc>
      </w:tr>
    </w:tbl>
    <w:p w:rsidR="00A448AC" w:rsidP="00A448AC" w14:paraId="5E4B5130" w14:textId="77777777"/>
    <w:p w:rsidR="00A448AC" w:rsidP="00A448AC" w14:paraId="0A76961A" w14:textId="77777777"/>
    <w:p w:rsidR="00A448AC" w:rsidP="00A448AC" w14:paraId="026919FF" w14:textId="77777777"/>
    <w:p w:rsidR="00A448AC" w:rsidP="00A448AC" w14:paraId="1517081B" w14:textId="77777777"/>
    <w:p w:rsidR="00A448AC" w:rsidP="00A448AC" w14:paraId="2F9EBDB1" w14:textId="77777777">
      <w:r>
        <w:br w:type="page"/>
      </w:r>
    </w:p>
    <w:p w:rsidR="00A448AC" w:rsidP="00A448AC" w14:paraId="77DFFD86" w14:textId="77777777"/>
    <w:p w:rsidR="00A448AC" w:rsidP="00A448AC" w14:paraId="670DEFCB" w14:textId="77777777">
      <w:pPr>
        <w:jc w:val="center"/>
        <w:rPr>
          <w:b/>
          <w:bCs/>
        </w:rPr>
      </w:pPr>
      <w:r>
        <w:rPr>
          <w:b/>
          <w:bCs/>
        </w:rPr>
        <w:t xml:space="preserve">PUBLIC SAFETY </w:t>
      </w:r>
      <w:r w:rsidRPr="00476A32">
        <w:rPr>
          <w:b/>
          <w:bCs/>
        </w:rPr>
        <w:t>SITE-BASED</w:t>
      </w:r>
      <w:r>
        <w:rPr>
          <w:b/>
          <w:bCs/>
        </w:rPr>
        <w:t xml:space="preserve"> AND MOBILE-ONLY</w:t>
      </w:r>
      <w:r w:rsidRPr="00476A32">
        <w:rPr>
          <w:b/>
          <w:bCs/>
        </w:rPr>
        <w:t xml:space="preserve"> RADIO SERVICES</w:t>
      </w:r>
    </w:p>
    <w:p w:rsidR="00A448AC" w:rsidP="00A448AC" w14:paraId="1CB5312A" w14:textId="77777777">
      <w:pPr>
        <w:jc w:val="center"/>
        <w:rPr>
          <w:b/>
          <w:bCs/>
        </w:rPr>
      </w:pPr>
      <w:r w:rsidRPr="00476A32">
        <w:rPr>
          <w:b/>
          <w:bCs/>
        </w:rPr>
        <w:t xml:space="preserve"> FOR PURPOSE</w:t>
      </w:r>
      <w:r>
        <w:rPr>
          <w:b/>
          <w:bCs/>
        </w:rPr>
        <w:t>S</w:t>
      </w:r>
      <w:r w:rsidRPr="00476A32">
        <w:rPr>
          <w:b/>
          <w:bCs/>
        </w:rPr>
        <w:t xml:space="preserve"> OF THIS ORDER</w:t>
      </w:r>
    </w:p>
    <w:p w:rsidR="00A448AC" w:rsidRPr="00074089" w:rsidP="00A448AC" w14:paraId="6E2BD9BE" w14:textId="77777777">
      <w:pPr>
        <w:jc w:val="center"/>
        <w:rPr>
          <w:rFonts w:ascii="Calibri" w:eastAsia="Calibri" w:hAnsi="Calibri" w:cs="Calibri"/>
          <w:b/>
          <w:bCs/>
          <w:sz w:val="24"/>
          <w:szCs w:val="24"/>
        </w:rPr>
      </w:pPr>
    </w:p>
    <w:tbl>
      <w:tblPr>
        <w:tblW w:w="9083" w:type="dxa"/>
        <w:tblInd w:w="-3" w:type="dxa"/>
        <w:tblCellMar>
          <w:left w:w="0" w:type="dxa"/>
          <w:right w:w="0" w:type="dxa"/>
        </w:tblCellMar>
        <w:tblLook w:val="04A0"/>
      </w:tblPr>
      <w:tblGrid>
        <w:gridCol w:w="2423"/>
        <w:gridCol w:w="6660"/>
      </w:tblGrid>
      <w:tr w14:paraId="58E88C0F" w14:textId="77777777" w:rsidTr="00E15BF9">
        <w:tblPrEx>
          <w:tblW w:w="9083" w:type="dxa"/>
          <w:tblInd w:w="-3" w:type="dxa"/>
          <w:tblCellMar>
            <w:left w:w="0" w:type="dxa"/>
            <w:right w:w="0" w:type="dxa"/>
          </w:tblCellMar>
          <w:tblLook w:val="04A0"/>
        </w:tblPrEx>
        <w:tc>
          <w:tcPr>
            <w:tcW w:w="2423" w:type="dxa"/>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vAlign w:val="bottom"/>
            <w:hideMark/>
          </w:tcPr>
          <w:p w:rsidR="00A448AC" w:rsidRPr="00074089" w:rsidP="00E15BF9" w14:paraId="234D44C9" w14:textId="77777777">
            <w:pPr>
              <w:jc w:val="center"/>
              <w:rPr>
                <w:rFonts w:ascii="Calibri" w:eastAsia="Calibri" w:hAnsi="Calibri"/>
                <w:b/>
                <w:bCs/>
                <w:color w:val="FFFFFF" w:themeColor="background1"/>
                <w:szCs w:val="22"/>
              </w:rPr>
            </w:pPr>
          </w:p>
        </w:tc>
        <w:tc>
          <w:tcPr>
            <w:tcW w:w="6660" w:type="dxa"/>
            <w:tcBorders>
              <w:top w:val="single" w:sz="8" w:space="0" w:color="auto"/>
              <w:left w:val="nil"/>
              <w:bottom w:val="single" w:sz="8" w:space="0" w:color="auto"/>
              <w:right w:val="single" w:sz="8" w:space="0" w:color="auto"/>
            </w:tcBorders>
            <w:shd w:val="clear" w:color="auto" w:fill="595959" w:themeFill="text1" w:themeFillTint="A6"/>
            <w:tcMar>
              <w:top w:w="0" w:type="dxa"/>
              <w:left w:w="108" w:type="dxa"/>
              <w:bottom w:w="0" w:type="dxa"/>
              <w:right w:w="108" w:type="dxa"/>
            </w:tcMar>
            <w:vAlign w:val="bottom"/>
            <w:hideMark/>
          </w:tcPr>
          <w:p w:rsidR="00A448AC" w:rsidRPr="00074089" w:rsidP="00E15BF9" w14:paraId="6654A91C" w14:textId="77777777">
            <w:pPr>
              <w:jc w:val="center"/>
              <w:rPr>
                <w:rFonts w:ascii="Calibri" w:eastAsia="Calibri" w:hAnsi="Calibri"/>
                <w:b/>
                <w:bCs/>
                <w:color w:val="FFFFFF" w:themeColor="background1"/>
                <w:szCs w:val="22"/>
              </w:rPr>
            </w:pPr>
          </w:p>
        </w:tc>
      </w:tr>
      <w:tr w14:paraId="1B17E203"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6C520313" w14:textId="77777777">
            <w:pPr>
              <w:rPr>
                <w:rFonts w:ascii="Calibri" w:eastAsia="Calibri" w:hAnsi="Calibri"/>
                <w:color w:val="000000"/>
                <w:szCs w:val="22"/>
              </w:rPr>
            </w:pPr>
            <w:r w:rsidRPr="00074089">
              <w:rPr>
                <w:rFonts w:ascii="Calibri" w:eastAsia="Calibri" w:hAnsi="Calibri"/>
                <w:color w:val="000000"/>
                <w:szCs w:val="22"/>
              </w:rPr>
              <w:t>GE</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214CD1C3" w14:textId="77777777">
            <w:pPr>
              <w:rPr>
                <w:rFonts w:ascii="Calibri" w:eastAsia="Calibri" w:hAnsi="Calibri"/>
                <w:color w:val="000000"/>
                <w:szCs w:val="22"/>
              </w:rPr>
            </w:pPr>
            <w:r w:rsidRPr="00074089">
              <w:rPr>
                <w:rFonts w:ascii="Calibri" w:eastAsia="Calibri" w:hAnsi="Calibri"/>
                <w:color w:val="000000"/>
                <w:szCs w:val="22"/>
              </w:rPr>
              <w:t>Public Safety/Special Emergency and Public Safety, National</w:t>
            </w:r>
          </w:p>
        </w:tc>
      </w:tr>
      <w:tr w14:paraId="67C319C7"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7E463B18" w14:textId="77777777">
            <w:pPr>
              <w:rPr>
                <w:rFonts w:ascii="Calibri" w:eastAsia="Calibri" w:hAnsi="Calibri"/>
                <w:color w:val="000000"/>
                <w:szCs w:val="22"/>
              </w:rPr>
            </w:pPr>
            <w:r w:rsidRPr="00074089">
              <w:rPr>
                <w:rFonts w:ascii="Calibri" w:eastAsia="Calibri" w:hAnsi="Calibri"/>
                <w:color w:val="000000"/>
                <w:szCs w:val="22"/>
              </w:rPr>
              <w:t>GF</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6755F5C9" w14:textId="77777777">
            <w:pPr>
              <w:rPr>
                <w:rFonts w:ascii="Calibri" w:eastAsia="Calibri" w:hAnsi="Calibri"/>
                <w:color w:val="000000"/>
                <w:szCs w:val="22"/>
              </w:rPr>
            </w:pPr>
            <w:r w:rsidRPr="00074089">
              <w:rPr>
                <w:rFonts w:ascii="Calibri" w:eastAsia="Calibri" w:hAnsi="Calibri"/>
                <w:color w:val="000000"/>
                <w:szCs w:val="22"/>
              </w:rPr>
              <w:t xml:space="preserve">Public Safety </w:t>
            </w:r>
            <w:r w:rsidRPr="00074089">
              <w:rPr>
                <w:rFonts w:ascii="Calibri" w:eastAsia="Calibri" w:hAnsi="Calibri"/>
                <w:color w:val="000000"/>
                <w:szCs w:val="22"/>
              </w:rPr>
              <w:t>Ntl</w:t>
            </w:r>
            <w:r w:rsidRPr="00074089">
              <w:rPr>
                <w:rFonts w:ascii="Calibri" w:eastAsia="Calibri" w:hAnsi="Calibri"/>
                <w:color w:val="000000"/>
                <w:szCs w:val="22"/>
              </w:rPr>
              <w:t xml:space="preserve"> Plan, 821-824/866-869 MHz, Conv.</w:t>
            </w:r>
          </w:p>
        </w:tc>
      </w:tr>
      <w:tr w14:paraId="6D817346"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42C0C780" w14:textId="77777777">
            <w:pPr>
              <w:rPr>
                <w:rFonts w:ascii="Calibri" w:eastAsia="Calibri" w:hAnsi="Calibri"/>
                <w:color w:val="000000"/>
                <w:szCs w:val="22"/>
              </w:rPr>
            </w:pPr>
            <w:r w:rsidRPr="00074089">
              <w:rPr>
                <w:rFonts w:ascii="Calibri" w:eastAsia="Calibri" w:hAnsi="Calibri"/>
                <w:color w:val="000000"/>
                <w:szCs w:val="22"/>
              </w:rPr>
              <w:t>GP</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78B25C07" w14:textId="77777777">
            <w:pPr>
              <w:rPr>
                <w:rFonts w:ascii="Calibri" w:eastAsia="Calibri" w:hAnsi="Calibri"/>
                <w:color w:val="000000"/>
                <w:szCs w:val="22"/>
              </w:rPr>
            </w:pPr>
            <w:r w:rsidRPr="00074089">
              <w:rPr>
                <w:rFonts w:ascii="Calibri" w:eastAsia="Calibri" w:hAnsi="Calibri"/>
                <w:color w:val="000000"/>
                <w:szCs w:val="22"/>
              </w:rPr>
              <w:t xml:space="preserve">Public Safety/Spec </w:t>
            </w:r>
            <w:r w:rsidRPr="00074089">
              <w:rPr>
                <w:rFonts w:ascii="Calibri" w:eastAsia="Calibri" w:hAnsi="Calibri"/>
                <w:color w:val="000000"/>
                <w:szCs w:val="22"/>
              </w:rPr>
              <w:t>Emerg</w:t>
            </w:r>
            <w:r w:rsidRPr="00074089">
              <w:rPr>
                <w:rFonts w:ascii="Calibri" w:eastAsia="Calibri" w:hAnsi="Calibri"/>
                <w:color w:val="000000"/>
                <w:szCs w:val="22"/>
              </w:rPr>
              <w:t>, 806-821/851-866 MHz, Conv.</w:t>
            </w:r>
          </w:p>
        </w:tc>
      </w:tr>
      <w:tr w14:paraId="0543A42F"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1A3032A7" w14:textId="77777777">
            <w:pPr>
              <w:rPr>
                <w:rFonts w:ascii="Calibri" w:eastAsia="Calibri" w:hAnsi="Calibri"/>
                <w:color w:val="000000"/>
                <w:szCs w:val="22"/>
              </w:rPr>
            </w:pPr>
            <w:r w:rsidRPr="00074089">
              <w:rPr>
                <w:rFonts w:ascii="Calibri" w:eastAsia="Calibri" w:hAnsi="Calibri"/>
                <w:color w:val="000000"/>
                <w:szCs w:val="22"/>
              </w:rPr>
              <w:t>IQ</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4613EBA3" w14:textId="77777777">
            <w:pPr>
              <w:rPr>
                <w:rFonts w:ascii="Calibri" w:eastAsia="Calibri" w:hAnsi="Calibri"/>
                <w:color w:val="000000"/>
                <w:szCs w:val="22"/>
              </w:rPr>
            </w:pPr>
            <w:r w:rsidRPr="00074089">
              <w:rPr>
                <w:rFonts w:ascii="Calibri" w:eastAsia="Calibri" w:hAnsi="Calibri"/>
                <w:color w:val="000000"/>
                <w:szCs w:val="22"/>
              </w:rPr>
              <w:t>DSRC / Intelligent Transportation Service</w:t>
            </w:r>
          </w:p>
        </w:tc>
      </w:tr>
      <w:tr w14:paraId="7D5094CD"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0EFE5BFF" w14:textId="77777777">
            <w:pPr>
              <w:rPr>
                <w:rFonts w:ascii="Calibri" w:eastAsia="Calibri" w:hAnsi="Calibri"/>
                <w:color w:val="000000"/>
                <w:szCs w:val="22"/>
              </w:rPr>
            </w:pPr>
            <w:r w:rsidRPr="00074089">
              <w:rPr>
                <w:rFonts w:ascii="Calibri" w:eastAsia="Calibri" w:hAnsi="Calibri"/>
                <w:color w:val="000000"/>
                <w:szCs w:val="22"/>
              </w:rPr>
              <w:t>MW</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4F1BEC99" w14:textId="77777777">
            <w:pPr>
              <w:rPr>
                <w:rFonts w:ascii="Calibri" w:eastAsia="Calibri" w:hAnsi="Calibri"/>
                <w:color w:val="000000"/>
                <w:szCs w:val="22"/>
              </w:rPr>
            </w:pPr>
            <w:r w:rsidRPr="00074089">
              <w:rPr>
                <w:rFonts w:ascii="Calibri" w:eastAsia="Calibri" w:hAnsi="Calibri"/>
                <w:color w:val="000000"/>
                <w:szCs w:val="22"/>
              </w:rPr>
              <w:t>Microwave Public Safety Pool</w:t>
            </w:r>
          </w:p>
        </w:tc>
      </w:tr>
      <w:tr w14:paraId="0E9E9B7F"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176979E8" w14:textId="77777777">
            <w:pPr>
              <w:rPr>
                <w:rFonts w:ascii="Calibri" w:eastAsia="Calibri" w:hAnsi="Calibri"/>
                <w:color w:val="000000"/>
                <w:szCs w:val="22"/>
              </w:rPr>
            </w:pPr>
            <w:r w:rsidRPr="00074089">
              <w:rPr>
                <w:rFonts w:ascii="Calibri" w:eastAsia="Calibri" w:hAnsi="Calibri"/>
                <w:color w:val="000000"/>
                <w:szCs w:val="22"/>
              </w:rPr>
              <w:t>PA</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44766F74" w14:textId="77777777">
            <w:pPr>
              <w:rPr>
                <w:rFonts w:ascii="Calibri" w:eastAsia="Calibri" w:hAnsi="Calibri"/>
                <w:color w:val="000000"/>
                <w:szCs w:val="22"/>
              </w:rPr>
            </w:pPr>
            <w:r w:rsidRPr="00074089">
              <w:rPr>
                <w:rFonts w:ascii="Calibri" w:eastAsia="Calibri" w:hAnsi="Calibri"/>
                <w:color w:val="000000"/>
                <w:szCs w:val="22"/>
              </w:rPr>
              <w:t>Public Safety 4940-4990 MHz Band</w:t>
            </w:r>
          </w:p>
        </w:tc>
      </w:tr>
      <w:tr w14:paraId="42A3705D"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75C00F41" w14:textId="77777777">
            <w:pPr>
              <w:rPr>
                <w:rFonts w:ascii="Calibri" w:eastAsia="Calibri" w:hAnsi="Calibri"/>
                <w:color w:val="000000"/>
                <w:szCs w:val="22"/>
              </w:rPr>
            </w:pPr>
            <w:r w:rsidRPr="00074089">
              <w:rPr>
                <w:rFonts w:ascii="Calibri" w:eastAsia="Calibri" w:hAnsi="Calibri"/>
                <w:color w:val="000000"/>
                <w:szCs w:val="22"/>
              </w:rPr>
              <w:t>PW</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641632B0" w14:textId="77777777">
            <w:pPr>
              <w:rPr>
                <w:rFonts w:ascii="Calibri" w:eastAsia="Calibri" w:hAnsi="Calibri"/>
                <w:color w:val="000000"/>
                <w:szCs w:val="22"/>
              </w:rPr>
            </w:pPr>
            <w:r w:rsidRPr="00074089">
              <w:rPr>
                <w:rFonts w:ascii="Calibri" w:eastAsia="Calibri" w:hAnsi="Calibri"/>
                <w:color w:val="000000"/>
                <w:szCs w:val="22"/>
              </w:rPr>
              <w:t>Public Safety Pool, Conventional</w:t>
            </w:r>
          </w:p>
        </w:tc>
      </w:tr>
      <w:tr w14:paraId="046B488E"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131A853E" w14:textId="77777777">
            <w:pPr>
              <w:rPr>
                <w:rFonts w:ascii="Calibri" w:eastAsia="Calibri" w:hAnsi="Calibri"/>
                <w:color w:val="000000"/>
                <w:szCs w:val="22"/>
              </w:rPr>
            </w:pPr>
            <w:r w:rsidRPr="00074089">
              <w:rPr>
                <w:rFonts w:ascii="Calibri" w:eastAsia="Calibri" w:hAnsi="Calibri"/>
                <w:color w:val="000000"/>
                <w:szCs w:val="22"/>
              </w:rPr>
              <w:t>QM</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7B764CBF" w14:textId="77777777">
            <w:pPr>
              <w:rPr>
                <w:rFonts w:ascii="Calibri" w:eastAsia="Calibri" w:hAnsi="Calibri"/>
                <w:color w:val="000000"/>
                <w:szCs w:val="22"/>
              </w:rPr>
            </w:pPr>
            <w:r w:rsidRPr="00074089">
              <w:rPr>
                <w:rFonts w:ascii="Calibri" w:eastAsia="Calibri" w:hAnsi="Calibri"/>
                <w:color w:val="000000"/>
                <w:szCs w:val="22"/>
              </w:rPr>
              <w:t>Non-Nationwide Public Safety/Mutual Aid, 220 MHz</w:t>
            </w:r>
          </w:p>
        </w:tc>
      </w:tr>
      <w:tr w14:paraId="1EDA90A1"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22CB2B28" w14:textId="77777777">
            <w:pPr>
              <w:rPr>
                <w:rFonts w:ascii="Calibri" w:eastAsia="Calibri" w:hAnsi="Calibri"/>
                <w:color w:val="000000"/>
                <w:szCs w:val="22"/>
              </w:rPr>
            </w:pPr>
            <w:r w:rsidRPr="00074089">
              <w:rPr>
                <w:rFonts w:ascii="Calibri" w:eastAsia="Calibri" w:hAnsi="Calibri"/>
                <w:color w:val="000000"/>
                <w:szCs w:val="22"/>
              </w:rPr>
              <w:t>SG</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67436084" w14:textId="77777777">
            <w:pPr>
              <w:rPr>
                <w:rFonts w:ascii="Calibri" w:eastAsia="Calibri" w:hAnsi="Calibri"/>
                <w:color w:val="000000"/>
                <w:szCs w:val="22"/>
              </w:rPr>
            </w:pPr>
            <w:r w:rsidRPr="00074089">
              <w:rPr>
                <w:rFonts w:ascii="Calibri" w:eastAsia="Calibri" w:hAnsi="Calibri"/>
                <w:color w:val="000000"/>
                <w:szCs w:val="22"/>
              </w:rPr>
              <w:t>Conventional Public Safety 700 MHz</w:t>
            </w:r>
          </w:p>
        </w:tc>
      </w:tr>
      <w:tr w14:paraId="312F64B7"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41EB40D0" w14:textId="77777777">
            <w:pPr>
              <w:rPr>
                <w:rFonts w:ascii="Calibri" w:eastAsia="Calibri" w:hAnsi="Calibri"/>
                <w:color w:val="000000"/>
                <w:szCs w:val="22"/>
              </w:rPr>
            </w:pPr>
            <w:r w:rsidRPr="00074089">
              <w:rPr>
                <w:rFonts w:ascii="Calibri" w:eastAsia="Calibri" w:hAnsi="Calibri"/>
                <w:color w:val="000000"/>
                <w:szCs w:val="22"/>
              </w:rPr>
              <w:t>SL</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79223A9C" w14:textId="77777777">
            <w:pPr>
              <w:rPr>
                <w:rFonts w:ascii="Calibri" w:eastAsia="Calibri" w:hAnsi="Calibri"/>
                <w:color w:val="000000"/>
                <w:szCs w:val="22"/>
              </w:rPr>
            </w:pPr>
            <w:r w:rsidRPr="00074089">
              <w:rPr>
                <w:rFonts w:ascii="Calibri" w:eastAsia="Calibri" w:hAnsi="Calibri"/>
                <w:color w:val="000000"/>
                <w:szCs w:val="22"/>
              </w:rPr>
              <w:t>Public Safety 700 MHZ Band-State License</w:t>
            </w:r>
          </w:p>
        </w:tc>
      </w:tr>
      <w:tr w14:paraId="79AF176F"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023785A5" w14:textId="77777777">
            <w:pPr>
              <w:rPr>
                <w:rFonts w:ascii="Calibri" w:eastAsia="Calibri" w:hAnsi="Calibri"/>
                <w:color w:val="000000"/>
                <w:szCs w:val="22"/>
              </w:rPr>
            </w:pPr>
            <w:r w:rsidRPr="00074089">
              <w:rPr>
                <w:rFonts w:ascii="Calibri" w:eastAsia="Calibri" w:hAnsi="Calibri"/>
                <w:color w:val="000000"/>
                <w:szCs w:val="22"/>
              </w:rPr>
              <w:t>SY</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270EB128" w14:textId="77777777">
            <w:pPr>
              <w:rPr>
                <w:rFonts w:ascii="Calibri" w:eastAsia="Calibri" w:hAnsi="Calibri"/>
                <w:color w:val="000000"/>
                <w:szCs w:val="22"/>
              </w:rPr>
            </w:pPr>
            <w:r w:rsidRPr="00074089">
              <w:rPr>
                <w:rFonts w:ascii="Calibri" w:eastAsia="Calibri" w:hAnsi="Calibri"/>
                <w:color w:val="000000"/>
                <w:szCs w:val="22"/>
              </w:rPr>
              <w:t>Trunked Public Safety 700 MHz</w:t>
            </w:r>
          </w:p>
        </w:tc>
      </w:tr>
      <w:tr w14:paraId="2619C50C"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4D22EE3E" w14:textId="77777777">
            <w:pPr>
              <w:rPr>
                <w:rFonts w:ascii="Calibri" w:eastAsia="Calibri" w:hAnsi="Calibri"/>
                <w:color w:val="000000"/>
                <w:szCs w:val="22"/>
              </w:rPr>
            </w:pPr>
            <w:r w:rsidRPr="00074089">
              <w:rPr>
                <w:rFonts w:ascii="Calibri" w:eastAsia="Calibri" w:hAnsi="Calibri"/>
                <w:color w:val="000000"/>
                <w:szCs w:val="22"/>
              </w:rPr>
              <w:t>YE</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501A902C" w14:textId="77777777">
            <w:pPr>
              <w:rPr>
                <w:rFonts w:ascii="Calibri" w:eastAsia="Calibri" w:hAnsi="Calibri"/>
                <w:color w:val="000000"/>
                <w:szCs w:val="22"/>
              </w:rPr>
            </w:pPr>
            <w:r w:rsidRPr="00074089">
              <w:rPr>
                <w:rFonts w:ascii="Calibri" w:eastAsia="Calibri" w:hAnsi="Calibri"/>
                <w:color w:val="000000"/>
                <w:szCs w:val="22"/>
              </w:rPr>
              <w:t>Public Safety/Special Emergency and Public Safety, National</w:t>
            </w:r>
          </w:p>
        </w:tc>
      </w:tr>
      <w:tr w14:paraId="66D55570"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45A927C3" w14:textId="77777777">
            <w:pPr>
              <w:rPr>
                <w:rFonts w:ascii="Calibri" w:eastAsia="Calibri" w:hAnsi="Calibri"/>
                <w:color w:val="000000"/>
                <w:szCs w:val="22"/>
              </w:rPr>
            </w:pPr>
            <w:r w:rsidRPr="00074089">
              <w:rPr>
                <w:rFonts w:ascii="Calibri" w:eastAsia="Calibri" w:hAnsi="Calibri"/>
                <w:color w:val="000000"/>
                <w:szCs w:val="22"/>
              </w:rPr>
              <w:t>YF</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05674BD8" w14:textId="77777777">
            <w:pPr>
              <w:rPr>
                <w:rFonts w:ascii="Calibri" w:eastAsia="Calibri" w:hAnsi="Calibri"/>
                <w:color w:val="000000"/>
                <w:szCs w:val="22"/>
              </w:rPr>
            </w:pPr>
            <w:r w:rsidRPr="00074089">
              <w:rPr>
                <w:rFonts w:ascii="Calibri" w:eastAsia="Calibri" w:hAnsi="Calibri"/>
                <w:color w:val="000000"/>
                <w:szCs w:val="22"/>
              </w:rPr>
              <w:t xml:space="preserve">Public Safety </w:t>
            </w:r>
            <w:r w:rsidRPr="00074089">
              <w:rPr>
                <w:rFonts w:ascii="Calibri" w:eastAsia="Calibri" w:hAnsi="Calibri"/>
                <w:color w:val="000000"/>
                <w:szCs w:val="22"/>
              </w:rPr>
              <w:t>Ntl</w:t>
            </w:r>
            <w:r w:rsidRPr="00074089">
              <w:rPr>
                <w:rFonts w:ascii="Calibri" w:eastAsia="Calibri" w:hAnsi="Calibri"/>
                <w:color w:val="000000"/>
                <w:szCs w:val="22"/>
              </w:rPr>
              <w:t xml:space="preserve"> Plan, 821-824/866-869 MHz, Trunked</w:t>
            </w:r>
          </w:p>
        </w:tc>
      </w:tr>
      <w:tr w14:paraId="54EDAC7E"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213B9DD4" w14:textId="77777777">
            <w:pPr>
              <w:rPr>
                <w:rFonts w:ascii="Calibri" w:eastAsia="Calibri" w:hAnsi="Calibri"/>
                <w:color w:val="000000"/>
                <w:szCs w:val="22"/>
              </w:rPr>
            </w:pPr>
            <w:r w:rsidRPr="00074089">
              <w:rPr>
                <w:rFonts w:ascii="Calibri" w:eastAsia="Calibri" w:hAnsi="Calibri"/>
                <w:color w:val="000000"/>
                <w:szCs w:val="22"/>
              </w:rPr>
              <w:t>YP</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07229653" w14:textId="77777777">
            <w:pPr>
              <w:rPr>
                <w:rFonts w:ascii="Calibri" w:eastAsia="Calibri" w:hAnsi="Calibri"/>
                <w:color w:val="000000"/>
                <w:szCs w:val="22"/>
              </w:rPr>
            </w:pPr>
            <w:r w:rsidRPr="00074089">
              <w:rPr>
                <w:rFonts w:ascii="Calibri" w:eastAsia="Calibri" w:hAnsi="Calibri"/>
                <w:color w:val="000000"/>
                <w:szCs w:val="22"/>
              </w:rPr>
              <w:t xml:space="preserve">Public Safety/Spec </w:t>
            </w:r>
            <w:r w:rsidRPr="00074089">
              <w:rPr>
                <w:rFonts w:ascii="Calibri" w:eastAsia="Calibri" w:hAnsi="Calibri"/>
                <w:color w:val="000000"/>
                <w:szCs w:val="22"/>
              </w:rPr>
              <w:t>Emerg</w:t>
            </w:r>
            <w:r w:rsidRPr="00074089">
              <w:rPr>
                <w:rFonts w:ascii="Calibri" w:eastAsia="Calibri" w:hAnsi="Calibri"/>
                <w:color w:val="000000"/>
                <w:szCs w:val="22"/>
              </w:rPr>
              <w:t>, 806-821/851-866 MHz, Trunked</w:t>
            </w:r>
          </w:p>
        </w:tc>
      </w:tr>
      <w:tr w14:paraId="47039925" w14:textId="77777777" w:rsidTr="00E15BF9">
        <w:tblPrEx>
          <w:tblW w:w="9083" w:type="dxa"/>
          <w:tblInd w:w="-3" w:type="dxa"/>
          <w:tblCellMar>
            <w:left w:w="0" w:type="dxa"/>
            <w:right w:w="0" w:type="dxa"/>
          </w:tblCellMar>
          <w:tblLook w:val="04A0"/>
        </w:tblPrEx>
        <w:tc>
          <w:tcPr>
            <w:tcW w:w="24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48AC" w:rsidRPr="00074089" w:rsidP="00E15BF9" w14:paraId="3CFF3C69" w14:textId="77777777">
            <w:pPr>
              <w:rPr>
                <w:rFonts w:ascii="Calibri" w:eastAsia="Calibri" w:hAnsi="Calibri"/>
                <w:color w:val="000000"/>
                <w:szCs w:val="22"/>
              </w:rPr>
            </w:pPr>
            <w:r w:rsidRPr="00074089">
              <w:rPr>
                <w:rFonts w:ascii="Calibri" w:eastAsia="Calibri" w:hAnsi="Calibri"/>
                <w:color w:val="000000"/>
                <w:szCs w:val="22"/>
              </w:rPr>
              <w:t>YW</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48AC" w:rsidRPr="00074089" w:rsidP="00E15BF9" w14:paraId="26BD4B6F" w14:textId="77777777">
            <w:pPr>
              <w:rPr>
                <w:rFonts w:ascii="Calibri" w:eastAsia="Calibri" w:hAnsi="Calibri"/>
                <w:color w:val="000000"/>
                <w:szCs w:val="22"/>
              </w:rPr>
            </w:pPr>
            <w:r w:rsidRPr="00074089">
              <w:rPr>
                <w:rFonts w:ascii="Calibri" w:eastAsia="Calibri" w:hAnsi="Calibri"/>
                <w:color w:val="000000"/>
                <w:szCs w:val="22"/>
              </w:rPr>
              <w:t>Public Safety Pool, Trunked</w:t>
            </w:r>
          </w:p>
        </w:tc>
      </w:tr>
    </w:tbl>
    <w:p w:rsidR="00A448AC" w:rsidRPr="0025634A" w:rsidP="00A448AC" w14:paraId="701706A4" w14:textId="77777777">
      <w:pPr>
        <w:rPr>
          <w:b/>
          <w:szCs w:val="22"/>
        </w:rPr>
      </w:pPr>
    </w:p>
    <w:p w:rsidR="00A448AC" w:rsidP="00A448AC" w14:paraId="3E66B87D" w14:textId="77777777">
      <w:pPr>
        <w:jc w:val="center"/>
        <w:rPr>
          <w:b/>
          <w:bCs/>
        </w:rPr>
      </w:pPr>
    </w:p>
    <w:p w:rsidR="00A448AC" w:rsidRPr="00476A32" w:rsidP="00A448AC" w14:paraId="05C07771" w14:textId="77777777">
      <w:pPr>
        <w:rPr>
          <w:b/>
          <w:bCs/>
        </w:rPr>
      </w:pPr>
    </w:p>
    <w:p w:rsidR="00A448AC" w:rsidP="00A448AC" w14:paraId="43B2F055" w14:textId="77777777"/>
    <w:p w:rsidR="00A448AC" w:rsidRPr="0025634A" w:rsidP="00A448AC" w14:paraId="42BAD541" w14:textId="77777777">
      <w:pPr>
        <w:rPr>
          <w:b/>
          <w:szCs w:val="22"/>
        </w:rPr>
      </w:pPr>
      <w:r>
        <w:rPr>
          <w:rFonts w:ascii="Calibri" w:eastAsia="Calibri" w:hAnsi="Calibri" w:cs="Calibri"/>
          <w:b/>
          <w:bCs/>
          <w:sz w:val="24"/>
          <w:szCs w:val="24"/>
        </w:rPr>
        <w:t xml:space="preserve">              </w:t>
      </w:r>
    </w:p>
    <w:p w:rsidR="00EC3F5E" w:rsidRPr="007B7BF3" w:rsidP="00D045CA" w14:paraId="620E576E" w14:textId="77777777">
      <w:pPr>
        <w:pStyle w:val="Heading1"/>
        <w:numPr>
          <w:ilvl w:val="0"/>
          <w:numId w:val="0"/>
        </w:numPr>
        <w:ind w:left="720" w:hanging="720"/>
      </w:pPr>
    </w:p>
    <w:sectPr w:rsidSect="00A4377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55614C" w14:paraId="616179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5C3DBA" w14:paraId="736CD1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14:paraId="492D34F7" w14:textId="77777777">
    <w:pPr>
      <w:pStyle w:val="Footer"/>
      <w:jc w:val="center"/>
    </w:pPr>
    <w:r>
      <w:fldChar w:fldCharType="begin"/>
    </w:r>
    <w:r>
      <w:instrText xml:space="preserve"> PAGE   \* MERGEFORMAT </w:instrText>
    </w:r>
    <w:r>
      <w:fldChar w:fldCharType="separate"/>
    </w:r>
    <w:r w:rsidR="008F0AFD">
      <w:rPr>
        <w:noProof/>
      </w:rPr>
      <w:t>8</w:t>
    </w:r>
    <w:r>
      <w:rPr>
        <w:noProof/>
      </w:rPr>
      <w:fldChar w:fldCharType="end"/>
    </w:r>
  </w:p>
  <w:p w:rsidR="005C3DBA" w14:paraId="6655BA4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14:paraId="558791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6586" w14:paraId="0F5AD8F7" w14:textId="77777777">
      <w:r>
        <w:separator/>
      </w:r>
    </w:p>
  </w:footnote>
  <w:footnote w:type="continuationSeparator" w:id="1">
    <w:p w:rsidR="00046586" w:rsidP="00C721AC" w14:paraId="23A146DF" w14:textId="77777777">
      <w:pPr>
        <w:spacing w:before="120"/>
        <w:rPr>
          <w:sz w:val="20"/>
        </w:rPr>
      </w:pPr>
      <w:r>
        <w:rPr>
          <w:sz w:val="20"/>
        </w:rPr>
        <w:t xml:space="preserve">(Continued from previous page)  </w:t>
      </w:r>
      <w:r>
        <w:rPr>
          <w:sz w:val="20"/>
        </w:rPr>
        <w:separator/>
      </w:r>
    </w:p>
  </w:footnote>
  <w:footnote w:type="continuationNotice" w:id="2">
    <w:p w:rsidR="00046586" w:rsidP="00C721AC" w14:paraId="17FB8513" w14:textId="77777777">
      <w:pPr>
        <w:jc w:val="right"/>
        <w:rPr>
          <w:sz w:val="20"/>
        </w:rPr>
      </w:pPr>
    </w:p>
  </w:footnote>
  <w:footnote w:id="3">
    <w:p w:rsidR="00D045CA" w:rsidP="00D045CA" w14:paraId="5D959339" w14:textId="77777777">
      <w:pPr>
        <w:pStyle w:val="FootnoteText"/>
      </w:pPr>
      <w:r>
        <w:rPr>
          <w:rStyle w:val="FootnoteReference"/>
        </w:rPr>
        <w:footnoteRef/>
      </w:r>
      <w:r>
        <w:t xml:space="preserve"> </w:t>
      </w:r>
      <w:r w:rsidRPr="00441FD8">
        <w:rPr>
          <w:i/>
          <w:iCs/>
        </w:rPr>
        <w:t xml:space="preserve">See </w:t>
      </w:r>
      <w:r>
        <w:t xml:space="preserve">Enterprise Wireless Alliance, Petition for Waiver of FCC Rule Sections 1.946(c) and (d) for Wireless Site-based and Mobile-only Systems, filed March 27, 2020 (Petition).  </w:t>
      </w:r>
      <w:bookmarkStart w:id="1" w:name="_Hlk37158118"/>
    </w:p>
    <w:bookmarkEnd w:id="1"/>
  </w:footnote>
  <w:footnote w:id="4">
    <w:p w:rsidR="00D045CA" w:rsidRPr="00797D5A" w:rsidP="00D045CA" w14:paraId="4E3DDC8E" w14:textId="77777777">
      <w:pPr>
        <w:pStyle w:val="FootnoteText"/>
      </w:pPr>
      <w:r>
        <w:rPr>
          <w:rStyle w:val="FootnoteReference"/>
        </w:rPr>
        <w:footnoteRef/>
      </w:r>
      <w:r>
        <w:t xml:space="preserve"> </w:t>
      </w:r>
      <w:r w:rsidRPr="00794837">
        <w:rPr>
          <w:i/>
          <w:iCs/>
        </w:rPr>
        <w:t xml:space="preserve">See </w:t>
      </w:r>
      <w:r>
        <w:t>Petition.</w:t>
      </w:r>
    </w:p>
  </w:footnote>
  <w:footnote w:id="5">
    <w:p w:rsidR="00D045CA" w:rsidP="00D045CA" w14:paraId="36430E2D" w14:textId="77777777">
      <w:pPr>
        <w:pStyle w:val="FootnoteText"/>
      </w:pPr>
      <w:r>
        <w:rPr>
          <w:rStyle w:val="FootnoteReference"/>
        </w:rPr>
        <w:footnoteRef/>
      </w:r>
      <w:r>
        <w:t xml:space="preserve"> 47 CFR § 1.925(b)(3)(ii).</w:t>
      </w:r>
    </w:p>
  </w:footnote>
  <w:footnote w:id="6">
    <w:p w:rsidR="00D045CA" w:rsidP="00D045CA" w14:paraId="45839EFA" w14:textId="77777777">
      <w:pPr>
        <w:pStyle w:val="FootnoteText"/>
      </w:pPr>
      <w:r>
        <w:rPr>
          <w:rStyle w:val="FootnoteReference"/>
        </w:rPr>
        <w:footnoteRef/>
      </w:r>
      <w:r>
        <w:t xml:space="preserve"> The Licensees subject to this Order are all the site-based and mobile-only licensees with the radio service codes listed on </w:t>
      </w:r>
      <w:r w:rsidRPr="00892EC9">
        <w:rPr>
          <w:i/>
          <w:iCs/>
        </w:rPr>
        <w:t>A</w:t>
      </w:r>
      <w:r>
        <w:rPr>
          <w:i/>
          <w:iCs/>
        </w:rPr>
        <w:t>ppendix</w:t>
      </w:r>
      <w:r w:rsidRPr="00892EC9">
        <w:rPr>
          <w:i/>
          <w:iCs/>
        </w:rPr>
        <w:t xml:space="preserve"> A</w:t>
      </w:r>
      <w:r>
        <w:t xml:space="preserve"> hereto. </w:t>
      </w:r>
    </w:p>
  </w:footnote>
  <w:footnote w:id="7">
    <w:p w:rsidR="00D045CA" w:rsidP="00D045CA" w14:paraId="6576B35C" w14:textId="77777777">
      <w:pPr>
        <w:pStyle w:val="FootnoteText"/>
      </w:pPr>
      <w:r>
        <w:rPr>
          <w:rStyle w:val="FootnoteReference"/>
        </w:rPr>
        <w:footnoteRef/>
      </w:r>
      <w:r>
        <w:t xml:space="preserve"> As noted in the Petition, the Licensees are licensed primarily, but not exclusively, pursuant to Parts 90 and 101 of the Commission’s rules and have varying construction deadlines based upon the date each license was granted.  </w:t>
      </w:r>
      <w:r w:rsidRPr="00D017E9">
        <w:rPr>
          <w:i/>
          <w:iCs/>
        </w:rPr>
        <w:t xml:space="preserve">See </w:t>
      </w:r>
      <w:r>
        <w:t xml:space="preserve">Petition at 2.  Each of these Licensees will have 60 additional days from its specific, existing deadline.  For example, a Licensee with a deadline of </w:t>
      </w:r>
      <w:r w:rsidRPr="008C0CCB">
        <w:t>March 27, 2020, will have until May 26, 2020</w:t>
      </w:r>
      <w:r>
        <w:t>.</w:t>
      </w:r>
    </w:p>
  </w:footnote>
  <w:footnote w:id="8">
    <w:p w:rsidR="00D045CA" w:rsidP="00D045CA" w14:paraId="15CBC8C2" w14:textId="77777777">
      <w:pPr>
        <w:pStyle w:val="CommentText"/>
      </w:pPr>
      <w:r>
        <w:rPr>
          <w:rStyle w:val="FootnoteReference"/>
        </w:rPr>
        <w:footnoteRef/>
      </w:r>
      <w:r>
        <w:t xml:space="preserve"> </w:t>
      </w:r>
      <w:r w:rsidRPr="0025634A">
        <w:rPr>
          <w:i/>
          <w:iCs/>
        </w:rPr>
        <w:t>See</w:t>
      </w:r>
      <w:r>
        <w:t xml:space="preserve"> </w:t>
      </w:r>
      <w:hyperlink r:id="rId1" w:history="1">
        <w:r w:rsidRPr="009029AC">
          <w:rPr>
            <w:rStyle w:val="Hyperlink"/>
          </w:rPr>
          <w:t>https://www.whitehouse.gov/presidential-actions/proclamation-declaring-national-emergency-concerning-novel-coronavirus-disease-covid-19-outbreak/</w:t>
        </w:r>
      </w:hyperlink>
      <w:r>
        <w:t>.</w:t>
      </w:r>
    </w:p>
    <w:p w:rsidR="00D045CA" w:rsidP="00D045CA" w14:paraId="45E18960" w14:textId="77777777">
      <w:pPr>
        <w:pStyle w:val="FootnoteText"/>
      </w:pPr>
    </w:p>
  </w:footnote>
  <w:footnote w:id="9">
    <w:p w:rsidR="00D045CA" w:rsidRPr="007A0E4C" w:rsidP="00D045CA" w14:paraId="78600BFA" w14:textId="77777777">
      <w:pPr>
        <w:pStyle w:val="FootnoteText"/>
      </w:pPr>
      <w:r>
        <w:rPr>
          <w:rStyle w:val="FootnoteReference"/>
        </w:rPr>
        <w:footnoteRef/>
      </w:r>
      <w:r>
        <w:t xml:space="preserve"> </w:t>
      </w:r>
      <w:r>
        <w:rPr>
          <w:i/>
        </w:rPr>
        <w:t xml:space="preserve">Northeast Cellular Telephone Co. v. FCC, </w:t>
      </w:r>
      <w:r>
        <w:t>897 F.2d 1164, 1166 (D.C. Cir. 1990).</w:t>
      </w:r>
    </w:p>
  </w:footnote>
  <w:footnote w:id="10">
    <w:p w:rsidR="00D045CA" w:rsidRPr="00065067" w:rsidP="00D045CA" w14:paraId="17B86970" w14:textId="77777777">
      <w:pPr>
        <w:pStyle w:val="FootnoteText"/>
      </w:pPr>
      <w:r w:rsidRPr="00065067">
        <w:rPr>
          <w:rStyle w:val="FootnoteReference"/>
        </w:rPr>
        <w:footnoteRef/>
      </w:r>
      <w:r w:rsidRPr="00065067">
        <w:t xml:space="preserve"> </w:t>
      </w:r>
      <w:r w:rsidRPr="00065067">
        <w:rPr>
          <w:i/>
        </w:rPr>
        <w:t>WAIT Radio v. FCC</w:t>
      </w:r>
      <w:r w:rsidRPr="00065067">
        <w:t xml:space="preserve">, 418 F.2d 1153, 1159 (D.C. Cir. 1969); </w:t>
      </w:r>
      <w:r w:rsidRPr="00065067">
        <w:rPr>
          <w:i/>
        </w:rPr>
        <w:t>Northeast Cellular</w:t>
      </w:r>
      <w:r w:rsidRPr="00065067">
        <w:t>, 897 F.2d at 1166.</w:t>
      </w:r>
    </w:p>
  </w:footnote>
  <w:footnote w:id="11">
    <w:p w:rsidR="00D045CA" w:rsidRPr="009D378D" w:rsidP="00D045CA" w14:paraId="18B1ABA8" w14:textId="77777777">
      <w:pPr>
        <w:pStyle w:val="FootnoteText"/>
      </w:pPr>
      <w:r>
        <w:rPr>
          <w:rStyle w:val="FootnoteReference"/>
        </w:rPr>
        <w:footnoteRef/>
      </w:r>
      <w:r>
        <w:t xml:space="preserve"> 47 CFR § 1.925(b)(3).  </w:t>
      </w:r>
    </w:p>
  </w:footnote>
  <w:footnote w:id="12">
    <w:p w:rsidR="00D045CA" w:rsidP="00D045CA" w14:paraId="731307D2" w14:textId="77777777">
      <w:pPr>
        <w:pStyle w:val="FootnoteText"/>
      </w:pPr>
      <w:r>
        <w:rPr>
          <w:rStyle w:val="FootnoteReference"/>
        </w:rPr>
        <w:footnoteRef/>
      </w:r>
      <w:r>
        <w:t xml:space="preserve"> </w:t>
      </w:r>
      <w:r w:rsidRPr="004172FA">
        <w:rPr>
          <w:i/>
          <w:iCs/>
        </w:rPr>
        <w:t>See</w:t>
      </w:r>
      <w:r>
        <w:t xml:space="preserve"> Petition at 1; 47 CFR §§ 1.925, 1.946(c) and (d).</w:t>
      </w:r>
    </w:p>
  </w:footnote>
  <w:footnote w:id="13">
    <w:p w:rsidR="00D045CA" w:rsidP="00D045CA" w14:paraId="3C20018B" w14:textId="77777777">
      <w:pPr>
        <w:pStyle w:val="FootnoteText"/>
      </w:pPr>
      <w:r>
        <w:rPr>
          <w:rStyle w:val="FootnoteReference"/>
        </w:rPr>
        <w:footnoteRef/>
      </w:r>
      <w:r>
        <w:t xml:space="preserve"> </w:t>
      </w:r>
      <w:r w:rsidRPr="004172FA">
        <w:rPr>
          <w:i/>
          <w:iCs/>
        </w:rPr>
        <w:t xml:space="preserve">See </w:t>
      </w:r>
      <w:r>
        <w:t>Petition at 1.</w:t>
      </w:r>
    </w:p>
  </w:footnote>
  <w:footnote w:id="14">
    <w:p w:rsidR="00D045CA" w:rsidP="00D045CA" w14:paraId="32E80DE2" w14:textId="77777777">
      <w:pPr>
        <w:pStyle w:val="FootnoteText"/>
      </w:pPr>
      <w:r>
        <w:rPr>
          <w:rStyle w:val="FootnoteReference"/>
        </w:rPr>
        <w:footnoteRef/>
      </w:r>
      <w:r>
        <w:t xml:space="preserve"> </w:t>
      </w:r>
      <w:r w:rsidRPr="004172FA">
        <w:rPr>
          <w:i/>
          <w:iCs/>
        </w:rPr>
        <w:t>Id.</w:t>
      </w:r>
      <w:r>
        <w:t xml:space="preserve"> at 1, 3.</w:t>
      </w:r>
    </w:p>
  </w:footnote>
  <w:footnote w:id="15">
    <w:p w:rsidR="00D045CA" w:rsidP="00D045CA" w14:paraId="0B696F85" w14:textId="77777777">
      <w:pPr>
        <w:pStyle w:val="FootnoteText"/>
      </w:pPr>
      <w:r>
        <w:rPr>
          <w:rStyle w:val="FootnoteReference"/>
        </w:rPr>
        <w:footnoteRef/>
      </w:r>
      <w:r>
        <w:t xml:space="preserve"> </w:t>
      </w:r>
      <w:r w:rsidRPr="00963C9A">
        <w:rPr>
          <w:i/>
          <w:iCs/>
        </w:rPr>
        <w:t>Id.</w:t>
      </w:r>
      <w:r>
        <w:t xml:space="preserve"> at 1-2.</w:t>
      </w:r>
    </w:p>
  </w:footnote>
  <w:footnote w:id="16">
    <w:p w:rsidR="00D045CA" w:rsidP="00D045CA" w14:paraId="66E801AE" w14:textId="77777777">
      <w:pPr>
        <w:pStyle w:val="FootnoteText"/>
      </w:pPr>
      <w:r>
        <w:rPr>
          <w:rStyle w:val="FootnoteReference"/>
        </w:rPr>
        <w:footnoteRef/>
      </w:r>
      <w:r>
        <w:t xml:space="preserve"> </w:t>
      </w:r>
      <w:r w:rsidRPr="00A830FA">
        <w:rPr>
          <w:i/>
          <w:iCs/>
        </w:rPr>
        <w:t>Id.</w:t>
      </w:r>
      <w:r>
        <w:t xml:space="preserve"> at 3.</w:t>
      </w:r>
    </w:p>
  </w:footnote>
  <w:footnote w:id="17">
    <w:p w:rsidR="00D045CA" w:rsidP="00D045CA" w14:paraId="6D954B2C" w14:textId="77777777">
      <w:pPr>
        <w:pStyle w:val="FootnoteText"/>
      </w:pPr>
      <w:r>
        <w:rPr>
          <w:rStyle w:val="FootnoteReference"/>
        </w:rPr>
        <w:footnoteRef/>
      </w:r>
      <w:r>
        <w:t xml:space="preserve"> </w:t>
      </w:r>
      <w:r w:rsidRPr="00A830FA">
        <w:rPr>
          <w:i/>
          <w:iCs/>
        </w:rPr>
        <w:t>Id.</w:t>
      </w:r>
    </w:p>
  </w:footnote>
  <w:footnote w:id="18">
    <w:p w:rsidR="00D045CA" w:rsidP="00D045CA" w14:paraId="1371C475" w14:textId="77777777">
      <w:pPr>
        <w:pStyle w:val="FootnoteText"/>
      </w:pPr>
      <w:r>
        <w:rPr>
          <w:rStyle w:val="FootnoteReference"/>
        </w:rPr>
        <w:footnoteRef/>
      </w:r>
      <w:r>
        <w:t xml:space="preserve"> </w:t>
      </w:r>
      <w:r w:rsidRPr="000E60C4">
        <w:rPr>
          <w:i/>
          <w:iCs/>
        </w:rPr>
        <w:t>See</w:t>
      </w:r>
      <w:r>
        <w:t xml:space="preserve"> </w:t>
      </w:r>
      <w:r w:rsidRPr="00096BC8">
        <w:rPr>
          <w:i/>
          <w:iCs/>
        </w:rPr>
        <w:t>id.</w:t>
      </w:r>
      <w:r>
        <w:t xml:space="preserve"> at 1, 3-4.</w:t>
      </w:r>
    </w:p>
  </w:footnote>
  <w:footnote w:id="19">
    <w:p w:rsidR="00D045CA" w:rsidP="00D045CA" w14:paraId="0E8A7E85" w14:textId="77777777">
      <w:pPr>
        <w:pStyle w:val="FootnoteText"/>
      </w:pPr>
      <w:r>
        <w:rPr>
          <w:rStyle w:val="FootnoteReference"/>
        </w:rPr>
        <w:footnoteRef/>
      </w:r>
      <w:r>
        <w:t xml:space="preserve"> While EWA requests a waiver of Section 1.946 (d) (requiring notification of compliance within 15 days of a construction deadline), our partial grant of EWA’s petition extends the construction deadline for each license, making a separate extension of the notification deadline unnecessary.  </w:t>
      </w:r>
      <w:r w:rsidRPr="00CE45DE">
        <w:rPr>
          <w:i/>
          <w:iCs/>
        </w:rPr>
        <w:t xml:space="preserve">See </w:t>
      </w:r>
      <w:r>
        <w:t>47 CFR §§ 1.946 (c) and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3A5411" w14:paraId="19828C9E" w14:textId="5A7B9B7B">
    <w:pPr>
      <w:pStyle w:val="Header"/>
    </w:pPr>
    <w:r>
      <w:tab/>
      <w:t>Federal Communications Commission</w:t>
    </w:r>
    <w:r>
      <w:tab/>
    </w:r>
    <w:r w:rsidR="002509E8">
      <w:rPr>
        <w:spacing w:val="-2"/>
      </w:rPr>
      <w:t xml:space="preserve">DA </w:t>
    </w:r>
    <w:r w:rsidR="00A448AC">
      <w:rPr>
        <w:spacing w:val="-2"/>
      </w:rPr>
      <w:t>20-414</w:t>
    </w:r>
  </w:p>
  <w:p w:rsidR="005C3DBA" w14:paraId="4059595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C3DBA" w14:paraId="3EC57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DBA" w:rsidP="003A5411" w14:paraId="7C52331C" w14:textId="72BAFAA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D045CA">
      <w:rPr>
        <w:spacing w:val="-2"/>
      </w:rPr>
      <w:t>20-414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D14662"/>
    <w:multiLevelType w:val="hybridMultilevel"/>
    <w:tmpl w:val="B97075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D0F1B3D"/>
    <w:multiLevelType w:val="singleLevel"/>
    <w:tmpl w:val="27BC99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58C5C0B"/>
    <w:multiLevelType w:val="hybridMultilevel"/>
    <w:tmpl w:val="AE1C15C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8"/>
    <w:lvlOverride w:ilvl="0">
      <w:startOverride w:val="1"/>
    </w:lvlOverride>
  </w:num>
  <w:num w:numId="8">
    <w:abstractNumId w:val="5"/>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33"/>
    <w:rsid w:val="000000B5"/>
    <w:rsid w:val="00001903"/>
    <w:rsid w:val="00002858"/>
    <w:rsid w:val="000036D0"/>
    <w:rsid w:val="00003FA3"/>
    <w:rsid w:val="00007888"/>
    <w:rsid w:val="00011B70"/>
    <w:rsid w:val="00012489"/>
    <w:rsid w:val="00016CCF"/>
    <w:rsid w:val="000212C3"/>
    <w:rsid w:val="00034C2F"/>
    <w:rsid w:val="0003559E"/>
    <w:rsid w:val="00036039"/>
    <w:rsid w:val="00037F90"/>
    <w:rsid w:val="00040327"/>
    <w:rsid w:val="000411E9"/>
    <w:rsid w:val="0004161F"/>
    <w:rsid w:val="0004218E"/>
    <w:rsid w:val="00043C4F"/>
    <w:rsid w:val="00046586"/>
    <w:rsid w:val="0005310F"/>
    <w:rsid w:val="00055159"/>
    <w:rsid w:val="00065067"/>
    <w:rsid w:val="00065A56"/>
    <w:rsid w:val="00065F79"/>
    <w:rsid w:val="00066155"/>
    <w:rsid w:val="000714D7"/>
    <w:rsid w:val="00074089"/>
    <w:rsid w:val="00076BAD"/>
    <w:rsid w:val="00081814"/>
    <w:rsid w:val="000838F1"/>
    <w:rsid w:val="00086DFE"/>
    <w:rsid w:val="000875BF"/>
    <w:rsid w:val="00094930"/>
    <w:rsid w:val="00096BC8"/>
    <w:rsid w:val="00096D8C"/>
    <w:rsid w:val="000A1433"/>
    <w:rsid w:val="000A3DEC"/>
    <w:rsid w:val="000A7427"/>
    <w:rsid w:val="000B1819"/>
    <w:rsid w:val="000B4CD0"/>
    <w:rsid w:val="000C047C"/>
    <w:rsid w:val="000C0B65"/>
    <w:rsid w:val="000C6AE0"/>
    <w:rsid w:val="000D0E4E"/>
    <w:rsid w:val="000D7A49"/>
    <w:rsid w:val="000E05FE"/>
    <w:rsid w:val="000E2216"/>
    <w:rsid w:val="000E2FCE"/>
    <w:rsid w:val="000E3CB0"/>
    <w:rsid w:val="000E3D42"/>
    <w:rsid w:val="000E60C4"/>
    <w:rsid w:val="000E6F9A"/>
    <w:rsid w:val="000F0E37"/>
    <w:rsid w:val="000F138E"/>
    <w:rsid w:val="000F2676"/>
    <w:rsid w:val="000F6816"/>
    <w:rsid w:val="000F6AEC"/>
    <w:rsid w:val="00100294"/>
    <w:rsid w:val="00103750"/>
    <w:rsid w:val="00106291"/>
    <w:rsid w:val="00107DB4"/>
    <w:rsid w:val="00110A73"/>
    <w:rsid w:val="001155E7"/>
    <w:rsid w:val="00116151"/>
    <w:rsid w:val="0012171A"/>
    <w:rsid w:val="00122BD5"/>
    <w:rsid w:val="00123509"/>
    <w:rsid w:val="001270DB"/>
    <w:rsid w:val="00133C4D"/>
    <w:rsid w:val="00133F79"/>
    <w:rsid w:val="00134B5E"/>
    <w:rsid w:val="00140701"/>
    <w:rsid w:val="00140A0B"/>
    <w:rsid w:val="00141401"/>
    <w:rsid w:val="00147718"/>
    <w:rsid w:val="00150A75"/>
    <w:rsid w:val="00152BD2"/>
    <w:rsid w:val="00155750"/>
    <w:rsid w:val="00184D07"/>
    <w:rsid w:val="00186F98"/>
    <w:rsid w:val="00190A44"/>
    <w:rsid w:val="0019311A"/>
    <w:rsid w:val="00194A66"/>
    <w:rsid w:val="001959C9"/>
    <w:rsid w:val="001A3EE4"/>
    <w:rsid w:val="001B5989"/>
    <w:rsid w:val="001B5FE1"/>
    <w:rsid w:val="001C7205"/>
    <w:rsid w:val="001D6BCF"/>
    <w:rsid w:val="001E01CA"/>
    <w:rsid w:val="001E04D9"/>
    <w:rsid w:val="001E47D8"/>
    <w:rsid w:val="001E51AD"/>
    <w:rsid w:val="001F36A8"/>
    <w:rsid w:val="00200504"/>
    <w:rsid w:val="002050EE"/>
    <w:rsid w:val="00205AA0"/>
    <w:rsid w:val="0021006C"/>
    <w:rsid w:val="00211175"/>
    <w:rsid w:val="0022773F"/>
    <w:rsid w:val="00234FD3"/>
    <w:rsid w:val="00245D88"/>
    <w:rsid w:val="00246AAF"/>
    <w:rsid w:val="002503B8"/>
    <w:rsid w:val="002509E8"/>
    <w:rsid w:val="002535F8"/>
    <w:rsid w:val="00254B78"/>
    <w:rsid w:val="0025634A"/>
    <w:rsid w:val="00261F91"/>
    <w:rsid w:val="0026688D"/>
    <w:rsid w:val="00275CF5"/>
    <w:rsid w:val="00276CDA"/>
    <w:rsid w:val="00280B49"/>
    <w:rsid w:val="0028301F"/>
    <w:rsid w:val="00283371"/>
    <w:rsid w:val="00283936"/>
    <w:rsid w:val="00283C37"/>
    <w:rsid w:val="00283F4B"/>
    <w:rsid w:val="00285017"/>
    <w:rsid w:val="00287EDB"/>
    <w:rsid w:val="002963C8"/>
    <w:rsid w:val="002A084D"/>
    <w:rsid w:val="002A090A"/>
    <w:rsid w:val="002A2491"/>
    <w:rsid w:val="002A2D2E"/>
    <w:rsid w:val="002A33C4"/>
    <w:rsid w:val="002A5167"/>
    <w:rsid w:val="002A5F35"/>
    <w:rsid w:val="002A6742"/>
    <w:rsid w:val="002B067E"/>
    <w:rsid w:val="002B77F9"/>
    <w:rsid w:val="002C00E8"/>
    <w:rsid w:val="002C527C"/>
    <w:rsid w:val="002C6ABD"/>
    <w:rsid w:val="002C719A"/>
    <w:rsid w:val="002D0D24"/>
    <w:rsid w:val="002E2651"/>
    <w:rsid w:val="002E45D2"/>
    <w:rsid w:val="002E4867"/>
    <w:rsid w:val="002F03CA"/>
    <w:rsid w:val="00302F55"/>
    <w:rsid w:val="00303E64"/>
    <w:rsid w:val="00312297"/>
    <w:rsid w:val="00341FF5"/>
    <w:rsid w:val="0034255F"/>
    <w:rsid w:val="003432F0"/>
    <w:rsid w:val="00343749"/>
    <w:rsid w:val="00350718"/>
    <w:rsid w:val="00351354"/>
    <w:rsid w:val="00355D00"/>
    <w:rsid w:val="00357B77"/>
    <w:rsid w:val="00361DBE"/>
    <w:rsid w:val="003644A7"/>
    <w:rsid w:val="003660ED"/>
    <w:rsid w:val="00366C04"/>
    <w:rsid w:val="00373F4B"/>
    <w:rsid w:val="00376B9B"/>
    <w:rsid w:val="00385728"/>
    <w:rsid w:val="00385EAD"/>
    <w:rsid w:val="00390EE9"/>
    <w:rsid w:val="003A4BF5"/>
    <w:rsid w:val="003A5411"/>
    <w:rsid w:val="003A606A"/>
    <w:rsid w:val="003A6EF1"/>
    <w:rsid w:val="003B0550"/>
    <w:rsid w:val="003B4BAF"/>
    <w:rsid w:val="003B694F"/>
    <w:rsid w:val="003C0DB8"/>
    <w:rsid w:val="003C58A5"/>
    <w:rsid w:val="003D039B"/>
    <w:rsid w:val="003D481D"/>
    <w:rsid w:val="003E04EE"/>
    <w:rsid w:val="003E0BB6"/>
    <w:rsid w:val="003E2E36"/>
    <w:rsid w:val="003F171C"/>
    <w:rsid w:val="00400918"/>
    <w:rsid w:val="00407006"/>
    <w:rsid w:val="004076B8"/>
    <w:rsid w:val="00412FC5"/>
    <w:rsid w:val="00413C6A"/>
    <w:rsid w:val="00413D92"/>
    <w:rsid w:val="00416471"/>
    <w:rsid w:val="004172FA"/>
    <w:rsid w:val="00422276"/>
    <w:rsid w:val="00423267"/>
    <w:rsid w:val="004242F1"/>
    <w:rsid w:val="004313E2"/>
    <w:rsid w:val="00441FD8"/>
    <w:rsid w:val="004452BD"/>
    <w:rsid w:val="00445A00"/>
    <w:rsid w:val="00451B0F"/>
    <w:rsid w:val="00453333"/>
    <w:rsid w:val="00464B1B"/>
    <w:rsid w:val="0047009E"/>
    <w:rsid w:val="00470502"/>
    <w:rsid w:val="0047393D"/>
    <w:rsid w:val="004739EB"/>
    <w:rsid w:val="00475F00"/>
    <w:rsid w:val="004763E5"/>
    <w:rsid w:val="00476A32"/>
    <w:rsid w:val="00480D81"/>
    <w:rsid w:val="004841B8"/>
    <w:rsid w:val="00491233"/>
    <w:rsid w:val="0049128C"/>
    <w:rsid w:val="004A125C"/>
    <w:rsid w:val="004A185C"/>
    <w:rsid w:val="004A2F78"/>
    <w:rsid w:val="004A3017"/>
    <w:rsid w:val="004B6B04"/>
    <w:rsid w:val="004C0DAD"/>
    <w:rsid w:val="004C2EA8"/>
    <w:rsid w:val="004C2EE3"/>
    <w:rsid w:val="004D4B9C"/>
    <w:rsid w:val="004D5196"/>
    <w:rsid w:val="004D7C5B"/>
    <w:rsid w:val="004E4A22"/>
    <w:rsid w:val="004E7F24"/>
    <w:rsid w:val="004F2E63"/>
    <w:rsid w:val="00500E72"/>
    <w:rsid w:val="0050226B"/>
    <w:rsid w:val="00505FD2"/>
    <w:rsid w:val="00507EBC"/>
    <w:rsid w:val="00511968"/>
    <w:rsid w:val="00514887"/>
    <w:rsid w:val="00516730"/>
    <w:rsid w:val="005302B2"/>
    <w:rsid w:val="00531863"/>
    <w:rsid w:val="00531CFD"/>
    <w:rsid w:val="0053701A"/>
    <w:rsid w:val="00546256"/>
    <w:rsid w:val="0055254B"/>
    <w:rsid w:val="0055614C"/>
    <w:rsid w:val="00556FF3"/>
    <w:rsid w:val="00565F1E"/>
    <w:rsid w:val="00566D06"/>
    <w:rsid w:val="00582EBE"/>
    <w:rsid w:val="0058324A"/>
    <w:rsid w:val="0058646D"/>
    <w:rsid w:val="005902EF"/>
    <w:rsid w:val="00590ABE"/>
    <w:rsid w:val="005A0E53"/>
    <w:rsid w:val="005A41E3"/>
    <w:rsid w:val="005A505E"/>
    <w:rsid w:val="005B1453"/>
    <w:rsid w:val="005B77EB"/>
    <w:rsid w:val="005C3DBA"/>
    <w:rsid w:val="005D1BD9"/>
    <w:rsid w:val="005E029E"/>
    <w:rsid w:val="005E14C2"/>
    <w:rsid w:val="005E15EF"/>
    <w:rsid w:val="005F4BEC"/>
    <w:rsid w:val="005F5F64"/>
    <w:rsid w:val="00600C19"/>
    <w:rsid w:val="00607BA5"/>
    <w:rsid w:val="0061180A"/>
    <w:rsid w:val="00621F7D"/>
    <w:rsid w:val="00625F16"/>
    <w:rsid w:val="00626EB6"/>
    <w:rsid w:val="00632513"/>
    <w:rsid w:val="00641BEE"/>
    <w:rsid w:val="00642C93"/>
    <w:rsid w:val="006431D2"/>
    <w:rsid w:val="006534DE"/>
    <w:rsid w:val="00655D03"/>
    <w:rsid w:val="00663A96"/>
    <w:rsid w:val="00665976"/>
    <w:rsid w:val="00670F65"/>
    <w:rsid w:val="00672A95"/>
    <w:rsid w:val="00672F76"/>
    <w:rsid w:val="00683388"/>
    <w:rsid w:val="00683F84"/>
    <w:rsid w:val="006846B8"/>
    <w:rsid w:val="006A6A81"/>
    <w:rsid w:val="006B3E45"/>
    <w:rsid w:val="006B5009"/>
    <w:rsid w:val="006B6117"/>
    <w:rsid w:val="006C35EB"/>
    <w:rsid w:val="006C4B99"/>
    <w:rsid w:val="006C602C"/>
    <w:rsid w:val="006D3F0E"/>
    <w:rsid w:val="006F2D48"/>
    <w:rsid w:val="006F7393"/>
    <w:rsid w:val="00701E58"/>
    <w:rsid w:val="0070224F"/>
    <w:rsid w:val="007115F7"/>
    <w:rsid w:val="0072114F"/>
    <w:rsid w:val="00725C98"/>
    <w:rsid w:val="00725DD4"/>
    <w:rsid w:val="007533D3"/>
    <w:rsid w:val="00754545"/>
    <w:rsid w:val="00761363"/>
    <w:rsid w:val="007623CF"/>
    <w:rsid w:val="007631B6"/>
    <w:rsid w:val="007656C1"/>
    <w:rsid w:val="00772195"/>
    <w:rsid w:val="0077262E"/>
    <w:rsid w:val="007768AD"/>
    <w:rsid w:val="00777DEF"/>
    <w:rsid w:val="00785689"/>
    <w:rsid w:val="00786D60"/>
    <w:rsid w:val="00792DFC"/>
    <w:rsid w:val="00793E85"/>
    <w:rsid w:val="00794837"/>
    <w:rsid w:val="00794AE6"/>
    <w:rsid w:val="0079754B"/>
    <w:rsid w:val="00797D5A"/>
    <w:rsid w:val="007A0E4C"/>
    <w:rsid w:val="007A1E6D"/>
    <w:rsid w:val="007B08D9"/>
    <w:rsid w:val="007B0EB2"/>
    <w:rsid w:val="007B1E2B"/>
    <w:rsid w:val="007B7859"/>
    <w:rsid w:val="007B7BF3"/>
    <w:rsid w:val="007C400F"/>
    <w:rsid w:val="007C61E7"/>
    <w:rsid w:val="007C713F"/>
    <w:rsid w:val="007C75CF"/>
    <w:rsid w:val="007C7CF0"/>
    <w:rsid w:val="007D0BB3"/>
    <w:rsid w:val="007D2A9B"/>
    <w:rsid w:val="007E09C5"/>
    <w:rsid w:val="007E3333"/>
    <w:rsid w:val="007E506A"/>
    <w:rsid w:val="007E73B7"/>
    <w:rsid w:val="007E7571"/>
    <w:rsid w:val="007F0038"/>
    <w:rsid w:val="007F665F"/>
    <w:rsid w:val="00803FCC"/>
    <w:rsid w:val="00810B6F"/>
    <w:rsid w:val="00822CE0"/>
    <w:rsid w:val="00827109"/>
    <w:rsid w:val="008312C1"/>
    <w:rsid w:val="00833D30"/>
    <w:rsid w:val="0084037F"/>
    <w:rsid w:val="0084125E"/>
    <w:rsid w:val="00841AB1"/>
    <w:rsid w:val="00844151"/>
    <w:rsid w:val="008503BB"/>
    <w:rsid w:val="00850E5F"/>
    <w:rsid w:val="00863D9D"/>
    <w:rsid w:val="008720CD"/>
    <w:rsid w:val="00876BD4"/>
    <w:rsid w:val="008813D7"/>
    <w:rsid w:val="00887635"/>
    <w:rsid w:val="00890570"/>
    <w:rsid w:val="00892EC9"/>
    <w:rsid w:val="00893BA0"/>
    <w:rsid w:val="008A744A"/>
    <w:rsid w:val="008B57F1"/>
    <w:rsid w:val="008C0CCB"/>
    <w:rsid w:val="008C619C"/>
    <w:rsid w:val="008C68F1"/>
    <w:rsid w:val="008D0523"/>
    <w:rsid w:val="008D4E53"/>
    <w:rsid w:val="008D6D12"/>
    <w:rsid w:val="008E06E6"/>
    <w:rsid w:val="008E1F56"/>
    <w:rsid w:val="008E32BC"/>
    <w:rsid w:val="008E36A1"/>
    <w:rsid w:val="008E44CE"/>
    <w:rsid w:val="008E5147"/>
    <w:rsid w:val="008E6308"/>
    <w:rsid w:val="008E7813"/>
    <w:rsid w:val="008F0AFD"/>
    <w:rsid w:val="008F2F2D"/>
    <w:rsid w:val="008F371B"/>
    <w:rsid w:val="00902812"/>
    <w:rsid w:val="009029AC"/>
    <w:rsid w:val="0090430C"/>
    <w:rsid w:val="00904D08"/>
    <w:rsid w:val="00905853"/>
    <w:rsid w:val="00907EAD"/>
    <w:rsid w:val="00910AAE"/>
    <w:rsid w:val="009132E7"/>
    <w:rsid w:val="0091469C"/>
    <w:rsid w:val="0091533A"/>
    <w:rsid w:val="00921803"/>
    <w:rsid w:val="009231DB"/>
    <w:rsid w:val="00926503"/>
    <w:rsid w:val="00943282"/>
    <w:rsid w:val="00943EFF"/>
    <w:rsid w:val="00950C17"/>
    <w:rsid w:val="00952611"/>
    <w:rsid w:val="00956E17"/>
    <w:rsid w:val="009573AD"/>
    <w:rsid w:val="0096055B"/>
    <w:rsid w:val="00963C9A"/>
    <w:rsid w:val="0096710B"/>
    <w:rsid w:val="009726D8"/>
    <w:rsid w:val="009768A2"/>
    <w:rsid w:val="00977EE9"/>
    <w:rsid w:val="009825EE"/>
    <w:rsid w:val="00985E62"/>
    <w:rsid w:val="00992A28"/>
    <w:rsid w:val="00992F9F"/>
    <w:rsid w:val="00994003"/>
    <w:rsid w:val="00996067"/>
    <w:rsid w:val="009A495E"/>
    <w:rsid w:val="009B3327"/>
    <w:rsid w:val="009C047C"/>
    <w:rsid w:val="009C3AC3"/>
    <w:rsid w:val="009C414E"/>
    <w:rsid w:val="009C4E09"/>
    <w:rsid w:val="009D0D22"/>
    <w:rsid w:val="009D378D"/>
    <w:rsid w:val="009D61D2"/>
    <w:rsid w:val="009D7308"/>
    <w:rsid w:val="009E35CC"/>
    <w:rsid w:val="009E5846"/>
    <w:rsid w:val="009F6C0F"/>
    <w:rsid w:val="009F729C"/>
    <w:rsid w:val="009F76DB"/>
    <w:rsid w:val="00A053EA"/>
    <w:rsid w:val="00A06387"/>
    <w:rsid w:val="00A10DDD"/>
    <w:rsid w:val="00A117F9"/>
    <w:rsid w:val="00A138AD"/>
    <w:rsid w:val="00A23CAF"/>
    <w:rsid w:val="00A24D9A"/>
    <w:rsid w:val="00A30ECC"/>
    <w:rsid w:val="00A3179C"/>
    <w:rsid w:val="00A32C3B"/>
    <w:rsid w:val="00A348AA"/>
    <w:rsid w:val="00A4022E"/>
    <w:rsid w:val="00A40593"/>
    <w:rsid w:val="00A43778"/>
    <w:rsid w:val="00A448AC"/>
    <w:rsid w:val="00A45F4F"/>
    <w:rsid w:val="00A46959"/>
    <w:rsid w:val="00A47734"/>
    <w:rsid w:val="00A47C20"/>
    <w:rsid w:val="00A53F11"/>
    <w:rsid w:val="00A543F9"/>
    <w:rsid w:val="00A56DEA"/>
    <w:rsid w:val="00A600A9"/>
    <w:rsid w:val="00A60D72"/>
    <w:rsid w:val="00A61D94"/>
    <w:rsid w:val="00A62863"/>
    <w:rsid w:val="00A664F0"/>
    <w:rsid w:val="00A750E3"/>
    <w:rsid w:val="00A75932"/>
    <w:rsid w:val="00A82B2F"/>
    <w:rsid w:val="00A830FA"/>
    <w:rsid w:val="00A850C0"/>
    <w:rsid w:val="00A95B54"/>
    <w:rsid w:val="00A96D14"/>
    <w:rsid w:val="00A9750F"/>
    <w:rsid w:val="00AA55B7"/>
    <w:rsid w:val="00AA5B9E"/>
    <w:rsid w:val="00AA71E8"/>
    <w:rsid w:val="00AB0941"/>
    <w:rsid w:val="00AB22D2"/>
    <w:rsid w:val="00AB2407"/>
    <w:rsid w:val="00AB2F30"/>
    <w:rsid w:val="00AB53DF"/>
    <w:rsid w:val="00AC014B"/>
    <w:rsid w:val="00AC1865"/>
    <w:rsid w:val="00AC37B0"/>
    <w:rsid w:val="00AC42A6"/>
    <w:rsid w:val="00AC73D5"/>
    <w:rsid w:val="00AD4681"/>
    <w:rsid w:val="00AE2AF1"/>
    <w:rsid w:val="00AF4D44"/>
    <w:rsid w:val="00AF6230"/>
    <w:rsid w:val="00B04FA4"/>
    <w:rsid w:val="00B0691D"/>
    <w:rsid w:val="00B07E5C"/>
    <w:rsid w:val="00B1084D"/>
    <w:rsid w:val="00B13097"/>
    <w:rsid w:val="00B208A7"/>
    <w:rsid w:val="00B210A5"/>
    <w:rsid w:val="00B21E2A"/>
    <w:rsid w:val="00B27EA3"/>
    <w:rsid w:val="00B3163F"/>
    <w:rsid w:val="00B359F0"/>
    <w:rsid w:val="00B362D2"/>
    <w:rsid w:val="00B44574"/>
    <w:rsid w:val="00B50F37"/>
    <w:rsid w:val="00B53BF1"/>
    <w:rsid w:val="00B57A58"/>
    <w:rsid w:val="00B703DD"/>
    <w:rsid w:val="00B7074D"/>
    <w:rsid w:val="00B73D2F"/>
    <w:rsid w:val="00B80C87"/>
    <w:rsid w:val="00B811F7"/>
    <w:rsid w:val="00B81504"/>
    <w:rsid w:val="00B825A4"/>
    <w:rsid w:val="00B9060F"/>
    <w:rsid w:val="00B92990"/>
    <w:rsid w:val="00B92DD2"/>
    <w:rsid w:val="00B95BBD"/>
    <w:rsid w:val="00B97719"/>
    <w:rsid w:val="00B97F2A"/>
    <w:rsid w:val="00BA20C0"/>
    <w:rsid w:val="00BA5DC6"/>
    <w:rsid w:val="00BA6196"/>
    <w:rsid w:val="00BB2A03"/>
    <w:rsid w:val="00BB2CF0"/>
    <w:rsid w:val="00BB2D00"/>
    <w:rsid w:val="00BB2DC2"/>
    <w:rsid w:val="00BB4E53"/>
    <w:rsid w:val="00BB5B05"/>
    <w:rsid w:val="00BB710B"/>
    <w:rsid w:val="00BC1D4B"/>
    <w:rsid w:val="00BC6D8C"/>
    <w:rsid w:val="00BD280B"/>
    <w:rsid w:val="00BD62EC"/>
    <w:rsid w:val="00BE1758"/>
    <w:rsid w:val="00BE3E7D"/>
    <w:rsid w:val="00BE58A2"/>
    <w:rsid w:val="00BF2BB4"/>
    <w:rsid w:val="00BF5C71"/>
    <w:rsid w:val="00BF610E"/>
    <w:rsid w:val="00C0371C"/>
    <w:rsid w:val="00C03E7E"/>
    <w:rsid w:val="00C07D64"/>
    <w:rsid w:val="00C25ECB"/>
    <w:rsid w:val="00C26342"/>
    <w:rsid w:val="00C2702A"/>
    <w:rsid w:val="00C2748D"/>
    <w:rsid w:val="00C329F5"/>
    <w:rsid w:val="00C34006"/>
    <w:rsid w:val="00C34B71"/>
    <w:rsid w:val="00C36B4C"/>
    <w:rsid w:val="00C36BE0"/>
    <w:rsid w:val="00C426B1"/>
    <w:rsid w:val="00C5422E"/>
    <w:rsid w:val="00C54E90"/>
    <w:rsid w:val="00C62C9E"/>
    <w:rsid w:val="00C66160"/>
    <w:rsid w:val="00C67404"/>
    <w:rsid w:val="00C67B2F"/>
    <w:rsid w:val="00C721AC"/>
    <w:rsid w:val="00C763F7"/>
    <w:rsid w:val="00C90D6A"/>
    <w:rsid w:val="00C9130A"/>
    <w:rsid w:val="00C97ADA"/>
    <w:rsid w:val="00C97D8E"/>
    <w:rsid w:val="00CA247E"/>
    <w:rsid w:val="00CA32F4"/>
    <w:rsid w:val="00CA62F2"/>
    <w:rsid w:val="00CA6D21"/>
    <w:rsid w:val="00CB0BD5"/>
    <w:rsid w:val="00CB14D9"/>
    <w:rsid w:val="00CB3970"/>
    <w:rsid w:val="00CB475F"/>
    <w:rsid w:val="00CB5B31"/>
    <w:rsid w:val="00CB6B67"/>
    <w:rsid w:val="00CC0F68"/>
    <w:rsid w:val="00CC72B6"/>
    <w:rsid w:val="00CC78BE"/>
    <w:rsid w:val="00CD0627"/>
    <w:rsid w:val="00CD795B"/>
    <w:rsid w:val="00CD7BA4"/>
    <w:rsid w:val="00CE45DE"/>
    <w:rsid w:val="00CE4E64"/>
    <w:rsid w:val="00D017E9"/>
    <w:rsid w:val="00D0218D"/>
    <w:rsid w:val="00D045CA"/>
    <w:rsid w:val="00D066AD"/>
    <w:rsid w:val="00D212B0"/>
    <w:rsid w:val="00D22EB0"/>
    <w:rsid w:val="00D25FB5"/>
    <w:rsid w:val="00D26569"/>
    <w:rsid w:val="00D36EBE"/>
    <w:rsid w:val="00D44223"/>
    <w:rsid w:val="00D4542A"/>
    <w:rsid w:val="00D57173"/>
    <w:rsid w:val="00D62840"/>
    <w:rsid w:val="00D62DDE"/>
    <w:rsid w:val="00D64C0F"/>
    <w:rsid w:val="00D674DA"/>
    <w:rsid w:val="00D7237A"/>
    <w:rsid w:val="00D76B62"/>
    <w:rsid w:val="00D80E0D"/>
    <w:rsid w:val="00D859BA"/>
    <w:rsid w:val="00D8607F"/>
    <w:rsid w:val="00D945B6"/>
    <w:rsid w:val="00D94CC1"/>
    <w:rsid w:val="00D9543E"/>
    <w:rsid w:val="00DA2529"/>
    <w:rsid w:val="00DA4210"/>
    <w:rsid w:val="00DA586A"/>
    <w:rsid w:val="00DA5B85"/>
    <w:rsid w:val="00DB130A"/>
    <w:rsid w:val="00DB1F21"/>
    <w:rsid w:val="00DB2EBB"/>
    <w:rsid w:val="00DC10A1"/>
    <w:rsid w:val="00DC20E4"/>
    <w:rsid w:val="00DC2A82"/>
    <w:rsid w:val="00DC3791"/>
    <w:rsid w:val="00DC655F"/>
    <w:rsid w:val="00DC6B8E"/>
    <w:rsid w:val="00DC7CEA"/>
    <w:rsid w:val="00DD0B59"/>
    <w:rsid w:val="00DD46CF"/>
    <w:rsid w:val="00DD46E8"/>
    <w:rsid w:val="00DD5A24"/>
    <w:rsid w:val="00DD7EBD"/>
    <w:rsid w:val="00DE2CD7"/>
    <w:rsid w:val="00DE343F"/>
    <w:rsid w:val="00DE4DC2"/>
    <w:rsid w:val="00DE5418"/>
    <w:rsid w:val="00DE5A34"/>
    <w:rsid w:val="00DE6BA7"/>
    <w:rsid w:val="00DF1C49"/>
    <w:rsid w:val="00DF62B6"/>
    <w:rsid w:val="00DF7FDC"/>
    <w:rsid w:val="00E00C38"/>
    <w:rsid w:val="00E05FE4"/>
    <w:rsid w:val="00E06025"/>
    <w:rsid w:val="00E07225"/>
    <w:rsid w:val="00E07D56"/>
    <w:rsid w:val="00E15BF9"/>
    <w:rsid w:val="00E24759"/>
    <w:rsid w:val="00E33985"/>
    <w:rsid w:val="00E420A0"/>
    <w:rsid w:val="00E442B6"/>
    <w:rsid w:val="00E44757"/>
    <w:rsid w:val="00E4784A"/>
    <w:rsid w:val="00E51B9F"/>
    <w:rsid w:val="00E5409F"/>
    <w:rsid w:val="00E55AA8"/>
    <w:rsid w:val="00E60E55"/>
    <w:rsid w:val="00E6399D"/>
    <w:rsid w:val="00E63A20"/>
    <w:rsid w:val="00E66785"/>
    <w:rsid w:val="00E726B4"/>
    <w:rsid w:val="00E72BF3"/>
    <w:rsid w:val="00E82A74"/>
    <w:rsid w:val="00E84E7E"/>
    <w:rsid w:val="00E8763E"/>
    <w:rsid w:val="00E903F9"/>
    <w:rsid w:val="00E958D2"/>
    <w:rsid w:val="00E96293"/>
    <w:rsid w:val="00E96E3C"/>
    <w:rsid w:val="00E9701B"/>
    <w:rsid w:val="00EA0065"/>
    <w:rsid w:val="00EA565E"/>
    <w:rsid w:val="00EA7D9A"/>
    <w:rsid w:val="00EC2745"/>
    <w:rsid w:val="00EC3F5E"/>
    <w:rsid w:val="00EC46B1"/>
    <w:rsid w:val="00EC745B"/>
    <w:rsid w:val="00ED2F3B"/>
    <w:rsid w:val="00EE4950"/>
    <w:rsid w:val="00EE4A5E"/>
    <w:rsid w:val="00EE6488"/>
    <w:rsid w:val="00EE777B"/>
    <w:rsid w:val="00F021FA"/>
    <w:rsid w:val="00F04028"/>
    <w:rsid w:val="00F127AC"/>
    <w:rsid w:val="00F13457"/>
    <w:rsid w:val="00F33F19"/>
    <w:rsid w:val="00F33FA6"/>
    <w:rsid w:val="00F377ED"/>
    <w:rsid w:val="00F513DF"/>
    <w:rsid w:val="00F52B74"/>
    <w:rsid w:val="00F5390E"/>
    <w:rsid w:val="00F55639"/>
    <w:rsid w:val="00F5608C"/>
    <w:rsid w:val="00F62E97"/>
    <w:rsid w:val="00F64209"/>
    <w:rsid w:val="00F746EE"/>
    <w:rsid w:val="00F836A6"/>
    <w:rsid w:val="00F91ABE"/>
    <w:rsid w:val="00F9268C"/>
    <w:rsid w:val="00F93BF5"/>
    <w:rsid w:val="00F95A1F"/>
    <w:rsid w:val="00F96AF3"/>
    <w:rsid w:val="00FA2317"/>
    <w:rsid w:val="00FB235C"/>
    <w:rsid w:val="00FC22CE"/>
    <w:rsid w:val="00FC3BB2"/>
    <w:rsid w:val="00FC47F5"/>
    <w:rsid w:val="00FC6AA1"/>
    <w:rsid w:val="00FC7A3A"/>
    <w:rsid w:val="00FD22BF"/>
    <w:rsid w:val="00FD3667"/>
    <w:rsid w:val="00FE4CA2"/>
    <w:rsid w:val="00FE60D9"/>
    <w:rsid w:val="00FE6F59"/>
    <w:rsid w:val="00FF34CB"/>
    <w:rsid w:val="00FF48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4C33F-6565-446C-93FE-8C8C039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17"/>
    <w:pPr>
      <w:widowControl w:val="0"/>
    </w:pPr>
    <w:rPr>
      <w:snapToGrid w:val="0"/>
      <w:kern w:val="28"/>
      <w:sz w:val="22"/>
    </w:rPr>
  </w:style>
  <w:style w:type="paragraph" w:styleId="Heading1">
    <w:name w:val="heading 1"/>
    <w:basedOn w:val="Normal"/>
    <w:next w:val="ParaNum"/>
    <w:qFormat/>
    <w:rsid w:val="00950C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0C17"/>
    <w:pPr>
      <w:keepNext/>
      <w:numPr>
        <w:ilvl w:val="1"/>
        <w:numId w:val="3"/>
      </w:numPr>
      <w:spacing w:after="120"/>
      <w:outlineLvl w:val="1"/>
    </w:pPr>
    <w:rPr>
      <w:b/>
    </w:rPr>
  </w:style>
  <w:style w:type="paragraph" w:styleId="Heading3">
    <w:name w:val="heading 3"/>
    <w:basedOn w:val="Normal"/>
    <w:next w:val="ParaNum"/>
    <w:qFormat/>
    <w:rsid w:val="00950C17"/>
    <w:pPr>
      <w:keepNext/>
      <w:numPr>
        <w:ilvl w:val="2"/>
        <w:numId w:val="3"/>
      </w:numPr>
      <w:tabs>
        <w:tab w:val="left" w:pos="2160"/>
      </w:tabs>
      <w:spacing w:after="120"/>
      <w:outlineLvl w:val="2"/>
    </w:pPr>
    <w:rPr>
      <w:b/>
    </w:rPr>
  </w:style>
  <w:style w:type="paragraph" w:styleId="Heading4">
    <w:name w:val="heading 4"/>
    <w:basedOn w:val="Normal"/>
    <w:next w:val="ParaNum"/>
    <w:qFormat/>
    <w:rsid w:val="00950C17"/>
    <w:pPr>
      <w:keepNext/>
      <w:numPr>
        <w:ilvl w:val="3"/>
        <w:numId w:val="3"/>
      </w:numPr>
      <w:tabs>
        <w:tab w:val="left" w:pos="2880"/>
      </w:tabs>
      <w:spacing w:after="120"/>
      <w:outlineLvl w:val="3"/>
    </w:pPr>
    <w:rPr>
      <w:b/>
    </w:rPr>
  </w:style>
  <w:style w:type="paragraph" w:styleId="Heading5">
    <w:name w:val="heading 5"/>
    <w:basedOn w:val="Normal"/>
    <w:next w:val="ParaNum"/>
    <w:qFormat/>
    <w:rsid w:val="00950C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0C17"/>
    <w:pPr>
      <w:numPr>
        <w:ilvl w:val="5"/>
        <w:numId w:val="3"/>
      </w:numPr>
      <w:tabs>
        <w:tab w:val="left" w:pos="4320"/>
      </w:tabs>
      <w:spacing w:after="120"/>
      <w:outlineLvl w:val="5"/>
    </w:pPr>
    <w:rPr>
      <w:b/>
    </w:rPr>
  </w:style>
  <w:style w:type="paragraph" w:styleId="Heading7">
    <w:name w:val="heading 7"/>
    <w:basedOn w:val="Normal"/>
    <w:next w:val="ParaNum"/>
    <w:qFormat/>
    <w:rsid w:val="00950C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0C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0C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0C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C17"/>
  </w:style>
  <w:style w:type="paragraph" w:customStyle="1" w:styleId="ParaNum">
    <w:name w:val="ParaNum"/>
    <w:basedOn w:val="Normal"/>
    <w:rsid w:val="00950C17"/>
    <w:pPr>
      <w:numPr>
        <w:numId w:val="2"/>
      </w:numPr>
      <w:tabs>
        <w:tab w:val="clear" w:pos="1080"/>
        <w:tab w:val="num" w:pos="1440"/>
      </w:tabs>
      <w:spacing w:after="120"/>
    </w:pPr>
  </w:style>
  <w:style w:type="paragraph" w:styleId="EndnoteText">
    <w:name w:val="endnote text"/>
    <w:basedOn w:val="Normal"/>
    <w:semiHidden/>
    <w:rsid w:val="00950C17"/>
    <w:rPr>
      <w:sz w:val="20"/>
    </w:rPr>
  </w:style>
  <w:style w:type="character" w:styleId="EndnoteReference">
    <w:name w:val="endnote reference"/>
    <w:semiHidden/>
    <w:rsid w:val="00950C17"/>
    <w:rPr>
      <w:vertAlign w:val="superscript"/>
    </w:rPr>
  </w:style>
  <w:style w:type="paragraph" w:styleId="FootnoteText">
    <w:name w:val="footnote text"/>
    <w:aliases w:val="ALTS FOOTNOTE,Footnote Text Char Char,Footnote Text Char Char Char Char,Footnote Text Char Char Char1 Char,Footnote Text Char1,Footnote Text Char1 Char Char,Footnote Text Char1 Char Char Char Char,Footnote Text Char1 Char2 Char,f,fn,ft"/>
    <w:link w:val="FootnoteTextChar"/>
    <w:rsid w:val="00950C17"/>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950C17"/>
    <w:rPr>
      <w:rFonts w:ascii="Times New Roman" w:hAnsi="Times New Roman"/>
      <w:dstrike w:val="0"/>
      <w:color w:val="auto"/>
      <w:sz w:val="20"/>
      <w:vertAlign w:val="superscript"/>
    </w:rPr>
  </w:style>
  <w:style w:type="paragraph" w:styleId="TOC1">
    <w:name w:val="toc 1"/>
    <w:basedOn w:val="Normal"/>
    <w:next w:val="Normal"/>
    <w:semiHidden/>
    <w:rsid w:val="00950C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0C17"/>
    <w:pPr>
      <w:tabs>
        <w:tab w:val="left" w:pos="720"/>
        <w:tab w:val="right" w:leader="dot" w:pos="9360"/>
      </w:tabs>
      <w:suppressAutoHyphens/>
      <w:ind w:left="720" w:right="720" w:hanging="360"/>
    </w:pPr>
    <w:rPr>
      <w:noProof/>
    </w:rPr>
  </w:style>
  <w:style w:type="paragraph" w:styleId="TOC3">
    <w:name w:val="toc 3"/>
    <w:basedOn w:val="Normal"/>
    <w:next w:val="Normal"/>
    <w:semiHidden/>
    <w:rsid w:val="00950C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0C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0C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0C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0C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0C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0C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0C17"/>
    <w:pPr>
      <w:tabs>
        <w:tab w:val="right" w:pos="9360"/>
      </w:tabs>
      <w:suppressAutoHyphens/>
    </w:pPr>
  </w:style>
  <w:style w:type="character" w:customStyle="1" w:styleId="EquationCaption">
    <w:name w:val="_Equation Caption"/>
    <w:rsid w:val="00950C17"/>
  </w:style>
  <w:style w:type="paragraph" w:styleId="Header">
    <w:name w:val="header"/>
    <w:basedOn w:val="Normal"/>
    <w:autoRedefine/>
    <w:rsid w:val="00950C17"/>
    <w:pPr>
      <w:tabs>
        <w:tab w:val="center" w:pos="4680"/>
        <w:tab w:val="right" w:pos="9360"/>
      </w:tabs>
    </w:pPr>
    <w:rPr>
      <w:b/>
    </w:rPr>
  </w:style>
  <w:style w:type="paragraph" w:styleId="Footer">
    <w:name w:val="footer"/>
    <w:basedOn w:val="Normal"/>
    <w:link w:val="FooterChar"/>
    <w:uiPriority w:val="99"/>
    <w:rsid w:val="00950C17"/>
    <w:pPr>
      <w:tabs>
        <w:tab w:val="center" w:pos="4320"/>
        <w:tab w:val="right" w:pos="8640"/>
      </w:tabs>
    </w:pPr>
  </w:style>
  <w:style w:type="character" w:styleId="PageNumber">
    <w:name w:val="page number"/>
    <w:basedOn w:val="DefaultParagraphFont"/>
    <w:rsid w:val="00950C17"/>
  </w:style>
  <w:style w:type="paragraph" w:styleId="BlockText">
    <w:name w:val="Block Text"/>
    <w:basedOn w:val="Normal"/>
    <w:rsid w:val="00950C17"/>
    <w:pPr>
      <w:spacing w:after="240"/>
      <w:ind w:left="1440" w:right="1440"/>
    </w:pPr>
  </w:style>
  <w:style w:type="paragraph" w:customStyle="1" w:styleId="Paratitle">
    <w:name w:val="Para title"/>
    <w:basedOn w:val="Normal"/>
    <w:rsid w:val="00950C17"/>
    <w:pPr>
      <w:tabs>
        <w:tab w:val="center" w:pos="9270"/>
      </w:tabs>
      <w:spacing w:after="240"/>
    </w:pPr>
    <w:rPr>
      <w:spacing w:val="-2"/>
    </w:rPr>
  </w:style>
  <w:style w:type="paragraph" w:customStyle="1" w:styleId="Bullet">
    <w:name w:val="Bullet"/>
    <w:basedOn w:val="Normal"/>
    <w:rsid w:val="00950C17"/>
    <w:pPr>
      <w:tabs>
        <w:tab w:val="left" w:pos="2160"/>
      </w:tabs>
      <w:spacing w:after="220"/>
      <w:ind w:left="2160" w:hanging="720"/>
    </w:pPr>
  </w:style>
  <w:style w:type="paragraph" w:customStyle="1" w:styleId="TableFormat">
    <w:name w:val="TableFormat"/>
    <w:basedOn w:val="Bullet"/>
    <w:rsid w:val="00950C17"/>
    <w:pPr>
      <w:tabs>
        <w:tab w:val="clear" w:pos="2160"/>
        <w:tab w:val="left" w:pos="5040"/>
      </w:tabs>
      <w:ind w:left="5040" w:hanging="3600"/>
    </w:pPr>
  </w:style>
  <w:style w:type="paragraph" w:customStyle="1" w:styleId="TOCTitle">
    <w:name w:val="TOC Title"/>
    <w:basedOn w:val="Normal"/>
    <w:rsid w:val="00950C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0C17"/>
    <w:pPr>
      <w:jc w:val="center"/>
    </w:pPr>
    <w:rPr>
      <w:rFonts w:ascii="Times New Roman Bold" w:hAnsi="Times New Roman Bold"/>
      <w:b/>
      <w:bCs/>
      <w:caps/>
      <w:szCs w:val="22"/>
    </w:rPr>
  </w:style>
  <w:style w:type="character" w:styleId="Hyperlink">
    <w:name w:val="Hyperlink"/>
    <w:rsid w:val="00950C17"/>
    <w:rPr>
      <w:color w:val="0000FF"/>
      <w:u w:val="single"/>
    </w:rPr>
  </w:style>
  <w:style w:type="character" w:customStyle="1" w:styleId="FooterChar">
    <w:name w:val="Footer Char"/>
    <w:link w:val="Footer"/>
    <w:uiPriority w:val="99"/>
    <w:rsid w:val="00950C17"/>
    <w:rPr>
      <w:snapToGrid w:val="0"/>
      <w:kern w:val="28"/>
      <w:sz w:val="22"/>
    </w:rPr>
  </w:style>
  <w:style w:type="character" w:customStyle="1" w:styleId="st">
    <w:name w:val="st"/>
    <w:basedOn w:val="DefaultParagraphFont"/>
    <w:rsid w:val="008E5147"/>
  </w:style>
  <w:style w:type="character" w:customStyle="1" w:styleId="FootnoteTextChar">
    <w:name w:val="Footnote Text Char"/>
    <w:aliases w:val="ALTS FOOTNOTE Char,Footnote Text Char Char Char,Footnote Text Char Char Char Char Char,Footnote Text Char Char Char1 Char Char,Footnote Text Char1 Char,Footnote Text Char1 Char Char Char,Footnote Text Char1 Char Char Char Char Char"/>
    <w:basedOn w:val="DefaultParagraphFont"/>
    <w:link w:val="FootnoteText"/>
    <w:rsid w:val="00E6399D"/>
  </w:style>
  <w:style w:type="character" w:styleId="CommentReference">
    <w:name w:val="annotation reference"/>
    <w:basedOn w:val="DefaultParagraphFont"/>
    <w:rsid w:val="00276CDA"/>
    <w:rPr>
      <w:sz w:val="16"/>
      <w:szCs w:val="16"/>
    </w:rPr>
  </w:style>
  <w:style w:type="paragraph" w:styleId="CommentText">
    <w:name w:val="annotation text"/>
    <w:basedOn w:val="Normal"/>
    <w:link w:val="CommentTextChar"/>
    <w:rsid w:val="00276CDA"/>
    <w:rPr>
      <w:sz w:val="20"/>
    </w:rPr>
  </w:style>
  <w:style w:type="character" w:customStyle="1" w:styleId="CommentTextChar">
    <w:name w:val="Comment Text Char"/>
    <w:basedOn w:val="DefaultParagraphFont"/>
    <w:link w:val="CommentText"/>
    <w:rsid w:val="00276CDA"/>
    <w:rPr>
      <w:snapToGrid w:val="0"/>
      <w:kern w:val="28"/>
    </w:rPr>
  </w:style>
  <w:style w:type="paragraph" w:styleId="CommentSubject">
    <w:name w:val="annotation subject"/>
    <w:basedOn w:val="CommentText"/>
    <w:next w:val="CommentText"/>
    <w:link w:val="CommentSubjectChar"/>
    <w:rsid w:val="00276CDA"/>
    <w:rPr>
      <w:b/>
      <w:bCs/>
    </w:rPr>
  </w:style>
  <w:style w:type="character" w:customStyle="1" w:styleId="CommentSubjectChar">
    <w:name w:val="Comment Subject Char"/>
    <w:basedOn w:val="CommentTextChar"/>
    <w:link w:val="CommentSubject"/>
    <w:rsid w:val="00276CDA"/>
    <w:rPr>
      <w:b/>
      <w:bCs/>
      <w:snapToGrid w:val="0"/>
      <w:kern w:val="28"/>
    </w:rPr>
  </w:style>
  <w:style w:type="paragraph" w:styleId="BalloonText">
    <w:name w:val="Balloon Text"/>
    <w:basedOn w:val="Normal"/>
    <w:link w:val="BalloonTextChar"/>
    <w:rsid w:val="00276CDA"/>
    <w:rPr>
      <w:rFonts w:ascii="Segoe UI" w:hAnsi="Segoe UI" w:cs="Segoe UI"/>
      <w:sz w:val="18"/>
      <w:szCs w:val="18"/>
    </w:rPr>
  </w:style>
  <w:style w:type="character" w:customStyle="1" w:styleId="BalloonTextChar">
    <w:name w:val="Balloon Text Char"/>
    <w:basedOn w:val="DefaultParagraphFont"/>
    <w:link w:val="BalloonText"/>
    <w:rsid w:val="00276CDA"/>
    <w:rPr>
      <w:rFonts w:ascii="Segoe UI" w:hAnsi="Segoe UI" w:cs="Segoe UI"/>
      <w:snapToGrid w:val="0"/>
      <w:kern w:val="28"/>
      <w:sz w:val="18"/>
      <w:szCs w:val="18"/>
    </w:rPr>
  </w:style>
  <w:style w:type="paragraph" w:styleId="ListParagraph">
    <w:name w:val="List Paragraph"/>
    <w:basedOn w:val="Normal"/>
    <w:uiPriority w:val="34"/>
    <w:qFormat/>
    <w:rsid w:val="002B067E"/>
    <w:pPr>
      <w:ind w:left="720"/>
      <w:contextualSpacing/>
    </w:pPr>
  </w:style>
  <w:style w:type="table" w:styleId="TableGrid">
    <w:name w:val="Table Grid"/>
    <w:basedOn w:val="TableNormal"/>
    <w:uiPriority w:val="59"/>
    <w:rsid w:val="00A448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