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C80A8E">
      <w:pPr>
        <w:jc w:val="right"/>
        <w:rPr>
          <w:b/>
          <w:sz w:val="24"/>
        </w:rPr>
      </w:pPr>
      <w:r>
        <w:rPr>
          <w:b/>
          <w:sz w:val="24"/>
        </w:rPr>
        <w:t>DA 20-</w:t>
      </w:r>
      <w:r w:rsidR="008B5CC2">
        <w:rPr>
          <w:b/>
          <w:sz w:val="24"/>
        </w:rPr>
        <w:t>423</w:t>
      </w:r>
    </w:p>
    <w:p w:rsidR="00013A8B" w:rsidRPr="00B20363" w:rsidP="00CB66C3">
      <w:pPr>
        <w:jc w:val="right"/>
        <w:rPr>
          <w:b/>
          <w:sz w:val="24"/>
        </w:rPr>
      </w:pPr>
      <w:r>
        <w:rPr>
          <w:b/>
          <w:sz w:val="24"/>
        </w:rPr>
        <w:t xml:space="preserve">Released:  </w:t>
      </w:r>
      <w:r w:rsidR="0054482B">
        <w:rPr>
          <w:b/>
          <w:sz w:val="24"/>
        </w:rPr>
        <w:t xml:space="preserve">April </w:t>
      </w:r>
      <w:r w:rsidR="00544B2B">
        <w:rPr>
          <w:b/>
          <w:sz w:val="24"/>
        </w:rPr>
        <w:t>16</w:t>
      </w:r>
      <w:r w:rsidR="0017388E">
        <w:rPr>
          <w:b/>
          <w:sz w:val="24"/>
        </w:rPr>
        <w:t>, 2020</w:t>
      </w:r>
    </w:p>
    <w:p w:rsidR="00013A8B" w:rsidP="00C80A8E">
      <w:pPr>
        <w:jc w:val="right"/>
        <w:rPr>
          <w:sz w:val="24"/>
        </w:rPr>
      </w:pPr>
    </w:p>
    <w:p w:rsidR="0017388E" w:rsidRPr="005A3FFD" w:rsidP="004B382D">
      <w:pPr>
        <w:jc w:val="center"/>
        <w:rPr>
          <w:b/>
        </w:rPr>
      </w:pPr>
      <w:bookmarkStart w:id="0" w:name="_Hlk529366686"/>
      <w:bookmarkStart w:id="1" w:name="_Hlk529353726"/>
      <w:bookmarkStart w:id="2" w:name="_Hlk529351716"/>
      <w:r>
        <w:rPr>
          <w:b/>
        </w:rPr>
        <w:t>CONSUMER AND GOVERNMENTAL AFFAIRS</w:t>
      </w:r>
      <w:r w:rsidRPr="005A3FFD">
        <w:rPr>
          <w:b/>
        </w:rPr>
        <w:t xml:space="preserve"> BUREAU</w:t>
      </w:r>
      <w:r>
        <w:rPr>
          <w:b/>
        </w:rPr>
        <w:t xml:space="preserve"> </w:t>
      </w:r>
      <w:r w:rsidR="00157EB2">
        <w:rPr>
          <w:b/>
        </w:rPr>
        <w:t>ESTABLISHES GUIDELINES FOR OPERATION OF</w:t>
      </w:r>
      <w:r w:rsidR="00F72125">
        <w:rPr>
          <w:b/>
        </w:rPr>
        <w:t xml:space="preserve"> </w:t>
      </w:r>
      <w:r w:rsidR="00A00D29">
        <w:rPr>
          <w:b/>
        </w:rPr>
        <w:t xml:space="preserve">THE </w:t>
      </w:r>
      <w:r w:rsidR="00F72125">
        <w:rPr>
          <w:b/>
        </w:rPr>
        <w:t>REASSIGNED NUMBERS</w:t>
      </w:r>
      <w:r w:rsidR="00157EB2">
        <w:rPr>
          <w:b/>
        </w:rPr>
        <w:t xml:space="preserve"> DATABASE</w:t>
      </w:r>
    </w:p>
    <w:p w:rsidR="0017388E" w:rsidP="00C80A8E">
      <w:pPr>
        <w:jc w:val="center"/>
        <w:rPr>
          <w:b/>
        </w:rPr>
      </w:pPr>
      <w:bookmarkStart w:id="3" w:name="_Hlk529450826"/>
      <w:bookmarkEnd w:id="0"/>
    </w:p>
    <w:p w:rsidR="0017388E" w:rsidRPr="005A3FFD" w:rsidP="00C80A8E">
      <w:pPr>
        <w:jc w:val="center"/>
        <w:rPr>
          <w:b/>
        </w:rPr>
      </w:pPr>
      <w:r w:rsidRPr="00DA1F60">
        <w:rPr>
          <w:b/>
        </w:rPr>
        <w:t>CG Docket No. 17-59</w:t>
      </w:r>
    </w:p>
    <w:bookmarkEnd w:id="1"/>
    <w:bookmarkEnd w:id="2"/>
    <w:bookmarkEnd w:id="3"/>
    <w:p w:rsidR="0017388E" w:rsidRPr="005A3FFD" w:rsidP="00C80A8E">
      <w:pPr>
        <w:rPr>
          <w:b/>
        </w:rPr>
      </w:pPr>
    </w:p>
    <w:p w:rsidR="00F71DF4" w:rsidP="004B382D">
      <w:pPr>
        <w:pStyle w:val="Paranum0"/>
      </w:pPr>
      <w:r>
        <w:t xml:space="preserve">On December 13, 2018, the Commission released a Second Report and Order on </w:t>
      </w:r>
      <w:bookmarkStart w:id="4" w:name="_Hlk37765417"/>
      <w:r w:rsidRPr="000A2743">
        <w:rPr>
          <w:i/>
        </w:rPr>
        <w:t>Advanced Methods to Target and Eliminate Unlawful Robocalls</w:t>
      </w:r>
      <w:bookmarkEnd w:id="4"/>
      <w:r w:rsidR="00923CCA">
        <w:t>.</w:t>
      </w:r>
      <w:r>
        <w:rPr>
          <w:rStyle w:val="FootnoteReference"/>
        </w:rPr>
        <w:footnoteReference w:id="3"/>
      </w:r>
      <w:r w:rsidR="00333A8F">
        <w:t xml:space="preserve"> </w:t>
      </w:r>
      <w:r>
        <w:t xml:space="preserve"> In the </w:t>
      </w:r>
      <w:r w:rsidR="007E5E31">
        <w:rPr>
          <w:i/>
        </w:rPr>
        <w:t>R</w:t>
      </w:r>
      <w:r w:rsidR="000067F6">
        <w:rPr>
          <w:i/>
        </w:rPr>
        <w:t>eassigned Numbers</w:t>
      </w:r>
      <w:r w:rsidR="007E5E31">
        <w:rPr>
          <w:i/>
        </w:rPr>
        <w:t xml:space="preserve"> </w:t>
      </w:r>
      <w:r w:rsidRPr="00F85609" w:rsidR="00F85609">
        <w:rPr>
          <w:i/>
          <w:iCs/>
        </w:rPr>
        <w:t>Order</w:t>
      </w:r>
      <w:r>
        <w:t>, the Commission addressed the problem of unwanted calls to consumers with numbers reassigned from a previous consumer</w:t>
      </w:r>
      <w:r w:rsidR="0054482B">
        <w:t xml:space="preserve"> by establishing </w:t>
      </w:r>
      <w:r>
        <w:t xml:space="preserve">a single, comprehensive </w:t>
      </w:r>
      <w:r w:rsidR="0054482B">
        <w:t>Reassigned Numbers D</w:t>
      </w:r>
      <w:r>
        <w:t>atabase</w:t>
      </w:r>
      <w:r w:rsidR="009936ED">
        <w:t xml:space="preserve">.  The </w:t>
      </w:r>
      <w:r w:rsidR="009C07BD">
        <w:t xml:space="preserve">Reassigned Numbers Database </w:t>
      </w:r>
      <w:r>
        <w:t>will contain reassigned number information from each provider that obtains North American Numbering Plan U.S. geographic numbers and toll</w:t>
      </w:r>
      <w:r w:rsidR="00986485">
        <w:t>-</w:t>
      </w:r>
      <w:r>
        <w:t>free numbers.</w:t>
      </w:r>
      <w:r>
        <w:rPr>
          <w:rStyle w:val="FootnoteReference"/>
        </w:rPr>
        <w:footnoteReference w:id="4"/>
      </w:r>
      <w:r>
        <w:t xml:space="preserve"> </w:t>
      </w:r>
      <w:r w:rsidR="009936ED">
        <w:t xml:space="preserve"> </w:t>
      </w:r>
      <w:r w:rsidR="001A45E8">
        <w:t xml:space="preserve">Once the </w:t>
      </w:r>
      <w:r w:rsidR="009C07BD">
        <w:t xml:space="preserve">Reassigned Numbers Database </w:t>
      </w:r>
      <w:r w:rsidR="001A45E8">
        <w:t>is established, c</w:t>
      </w:r>
      <w:r>
        <w:t>aller</w:t>
      </w:r>
      <w:r w:rsidR="009936ED">
        <w:t>s will</w:t>
      </w:r>
      <w:r w:rsidR="001A45E8">
        <w:t xml:space="preserve"> be able to </w:t>
      </w:r>
      <w:r w:rsidR="009936ED">
        <w:t xml:space="preserve">consult the </w:t>
      </w:r>
      <w:r w:rsidR="009C07BD">
        <w:t xml:space="preserve">database </w:t>
      </w:r>
      <w:r>
        <w:t xml:space="preserve">to determine whether a telephone number </w:t>
      </w:r>
      <w:r w:rsidR="00946D2C">
        <w:t xml:space="preserve">has been </w:t>
      </w:r>
      <w:r w:rsidR="004B49EC">
        <w:t>reassigned</w:t>
      </w:r>
      <w:r w:rsidR="009936ED">
        <w:t xml:space="preserve"> from the consumer they intend to reach,</w:t>
      </w:r>
      <w:r w:rsidR="004B49EC">
        <w:t xml:space="preserve"> </w:t>
      </w:r>
      <w:r>
        <w:t xml:space="preserve">thus </w:t>
      </w:r>
      <w:r w:rsidR="009936ED">
        <w:t xml:space="preserve">allowing them to </w:t>
      </w:r>
      <w:r>
        <w:t xml:space="preserve">avoid calling consumers </w:t>
      </w:r>
      <w:r w:rsidR="00854F15">
        <w:t xml:space="preserve">with reassigned numbers </w:t>
      </w:r>
      <w:r>
        <w:t xml:space="preserve">who </w:t>
      </w:r>
      <w:r w:rsidR="00854F15">
        <w:t>may</w:t>
      </w:r>
      <w:r>
        <w:t xml:space="preserve"> not wish to receive </w:t>
      </w:r>
      <w:r w:rsidR="00CF7C2D">
        <w:t>the</w:t>
      </w:r>
      <w:r>
        <w:t xml:space="preserve"> call.</w:t>
      </w:r>
      <w:r>
        <w:rPr>
          <w:rStyle w:val="FootnoteReference"/>
        </w:rPr>
        <w:footnoteReference w:id="5"/>
      </w:r>
    </w:p>
    <w:p w:rsidR="00F71DF4" w:rsidP="004B382D">
      <w:pPr>
        <w:pStyle w:val="Paranum0"/>
      </w:pPr>
    </w:p>
    <w:p w:rsidR="0054482B" w:rsidP="004B382D">
      <w:pPr>
        <w:pStyle w:val="Paranum0"/>
      </w:pPr>
      <w:r>
        <w:t xml:space="preserve">As </w:t>
      </w:r>
      <w:r w:rsidR="004B382D">
        <w:t xml:space="preserve">it </w:t>
      </w:r>
      <w:r>
        <w:t xml:space="preserve">moves to establish the </w:t>
      </w:r>
      <w:r w:rsidR="009C07BD">
        <w:t>Reassigned Numbers Database</w:t>
      </w:r>
      <w:r>
        <w:t>, the Commission has sought the advice of the North American Numbering Council (NANC).</w:t>
      </w:r>
      <w:r>
        <w:rPr>
          <w:rStyle w:val="FootnoteReference"/>
        </w:rPr>
        <w:footnoteReference w:id="6"/>
      </w:r>
      <w:r>
        <w:t xml:space="preserve">  </w:t>
      </w:r>
      <w:r>
        <w:t xml:space="preserve">The Wireline Competition Bureau and the Consumer and Governmental Affairs Bureau </w:t>
      </w:r>
      <w:r w:rsidR="006462E7">
        <w:t>sought</w:t>
      </w:r>
      <w:r>
        <w:t xml:space="preserve"> comment on two documents prepared by the NANC</w:t>
      </w:r>
      <w:r w:rsidR="00363860">
        <w:t xml:space="preserve"> for the procurement of the </w:t>
      </w:r>
      <w:r w:rsidR="009C07BD">
        <w:t>Reassigned Numbers Database</w:t>
      </w:r>
      <w:r>
        <w:t>: the Technical Requirements Document and the Cost Fee Structure Recommendation.</w:t>
      </w:r>
      <w:r>
        <w:rPr>
          <w:rStyle w:val="FootnoteReference"/>
        </w:rPr>
        <w:footnoteReference w:id="7"/>
      </w:r>
      <w:r>
        <w:t xml:space="preserve"> </w:t>
      </w:r>
      <w:r w:rsidR="00E058A2">
        <w:t xml:space="preserve"> </w:t>
      </w:r>
      <w:r>
        <w:t>In light of the NANC submissions</w:t>
      </w:r>
      <w:r w:rsidR="00397F42">
        <w:t>,</w:t>
      </w:r>
      <w:r>
        <w:t xml:space="preserve"> to assist parties interested in the procurement</w:t>
      </w:r>
      <w:r w:rsidR="00397F42">
        <w:t>,</w:t>
      </w:r>
      <w:r w:rsidR="002541ED">
        <w:t xml:space="preserve"> and </w:t>
      </w:r>
      <w:r w:rsidR="00397F42">
        <w:t xml:space="preserve">to </w:t>
      </w:r>
      <w:r w:rsidR="002541ED">
        <w:t>generally inform the public</w:t>
      </w:r>
      <w:r>
        <w:t>,</w:t>
      </w:r>
      <w:r w:rsidR="00363860">
        <w:t xml:space="preserve"> </w:t>
      </w:r>
      <w:r>
        <w:t xml:space="preserve">we now </w:t>
      </w:r>
      <w:bookmarkStart w:id="6" w:name="_Hlk37765389"/>
      <w:r w:rsidR="00A873C7">
        <w:t>set forth our understanding of</w:t>
      </w:r>
      <w:r w:rsidR="00F72125">
        <w:t xml:space="preserve"> </w:t>
      </w:r>
      <w:r>
        <w:t xml:space="preserve">key terms </w:t>
      </w:r>
      <w:r w:rsidR="00A00D29">
        <w:t xml:space="preserve">and the disposition of any excess funds </w:t>
      </w:r>
      <w:r>
        <w:t xml:space="preserve">from the </w:t>
      </w:r>
      <w:r w:rsidR="00E058A2">
        <w:rPr>
          <w:i/>
        </w:rPr>
        <w:t xml:space="preserve">Reassigned Numbers </w:t>
      </w:r>
      <w:r w:rsidRPr="00F85609">
        <w:rPr>
          <w:i/>
          <w:iCs/>
        </w:rPr>
        <w:t>Order</w:t>
      </w:r>
      <w:bookmarkEnd w:id="6"/>
      <w:r>
        <w:t>.</w:t>
      </w:r>
    </w:p>
    <w:p w:rsidR="0054482B" w:rsidP="004B382D">
      <w:pPr>
        <w:pStyle w:val="Paranum0"/>
      </w:pPr>
    </w:p>
    <w:p w:rsidR="0017388E" w:rsidP="004B382D">
      <w:pPr>
        <w:pStyle w:val="Paranum0"/>
      </w:pPr>
      <w:r w:rsidRPr="00F85609">
        <w:rPr>
          <w:i/>
          <w:iCs/>
        </w:rPr>
        <w:t>Definitions</w:t>
      </w:r>
      <w:r w:rsidR="00AE518C">
        <w:rPr>
          <w:i/>
          <w:iCs/>
        </w:rPr>
        <w:t xml:space="preserve"> of </w:t>
      </w:r>
      <w:r w:rsidR="009C07BD">
        <w:rPr>
          <w:i/>
          <w:iCs/>
        </w:rPr>
        <w:t xml:space="preserve">Reassigned Numbers Database </w:t>
      </w:r>
      <w:r w:rsidR="00BA5E49">
        <w:rPr>
          <w:i/>
          <w:iCs/>
        </w:rPr>
        <w:t>R</w:t>
      </w:r>
      <w:r w:rsidR="00FF0E81">
        <w:rPr>
          <w:i/>
          <w:iCs/>
        </w:rPr>
        <w:t xml:space="preserve">esponses: </w:t>
      </w:r>
      <w:r w:rsidR="00AE518C">
        <w:rPr>
          <w:i/>
          <w:iCs/>
        </w:rPr>
        <w:t>“</w:t>
      </w:r>
      <w:r w:rsidR="00BA5E49">
        <w:rPr>
          <w:i/>
          <w:iCs/>
        </w:rPr>
        <w:t>Y</w:t>
      </w:r>
      <w:r w:rsidR="00AE518C">
        <w:rPr>
          <w:i/>
          <w:iCs/>
        </w:rPr>
        <w:t>es</w:t>
      </w:r>
      <w:r w:rsidR="00363860">
        <w:rPr>
          <w:i/>
          <w:iCs/>
        </w:rPr>
        <w:t>,</w:t>
      </w:r>
      <w:r w:rsidR="00AE518C">
        <w:rPr>
          <w:i/>
          <w:iCs/>
        </w:rPr>
        <w:t>” “</w:t>
      </w:r>
      <w:r w:rsidR="00BA5E49">
        <w:rPr>
          <w:i/>
          <w:iCs/>
        </w:rPr>
        <w:t>N</w:t>
      </w:r>
      <w:r w:rsidR="00AE518C">
        <w:rPr>
          <w:i/>
          <w:iCs/>
        </w:rPr>
        <w:t>o</w:t>
      </w:r>
      <w:r w:rsidR="00363860">
        <w:rPr>
          <w:i/>
          <w:iCs/>
        </w:rPr>
        <w:t>,</w:t>
      </w:r>
      <w:r w:rsidR="00AE518C">
        <w:rPr>
          <w:i/>
          <w:iCs/>
        </w:rPr>
        <w:t>” and “</w:t>
      </w:r>
      <w:r w:rsidR="00BA5E49">
        <w:rPr>
          <w:i/>
          <w:iCs/>
        </w:rPr>
        <w:t>N</w:t>
      </w:r>
      <w:r w:rsidR="00AE518C">
        <w:rPr>
          <w:i/>
          <w:iCs/>
        </w:rPr>
        <w:t xml:space="preserve">o </w:t>
      </w:r>
      <w:r w:rsidR="00BA5E49">
        <w:rPr>
          <w:i/>
          <w:iCs/>
        </w:rPr>
        <w:t>D</w:t>
      </w:r>
      <w:r w:rsidR="00AE518C">
        <w:rPr>
          <w:i/>
          <w:iCs/>
        </w:rPr>
        <w:t>ata.”</w:t>
      </w:r>
      <w:r>
        <w:t xml:space="preserve">  </w:t>
      </w:r>
      <w:r w:rsidR="00C31A7D">
        <w:t xml:space="preserve">First, we </w:t>
      </w:r>
      <w:r w:rsidR="00F75F39">
        <w:t>set forth our understanding of</w:t>
      </w:r>
      <w:r w:rsidR="00C31A7D">
        <w:t xml:space="preserve"> the definition of the terms that the </w:t>
      </w:r>
      <w:r w:rsidR="009C07BD">
        <w:t xml:space="preserve">Reassigned Numbers Database </w:t>
      </w:r>
      <w:r w:rsidR="00C31A7D">
        <w:t xml:space="preserve">will return to users querying it.  </w:t>
      </w:r>
      <w:r w:rsidRPr="00F85609">
        <w:t xml:space="preserve">Once the </w:t>
      </w:r>
      <w:r w:rsidR="0060660B">
        <w:t>database</w:t>
      </w:r>
      <w:r w:rsidRPr="00F85609" w:rsidR="009C07BD">
        <w:t xml:space="preserve"> </w:t>
      </w:r>
      <w:r w:rsidRPr="00F85609">
        <w:t>is established, caller</w:t>
      </w:r>
      <w:r>
        <w:t>s</w:t>
      </w:r>
      <w:r w:rsidRPr="00F85609">
        <w:t xml:space="preserve"> will enter a query for a phone number using the last date the caller </w:t>
      </w:r>
      <w:r w:rsidR="005B6958">
        <w:t>is reasonably certain</w:t>
      </w:r>
      <w:r w:rsidRPr="00F85609" w:rsidR="005B6958">
        <w:t xml:space="preserve"> </w:t>
      </w:r>
      <w:r w:rsidRPr="00F85609">
        <w:t xml:space="preserve">the consumer had the number (either by getting </w:t>
      </w:r>
      <w:r w:rsidR="002352F1">
        <w:t xml:space="preserve">the consumer’s </w:t>
      </w:r>
      <w:r w:rsidRPr="00F85609">
        <w:t>consent to call</w:t>
      </w:r>
      <w:r w:rsidR="002352F1">
        <w:t xml:space="preserve"> on that date</w:t>
      </w:r>
      <w:r w:rsidRPr="00F85609">
        <w:t xml:space="preserve"> or having actually called</w:t>
      </w:r>
      <w:r w:rsidR="002352F1">
        <w:t xml:space="preserve"> and reached the consumer on that date</w:t>
      </w:r>
      <w:r w:rsidRPr="00F85609">
        <w:t>).  P</w:t>
      </w:r>
      <w:r w:rsidR="00986485">
        <w:t>u</w:t>
      </w:r>
      <w:r w:rsidRPr="00F85609">
        <w:t>r</w:t>
      </w:r>
      <w:r w:rsidR="00986485">
        <w:t>suant to</w:t>
      </w:r>
      <w:r w:rsidRPr="00F85609">
        <w:t xml:space="preserve"> the </w:t>
      </w:r>
      <w:r w:rsidR="00FF0E81">
        <w:rPr>
          <w:i/>
        </w:rPr>
        <w:t xml:space="preserve">Reassigned Numbers </w:t>
      </w:r>
      <w:r w:rsidRPr="00F85609">
        <w:rPr>
          <w:i/>
          <w:iCs/>
        </w:rPr>
        <w:t>Order</w:t>
      </w:r>
      <w:r w:rsidRPr="00F85609">
        <w:t xml:space="preserve">, the </w:t>
      </w:r>
      <w:r w:rsidR="009C07BD">
        <w:t>Reassigned Numbers Database</w:t>
      </w:r>
      <w:r w:rsidRPr="00F85609" w:rsidR="009C07BD">
        <w:t xml:space="preserve"> </w:t>
      </w:r>
      <w:r w:rsidRPr="00F85609">
        <w:t xml:space="preserve">will </w:t>
      </w:r>
      <w:r w:rsidR="0038465D">
        <w:t>re</w:t>
      </w:r>
      <w:r w:rsidR="001A45E8">
        <w:t>turn</w:t>
      </w:r>
      <w:r w:rsidR="0038465D">
        <w:t xml:space="preserve"> one of three </w:t>
      </w:r>
      <w:r w:rsidR="0038465D">
        <w:t>responses to “</w:t>
      </w:r>
      <w:r w:rsidRPr="00F85609" w:rsidR="0038465D">
        <w:t>explain whether the number has been reassigned (or more accurately, permanently disconnected) since the date provided”</w:t>
      </w:r>
      <w:r w:rsidRPr="00F85609">
        <w:t>:</w:t>
      </w:r>
      <w:r w:rsidR="0038465D">
        <w:t xml:space="preserve"> “yes,” “no,” or “no data.”</w:t>
      </w:r>
      <w:r>
        <w:rPr>
          <w:rStyle w:val="FootnoteReference"/>
        </w:rPr>
        <w:footnoteReference w:id="8"/>
      </w:r>
      <w:r w:rsidRPr="00F85609">
        <w:t xml:space="preserve">  </w:t>
      </w:r>
      <w:r w:rsidR="0038465D">
        <w:t xml:space="preserve">Because the </w:t>
      </w:r>
      <w:r w:rsidR="00601F7D">
        <w:rPr>
          <w:i/>
        </w:rPr>
        <w:t xml:space="preserve">Reassigned Numbers </w:t>
      </w:r>
      <w:r w:rsidRPr="00F85609">
        <w:rPr>
          <w:i/>
          <w:iCs/>
        </w:rPr>
        <w:t>Order</w:t>
      </w:r>
      <w:r>
        <w:t xml:space="preserve"> does not explicitly define the circumstances under which the system will return each value, </w:t>
      </w:r>
      <w:r w:rsidR="00F75F39">
        <w:t xml:space="preserve">our understanding of </w:t>
      </w:r>
      <w:r w:rsidR="00640B7B">
        <w:t xml:space="preserve">the meaning of these terms </w:t>
      </w:r>
      <w:r w:rsidR="00F75F39">
        <w:t xml:space="preserve">is </w:t>
      </w:r>
      <w:r w:rsidR="00640B7B">
        <w:t xml:space="preserve">as follows:  </w:t>
      </w:r>
      <w:r w:rsidR="00F6167F">
        <w:br/>
      </w:r>
    </w:p>
    <w:p w:rsidR="00F6104B" w:rsidP="004B382D">
      <w:pPr>
        <w:pStyle w:val="Paranum0"/>
        <w:numPr>
          <w:ilvl w:val="0"/>
          <w:numId w:val="11"/>
        </w:numPr>
      </w:pPr>
      <w:r>
        <w:t xml:space="preserve">The </w:t>
      </w:r>
      <w:r w:rsidR="009C07BD">
        <w:t xml:space="preserve">Reassigned Numbers Database </w:t>
      </w:r>
      <w:r>
        <w:t xml:space="preserve">will return a value of “yes” if the queried number is contained in the </w:t>
      </w:r>
      <w:r w:rsidR="009C07BD">
        <w:t>database</w:t>
      </w:r>
      <w:r>
        <w:rPr>
          <w:rStyle w:val="FootnoteReference"/>
        </w:rPr>
        <w:footnoteReference w:id="9"/>
      </w:r>
      <w:r>
        <w:t xml:space="preserve"> and the date provided in the query is</w:t>
      </w:r>
      <w:r w:rsidR="005C7265">
        <w:t xml:space="preserve"> the</w:t>
      </w:r>
      <w:r>
        <w:t xml:space="preserve"> </w:t>
      </w:r>
      <w:r w:rsidR="00640B7B">
        <w:t xml:space="preserve">same as or before </w:t>
      </w:r>
      <w:r>
        <w:t xml:space="preserve">the permanent disconnect date for that number in the </w:t>
      </w:r>
      <w:r w:rsidR="009C07BD">
        <w:t xml:space="preserve">Reassigned Numbers Database </w:t>
      </w:r>
      <w:r>
        <w:t>(i.e., the number has been permanently disconnected</w:t>
      </w:r>
      <w:r w:rsidR="001F397C">
        <w:t xml:space="preserve"> on or</w:t>
      </w:r>
      <w:r>
        <w:t xml:space="preserve"> </w:t>
      </w:r>
      <w:r w:rsidR="006A123D">
        <w:t>after the date that the caller enters into its query</w:t>
      </w:r>
      <w:r>
        <w:t xml:space="preserve">).  </w:t>
      </w:r>
      <w:r w:rsidR="00F6167F">
        <w:t xml:space="preserve">Callers </w:t>
      </w:r>
      <w:r w:rsidR="00640B7B">
        <w:t xml:space="preserve">will not be eligible for the </w:t>
      </w:r>
      <w:r w:rsidR="00F6167F">
        <w:t xml:space="preserve">safe harbor </w:t>
      </w:r>
      <w:r w:rsidR="00640B7B">
        <w:t xml:space="preserve">described in section </w:t>
      </w:r>
      <w:r w:rsidR="00F6167F">
        <w:t xml:space="preserve">64.1200(m) of the Commission’s rules for calling any number for which the </w:t>
      </w:r>
      <w:r w:rsidR="009C07BD">
        <w:t xml:space="preserve">Reassigned Numbers Database </w:t>
      </w:r>
      <w:r w:rsidR="00F6167F">
        <w:t>return</w:t>
      </w:r>
      <w:r w:rsidR="00C47A5B">
        <w:t>s a</w:t>
      </w:r>
      <w:r w:rsidR="00F6167F">
        <w:t xml:space="preserve"> value of “yes.”</w:t>
      </w:r>
      <w:r>
        <w:rPr>
          <w:rStyle w:val="FootnoteReference"/>
        </w:rPr>
        <w:footnoteReference w:id="10"/>
      </w:r>
    </w:p>
    <w:p w:rsidR="00F85609" w:rsidP="004B382D">
      <w:pPr>
        <w:pStyle w:val="Paranum0"/>
        <w:numPr>
          <w:ilvl w:val="0"/>
          <w:numId w:val="11"/>
        </w:numPr>
      </w:pPr>
      <w:r>
        <w:t xml:space="preserve">The </w:t>
      </w:r>
      <w:r w:rsidR="009C07BD">
        <w:t xml:space="preserve">Reassigned Numbers Database </w:t>
      </w:r>
      <w:r>
        <w:t xml:space="preserve">will return a value of </w:t>
      </w:r>
      <w:r>
        <w:t xml:space="preserve">“no” if the </w:t>
      </w:r>
      <w:r>
        <w:t xml:space="preserve">queried </w:t>
      </w:r>
      <w:r>
        <w:t xml:space="preserve">number is in the database and the date </w:t>
      </w:r>
      <w:r w:rsidR="006A123D">
        <w:t xml:space="preserve">the caller provides in </w:t>
      </w:r>
      <w:r>
        <w:t>i</w:t>
      </w:r>
      <w:r w:rsidR="006A123D">
        <w:t>ts</w:t>
      </w:r>
      <w:r>
        <w:t xml:space="preserve"> query</w:t>
      </w:r>
      <w:r>
        <w:t xml:space="preserve"> is</w:t>
      </w:r>
      <w:r w:rsidR="00640B7B">
        <w:t xml:space="preserve"> after </w:t>
      </w:r>
      <w:r>
        <w:t xml:space="preserve">the permanent disconnect date contained in the </w:t>
      </w:r>
      <w:r w:rsidR="009C07BD">
        <w:t>database</w:t>
      </w:r>
      <w:r>
        <w:t xml:space="preserve">, or if the number is not in the database and the date </w:t>
      </w:r>
      <w:r w:rsidR="00640B7B">
        <w:t xml:space="preserve">the caller provides </w:t>
      </w:r>
      <w:r>
        <w:t xml:space="preserve">is on or after the date all providers are required to report disconnected numbers to the </w:t>
      </w:r>
      <w:r w:rsidR="009C07BD">
        <w:t xml:space="preserve">Reassigned Numbers Database </w:t>
      </w:r>
      <w:r>
        <w:t xml:space="preserve">(i.e., the number has not been permanently disconnected </w:t>
      </w:r>
      <w:r w:rsidR="006A123D">
        <w:t>after the date the caller enters into its query</w:t>
      </w:r>
      <w:r>
        <w:t>).</w:t>
      </w:r>
      <w:r>
        <w:rPr>
          <w:rStyle w:val="FootnoteReference"/>
        </w:rPr>
        <w:footnoteReference w:id="11"/>
      </w:r>
      <w:r w:rsidR="00A95A21">
        <w:t xml:space="preserve">  Callers may be </w:t>
      </w:r>
      <w:r w:rsidR="00640B7B">
        <w:t>eligible for the</w:t>
      </w:r>
      <w:r w:rsidR="00A95A21">
        <w:t xml:space="preserve"> safe harbor </w:t>
      </w:r>
      <w:r w:rsidR="00640B7B">
        <w:t xml:space="preserve">described in section </w:t>
      </w:r>
      <w:r w:rsidR="00A95A21">
        <w:t xml:space="preserve">64.1200(m) of the Commission’s rules for calling a number for which the </w:t>
      </w:r>
      <w:r w:rsidR="009C07BD">
        <w:t xml:space="preserve">Reassigned Numbers Database </w:t>
      </w:r>
      <w:r w:rsidR="00A95A21">
        <w:t>return</w:t>
      </w:r>
      <w:r w:rsidR="00C47A5B">
        <w:t>s</w:t>
      </w:r>
      <w:r w:rsidR="00640B7B">
        <w:t xml:space="preserve"> </w:t>
      </w:r>
      <w:r w:rsidR="00A95A21">
        <w:t>a value of “no.”</w:t>
      </w:r>
      <w:r>
        <w:rPr>
          <w:rStyle w:val="FootnoteReference"/>
        </w:rPr>
        <w:footnoteReference w:id="12"/>
      </w:r>
    </w:p>
    <w:p w:rsidR="00F85609" w:rsidP="004B382D">
      <w:pPr>
        <w:pStyle w:val="Paranum0"/>
        <w:numPr>
          <w:ilvl w:val="0"/>
          <w:numId w:val="11"/>
        </w:numPr>
      </w:pPr>
      <w:r>
        <w:t xml:space="preserve">The </w:t>
      </w:r>
      <w:r w:rsidR="009C07BD">
        <w:t xml:space="preserve">Reassigned Numbers Database </w:t>
      </w:r>
      <w:r>
        <w:t xml:space="preserve">will return a value of </w:t>
      </w:r>
      <w:r>
        <w:t xml:space="preserve">“no data” if the </w:t>
      </w:r>
      <w:r>
        <w:t xml:space="preserve">queried </w:t>
      </w:r>
      <w:r>
        <w:t xml:space="preserve">number and a permanent disconnect date are not contained in the </w:t>
      </w:r>
      <w:r w:rsidR="009C07BD">
        <w:t xml:space="preserve">database </w:t>
      </w:r>
      <w:r>
        <w:t xml:space="preserve">and the date </w:t>
      </w:r>
      <w:r>
        <w:t>provided in the query is</w:t>
      </w:r>
      <w:r>
        <w:t xml:space="preserve"> before the date all providers are required to report disconnected numbers to the </w:t>
      </w:r>
      <w:r w:rsidR="009C07BD">
        <w:t xml:space="preserve">Reassigned Numbers Database </w:t>
      </w:r>
      <w:r w:rsidR="006A123D">
        <w:t>(i.e., the database does not contain either the date or number data queried by the caller)</w:t>
      </w:r>
      <w:r>
        <w:t>.</w:t>
      </w:r>
      <w:r w:rsidR="003E0C0B">
        <w:t xml:space="preserve">  Callers </w:t>
      </w:r>
      <w:r w:rsidR="00640B7B">
        <w:t xml:space="preserve">will not be eligible for the </w:t>
      </w:r>
      <w:r w:rsidR="003E0C0B">
        <w:t xml:space="preserve">safe harbor </w:t>
      </w:r>
      <w:r w:rsidR="00640B7B">
        <w:t xml:space="preserve">described in section </w:t>
      </w:r>
      <w:r w:rsidR="003E0C0B">
        <w:t xml:space="preserve">64.1200(m) of the Commission’s rules for calling any number for which the </w:t>
      </w:r>
      <w:r w:rsidR="009C07BD">
        <w:t xml:space="preserve">Reassigned Numbers Database </w:t>
      </w:r>
      <w:r w:rsidR="003E0C0B">
        <w:t>return</w:t>
      </w:r>
      <w:r w:rsidR="00D65DF7">
        <w:t>s</w:t>
      </w:r>
      <w:r w:rsidR="00640B7B">
        <w:t xml:space="preserve"> </w:t>
      </w:r>
      <w:r w:rsidR="003E0C0B">
        <w:t>a value of “no data.”</w:t>
      </w:r>
      <w:r>
        <w:rPr>
          <w:rStyle w:val="FootnoteReference"/>
        </w:rPr>
        <w:footnoteReference w:id="13"/>
      </w:r>
    </w:p>
    <w:p w:rsidR="006462E7" w:rsidP="004B382D">
      <w:pPr>
        <w:pStyle w:val="Paranum0"/>
      </w:pPr>
    </w:p>
    <w:p w:rsidR="00F85609" w:rsidP="004B382D">
      <w:pPr>
        <w:pStyle w:val="Paranum0"/>
      </w:pPr>
      <w:r>
        <w:t xml:space="preserve">We find that these </w:t>
      </w:r>
      <w:r w:rsidR="00F75F39">
        <w:t>definitions</w:t>
      </w:r>
      <w:r w:rsidR="003E0C0B">
        <w:t xml:space="preserve"> </w:t>
      </w:r>
      <w:r w:rsidR="00CF7C2D">
        <w:t>give</w:t>
      </w:r>
      <w:r w:rsidR="006462E7">
        <w:t xml:space="preserve"> the </w:t>
      </w:r>
      <w:r w:rsidR="00CF7C2D">
        <w:t xml:space="preserve">database </w:t>
      </w:r>
      <w:r w:rsidR="006462E7">
        <w:t>responses their common</w:t>
      </w:r>
      <w:r w:rsidR="004569A5">
        <w:t>-</w:t>
      </w:r>
      <w:r w:rsidR="006462E7">
        <w:t>sense meaning</w:t>
      </w:r>
      <w:r w:rsidR="00CF7C2D">
        <w:t>s</w:t>
      </w:r>
      <w:r w:rsidR="006462E7">
        <w:t>, where “yes” means the number has been disconnected</w:t>
      </w:r>
      <w:r w:rsidR="003E0C0B">
        <w:t xml:space="preserve"> subsequent to the caller having received prior express consent to call the number</w:t>
      </w:r>
      <w:r w:rsidR="006462E7">
        <w:t>, “no” means the number has not been disconnected</w:t>
      </w:r>
      <w:r w:rsidR="004701FA">
        <w:t xml:space="preserve"> (and would have been in the database if it had been disconnected)</w:t>
      </w:r>
      <w:r w:rsidR="006462E7">
        <w:t xml:space="preserve">, and “no data” means the </w:t>
      </w:r>
      <w:r w:rsidR="003C5A92">
        <w:t xml:space="preserve">database </w:t>
      </w:r>
      <w:r w:rsidR="005A6E47">
        <w:t xml:space="preserve">does not </w:t>
      </w:r>
      <w:r w:rsidR="003C5A92">
        <w:t>contain</w:t>
      </w:r>
      <w:r w:rsidR="005A6E47">
        <w:t xml:space="preserve"> the relevant data to </w:t>
      </w:r>
      <w:r w:rsidR="006462E7">
        <w:t xml:space="preserve">determine </w:t>
      </w:r>
      <w:r w:rsidR="004701FA">
        <w:t xml:space="preserve">whether </w:t>
      </w:r>
      <w:r w:rsidR="006462E7">
        <w:t>the number has been disconnected during the time of the query.  This approach also maximizes the use</w:t>
      </w:r>
      <w:r w:rsidR="002A2916">
        <w:t>fulness</w:t>
      </w:r>
      <w:r w:rsidR="006462E7">
        <w:t xml:space="preserve"> of the </w:t>
      </w:r>
      <w:r w:rsidR="009C07BD">
        <w:t xml:space="preserve">Reassigned Numbers Database </w:t>
      </w:r>
      <w:r w:rsidR="006462E7">
        <w:t>by providing callers with the greatest amount of actionable information, namely “yes” and “no” responses</w:t>
      </w:r>
      <w:r w:rsidR="002A2916">
        <w:t xml:space="preserve"> wherever it is possible to accurately provide those responses</w:t>
      </w:r>
      <w:r w:rsidR="006462E7">
        <w:t>.</w:t>
      </w:r>
    </w:p>
    <w:p w:rsidR="00DB2AD5" w:rsidP="004B382D">
      <w:pPr>
        <w:pStyle w:val="Paranum0"/>
      </w:pPr>
    </w:p>
    <w:p w:rsidR="00DB2AD5" w:rsidP="004B382D">
      <w:pPr>
        <w:pStyle w:val="Paranum0"/>
      </w:pPr>
      <w:r w:rsidRPr="00581B04">
        <w:rPr>
          <w:i/>
          <w:iCs/>
        </w:rPr>
        <w:t>Definition of “</w:t>
      </w:r>
      <w:r w:rsidR="00BA5E49">
        <w:rPr>
          <w:i/>
          <w:iCs/>
        </w:rPr>
        <w:t>C</w:t>
      </w:r>
      <w:r w:rsidRPr="00581B04">
        <w:rPr>
          <w:i/>
          <w:iCs/>
        </w:rPr>
        <w:t>ost.”</w:t>
      </w:r>
      <w:r>
        <w:t xml:space="preserve">  </w:t>
      </w:r>
      <w:r w:rsidR="003B4A61">
        <w:t xml:space="preserve">Next, we </w:t>
      </w:r>
      <w:r w:rsidR="00F75F39">
        <w:t>explain our understanding</w:t>
      </w:r>
      <w:r w:rsidR="003B4A61">
        <w:t xml:space="preserve"> that “costs” for purposes of the </w:t>
      </w:r>
      <w:r w:rsidR="00940110">
        <w:t xml:space="preserve">Reassigned Numbers Database </w:t>
      </w:r>
      <w:r w:rsidR="003B4A61">
        <w:t xml:space="preserve">include a reasonable profit for the </w:t>
      </w:r>
      <w:r w:rsidR="00940110">
        <w:t xml:space="preserve">Reassigned Numbers Database </w:t>
      </w:r>
      <w:r w:rsidR="003B4A61">
        <w:t>Administrator</w:t>
      </w:r>
      <w:r w:rsidR="00940110">
        <w:t xml:space="preserve"> (Administrator)</w:t>
      </w:r>
      <w:r w:rsidR="003B4A61">
        <w:t xml:space="preserve">.  </w:t>
      </w:r>
      <w:r>
        <w:t xml:space="preserve">The </w:t>
      </w:r>
      <w:r w:rsidR="00CF76B0">
        <w:rPr>
          <w:i/>
        </w:rPr>
        <w:t xml:space="preserve">Reassigned Numbers </w:t>
      </w:r>
      <w:r w:rsidRPr="00581B04">
        <w:rPr>
          <w:i/>
          <w:iCs/>
        </w:rPr>
        <w:t>Order</w:t>
      </w:r>
      <w:r>
        <w:t xml:space="preserve"> states that </w:t>
      </w:r>
      <w:r w:rsidR="00CE311A">
        <w:t>the Administrator’s “</w:t>
      </w:r>
      <w:r>
        <w:t xml:space="preserve">costs to operate the database following its establishment will be recovered through usage charges that the Administrator will collect from callers that choose to use the database,” and that </w:t>
      </w:r>
      <w:r w:rsidR="00381BB3">
        <w:t>the Commission</w:t>
      </w:r>
      <w:r>
        <w:t xml:space="preserve"> </w:t>
      </w:r>
      <w:r w:rsidR="00381BB3">
        <w:t>“</w:t>
      </w:r>
      <w:r>
        <w:t>will require the Administrator to set usage charges at a level designed to recover current operating costs and, over time, the database creation costs paid by providers.”</w:t>
      </w:r>
      <w:r>
        <w:rPr>
          <w:rStyle w:val="FootnoteReference"/>
        </w:rPr>
        <w:footnoteReference w:id="14"/>
      </w:r>
      <w:r>
        <w:t xml:space="preserve">  </w:t>
      </w:r>
      <w:r w:rsidR="00C05760">
        <w:t>L</w:t>
      </w:r>
      <w:r>
        <w:t xml:space="preserve">ongstanding Commission precedent </w:t>
      </w:r>
      <w:r w:rsidR="009E1104">
        <w:t xml:space="preserve">makes clear that in analogous situations </w:t>
      </w:r>
      <w:r w:rsidR="00782F97">
        <w:t xml:space="preserve">the term </w:t>
      </w:r>
      <w:r>
        <w:t xml:space="preserve">“costs” </w:t>
      </w:r>
      <w:r w:rsidR="009E1104">
        <w:t xml:space="preserve">generally </w:t>
      </w:r>
      <w:r>
        <w:t>includes a reasonable return on investment.</w:t>
      </w:r>
      <w:r>
        <w:rPr>
          <w:rStyle w:val="FootnoteReference"/>
        </w:rPr>
        <w:footnoteReference w:id="15"/>
      </w:r>
      <w:r>
        <w:t xml:space="preserve">  Accordingly, we </w:t>
      </w:r>
      <w:r w:rsidR="00F75F39">
        <w:t>find</w:t>
      </w:r>
      <w:r w:rsidR="007E295A">
        <w:t xml:space="preserve"> that</w:t>
      </w:r>
      <w:r w:rsidR="00F75F39">
        <w:t xml:space="preserve"> ha</w:t>
      </w:r>
      <w:r w:rsidR="000E2A0F">
        <w:t>ving</w:t>
      </w:r>
      <w:r w:rsidR="007E295A">
        <w:t xml:space="preserve"> </w:t>
      </w:r>
      <w:r>
        <w:t xml:space="preserve">“costs” in the </w:t>
      </w:r>
      <w:r w:rsidR="00940110">
        <w:t xml:space="preserve">Reassigned Numbers Database </w:t>
      </w:r>
      <w:r>
        <w:t xml:space="preserve">proceeding include a reasonable profit for the </w:t>
      </w:r>
      <w:r w:rsidR="008C0312">
        <w:t>A</w:t>
      </w:r>
      <w:r>
        <w:t>dministrator</w:t>
      </w:r>
      <w:r w:rsidR="00F75F39">
        <w:t xml:space="preserve"> best reflects the purpose of the </w:t>
      </w:r>
      <w:r w:rsidR="00F75F39">
        <w:rPr>
          <w:i/>
          <w:iCs/>
        </w:rPr>
        <w:t>Reassigned Numbers Order</w:t>
      </w:r>
      <w:r>
        <w:t xml:space="preserve">.  </w:t>
      </w:r>
    </w:p>
    <w:p w:rsidR="006462E7" w:rsidP="004B382D">
      <w:pPr>
        <w:pStyle w:val="Paranum0"/>
      </w:pPr>
    </w:p>
    <w:p w:rsidR="00AE518C" w:rsidP="004B382D">
      <w:pPr>
        <w:pStyle w:val="Paranum0"/>
      </w:pPr>
      <w:r w:rsidRPr="006462E7">
        <w:rPr>
          <w:i/>
          <w:iCs/>
        </w:rPr>
        <w:t>Disposition of Excess Funds.</w:t>
      </w:r>
      <w:r>
        <w:t xml:space="preserve">  </w:t>
      </w:r>
      <w:r w:rsidR="00B95E35">
        <w:t xml:space="preserve">Finally, we </w:t>
      </w:r>
      <w:r w:rsidR="000E2A0F">
        <w:t>set forth</w:t>
      </w:r>
      <w:r w:rsidR="00B95E35">
        <w:t xml:space="preserve"> how the Administrator shall distribute excess funds collected </w:t>
      </w:r>
      <w:r w:rsidR="00BA5E49">
        <w:t xml:space="preserve">if </w:t>
      </w:r>
      <w:r w:rsidR="00B95E35">
        <w:t xml:space="preserve">it collects more money from subscription fees than is needed </w:t>
      </w:r>
      <w:r w:rsidR="00BA5E49">
        <w:t xml:space="preserve">to fund the </w:t>
      </w:r>
      <w:r w:rsidR="00B90ED2">
        <w:t xml:space="preserve">Reassigned Numbers Database </w:t>
      </w:r>
      <w:r w:rsidR="00B95E35">
        <w:t>in a given year</w:t>
      </w:r>
      <w:r w:rsidR="00B95E35">
        <w:t xml:space="preserve">.  </w:t>
      </w:r>
      <w:r>
        <w:t xml:space="preserve">The </w:t>
      </w:r>
      <w:r w:rsidR="00782F97">
        <w:rPr>
          <w:i/>
        </w:rPr>
        <w:t xml:space="preserve">Reassigned Numbers </w:t>
      </w:r>
      <w:r w:rsidRPr="00AE518C">
        <w:rPr>
          <w:i/>
          <w:iCs/>
        </w:rPr>
        <w:t>Order</w:t>
      </w:r>
      <w:r>
        <w:t xml:space="preserve"> states that the costs to establish the </w:t>
      </w:r>
      <w:r w:rsidR="00F2411F">
        <w:t xml:space="preserve">Reassigned Numbers Database </w:t>
      </w:r>
      <w:r>
        <w:t>and create the query functionality will be recovered from the Billing and Collection Agent, which will collect the funds from Service Providers.</w:t>
      </w:r>
      <w:r>
        <w:rPr>
          <w:rStyle w:val="FootnoteReference"/>
        </w:rPr>
        <w:footnoteReference w:id="16"/>
      </w:r>
      <w:r>
        <w:t xml:space="preserve">  The Administrator will recover its costs to operate the </w:t>
      </w:r>
      <w:r w:rsidR="00F2411F">
        <w:t xml:space="preserve">database </w:t>
      </w:r>
      <w:r>
        <w:t xml:space="preserve">through usage charges, or fees, that it will collect from callers that use the </w:t>
      </w:r>
      <w:r w:rsidR="00F2411F">
        <w:t>database</w:t>
      </w:r>
      <w:r>
        <w:t>.</w:t>
      </w:r>
      <w:r>
        <w:rPr>
          <w:rStyle w:val="FootnoteReference"/>
        </w:rPr>
        <w:footnoteReference w:id="17"/>
      </w:r>
      <w:r>
        <w:t xml:space="preserve">  The Administrator will attempt to collect enough money through </w:t>
      </w:r>
      <w:r w:rsidR="00F2411F">
        <w:t xml:space="preserve">Reassigned Numbers Database </w:t>
      </w:r>
      <w:r>
        <w:t xml:space="preserve">subscription fees to repay the Service Providers for the </w:t>
      </w:r>
      <w:r w:rsidR="00520703">
        <w:t xml:space="preserve">database </w:t>
      </w:r>
      <w:r>
        <w:t xml:space="preserve">creation costs and cover its own costs to operate the </w:t>
      </w:r>
      <w:r w:rsidR="00520703">
        <w:t>database</w:t>
      </w:r>
      <w:r>
        <w:t>.</w:t>
      </w:r>
    </w:p>
    <w:p w:rsidR="00AE518C" w:rsidP="004B382D">
      <w:pPr>
        <w:pStyle w:val="Paranum0"/>
      </w:pPr>
    </w:p>
    <w:p w:rsidR="00AE518C" w:rsidP="004B382D">
      <w:pPr>
        <w:pStyle w:val="Paranum0"/>
      </w:pPr>
      <w:r>
        <w:t xml:space="preserve">If </w:t>
      </w:r>
      <w:r>
        <w:t xml:space="preserve">the Administrator collects more money from subscription fees than is needed </w:t>
      </w:r>
      <w:r>
        <w:t>in a given year</w:t>
      </w:r>
      <w:r>
        <w:t>,</w:t>
      </w:r>
      <w:r>
        <w:rPr>
          <w:rStyle w:val="FootnoteReference"/>
        </w:rPr>
        <w:footnoteReference w:id="18"/>
      </w:r>
      <w:r>
        <w:t xml:space="preserve"> </w:t>
      </w:r>
      <w:r w:rsidR="002160E2">
        <w:t>we</w:t>
      </w:r>
      <w:r w:rsidR="00993BC2">
        <w:t xml:space="preserve"> find that the purposes of the </w:t>
      </w:r>
      <w:r w:rsidR="00993BC2">
        <w:rPr>
          <w:i/>
          <w:iCs/>
        </w:rPr>
        <w:t>Reassigned Numbers Order</w:t>
      </w:r>
      <w:r w:rsidR="00993BC2">
        <w:t xml:space="preserve"> are best served by</w:t>
      </w:r>
      <w:r w:rsidR="002160E2">
        <w:t xml:space="preserve"> </w:t>
      </w:r>
      <w:r>
        <w:t>the Administrator distribut</w:t>
      </w:r>
      <w:r w:rsidR="00993BC2">
        <w:t>ing</w:t>
      </w:r>
      <w:r>
        <w:t xml:space="preserve"> the excess funds collected </w:t>
      </w:r>
      <w:r w:rsidR="00A00D29">
        <w:t xml:space="preserve">by taking steps </w:t>
      </w:r>
      <w:r>
        <w:t>in the following order:</w:t>
      </w:r>
      <w:r w:rsidR="00114304">
        <w:rPr>
          <w:rStyle w:val="FootnoteReference"/>
        </w:rPr>
        <w:t xml:space="preserve"> </w:t>
      </w:r>
      <w:r w:rsidR="006A0B1B">
        <w:br/>
      </w:r>
    </w:p>
    <w:p w:rsidR="00AE518C" w:rsidP="004B382D">
      <w:pPr>
        <w:pStyle w:val="Paranum0"/>
        <w:numPr>
          <w:ilvl w:val="0"/>
          <w:numId w:val="12"/>
        </w:numPr>
      </w:pPr>
      <w:r>
        <w:t xml:space="preserve">If the </w:t>
      </w:r>
      <w:r w:rsidR="00520703">
        <w:t xml:space="preserve">database </w:t>
      </w:r>
      <w:r>
        <w:t xml:space="preserve">had a </w:t>
      </w:r>
      <w:r w:rsidR="00BA5E49">
        <w:t xml:space="preserve">funding </w:t>
      </w:r>
      <w:r>
        <w:t xml:space="preserve">deficit </w:t>
      </w:r>
      <w:r w:rsidR="004B382D">
        <w:t xml:space="preserve">in </w:t>
      </w:r>
      <w:r>
        <w:t>prior year</w:t>
      </w:r>
      <w:r w:rsidR="00691E49">
        <w:t>(s)</w:t>
      </w:r>
      <w:r>
        <w:t xml:space="preserve">, </w:t>
      </w:r>
      <w:r w:rsidR="002160E2">
        <w:t xml:space="preserve">the Administrator </w:t>
      </w:r>
      <w:r w:rsidR="00BA5E49">
        <w:t xml:space="preserve">will </w:t>
      </w:r>
      <w:r>
        <w:t>apply the excess funds to reduce or eliminate th</w:t>
      </w:r>
      <w:r w:rsidR="00BA5E49">
        <w:t xml:space="preserve">at </w:t>
      </w:r>
      <w:r>
        <w:t>deficit.</w:t>
      </w:r>
    </w:p>
    <w:p w:rsidR="00AE518C" w:rsidP="004B382D">
      <w:pPr>
        <w:pStyle w:val="Paranum0"/>
        <w:numPr>
          <w:ilvl w:val="0"/>
          <w:numId w:val="12"/>
        </w:numPr>
      </w:pPr>
      <w:r>
        <w:t xml:space="preserve">If any excess funds remain </w:t>
      </w:r>
      <w:r w:rsidR="00E2509A">
        <w:t xml:space="preserve">after </w:t>
      </w:r>
      <w:r w:rsidR="00A00D29">
        <w:t>s</w:t>
      </w:r>
      <w:r w:rsidR="00BA5E49">
        <w:t xml:space="preserve">tep 1 </w:t>
      </w:r>
      <w:r>
        <w:t xml:space="preserve">and the Service Providers have not been paid in full for their funding of the </w:t>
      </w:r>
      <w:r w:rsidR="00520703">
        <w:t xml:space="preserve">database </w:t>
      </w:r>
      <w:r>
        <w:t xml:space="preserve">creation costs, </w:t>
      </w:r>
      <w:r w:rsidR="002160E2">
        <w:t xml:space="preserve">the Administrator shall </w:t>
      </w:r>
      <w:r>
        <w:t>apply the excess funds to accelerate their repayment.</w:t>
      </w:r>
    </w:p>
    <w:p w:rsidR="006462E7" w:rsidP="004B382D">
      <w:pPr>
        <w:pStyle w:val="Paranum0"/>
        <w:numPr>
          <w:ilvl w:val="0"/>
          <w:numId w:val="12"/>
        </w:numPr>
      </w:pPr>
      <w:r>
        <w:t>If any excess funds remain</w:t>
      </w:r>
      <w:r w:rsidR="00BA5E49">
        <w:t xml:space="preserve"> after </w:t>
      </w:r>
      <w:r w:rsidR="00A00D29">
        <w:t>s</w:t>
      </w:r>
      <w:r w:rsidR="00BA5E49">
        <w:t>teps 1 and 2</w:t>
      </w:r>
      <w:r>
        <w:t xml:space="preserve">, </w:t>
      </w:r>
      <w:r w:rsidR="002160E2">
        <w:t xml:space="preserve">the Administrator shall </w:t>
      </w:r>
      <w:r>
        <w:t xml:space="preserve">apply </w:t>
      </w:r>
      <w:r w:rsidR="00BA5E49">
        <w:t xml:space="preserve">them to </w:t>
      </w:r>
      <w:r>
        <w:t xml:space="preserve">future years of </w:t>
      </w:r>
      <w:r w:rsidR="00FE32F4">
        <w:t xml:space="preserve">Reassigned Numbers Database </w:t>
      </w:r>
      <w:r>
        <w:t>operations and thereby lower the fees paid by subscribers.</w:t>
      </w:r>
    </w:p>
    <w:p w:rsidR="00D65DF7" w:rsidP="004B382D">
      <w:pPr>
        <w:pStyle w:val="Paranum0"/>
      </w:pPr>
      <w:bookmarkStart w:id="8" w:name="_Hlk30075775"/>
    </w:p>
    <w:p w:rsidR="00581B04" w:rsidP="004B382D">
      <w:pPr>
        <w:pStyle w:val="Paranum0"/>
      </w:pPr>
      <w:r>
        <w:t>W</w:t>
      </w:r>
      <w:r w:rsidRPr="00D65DF7">
        <w:t xml:space="preserve">e find this prioritization </w:t>
      </w:r>
      <w:r>
        <w:t>of the disposition of any excess funds</w:t>
      </w:r>
      <w:r w:rsidR="009C05C9">
        <w:t xml:space="preserve"> </w:t>
      </w:r>
      <w:r w:rsidR="00482A41">
        <w:t xml:space="preserve">best accords with the Commission’s purposes in establishing the </w:t>
      </w:r>
      <w:r w:rsidR="00FE32F4">
        <w:t>Reassigned Numbers Database</w:t>
      </w:r>
      <w:r w:rsidR="00482A41">
        <w:t>, which are to ensure full funding of the database, ensure repayment of funds advanced by the Service Providers, and minimize the costs to subscribers, in an administratively simple and most cost</w:t>
      </w:r>
      <w:r w:rsidR="000B7342">
        <w:t>-</w:t>
      </w:r>
      <w:r w:rsidR="00482A41">
        <w:t>effective manner.  It also</w:t>
      </w:r>
      <w:r w:rsidR="009C05C9">
        <w:t xml:space="preserve"> is consistent with the </w:t>
      </w:r>
      <w:r w:rsidR="00482A41">
        <w:t xml:space="preserve">Commission’s approach to </w:t>
      </w:r>
      <w:r w:rsidR="009C05C9">
        <w:t>disposition of excess funds in similar contexts.</w:t>
      </w:r>
      <w:r>
        <w:rPr>
          <w:rStyle w:val="FootnoteReference"/>
        </w:rPr>
        <w:footnoteReference w:id="19"/>
      </w:r>
    </w:p>
    <w:p w:rsidR="00D65DF7" w:rsidP="004B382D">
      <w:pPr>
        <w:pStyle w:val="Paranum0"/>
      </w:pPr>
    </w:p>
    <w:bookmarkEnd w:id="8"/>
    <w:p w:rsidR="00581B04" w:rsidP="00581B04">
      <w:pPr>
        <w:widowControl/>
        <w:ind w:firstLine="720"/>
        <w:rPr>
          <w:szCs w:val="22"/>
        </w:rPr>
      </w:pPr>
      <w:r w:rsidRPr="00581B04">
        <w:rPr>
          <w:i/>
          <w:iCs/>
          <w:szCs w:val="22"/>
        </w:rPr>
        <w:t>People with Disabilities</w:t>
      </w:r>
      <w:r>
        <w:rPr>
          <w:i/>
          <w:iCs/>
          <w:szCs w:val="22"/>
        </w:rPr>
        <w:t>.</w:t>
      </w:r>
      <w:r>
        <w:rPr>
          <w:szCs w:val="22"/>
        </w:rPr>
        <w:t xml:space="preserve">  To request materials in accessible formats for people with disabilities (</w:t>
      </w:r>
      <w:r w:rsidR="00542B77">
        <w:rPr>
          <w:szCs w:val="22"/>
        </w:rPr>
        <w:t>Braille</w:t>
      </w:r>
      <w:r>
        <w:rPr>
          <w:szCs w:val="22"/>
        </w:rPr>
        <w:t xml:space="preserve">, large print, electronic files, audio format), send an e-mail to </w:t>
      </w:r>
      <w:hyperlink r:id="rId5" w:history="1">
        <w:r w:rsidRPr="000A2743">
          <w:rPr>
            <w:rStyle w:val="Hyperlink"/>
            <w:szCs w:val="22"/>
          </w:rPr>
          <w:t>fcc504@fcc.gov</w:t>
        </w:r>
      </w:hyperlink>
      <w:r w:rsidRPr="00897495">
        <w:rPr>
          <w:szCs w:val="22"/>
        </w:rPr>
        <w:t xml:space="preserve"> </w:t>
      </w:r>
      <w:r>
        <w:rPr>
          <w:szCs w:val="22"/>
        </w:rPr>
        <w:t>or call the Consumer &amp; Governmental Affairs Bureau at 202-418-0530 (voice), 202-418-0432 (</w:t>
      </w:r>
      <w:r>
        <w:rPr>
          <w:szCs w:val="22"/>
        </w:rPr>
        <w:t>tty</w:t>
      </w:r>
      <w:r>
        <w:rPr>
          <w:szCs w:val="22"/>
        </w:rPr>
        <w:t>).</w:t>
      </w:r>
    </w:p>
    <w:p w:rsidR="0017388E" w:rsidRPr="001376F0" w:rsidP="004B382D">
      <w:pPr>
        <w:pStyle w:val="Paranum0"/>
      </w:pPr>
    </w:p>
    <w:p w:rsidR="0017388E" w:rsidP="004B382D">
      <w:pPr>
        <w:pStyle w:val="Paranum0"/>
      </w:pPr>
      <w:r w:rsidRPr="00581B04">
        <w:rPr>
          <w:i/>
          <w:iCs/>
        </w:rPr>
        <w:t>Additional Information.</w:t>
      </w:r>
      <w:r>
        <w:t xml:space="preserve">  </w:t>
      </w:r>
      <w:r>
        <w:t xml:space="preserve">For further information, contact Karen Schroeder of the Consumer and Governmental Affairs Bureau at (202) 418-0654 or </w:t>
      </w:r>
      <w:hyperlink r:id="rId6" w:history="1">
        <w:r w:rsidRPr="006D3ACE">
          <w:rPr>
            <w:rStyle w:val="Hyperlink"/>
          </w:rPr>
          <w:t>Karen.Schroeder@fcc.gov</w:t>
        </w:r>
      </w:hyperlink>
      <w:r w:rsidRPr="005A3FFD">
        <w:t>.</w:t>
      </w:r>
    </w:p>
    <w:p w:rsidR="0017388E" w:rsidRPr="00CB66C3" w:rsidP="004B382D">
      <w:pPr>
        <w:pStyle w:val="Paranum0"/>
      </w:pPr>
    </w:p>
    <w:p w:rsidR="002B2AC7" w:rsidRPr="00C94ECA" w:rsidP="00CB66C3">
      <w:pPr>
        <w:jc w:val="center"/>
        <w:rPr>
          <w:sz w:val="24"/>
        </w:rPr>
      </w:pPr>
      <w:r w:rsidRPr="00CB66C3">
        <w:rPr>
          <w:b/>
          <w:snapToGrid/>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P="0055614C">
    <w:pPr>
      <w:pStyle w:val="Footer"/>
      <w:framePr w:wrap="around" w:vAnchor="text" w:hAnchor="margin" w:xAlign="center" w:y="1"/>
    </w:pPr>
    <w:r>
      <w:fldChar w:fldCharType="begin"/>
    </w:r>
    <w:r>
      <w:instrText xml:space="preserve">PAGE  </w:instrText>
    </w:r>
    <w:r>
      <w:fldChar w:fldCharType="separate"/>
    </w:r>
    <w:r>
      <w:fldChar w:fldCharType="end"/>
    </w:r>
  </w:p>
  <w:p w:rsidR="00253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P="00910F12">
    <w:pPr>
      <w:pStyle w:val="Footer"/>
      <w:jc w:val="center"/>
    </w:pPr>
    <w:r>
      <w:fldChar w:fldCharType="begin"/>
    </w:r>
    <w:r>
      <w:instrText xml:space="preserve"> PAGE   \* MERGEFORMAT </w:instrText>
    </w:r>
    <w:r>
      <w:fldChar w:fldCharType="separate"/>
    </w:r>
    <w:r w:rsidR="002160E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559B">
      <w:r>
        <w:separator/>
      </w:r>
    </w:p>
  </w:footnote>
  <w:footnote w:type="continuationSeparator" w:id="1">
    <w:p w:rsidR="0005559B">
      <w:pPr>
        <w:rPr>
          <w:sz w:val="20"/>
        </w:rPr>
      </w:pPr>
      <w:r>
        <w:rPr>
          <w:sz w:val="20"/>
        </w:rPr>
        <w:t xml:space="preserve">(Continued from previous page)  </w:t>
      </w:r>
      <w:r>
        <w:rPr>
          <w:sz w:val="20"/>
        </w:rPr>
        <w:separator/>
      </w:r>
    </w:p>
  </w:footnote>
  <w:footnote w:type="continuationNotice" w:id="2">
    <w:p w:rsidR="0005559B" w:rsidP="00910F12">
      <w:pPr>
        <w:jc w:val="right"/>
        <w:rPr>
          <w:sz w:val="20"/>
        </w:rPr>
      </w:pPr>
      <w:r>
        <w:rPr>
          <w:sz w:val="20"/>
        </w:rPr>
        <w:t>(continued….)</w:t>
      </w:r>
    </w:p>
  </w:footnote>
  <w:footnote w:id="3">
    <w:p w:rsidR="00253946" w:rsidRPr="00A97353" w:rsidP="00333A8F">
      <w:pPr>
        <w:pStyle w:val="FootnoteText"/>
      </w:pPr>
      <w:r>
        <w:rPr>
          <w:rStyle w:val="FootnoteReference"/>
        </w:rPr>
        <w:footnoteRef/>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33 FCC Rcd 12024 (2018)</w:t>
      </w:r>
      <w:r>
        <w:t xml:space="preserve"> (</w:t>
      </w:r>
      <w:r>
        <w:rPr>
          <w:i/>
        </w:rPr>
        <w:t xml:space="preserve">Reassigned Numbers </w:t>
      </w:r>
      <w:r w:rsidRPr="00245526">
        <w:rPr>
          <w:i/>
        </w:rPr>
        <w:t>Order</w:t>
      </w:r>
      <w:r>
        <w:t>)</w:t>
      </w:r>
      <w:r w:rsidRPr="00435394">
        <w:t>.</w:t>
      </w:r>
    </w:p>
  </w:footnote>
  <w:footnote w:id="4">
    <w:p w:rsidR="00253946" w:rsidRPr="00A97353" w:rsidP="0017388E">
      <w:pPr>
        <w:pStyle w:val="FootnoteText"/>
      </w:pPr>
      <w:r>
        <w:rPr>
          <w:rStyle w:val="FootnoteReference"/>
        </w:rPr>
        <w:footnoteRef/>
      </w:r>
      <w:r>
        <w:t xml:space="preserve"> </w:t>
      </w:r>
      <w:r>
        <w:rPr>
          <w:i/>
          <w:iCs/>
        </w:rPr>
        <w:t>Id</w:t>
      </w:r>
      <w:r w:rsidRPr="00DB2AD5">
        <w:rPr>
          <w:i/>
          <w:iCs/>
        </w:rPr>
        <w:t>.</w:t>
      </w:r>
      <w:r w:rsidRPr="00DB2AD5">
        <w:t xml:space="preserve"> at</w:t>
      </w:r>
      <w:r>
        <w:rPr>
          <w:i/>
          <w:iCs/>
        </w:rPr>
        <w:t xml:space="preserve"> </w:t>
      </w:r>
      <w:r>
        <w:t>12025, para. 3</w:t>
      </w:r>
      <w:r w:rsidRPr="00435394">
        <w:t>.</w:t>
      </w:r>
    </w:p>
  </w:footnote>
  <w:footnote w:id="5">
    <w:p w:rsidR="00253946" w:rsidRPr="00A97353" w:rsidP="0017388E">
      <w:pPr>
        <w:pStyle w:val="FootnoteText"/>
        <w:rPr>
          <w:i/>
        </w:rPr>
      </w:pPr>
      <w:r>
        <w:rPr>
          <w:rStyle w:val="FootnoteReference"/>
        </w:rPr>
        <w:footnoteRef/>
      </w:r>
      <w:r>
        <w:t xml:space="preserve"> </w:t>
      </w:r>
      <w:r>
        <w:rPr>
          <w:i/>
        </w:rPr>
        <w:t>Id.</w:t>
      </w:r>
    </w:p>
  </w:footnote>
  <w:footnote w:id="6">
    <w:p w:rsidR="004B382D">
      <w:pPr>
        <w:pStyle w:val="FootnoteText"/>
      </w:pPr>
      <w:r>
        <w:rPr>
          <w:rStyle w:val="FootnoteReference"/>
        </w:rPr>
        <w:footnoteRef/>
      </w:r>
      <w:r>
        <w:t xml:space="preserve"> </w:t>
      </w:r>
      <w:r w:rsidR="00D67070">
        <w:rPr>
          <w:i/>
          <w:iCs/>
        </w:rPr>
        <w:t>Id</w:t>
      </w:r>
      <w:r w:rsidRPr="00DB2AD5" w:rsidR="00D67070">
        <w:rPr>
          <w:i/>
          <w:iCs/>
        </w:rPr>
        <w:t>.</w:t>
      </w:r>
      <w:r w:rsidRPr="00DB2AD5" w:rsidR="00D67070">
        <w:t xml:space="preserve"> at</w:t>
      </w:r>
      <w:r w:rsidR="00D67070">
        <w:rPr>
          <w:i/>
          <w:iCs/>
        </w:rPr>
        <w:t xml:space="preserve"> </w:t>
      </w:r>
      <w:r w:rsidR="00D67070">
        <w:t>12046, paras. 61-62</w:t>
      </w:r>
      <w:r w:rsidRPr="00435394" w:rsidR="00D67070">
        <w:t>.</w:t>
      </w:r>
    </w:p>
  </w:footnote>
  <w:footnote w:id="7">
    <w:p w:rsidR="00253946" w:rsidP="006462E7">
      <w:pPr>
        <w:pStyle w:val="FootnoteText"/>
        <w:tabs>
          <w:tab w:val="left" w:pos="2444"/>
        </w:tabs>
      </w:pPr>
      <w:r>
        <w:rPr>
          <w:rStyle w:val="FootnoteReference"/>
        </w:rPr>
        <w:footnoteRef/>
      </w:r>
      <w:r>
        <w:t xml:space="preserve"> </w:t>
      </w:r>
      <w:r w:rsidRPr="004529A2">
        <w:rPr>
          <w:i/>
          <w:iCs/>
        </w:rPr>
        <w:t>Wireline Competition Bureau and Consumer and Governmental Affairs Bureau Seek Comment on Technical</w:t>
      </w:r>
      <w:bookmarkStart w:id="5" w:name="_GoBack"/>
      <w:bookmarkEnd w:id="5"/>
      <w:r w:rsidRPr="004529A2">
        <w:rPr>
          <w:i/>
          <w:iCs/>
        </w:rPr>
        <w:t xml:space="preserve"> Requirements for Reassigned Numbers Database</w:t>
      </w:r>
      <w:r>
        <w:t xml:space="preserve">, CG Docket No. 17-59, Public Notice, </w:t>
      </w:r>
      <w:r w:rsidRPr="004529A2">
        <w:t>DA-20-105</w:t>
      </w:r>
      <w:r>
        <w:t xml:space="preserve"> (WCB CGB Jan. 24, 2020); </w:t>
      </w:r>
      <w:r w:rsidRPr="004529A2">
        <w:rPr>
          <w:i/>
          <w:iCs/>
        </w:rPr>
        <w:t xml:space="preserve">Wireline Competition Bureau and Consumer </w:t>
      </w:r>
      <w:r>
        <w:rPr>
          <w:i/>
          <w:iCs/>
        </w:rPr>
        <w:t>a</w:t>
      </w:r>
      <w:r w:rsidRPr="004529A2">
        <w:rPr>
          <w:i/>
          <w:iCs/>
        </w:rPr>
        <w:t>nd Governmental Affairs Bureau Seek Comment on NANC Recommendations on Cost Funding and Fee Structure for Reassigned Numbers Database</w:t>
      </w:r>
      <w:r>
        <w:t xml:space="preserve">, CG Docket No. 17-59, Public Notice, </w:t>
      </w:r>
      <w:r w:rsidRPr="004529A2">
        <w:t>DA-20-1</w:t>
      </w:r>
      <w:r>
        <w:t>97 (WCB CGB Feb. 26, 2020) (</w:t>
      </w:r>
      <w:r w:rsidRPr="008C0312">
        <w:rPr>
          <w:i/>
          <w:iCs/>
        </w:rPr>
        <w:t>NANC Cost Funding Public Notice</w:t>
      </w:r>
      <w:r>
        <w:t>).</w:t>
      </w:r>
    </w:p>
  </w:footnote>
  <w:footnote w:id="8">
    <w:p w:rsidR="00253946">
      <w:pPr>
        <w:pStyle w:val="FootnoteText"/>
      </w:pPr>
      <w:r>
        <w:rPr>
          <w:rStyle w:val="FootnoteReference"/>
        </w:rPr>
        <w:footnoteRef/>
      </w:r>
      <w:r>
        <w:t xml:space="preserve"> </w:t>
      </w:r>
      <w:r>
        <w:rPr>
          <w:i/>
        </w:rPr>
        <w:t xml:space="preserve">Reassigned Numbers </w:t>
      </w:r>
      <w:r w:rsidRPr="00245526">
        <w:rPr>
          <w:i/>
        </w:rPr>
        <w:t>Order</w:t>
      </w:r>
      <w:r w:rsidRPr="00F85609">
        <w:rPr>
          <w:iCs/>
        </w:rPr>
        <w:t>,</w:t>
      </w:r>
      <w:r w:rsidRPr="004529A2">
        <w:t xml:space="preserve"> </w:t>
      </w:r>
      <w:r w:rsidRPr="00435394">
        <w:t xml:space="preserve">33 FCC Rcd </w:t>
      </w:r>
      <w:r>
        <w:rPr>
          <w:iCs/>
        </w:rPr>
        <w:t xml:space="preserve">at 12031, </w:t>
      </w:r>
      <w:r w:rsidRPr="00F85609">
        <w:rPr>
          <w:iCs/>
        </w:rPr>
        <w:t>para. 19</w:t>
      </w:r>
      <w:r>
        <w:rPr>
          <w:iCs/>
        </w:rPr>
        <w:t>.</w:t>
      </w:r>
    </w:p>
  </w:footnote>
  <w:footnote w:id="9">
    <w:p w:rsidR="009F55BC">
      <w:pPr>
        <w:pStyle w:val="FootnoteText"/>
      </w:pPr>
      <w:r>
        <w:rPr>
          <w:rStyle w:val="FootnoteReference"/>
        </w:rPr>
        <w:footnoteRef/>
      </w:r>
      <w:r>
        <w:t xml:space="preserve"> </w:t>
      </w:r>
      <w:bookmarkStart w:id="7" w:name="_Hlk36549127"/>
      <w:r w:rsidRPr="00C47A5B">
        <w:t xml:space="preserve">The </w:t>
      </w:r>
      <w:r w:rsidR="00F2411F">
        <w:t>Reassigned Numbers Database</w:t>
      </w:r>
      <w:r w:rsidRPr="00C47A5B" w:rsidR="00F2411F">
        <w:t xml:space="preserve"> </w:t>
      </w:r>
      <w:r w:rsidRPr="00C47A5B">
        <w:t xml:space="preserve">will only </w:t>
      </w:r>
      <w:r>
        <w:t xml:space="preserve">contain numbers that have been </w:t>
      </w:r>
      <w:r w:rsidR="00A00D29">
        <w:t>permanently disconnected</w:t>
      </w:r>
      <w:r>
        <w:t xml:space="preserve"> after providers are required to report </w:t>
      </w:r>
      <w:r w:rsidR="00A00D29">
        <w:t>such</w:t>
      </w:r>
      <w:r>
        <w:t xml:space="preserve"> numbers to the database.  Thus, it will</w:t>
      </w:r>
      <w:r w:rsidRPr="00C47A5B">
        <w:t xml:space="preserve"> not contain numbers </w:t>
      </w:r>
      <w:r w:rsidR="00A00D29">
        <w:t>permanently disconnected</w:t>
      </w:r>
      <w:r w:rsidRPr="00C47A5B">
        <w:t xml:space="preserve"> before </w:t>
      </w:r>
      <w:r>
        <w:t>that time</w:t>
      </w:r>
      <w:r w:rsidRPr="00C47A5B">
        <w:t xml:space="preserve">, nor will it contain numbers that have not been </w:t>
      </w:r>
      <w:r w:rsidR="00A00D29">
        <w:t>permanently disconnected</w:t>
      </w:r>
      <w:r>
        <w:t>.</w:t>
      </w:r>
      <w:bookmarkEnd w:id="7"/>
    </w:p>
  </w:footnote>
  <w:footnote w:id="10">
    <w:p w:rsidR="00A95A21">
      <w:pPr>
        <w:pStyle w:val="FootnoteText"/>
      </w:pPr>
      <w:r>
        <w:rPr>
          <w:rStyle w:val="FootnoteReference"/>
        </w:rPr>
        <w:footnoteRef/>
      </w:r>
      <w:r>
        <w:t xml:space="preserve"> </w:t>
      </w:r>
      <w:r>
        <w:rPr>
          <w:i/>
          <w:iCs/>
        </w:rPr>
        <w:t xml:space="preserve">See </w:t>
      </w:r>
      <w:r>
        <w:t>47 CFR § 64.1200(m).</w:t>
      </w:r>
    </w:p>
  </w:footnote>
  <w:footnote w:id="11">
    <w:p w:rsidR="004340B1">
      <w:pPr>
        <w:pStyle w:val="FootnoteText"/>
      </w:pPr>
      <w:r>
        <w:rPr>
          <w:rStyle w:val="FootnoteReference"/>
        </w:rPr>
        <w:footnoteRef/>
      </w:r>
      <w:r>
        <w:t xml:space="preserve"> Small providers will have an additional six months to begin reporting data to the </w:t>
      </w:r>
      <w:r w:rsidR="00F2411F">
        <w:t>Reassigned Numbers Database</w:t>
      </w:r>
      <w:r>
        <w:t xml:space="preserve">; thus, the </w:t>
      </w:r>
      <w:r w:rsidRPr="004340B1">
        <w:t xml:space="preserve">date </w:t>
      </w:r>
      <w:r w:rsidR="007373F0">
        <w:t>by which</w:t>
      </w:r>
      <w:r w:rsidR="00921760">
        <w:t xml:space="preserve"> </w:t>
      </w:r>
      <w:r w:rsidRPr="004340B1">
        <w:t xml:space="preserve">all providers </w:t>
      </w:r>
      <w:r w:rsidR="007373F0">
        <w:t xml:space="preserve">must </w:t>
      </w:r>
      <w:r w:rsidRPr="004340B1">
        <w:t xml:space="preserve">report disconnected numbers to the </w:t>
      </w:r>
      <w:r w:rsidR="00F2411F">
        <w:t xml:space="preserve">Reassigned Numbers Database </w:t>
      </w:r>
      <w:r>
        <w:t xml:space="preserve">is the date </w:t>
      </w:r>
      <w:r w:rsidR="007373F0">
        <w:t xml:space="preserve">by which </w:t>
      </w:r>
      <w:r>
        <w:t xml:space="preserve">small providers are required to report disconnected numbers to the </w:t>
      </w:r>
      <w:r w:rsidR="00F2411F">
        <w:t>Reassigned Numbers Database</w:t>
      </w:r>
      <w:r>
        <w:t xml:space="preserve">.  </w:t>
      </w:r>
      <w:r>
        <w:rPr>
          <w:i/>
        </w:rPr>
        <w:t xml:space="preserve">Reassigned Numbers </w:t>
      </w:r>
      <w:r w:rsidRPr="00245526">
        <w:rPr>
          <w:i/>
        </w:rPr>
        <w:t>Order</w:t>
      </w:r>
      <w:r w:rsidRPr="00F85609">
        <w:rPr>
          <w:iCs/>
        </w:rPr>
        <w:t>,</w:t>
      </w:r>
      <w:r w:rsidRPr="004529A2">
        <w:t xml:space="preserve"> </w:t>
      </w:r>
      <w:r w:rsidRPr="00435394">
        <w:t xml:space="preserve">33 FCC Rcd </w:t>
      </w:r>
      <w:r>
        <w:rPr>
          <w:iCs/>
        </w:rPr>
        <w:t xml:space="preserve">at 12039-40, </w:t>
      </w:r>
      <w:r w:rsidRPr="00F85609">
        <w:rPr>
          <w:iCs/>
        </w:rPr>
        <w:t>para</w:t>
      </w:r>
      <w:r>
        <w:rPr>
          <w:iCs/>
        </w:rPr>
        <w:t>s</w:t>
      </w:r>
      <w:r w:rsidRPr="00F85609">
        <w:rPr>
          <w:iCs/>
        </w:rPr>
        <w:t xml:space="preserve">. </w:t>
      </w:r>
      <w:r>
        <w:rPr>
          <w:iCs/>
        </w:rPr>
        <w:t>41-45.</w:t>
      </w:r>
    </w:p>
  </w:footnote>
  <w:footnote w:id="12">
    <w:p w:rsidR="00A95A21" w:rsidRPr="00A95A21">
      <w:pPr>
        <w:pStyle w:val="FootnoteText"/>
      </w:pPr>
      <w:r>
        <w:rPr>
          <w:rStyle w:val="FootnoteReference"/>
        </w:rPr>
        <w:footnoteRef/>
      </w:r>
      <w:r>
        <w:t xml:space="preserve"> </w:t>
      </w:r>
      <w:r w:rsidR="00B95900">
        <w:rPr>
          <w:i/>
          <w:iCs/>
        </w:rPr>
        <w:t xml:space="preserve">See </w:t>
      </w:r>
      <w:r w:rsidR="00B95900">
        <w:t>47 CFR § 64.1200(m).</w:t>
      </w:r>
    </w:p>
  </w:footnote>
  <w:footnote w:id="13">
    <w:p w:rsidR="003E0C0B" w:rsidP="003E0C0B">
      <w:pPr>
        <w:pStyle w:val="FootnoteText"/>
      </w:pPr>
      <w:r>
        <w:rPr>
          <w:rStyle w:val="FootnoteReference"/>
        </w:rPr>
        <w:footnoteRef/>
      </w:r>
      <w:r>
        <w:t xml:space="preserve"> </w:t>
      </w:r>
      <w:r w:rsidR="003C5A92">
        <w:rPr>
          <w:i/>
          <w:iCs/>
        </w:rPr>
        <w:t>Id</w:t>
      </w:r>
      <w:r>
        <w:t>.</w:t>
      </w:r>
    </w:p>
  </w:footnote>
  <w:footnote w:id="14">
    <w:p w:rsidR="00253946">
      <w:pPr>
        <w:pStyle w:val="FootnoteText"/>
      </w:pPr>
      <w:r>
        <w:rPr>
          <w:rStyle w:val="FootnoteReference"/>
        </w:rPr>
        <w:footnoteRef/>
      </w:r>
      <w:r>
        <w:t xml:space="preserve"> </w:t>
      </w:r>
      <w:r w:rsidR="00E2509A">
        <w:rPr>
          <w:i/>
        </w:rPr>
        <w:t xml:space="preserve">Reassigned Numbers </w:t>
      </w:r>
      <w:r w:rsidRPr="00245526" w:rsidR="00E2509A">
        <w:rPr>
          <w:i/>
        </w:rPr>
        <w:t>Order</w:t>
      </w:r>
      <w:r w:rsidRPr="00F85609" w:rsidR="00E2509A">
        <w:rPr>
          <w:iCs/>
        </w:rPr>
        <w:t>,</w:t>
      </w:r>
      <w:r w:rsidRPr="004529A2" w:rsidR="00E2509A">
        <w:t xml:space="preserve"> </w:t>
      </w:r>
      <w:r w:rsidRPr="00435394" w:rsidR="00E2509A">
        <w:t>33 FCC Rcd</w:t>
      </w:r>
      <w:r w:rsidRPr="00DB2AD5">
        <w:t xml:space="preserve"> at</w:t>
      </w:r>
      <w:r>
        <w:t xml:space="preserve"> 12040-41, paras. 46, 49.</w:t>
      </w:r>
    </w:p>
  </w:footnote>
  <w:footnote w:id="15">
    <w:p w:rsidR="00253946" w:rsidP="005B0081">
      <w:pPr>
        <w:pStyle w:val="FootnoteText"/>
      </w:pPr>
      <w:r>
        <w:rPr>
          <w:rStyle w:val="FootnoteReference"/>
        </w:rPr>
        <w:footnoteRef/>
      </w:r>
      <w:r>
        <w:t xml:space="preserve"> </w:t>
      </w:r>
      <w:r w:rsidRPr="005B0081">
        <w:rPr>
          <w:i/>
          <w:iCs/>
        </w:rPr>
        <w:t>See</w:t>
      </w:r>
      <w:r w:rsidRPr="00A92065">
        <w:t>,</w:t>
      </w:r>
      <w:r w:rsidRPr="005B0081">
        <w:rPr>
          <w:i/>
          <w:iCs/>
        </w:rPr>
        <w:t xml:space="preserve"> e.g.</w:t>
      </w:r>
      <w:r>
        <w:t xml:space="preserve">, </w:t>
      </w:r>
      <w:r w:rsidRPr="00E030E7">
        <w:rPr>
          <w:i/>
          <w:iCs/>
        </w:rPr>
        <w:t>Rates for Interstate Inmate Calling Services</w:t>
      </w:r>
      <w:r>
        <w:t xml:space="preserve">, </w:t>
      </w:r>
      <w:r w:rsidRPr="00E030E7">
        <w:t>WC Docket No. 12-375</w:t>
      </w:r>
      <w:r>
        <w:t xml:space="preserve">, Report and Order and Further Notice of Proposed Rulemaking, 28 FCC Rcd 14107, 14134, para. 53 (2013); </w:t>
      </w:r>
      <w:r w:rsidRPr="00E030E7">
        <w:rPr>
          <w:i/>
          <w:iCs/>
        </w:rPr>
        <w:t>Bell</w:t>
      </w:r>
      <w:r>
        <w:rPr>
          <w:i/>
          <w:iCs/>
        </w:rPr>
        <w:t>S</w:t>
      </w:r>
      <w:r w:rsidRPr="00E030E7">
        <w:rPr>
          <w:i/>
          <w:iCs/>
        </w:rPr>
        <w:t>outh Tel. Cos. Tariff FCC No. 4</w:t>
      </w:r>
      <w:r>
        <w:t xml:space="preserve">, Order, 6 FCC Rcd 3686 (CCB 1991).  Additionally, the current </w:t>
      </w:r>
      <w:r w:rsidR="0060660B">
        <w:t>North American Numbering Plan Administrator (</w:t>
      </w:r>
      <w:r>
        <w:t>NANPA</w:t>
      </w:r>
      <w:r w:rsidR="0060660B">
        <w:t>)</w:t>
      </w:r>
      <w:r>
        <w:t xml:space="preserve"> contract has </w:t>
      </w:r>
      <w:r>
        <w:t>sufficient</w:t>
      </w:r>
      <w:r>
        <w:t xml:space="preserve"> flexibility to allow its administrator to earn a profit if it operates efficiently.  While the Report and Order establishing the NANPA does not specifically address whether “costs” may include a profit, the language in that Report and Order regarding costs is similar to the language in the </w:t>
      </w:r>
      <w:r>
        <w:rPr>
          <w:i/>
        </w:rPr>
        <w:t xml:space="preserve">Reassigned Numbers </w:t>
      </w:r>
      <w:r w:rsidRPr="008C0312">
        <w:rPr>
          <w:i/>
          <w:iCs/>
        </w:rPr>
        <w:t>Order</w:t>
      </w:r>
      <w:r>
        <w:t xml:space="preserve">, and we have interpreted that Report and Order to allow the NANPA administrator the flexibility to realize a profit.  </w:t>
      </w:r>
      <w:r w:rsidRPr="00E030E7">
        <w:rPr>
          <w:i/>
          <w:iCs/>
        </w:rPr>
        <w:t>See</w:t>
      </w:r>
      <w:r>
        <w:t xml:space="preserve"> </w:t>
      </w:r>
      <w:r w:rsidRPr="00E030E7">
        <w:rPr>
          <w:i/>
          <w:iCs/>
        </w:rPr>
        <w:t>Administration of the North American Numbering Plan</w:t>
      </w:r>
      <w:r>
        <w:t xml:space="preserve">, CC Docket No. 92-237, Report and Order, 11 FCC Rcd 2588, 2623-30, paras. 85-102 (1995); </w:t>
      </w:r>
      <w:r>
        <w:rPr>
          <w:i/>
        </w:rPr>
        <w:t xml:space="preserve">Reassigned Numbers </w:t>
      </w:r>
      <w:r w:rsidRPr="00245526">
        <w:rPr>
          <w:i/>
        </w:rPr>
        <w:t>Order</w:t>
      </w:r>
      <w:r w:rsidRPr="00F85609">
        <w:rPr>
          <w:iCs/>
        </w:rPr>
        <w:t>,</w:t>
      </w:r>
      <w:r w:rsidRPr="004529A2">
        <w:t xml:space="preserve"> </w:t>
      </w:r>
      <w:r w:rsidRPr="00435394">
        <w:t xml:space="preserve">33 FCC Rcd </w:t>
      </w:r>
      <w:r>
        <w:t xml:space="preserve">at 12041, para. 47 (stating that the cost recovery mechanism for the </w:t>
      </w:r>
      <w:r w:rsidR="00FE32F4">
        <w:t xml:space="preserve">Reassigned Numbers Database </w:t>
      </w:r>
      <w:r>
        <w:t xml:space="preserve">will be the same as that used to recover the NANPA’s costs).  Further, the </w:t>
      </w:r>
      <w:r w:rsidRPr="005B0081">
        <w:rPr>
          <w:i/>
          <w:iCs/>
        </w:rPr>
        <w:t>North American Numbering Council (NANC)</w:t>
      </w:r>
      <w:r>
        <w:rPr>
          <w:i/>
          <w:iCs/>
        </w:rPr>
        <w:t xml:space="preserve"> </w:t>
      </w:r>
      <w:r w:rsidRPr="005B0081">
        <w:rPr>
          <w:i/>
          <w:iCs/>
        </w:rPr>
        <w:t>Recommendations on</w:t>
      </w:r>
      <w:r>
        <w:rPr>
          <w:i/>
          <w:iCs/>
        </w:rPr>
        <w:t xml:space="preserve"> </w:t>
      </w:r>
      <w:r w:rsidRPr="005B0081">
        <w:rPr>
          <w:i/>
          <w:iCs/>
        </w:rPr>
        <w:t>Funding of the Creation Costs and</w:t>
      </w:r>
      <w:r>
        <w:rPr>
          <w:i/>
          <w:iCs/>
        </w:rPr>
        <w:t xml:space="preserve"> </w:t>
      </w:r>
      <w:r w:rsidRPr="005B0081">
        <w:rPr>
          <w:i/>
          <w:iCs/>
        </w:rPr>
        <w:t>Fee Structure for Users of the</w:t>
      </w:r>
      <w:r>
        <w:rPr>
          <w:i/>
          <w:iCs/>
        </w:rPr>
        <w:t xml:space="preserve"> </w:t>
      </w:r>
      <w:r w:rsidRPr="005B0081">
        <w:rPr>
          <w:i/>
          <w:iCs/>
        </w:rPr>
        <w:t>Reassigned Numbers Database</w:t>
      </w:r>
      <w:r>
        <w:rPr>
          <w:i/>
          <w:iCs/>
        </w:rPr>
        <w:t xml:space="preserve"> </w:t>
      </w:r>
      <w:r>
        <w:t xml:space="preserve">contemplate the Administrator making some profit.  </w:t>
      </w:r>
      <w:r w:rsidRPr="008C0312">
        <w:rPr>
          <w:i/>
          <w:iCs/>
        </w:rPr>
        <w:t>See</w:t>
      </w:r>
      <w:r>
        <w:t xml:space="preserve"> </w:t>
      </w:r>
      <w:r w:rsidRPr="008C0312">
        <w:rPr>
          <w:i/>
          <w:iCs/>
        </w:rPr>
        <w:t>NANC Cost Funding Public Notice</w:t>
      </w:r>
      <w:r>
        <w:t>, Attach. p. 5 (Feb. 13, 2020) (</w:t>
      </w:r>
      <w:r w:rsidR="00F6104B">
        <w:t>applying “costs” in a way that includes reasonable profit</w:t>
      </w:r>
      <w:r>
        <w:t>).</w:t>
      </w:r>
    </w:p>
  </w:footnote>
  <w:footnote w:id="16">
    <w:p w:rsidR="00253946" w:rsidRPr="003B535C" w:rsidP="00AE518C">
      <w:pPr>
        <w:pStyle w:val="FootnoteText"/>
      </w:pPr>
      <w:r w:rsidRPr="003B535C">
        <w:rPr>
          <w:rStyle w:val="FootnoteReference"/>
        </w:rPr>
        <w:footnoteRef/>
      </w:r>
      <w:r w:rsidRPr="003B535C">
        <w:t xml:space="preserve"> </w:t>
      </w:r>
      <w:r>
        <w:rPr>
          <w:i/>
        </w:rPr>
        <w:t xml:space="preserve">Reassigned Numbers </w:t>
      </w:r>
      <w:r w:rsidRPr="000E68A9">
        <w:rPr>
          <w:i/>
          <w:iCs/>
        </w:rPr>
        <w:t>Order</w:t>
      </w:r>
      <w:r w:rsidRPr="005B5360">
        <w:t xml:space="preserve">, 33 FCC Rcd </w:t>
      </w:r>
      <w:r>
        <w:t>at</w:t>
      </w:r>
      <w:r w:rsidRPr="005B5360">
        <w:t xml:space="preserve"> 12041, para. 47</w:t>
      </w:r>
      <w:r>
        <w:t xml:space="preserve">; </w:t>
      </w:r>
      <w:r w:rsidRPr="00A8307C">
        <w:rPr>
          <w:i/>
          <w:iCs/>
        </w:rPr>
        <w:t>s</w:t>
      </w:r>
      <w:r w:rsidRPr="005B5360">
        <w:rPr>
          <w:i/>
          <w:iCs/>
        </w:rPr>
        <w:t>ee also</w:t>
      </w:r>
      <w:r w:rsidRPr="005B5360">
        <w:t xml:space="preserve"> 47 CFR §</w:t>
      </w:r>
      <w:r>
        <w:t> </w:t>
      </w:r>
      <w:r w:rsidRPr="005B5360">
        <w:t>64.1200(l)</w:t>
      </w:r>
      <w:r>
        <w:t>-(m)</w:t>
      </w:r>
      <w:r w:rsidRPr="005B5360">
        <w:t>.</w:t>
      </w:r>
    </w:p>
  </w:footnote>
  <w:footnote w:id="17">
    <w:p w:rsidR="00253946">
      <w:pPr>
        <w:pStyle w:val="FootnoteText"/>
      </w:pPr>
      <w:r>
        <w:rPr>
          <w:rStyle w:val="FootnoteReference"/>
        </w:rPr>
        <w:footnoteRef/>
      </w:r>
      <w:r>
        <w:t xml:space="preserve"> </w:t>
      </w:r>
      <w:r>
        <w:rPr>
          <w:i/>
        </w:rPr>
        <w:t xml:space="preserve">Reassigned Numbers </w:t>
      </w:r>
      <w:r w:rsidRPr="000E68A9">
        <w:rPr>
          <w:i/>
          <w:iCs/>
        </w:rPr>
        <w:t>Order</w:t>
      </w:r>
      <w:r w:rsidRPr="005B5360">
        <w:t>, 33 FCC Rcd</w:t>
      </w:r>
      <w:r w:rsidRPr="000A2F62">
        <w:t xml:space="preserve"> at 12040, para 46.</w:t>
      </w:r>
    </w:p>
  </w:footnote>
  <w:footnote w:id="18">
    <w:p w:rsidR="00253946">
      <w:pPr>
        <w:pStyle w:val="FootnoteText"/>
      </w:pPr>
      <w:r>
        <w:rPr>
          <w:rStyle w:val="FootnoteReference"/>
        </w:rPr>
        <w:footnoteRef/>
      </w:r>
      <w:r>
        <w:t xml:space="preserve"> The amount of money needed </w:t>
      </w:r>
      <w:r>
        <w:t>in a given year</w:t>
      </w:r>
      <w:r>
        <w:t xml:space="preserve"> will be defined in the procurement documents, but generally refers to the amount needed to cover the costs of administering the </w:t>
      </w:r>
      <w:r w:rsidR="00FE32F4">
        <w:t xml:space="preserve">database </w:t>
      </w:r>
      <w:r>
        <w:t xml:space="preserve">and appropriately repaying the </w:t>
      </w:r>
      <w:r w:rsidR="00FE32F4">
        <w:t xml:space="preserve">database </w:t>
      </w:r>
      <w:r>
        <w:t>creation costs to the Service Providers.</w:t>
      </w:r>
    </w:p>
  </w:footnote>
  <w:footnote w:id="19">
    <w:p w:rsidR="0042396D">
      <w:pPr>
        <w:pStyle w:val="FootnoteText"/>
      </w:pPr>
      <w:r>
        <w:rPr>
          <w:rStyle w:val="FootnoteReference"/>
        </w:rPr>
        <w:footnoteRef/>
      </w:r>
      <w:r>
        <w:t xml:space="preserve"> </w:t>
      </w:r>
      <w:r w:rsidRPr="000E68A9" w:rsidR="00114304">
        <w:rPr>
          <w:i/>
          <w:iCs/>
        </w:rPr>
        <w:t>Cf.</w:t>
      </w:r>
      <w:r w:rsidRPr="000E68A9" w:rsidR="00114304">
        <w:t xml:space="preserve"> </w:t>
      </w:r>
      <w:r w:rsidRPr="000E68A9" w:rsidR="00114304">
        <w:rPr>
          <w:i/>
          <w:iCs/>
        </w:rPr>
        <w:t>Toll Free Assignment Modernization</w:t>
      </w:r>
      <w:r w:rsidRPr="000E68A9" w:rsidR="00114304">
        <w:t xml:space="preserve">, </w:t>
      </w:r>
      <w:r w:rsidRPr="00DB2AD5" w:rsidR="00114304">
        <w:t>WC Docket No. 17-192</w:t>
      </w:r>
      <w:r w:rsidR="00114304">
        <w:t xml:space="preserve">, </w:t>
      </w:r>
      <w:r w:rsidRPr="000E68A9" w:rsidR="00114304">
        <w:t xml:space="preserve">Report and Order, 33 FCC Rcd 9274, 9297, paras. 66-67 (2018) (describing how to allocate 833 auction revenues in excess of the administrator’s costs); </w:t>
      </w:r>
      <w:r w:rsidRPr="000E68A9" w:rsidR="00114304">
        <w:rPr>
          <w:i/>
          <w:iCs/>
        </w:rPr>
        <w:t>Promoting Telehealth in Rural America, Report and Order</w:t>
      </w:r>
      <w:r w:rsidRPr="000E68A9" w:rsidR="00114304">
        <w:t>,</w:t>
      </w:r>
      <w:r w:rsidRPr="00DB2AD5" w:rsidR="00114304">
        <w:t xml:space="preserve"> WC Docket No. 17-310</w:t>
      </w:r>
      <w:r w:rsidR="00114304">
        <w:t>,</w:t>
      </w:r>
      <w:r w:rsidRPr="000E68A9" w:rsidR="00114304">
        <w:t xml:space="preserve"> 33 FCC Rcd 6574, paras. 24-25 (2018) (allowing unused Rural Health Care program funds to be carried forward into subsequent years); </w:t>
      </w:r>
      <w:r w:rsidRPr="000E68A9" w:rsidR="00114304">
        <w:rPr>
          <w:i/>
          <w:iCs/>
        </w:rPr>
        <w:t>Schools and Libraries Universal Service Support Mechanism</w:t>
      </w:r>
      <w:r w:rsidRPr="000E68A9" w:rsidR="00114304">
        <w:t xml:space="preserve">, </w:t>
      </w:r>
      <w:r w:rsidRPr="00DB2AD5" w:rsidR="00114304">
        <w:t>CC Docket No. 02-6</w:t>
      </w:r>
      <w:r w:rsidR="00114304">
        <w:t xml:space="preserve">, </w:t>
      </w:r>
      <w:r w:rsidRPr="000E68A9" w:rsidR="00114304">
        <w:t>First Report and Order, 17 FCC Rcd 11521 (2002) (disposing of unused E-rate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RPr="009838BC" w:rsidP="009838BC">
    <w:pPr>
      <w:tabs>
        <w:tab w:val="center" w:pos="4680"/>
        <w:tab w:val="right" w:pos="9360"/>
      </w:tabs>
    </w:pPr>
    <w:r w:rsidRPr="009838BC">
      <w:rPr>
        <w:b/>
      </w:rPr>
      <w:tab/>
      <w:t>Federal Communications Commission</w:t>
    </w:r>
    <w:r w:rsidRPr="009838BC">
      <w:rPr>
        <w:b/>
      </w:rPr>
      <w:tab/>
    </w:r>
    <w:r>
      <w:rPr>
        <w:b/>
      </w:rPr>
      <w:t>DA 20-</w:t>
    </w:r>
    <w:r w:rsidR="008B5CC2">
      <w:rPr>
        <w:b/>
      </w:rPr>
      <w:t>423</w:t>
    </w:r>
  </w:p>
  <w:p w:rsidR="00253946" w:rsidRPr="0017388E" w:rsidP="0017388E">
    <w:pPr>
      <w:tabs>
        <w:tab w:val="left" w:pos="-720"/>
      </w:tabs>
      <w:suppressAutoHyphens/>
      <w:spacing w:line="19" w:lineRule="exact"/>
      <w:rPr>
        <w:spacing w:val="-2"/>
      </w:rPr>
    </w:pPr>
    <w:r>
      <w:rPr>
        <w:noProof/>
      </w:rPr>
      <w:pict>
        <v:rect id="Rectangle 15" o:spid="_x0000_s2049" style="width:468pt;height:0.95pt;margin-top:0;margin-left:0;mso-position-horizontal-relative:margin;mso-wrap-edited:f;position:absolute;visibility:visible;z-index:-251654144"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mso-wrap-edited:f;position:absolute;visibility:visible;z-index:251658240" o:allowincell="f" stroked="f">
          <v:textbox>
            <w:txbxContent>
              <w:p w:rsidR="00253946" w:rsidP="009838BC">
                <w:pPr>
                  <w:rPr>
                    <w:rFonts w:ascii="Arial" w:hAnsi="Arial"/>
                    <w:b/>
                  </w:rPr>
                </w:pPr>
                <w:r>
                  <w:rPr>
                    <w:rFonts w:ascii="Arial" w:hAnsi="Arial"/>
                    <w:b/>
                  </w:rPr>
                  <w:t>Federal Communications Commission</w:t>
                </w:r>
              </w:p>
              <w:p w:rsidR="00253946"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946"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wrap-edited:f;position:absolute;visibility:visible;z-index:251659264" o:allowincell="f">
          <v:imagedata r:id="rId1" o:title="fcc_logo"/>
          <w10:wrap type="topAndBottom"/>
        </v:shape>
      </w:pict>
    </w:r>
    <w:r w:rsidRPr="00A866AC">
      <w:rPr>
        <w:rFonts w:ascii="Arial" w:hAnsi="Arial" w:cs="Arial"/>
        <w:b/>
        <w:sz w:val="96"/>
      </w:rPr>
      <w:t>PUBLIC NOTICE</w:t>
    </w:r>
  </w:p>
  <w:p w:rsidR="00253946"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mso-wrap-edited:f;position:absolute;visibility:visible;z-index:251660288" from="416.8pt,56.7pt" to="884.8pt,56.7pt" o:allowincell="f">
          <w10:wrap anchorx="margin"/>
        </v:line>
      </w:pict>
    </w:r>
    <w:r>
      <w:rPr>
        <w:noProof/>
      </w:rPr>
      <w:pict>
        <v:shape id="Text Box 9" o:spid="_x0000_s2053" type="#_x0000_t202" style="width:207.95pt;height:35.25pt;margin-top:14.05pt;margin-left:263.25pt;mso-wrap-edited:f;position:absolute;visibility:visible;z-index:251661312" o:allowincell="f" stroked="f">
          <v:textbox inset=",0,,0">
            <w:txbxContent>
              <w:p w:rsidR="00253946" w:rsidP="009838BC">
                <w:pPr>
                  <w:spacing w:before="40"/>
                  <w:jc w:val="right"/>
                  <w:rPr>
                    <w:rFonts w:ascii="Arial" w:hAnsi="Arial"/>
                    <w:b/>
                    <w:sz w:val="16"/>
                  </w:rPr>
                </w:pPr>
                <w:r>
                  <w:rPr>
                    <w:rFonts w:ascii="Arial" w:hAnsi="Arial"/>
                    <w:b/>
                    <w:sz w:val="16"/>
                  </w:rPr>
                  <w:t>News Media Information 202 / 418-0500</w:t>
                </w:r>
              </w:p>
              <w:p w:rsidR="00253946" w:rsidP="009838BC">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253946" w:rsidP="009838BC">
                <w:pPr>
                  <w:jc w:val="right"/>
                </w:pPr>
                <w:r>
                  <w:rPr>
                    <w:rFonts w:ascii="Arial" w:hAnsi="Arial"/>
                    <w:b/>
                    <w:sz w:val="16"/>
                  </w:rPr>
                  <w:t>TTY: 1-888-835-5322</w:t>
                </w:r>
              </w:p>
            </w:txbxContent>
          </v:textbox>
        </v:shape>
      </w:pict>
    </w:r>
  </w:p>
  <w:p w:rsidR="00253946"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D2FCC07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53B83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2C550D5"/>
    <w:multiLevelType w:val="hybridMultilevel"/>
    <w:tmpl w:val="28161920"/>
    <w:lvl w:ilvl="0">
      <w:start w:val="0"/>
      <w:numFmt w:val="bullet"/>
      <w:lvlText w:val=""/>
      <w:lvlJc w:val="left"/>
      <w:pPr>
        <w:ind w:left="1440" w:hanging="72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2A5E78"/>
    <w:multiLevelType w:val="hybridMultilevel"/>
    <w:tmpl w:val="B45A51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B4D1D16"/>
    <w:multiLevelType w:val="hybridMultilevel"/>
    <w:tmpl w:val="186663A4"/>
    <w:lvl w:ilvl="0">
      <w:start w:val="1"/>
      <w:numFmt w:val="decimal"/>
      <w:lvlText w:val="%1."/>
      <w:lvlJc w:val="left"/>
      <w:pPr>
        <w:ind w:left="1440" w:hanging="72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F0406EE"/>
    <w:multiLevelType w:val="hybridMultilevel"/>
    <w:tmpl w:val="2E969AF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6"/>
  </w:num>
  <w:num w:numId="8">
    <w:abstractNumId w:val="1"/>
  </w:num>
  <w:num w:numId="9">
    <w:abstractNumId w:val="12"/>
  </w:num>
  <w:num w:numId="10">
    <w:abstractNumId w:val="10"/>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8E"/>
    <w:rsid w:val="000033EB"/>
    <w:rsid w:val="00004F71"/>
    <w:rsid w:val="000067F6"/>
    <w:rsid w:val="000072CE"/>
    <w:rsid w:val="00007E7C"/>
    <w:rsid w:val="00013A8B"/>
    <w:rsid w:val="00017D61"/>
    <w:rsid w:val="000203F0"/>
    <w:rsid w:val="00021445"/>
    <w:rsid w:val="000244BF"/>
    <w:rsid w:val="00024ED5"/>
    <w:rsid w:val="00027D27"/>
    <w:rsid w:val="00034325"/>
    <w:rsid w:val="000349E2"/>
    <w:rsid w:val="00036039"/>
    <w:rsid w:val="00037A41"/>
    <w:rsid w:val="00037F90"/>
    <w:rsid w:val="0004476B"/>
    <w:rsid w:val="000476E0"/>
    <w:rsid w:val="000510BB"/>
    <w:rsid w:val="000513B6"/>
    <w:rsid w:val="00051C39"/>
    <w:rsid w:val="00052E05"/>
    <w:rsid w:val="0005559B"/>
    <w:rsid w:val="00060C6C"/>
    <w:rsid w:val="0006222C"/>
    <w:rsid w:val="00064D07"/>
    <w:rsid w:val="00075FC3"/>
    <w:rsid w:val="00080873"/>
    <w:rsid w:val="0008117B"/>
    <w:rsid w:val="000849CD"/>
    <w:rsid w:val="00086F42"/>
    <w:rsid w:val="000875BF"/>
    <w:rsid w:val="00090DB3"/>
    <w:rsid w:val="00094032"/>
    <w:rsid w:val="00095A9E"/>
    <w:rsid w:val="00096D8C"/>
    <w:rsid w:val="000A01C3"/>
    <w:rsid w:val="000A194C"/>
    <w:rsid w:val="000A1D4C"/>
    <w:rsid w:val="000A2743"/>
    <w:rsid w:val="000A2F62"/>
    <w:rsid w:val="000A3846"/>
    <w:rsid w:val="000A7540"/>
    <w:rsid w:val="000B1A7D"/>
    <w:rsid w:val="000B4101"/>
    <w:rsid w:val="000B7342"/>
    <w:rsid w:val="000B78C3"/>
    <w:rsid w:val="000C0B65"/>
    <w:rsid w:val="000C2ABA"/>
    <w:rsid w:val="000C73B9"/>
    <w:rsid w:val="000C7A71"/>
    <w:rsid w:val="000D2554"/>
    <w:rsid w:val="000D6944"/>
    <w:rsid w:val="000E266A"/>
    <w:rsid w:val="000E2A0F"/>
    <w:rsid w:val="000E2DB6"/>
    <w:rsid w:val="000E3D42"/>
    <w:rsid w:val="000E5884"/>
    <w:rsid w:val="000E68A9"/>
    <w:rsid w:val="000E707F"/>
    <w:rsid w:val="000F227C"/>
    <w:rsid w:val="000F2C4B"/>
    <w:rsid w:val="000F3662"/>
    <w:rsid w:val="000F424D"/>
    <w:rsid w:val="000F5FF7"/>
    <w:rsid w:val="000F74B9"/>
    <w:rsid w:val="00113121"/>
    <w:rsid w:val="00114304"/>
    <w:rsid w:val="00117DB7"/>
    <w:rsid w:val="00122AF0"/>
    <w:rsid w:val="00122BD5"/>
    <w:rsid w:val="0012594D"/>
    <w:rsid w:val="00125D9C"/>
    <w:rsid w:val="00126092"/>
    <w:rsid w:val="00135907"/>
    <w:rsid w:val="001374D8"/>
    <w:rsid w:val="001376F0"/>
    <w:rsid w:val="00141682"/>
    <w:rsid w:val="001434F1"/>
    <w:rsid w:val="00147CA6"/>
    <w:rsid w:val="00150850"/>
    <w:rsid w:val="0015365B"/>
    <w:rsid w:val="0015492E"/>
    <w:rsid w:val="001551C2"/>
    <w:rsid w:val="00157EB2"/>
    <w:rsid w:val="00160186"/>
    <w:rsid w:val="00161CAF"/>
    <w:rsid w:val="001625F1"/>
    <w:rsid w:val="0016286E"/>
    <w:rsid w:val="001633A4"/>
    <w:rsid w:val="001648C6"/>
    <w:rsid w:val="0016669D"/>
    <w:rsid w:val="00166967"/>
    <w:rsid w:val="0017388E"/>
    <w:rsid w:val="00174442"/>
    <w:rsid w:val="00174881"/>
    <w:rsid w:val="001842A0"/>
    <w:rsid w:val="00184A75"/>
    <w:rsid w:val="00186378"/>
    <w:rsid w:val="001979D9"/>
    <w:rsid w:val="001A45E8"/>
    <w:rsid w:val="001A4A14"/>
    <w:rsid w:val="001A4D05"/>
    <w:rsid w:val="001B3DE6"/>
    <w:rsid w:val="001B3F3C"/>
    <w:rsid w:val="001B617A"/>
    <w:rsid w:val="001B7777"/>
    <w:rsid w:val="001C20E9"/>
    <w:rsid w:val="001C306A"/>
    <w:rsid w:val="001C317F"/>
    <w:rsid w:val="001C43AE"/>
    <w:rsid w:val="001C4D7E"/>
    <w:rsid w:val="001C597A"/>
    <w:rsid w:val="001C6E00"/>
    <w:rsid w:val="001C7815"/>
    <w:rsid w:val="001D0B40"/>
    <w:rsid w:val="001D0F47"/>
    <w:rsid w:val="001D3CA2"/>
    <w:rsid w:val="001D6BCF"/>
    <w:rsid w:val="001D771D"/>
    <w:rsid w:val="001E01CA"/>
    <w:rsid w:val="001E086C"/>
    <w:rsid w:val="001E09E5"/>
    <w:rsid w:val="001E6D8C"/>
    <w:rsid w:val="001F166D"/>
    <w:rsid w:val="001F2096"/>
    <w:rsid w:val="001F25AD"/>
    <w:rsid w:val="001F2CE9"/>
    <w:rsid w:val="001F397C"/>
    <w:rsid w:val="001F44BF"/>
    <w:rsid w:val="001F66AE"/>
    <w:rsid w:val="002018FD"/>
    <w:rsid w:val="00201D33"/>
    <w:rsid w:val="002038C7"/>
    <w:rsid w:val="002060D9"/>
    <w:rsid w:val="00206A01"/>
    <w:rsid w:val="00212385"/>
    <w:rsid w:val="002160E2"/>
    <w:rsid w:val="00216AAB"/>
    <w:rsid w:val="00217982"/>
    <w:rsid w:val="00221D7C"/>
    <w:rsid w:val="00221EE5"/>
    <w:rsid w:val="0022225C"/>
    <w:rsid w:val="00225AA5"/>
    <w:rsid w:val="00226822"/>
    <w:rsid w:val="00232063"/>
    <w:rsid w:val="002331AC"/>
    <w:rsid w:val="002344ED"/>
    <w:rsid w:val="002352F1"/>
    <w:rsid w:val="00235F5A"/>
    <w:rsid w:val="00245526"/>
    <w:rsid w:val="0024797C"/>
    <w:rsid w:val="0025123A"/>
    <w:rsid w:val="00251D45"/>
    <w:rsid w:val="00253946"/>
    <w:rsid w:val="002541ED"/>
    <w:rsid w:val="0025719E"/>
    <w:rsid w:val="00260594"/>
    <w:rsid w:val="00261F4A"/>
    <w:rsid w:val="00271CBA"/>
    <w:rsid w:val="00272261"/>
    <w:rsid w:val="002769CA"/>
    <w:rsid w:val="0028008F"/>
    <w:rsid w:val="002808BD"/>
    <w:rsid w:val="00280994"/>
    <w:rsid w:val="002820B6"/>
    <w:rsid w:val="0028213E"/>
    <w:rsid w:val="00285017"/>
    <w:rsid w:val="002918C5"/>
    <w:rsid w:val="0029306C"/>
    <w:rsid w:val="002934CC"/>
    <w:rsid w:val="0029562D"/>
    <w:rsid w:val="00297A2A"/>
    <w:rsid w:val="002A011B"/>
    <w:rsid w:val="002A2916"/>
    <w:rsid w:val="002A29E9"/>
    <w:rsid w:val="002A2D2E"/>
    <w:rsid w:val="002A66B2"/>
    <w:rsid w:val="002B0DDF"/>
    <w:rsid w:val="002B0F51"/>
    <w:rsid w:val="002B2AC7"/>
    <w:rsid w:val="002B3AF6"/>
    <w:rsid w:val="002B4D5B"/>
    <w:rsid w:val="002B5872"/>
    <w:rsid w:val="002D25F4"/>
    <w:rsid w:val="002D577D"/>
    <w:rsid w:val="002D62A8"/>
    <w:rsid w:val="002D7D70"/>
    <w:rsid w:val="002E41AA"/>
    <w:rsid w:val="002E55FD"/>
    <w:rsid w:val="002E5B09"/>
    <w:rsid w:val="002E6ECF"/>
    <w:rsid w:val="002F15B0"/>
    <w:rsid w:val="002F23B3"/>
    <w:rsid w:val="002F2873"/>
    <w:rsid w:val="002F3737"/>
    <w:rsid w:val="00300FF1"/>
    <w:rsid w:val="003014ED"/>
    <w:rsid w:val="0030216E"/>
    <w:rsid w:val="003026FB"/>
    <w:rsid w:val="0030317F"/>
    <w:rsid w:val="003036F1"/>
    <w:rsid w:val="00311E26"/>
    <w:rsid w:val="00314CA9"/>
    <w:rsid w:val="00314DA6"/>
    <w:rsid w:val="0031511D"/>
    <w:rsid w:val="00317ADE"/>
    <w:rsid w:val="00320410"/>
    <w:rsid w:val="00321983"/>
    <w:rsid w:val="00321CC1"/>
    <w:rsid w:val="00324AEC"/>
    <w:rsid w:val="00325ACB"/>
    <w:rsid w:val="00333A8F"/>
    <w:rsid w:val="00334507"/>
    <w:rsid w:val="003364A0"/>
    <w:rsid w:val="003364D2"/>
    <w:rsid w:val="00343749"/>
    <w:rsid w:val="00347A34"/>
    <w:rsid w:val="00352A0C"/>
    <w:rsid w:val="00353DE1"/>
    <w:rsid w:val="00353FE6"/>
    <w:rsid w:val="00354281"/>
    <w:rsid w:val="00357D50"/>
    <w:rsid w:val="003606A7"/>
    <w:rsid w:val="00363860"/>
    <w:rsid w:val="003650BF"/>
    <w:rsid w:val="0037291D"/>
    <w:rsid w:val="00375745"/>
    <w:rsid w:val="00381BB3"/>
    <w:rsid w:val="0038465D"/>
    <w:rsid w:val="00387ABA"/>
    <w:rsid w:val="00390C1D"/>
    <w:rsid w:val="003925DC"/>
    <w:rsid w:val="003946DB"/>
    <w:rsid w:val="0039749A"/>
    <w:rsid w:val="00397F42"/>
    <w:rsid w:val="003B0550"/>
    <w:rsid w:val="003B435E"/>
    <w:rsid w:val="003B4A61"/>
    <w:rsid w:val="003B535C"/>
    <w:rsid w:val="003B694F"/>
    <w:rsid w:val="003C0969"/>
    <w:rsid w:val="003C3AEF"/>
    <w:rsid w:val="003C5A92"/>
    <w:rsid w:val="003D314D"/>
    <w:rsid w:val="003D7007"/>
    <w:rsid w:val="003E0C0B"/>
    <w:rsid w:val="003E6F75"/>
    <w:rsid w:val="003F0216"/>
    <w:rsid w:val="003F16B1"/>
    <w:rsid w:val="003F171C"/>
    <w:rsid w:val="003F1CBE"/>
    <w:rsid w:val="003F4D3D"/>
    <w:rsid w:val="003F513A"/>
    <w:rsid w:val="003F54B2"/>
    <w:rsid w:val="003F6856"/>
    <w:rsid w:val="003F7C1E"/>
    <w:rsid w:val="00401FF1"/>
    <w:rsid w:val="004101CB"/>
    <w:rsid w:val="00412FC5"/>
    <w:rsid w:val="0041392A"/>
    <w:rsid w:val="00413E98"/>
    <w:rsid w:val="00415E35"/>
    <w:rsid w:val="00416CEB"/>
    <w:rsid w:val="00417B27"/>
    <w:rsid w:val="004216B8"/>
    <w:rsid w:val="00422276"/>
    <w:rsid w:val="00422415"/>
    <w:rsid w:val="00422BEE"/>
    <w:rsid w:val="0042396D"/>
    <w:rsid w:val="00423B52"/>
    <w:rsid w:val="004242F1"/>
    <w:rsid w:val="00426766"/>
    <w:rsid w:val="004303A6"/>
    <w:rsid w:val="004306F6"/>
    <w:rsid w:val="00432D20"/>
    <w:rsid w:val="004334BA"/>
    <w:rsid w:val="004340B1"/>
    <w:rsid w:val="00434DCB"/>
    <w:rsid w:val="00435394"/>
    <w:rsid w:val="004403A2"/>
    <w:rsid w:val="00445A00"/>
    <w:rsid w:val="0044772F"/>
    <w:rsid w:val="00447F32"/>
    <w:rsid w:val="004503FA"/>
    <w:rsid w:val="00450A22"/>
    <w:rsid w:val="00451599"/>
    <w:rsid w:val="0045168F"/>
    <w:rsid w:val="004516D1"/>
    <w:rsid w:val="00451B0F"/>
    <w:rsid w:val="004529A2"/>
    <w:rsid w:val="00453B42"/>
    <w:rsid w:val="004569A5"/>
    <w:rsid w:val="0046125F"/>
    <w:rsid w:val="00461468"/>
    <w:rsid w:val="00462172"/>
    <w:rsid w:val="0046542A"/>
    <w:rsid w:val="00465524"/>
    <w:rsid w:val="004701FA"/>
    <w:rsid w:val="00475710"/>
    <w:rsid w:val="00477B68"/>
    <w:rsid w:val="00480D0C"/>
    <w:rsid w:val="0048136A"/>
    <w:rsid w:val="00482A41"/>
    <w:rsid w:val="00485E81"/>
    <w:rsid w:val="0048680E"/>
    <w:rsid w:val="00487524"/>
    <w:rsid w:val="004944E6"/>
    <w:rsid w:val="00496106"/>
    <w:rsid w:val="004966E5"/>
    <w:rsid w:val="00496E97"/>
    <w:rsid w:val="004A0CD9"/>
    <w:rsid w:val="004A171C"/>
    <w:rsid w:val="004A1CD0"/>
    <w:rsid w:val="004A60D9"/>
    <w:rsid w:val="004A6B57"/>
    <w:rsid w:val="004A7383"/>
    <w:rsid w:val="004A7679"/>
    <w:rsid w:val="004B382D"/>
    <w:rsid w:val="004B49EC"/>
    <w:rsid w:val="004C06F9"/>
    <w:rsid w:val="004C12D0"/>
    <w:rsid w:val="004C2EE3"/>
    <w:rsid w:val="004C4301"/>
    <w:rsid w:val="004C50C5"/>
    <w:rsid w:val="004D0E35"/>
    <w:rsid w:val="004D459B"/>
    <w:rsid w:val="004D5EB5"/>
    <w:rsid w:val="004D75D2"/>
    <w:rsid w:val="004D7633"/>
    <w:rsid w:val="004E1882"/>
    <w:rsid w:val="004E1BA7"/>
    <w:rsid w:val="004E2155"/>
    <w:rsid w:val="004E2521"/>
    <w:rsid w:val="004E4646"/>
    <w:rsid w:val="004E4A22"/>
    <w:rsid w:val="004E6B9A"/>
    <w:rsid w:val="004E70A0"/>
    <w:rsid w:val="004E7FC1"/>
    <w:rsid w:val="004F4248"/>
    <w:rsid w:val="004F5523"/>
    <w:rsid w:val="004F6CDE"/>
    <w:rsid w:val="005009C5"/>
    <w:rsid w:val="005028D5"/>
    <w:rsid w:val="00502C5B"/>
    <w:rsid w:val="0050646F"/>
    <w:rsid w:val="00511968"/>
    <w:rsid w:val="00512BCA"/>
    <w:rsid w:val="00513FB3"/>
    <w:rsid w:val="00515EA0"/>
    <w:rsid w:val="005162F8"/>
    <w:rsid w:val="005170DB"/>
    <w:rsid w:val="0052013E"/>
    <w:rsid w:val="0052055B"/>
    <w:rsid w:val="00520703"/>
    <w:rsid w:val="00526697"/>
    <w:rsid w:val="00527DB8"/>
    <w:rsid w:val="005304B1"/>
    <w:rsid w:val="00530C89"/>
    <w:rsid w:val="0054004B"/>
    <w:rsid w:val="00542B77"/>
    <w:rsid w:val="0054324A"/>
    <w:rsid w:val="0054482B"/>
    <w:rsid w:val="005448DE"/>
    <w:rsid w:val="00544B2B"/>
    <w:rsid w:val="005451BA"/>
    <w:rsid w:val="00546BFB"/>
    <w:rsid w:val="00546E35"/>
    <w:rsid w:val="005471EA"/>
    <w:rsid w:val="00552647"/>
    <w:rsid w:val="00552AC3"/>
    <w:rsid w:val="00553126"/>
    <w:rsid w:val="0055614C"/>
    <w:rsid w:val="00556542"/>
    <w:rsid w:val="005577C5"/>
    <w:rsid w:val="0056006B"/>
    <w:rsid w:val="005603AB"/>
    <w:rsid w:val="00561A24"/>
    <w:rsid w:val="00561E8B"/>
    <w:rsid w:val="005622D6"/>
    <w:rsid w:val="00562C2A"/>
    <w:rsid w:val="00562E04"/>
    <w:rsid w:val="00570763"/>
    <w:rsid w:val="00573755"/>
    <w:rsid w:val="0057438A"/>
    <w:rsid w:val="005759E8"/>
    <w:rsid w:val="00575B4A"/>
    <w:rsid w:val="00576A37"/>
    <w:rsid w:val="00576E08"/>
    <w:rsid w:val="005819DC"/>
    <w:rsid w:val="00581B04"/>
    <w:rsid w:val="00581E3D"/>
    <w:rsid w:val="00583AAA"/>
    <w:rsid w:val="005901D4"/>
    <w:rsid w:val="00595293"/>
    <w:rsid w:val="005A0EF9"/>
    <w:rsid w:val="005A3F05"/>
    <w:rsid w:val="005A3FFD"/>
    <w:rsid w:val="005A483B"/>
    <w:rsid w:val="005A6E47"/>
    <w:rsid w:val="005A708C"/>
    <w:rsid w:val="005B0081"/>
    <w:rsid w:val="005B5360"/>
    <w:rsid w:val="005B6958"/>
    <w:rsid w:val="005B6C32"/>
    <w:rsid w:val="005C2487"/>
    <w:rsid w:val="005C3DD3"/>
    <w:rsid w:val="005C4961"/>
    <w:rsid w:val="005C7265"/>
    <w:rsid w:val="005C7F12"/>
    <w:rsid w:val="005D052A"/>
    <w:rsid w:val="005D331F"/>
    <w:rsid w:val="005D3BE4"/>
    <w:rsid w:val="005D41FE"/>
    <w:rsid w:val="005D6D7A"/>
    <w:rsid w:val="005E0351"/>
    <w:rsid w:val="005E0671"/>
    <w:rsid w:val="005E1E47"/>
    <w:rsid w:val="005E2564"/>
    <w:rsid w:val="005E3361"/>
    <w:rsid w:val="005E7817"/>
    <w:rsid w:val="005F0B76"/>
    <w:rsid w:val="005F34A4"/>
    <w:rsid w:val="005F467A"/>
    <w:rsid w:val="005F6A16"/>
    <w:rsid w:val="00601F7D"/>
    <w:rsid w:val="00602CF0"/>
    <w:rsid w:val="006033A7"/>
    <w:rsid w:val="0060660B"/>
    <w:rsid w:val="00607BA5"/>
    <w:rsid w:val="006178F1"/>
    <w:rsid w:val="006206D3"/>
    <w:rsid w:val="00624B77"/>
    <w:rsid w:val="006259B8"/>
    <w:rsid w:val="00626EB6"/>
    <w:rsid w:val="00631457"/>
    <w:rsid w:val="006353A3"/>
    <w:rsid w:val="00636CB7"/>
    <w:rsid w:val="00637A31"/>
    <w:rsid w:val="006404D1"/>
    <w:rsid w:val="00640B7B"/>
    <w:rsid w:val="006462E7"/>
    <w:rsid w:val="0064643B"/>
    <w:rsid w:val="006520C1"/>
    <w:rsid w:val="00652FBF"/>
    <w:rsid w:val="00655D03"/>
    <w:rsid w:val="00657E51"/>
    <w:rsid w:val="00661287"/>
    <w:rsid w:val="00661BCA"/>
    <w:rsid w:val="006620D6"/>
    <w:rsid w:val="00662183"/>
    <w:rsid w:val="00662CF3"/>
    <w:rsid w:val="0066392A"/>
    <w:rsid w:val="00665611"/>
    <w:rsid w:val="006678E8"/>
    <w:rsid w:val="00667ED5"/>
    <w:rsid w:val="0067225B"/>
    <w:rsid w:val="00676248"/>
    <w:rsid w:val="00676B7C"/>
    <w:rsid w:val="006811C9"/>
    <w:rsid w:val="00681F07"/>
    <w:rsid w:val="00683F84"/>
    <w:rsid w:val="00685038"/>
    <w:rsid w:val="00686C19"/>
    <w:rsid w:val="00686CD9"/>
    <w:rsid w:val="00691E49"/>
    <w:rsid w:val="0069244B"/>
    <w:rsid w:val="0069485E"/>
    <w:rsid w:val="006A0B1B"/>
    <w:rsid w:val="006A123D"/>
    <w:rsid w:val="006A5205"/>
    <w:rsid w:val="006A6A81"/>
    <w:rsid w:val="006A7937"/>
    <w:rsid w:val="006A7F0F"/>
    <w:rsid w:val="006C16B3"/>
    <w:rsid w:val="006C2F40"/>
    <w:rsid w:val="006C34A3"/>
    <w:rsid w:val="006C7D14"/>
    <w:rsid w:val="006D118B"/>
    <w:rsid w:val="006D2975"/>
    <w:rsid w:val="006D3216"/>
    <w:rsid w:val="006D3ACE"/>
    <w:rsid w:val="006D6B80"/>
    <w:rsid w:val="006E0A3D"/>
    <w:rsid w:val="006E2508"/>
    <w:rsid w:val="006E26AF"/>
    <w:rsid w:val="006E2FB5"/>
    <w:rsid w:val="006E3BE3"/>
    <w:rsid w:val="006F374D"/>
    <w:rsid w:val="006F42ED"/>
    <w:rsid w:val="006F4728"/>
    <w:rsid w:val="006F62AF"/>
    <w:rsid w:val="006F7393"/>
    <w:rsid w:val="00700E95"/>
    <w:rsid w:val="0070224F"/>
    <w:rsid w:val="007031D2"/>
    <w:rsid w:val="00706895"/>
    <w:rsid w:val="007115F7"/>
    <w:rsid w:val="0071612C"/>
    <w:rsid w:val="00717A20"/>
    <w:rsid w:val="0072108F"/>
    <w:rsid w:val="00727B04"/>
    <w:rsid w:val="00732A24"/>
    <w:rsid w:val="00734BBE"/>
    <w:rsid w:val="007364B7"/>
    <w:rsid w:val="007373F0"/>
    <w:rsid w:val="00741063"/>
    <w:rsid w:val="00741A06"/>
    <w:rsid w:val="0074227B"/>
    <w:rsid w:val="00743AD4"/>
    <w:rsid w:val="007532AB"/>
    <w:rsid w:val="00760EFE"/>
    <w:rsid w:val="00762B0B"/>
    <w:rsid w:val="007634D3"/>
    <w:rsid w:val="00771556"/>
    <w:rsid w:val="00771C89"/>
    <w:rsid w:val="00771D9B"/>
    <w:rsid w:val="00776A71"/>
    <w:rsid w:val="0078018A"/>
    <w:rsid w:val="00782F97"/>
    <w:rsid w:val="0078565C"/>
    <w:rsid w:val="00785689"/>
    <w:rsid w:val="0078621B"/>
    <w:rsid w:val="00790211"/>
    <w:rsid w:val="00791F49"/>
    <w:rsid w:val="00796197"/>
    <w:rsid w:val="0079754B"/>
    <w:rsid w:val="007A1E6D"/>
    <w:rsid w:val="007B0B10"/>
    <w:rsid w:val="007B0E64"/>
    <w:rsid w:val="007B1C08"/>
    <w:rsid w:val="007B3E2F"/>
    <w:rsid w:val="007B624A"/>
    <w:rsid w:val="007B7B18"/>
    <w:rsid w:val="007D2EF1"/>
    <w:rsid w:val="007D6A45"/>
    <w:rsid w:val="007D6B68"/>
    <w:rsid w:val="007D6F3E"/>
    <w:rsid w:val="007E0824"/>
    <w:rsid w:val="007E295A"/>
    <w:rsid w:val="007E3D0E"/>
    <w:rsid w:val="007E5E31"/>
    <w:rsid w:val="007F0689"/>
    <w:rsid w:val="007F1EF4"/>
    <w:rsid w:val="007F2348"/>
    <w:rsid w:val="007F4F3D"/>
    <w:rsid w:val="007F78C4"/>
    <w:rsid w:val="008033B4"/>
    <w:rsid w:val="00811158"/>
    <w:rsid w:val="00811DF9"/>
    <w:rsid w:val="00812DD1"/>
    <w:rsid w:val="00813726"/>
    <w:rsid w:val="00814214"/>
    <w:rsid w:val="0081554B"/>
    <w:rsid w:val="008161AA"/>
    <w:rsid w:val="0082023B"/>
    <w:rsid w:val="00821779"/>
    <w:rsid w:val="00822CE0"/>
    <w:rsid w:val="0082655F"/>
    <w:rsid w:val="00826FE4"/>
    <w:rsid w:val="008313DF"/>
    <w:rsid w:val="00831761"/>
    <w:rsid w:val="00832689"/>
    <w:rsid w:val="0083318B"/>
    <w:rsid w:val="00837C62"/>
    <w:rsid w:val="00841AB1"/>
    <w:rsid w:val="008429F1"/>
    <w:rsid w:val="0084602E"/>
    <w:rsid w:val="00847D6A"/>
    <w:rsid w:val="0085179B"/>
    <w:rsid w:val="00851F01"/>
    <w:rsid w:val="00853601"/>
    <w:rsid w:val="00854B08"/>
    <w:rsid w:val="00854B8F"/>
    <w:rsid w:val="00854F15"/>
    <w:rsid w:val="008555BE"/>
    <w:rsid w:val="00856CB5"/>
    <w:rsid w:val="0086182A"/>
    <w:rsid w:val="00863561"/>
    <w:rsid w:val="00865897"/>
    <w:rsid w:val="00866D48"/>
    <w:rsid w:val="00867685"/>
    <w:rsid w:val="00870813"/>
    <w:rsid w:val="00873AA0"/>
    <w:rsid w:val="00874D0D"/>
    <w:rsid w:val="00876F00"/>
    <w:rsid w:val="00877F43"/>
    <w:rsid w:val="008805D1"/>
    <w:rsid w:val="0089596B"/>
    <w:rsid w:val="00897495"/>
    <w:rsid w:val="008A0801"/>
    <w:rsid w:val="008A382F"/>
    <w:rsid w:val="008A4BF2"/>
    <w:rsid w:val="008A4ED9"/>
    <w:rsid w:val="008B2ABD"/>
    <w:rsid w:val="008B4710"/>
    <w:rsid w:val="008B5CC2"/>
    <w:rsid w:val="008B75F0"/>
    <w:rsid w:val="008C0312"/>
    <w:rsid w:val="008C22FD"/>
    <w:rsid w:val="008C3A8C"/>
    <w:rsid w:val="008C4D6B"/>
    <w:rsid w:val="008C4FB0"/>
    <w:rsid w:val="008C514C"/>
    <w:rsid w:val="008D0943"/>
    <w:rsid w:val="008D2E09"/>
    <w:rsid w:val="008D35D1"/>
    <w:rsid w:val="008D4652"/>
    <w:rsid w:val="008D4E7A"/>
    <w:rsid w:val="008E0809"/>
    <w:rsid w:val="008E737F"/>
    <w:rsid w:val="008F42BF"/>
    <w:rsid w:val="008F5645"/>
    <w:rsid w:val="008F64B9"/>
    <w:rsid w:val="00906138"/>
    <w:rsid w:val="00906433"/>
    <w:rsid w:val="00910F12"/>
    <w:rsid w:val="0091602F"/>
    <w:rsid w:val="009172A5"/>
    <w:rsid w:val="00921760"/>
    <w:rsid w:val="009236CD"/>
    <w:rsid w:val="00923A65"/>
    <w:rsid w:val="00923CCA"/>
    <w:rsid w:val="00924417"/>
    <w:rsid w:val="00926503"/>
    <w:rsid w:val="00930112"/>
    <w:rsid w:val="00930ECF"/>
    <w:rsid w:val="009318C8"/>
    <w:rsid w:val="00934AA8"/>
    <w:rsid w:val="009362BB"/>
    <w:rsid w:val="009378EC"/>
    <w:rsid w:val="00940110"/>
    <w:rsid w:val="00941526"/>
    <w:rsid w:val="0094299B"/>
    <w:rsid w:val="00943EF1"/>
    <w:rsid w:val="00944077"/>
    <w:rsid w:val="00945172"/>
    <w:rsid w:val="00946D2C"/>
    <w:rsid w:val="0094711F"/>
    <w:rsid w:val="00947195"/>
    <w:rsid w:val="0094745C"/>
    <w:rsid w:val="009529AC"/>
    <w:rsid w:val="009531D8"/>
    <w:rsid w:val="00954C08"/>
    <w:rsid w:val="00957EF0"/>
    <w:rsid w:val="009605AC"/>
    <w:rsid w:val="0096266E"/>
    <w:rsid w:val="00962E51"/>
    <w:rsid w:val="009656D6"/>
    <w:rsid w:val="009714EE"/>
    <w:rsid w:val="009759B8"/>
    <w:rsid w:val="009760E5"/>
    <w:rsid w:val="00977ADE"/>
    <w:rsid w:val="0098355F"/>
    <w:rsid w:val="009838BC"/>
    <w:rsid w:val="00984DA7"/>
    <w:rsid w:val="00986485"/>
    <w:rsid w:val="00987E34"/>
    <w:rsid w:val="009936ED"/>
    <w:rsid w:val="00993BC2"/>
    <w:rsid w:val="00997A40"/>
    <w:rsid w:val="00997F72"/>
    <w:rsid w:val="009A1794"/>
    <w:rsid w:val="009A2669"/>
    <w:rsid w:val="009A3B9A"/>
    <w:rsid w:val="009A7FD0"/>
    <w:rsid w:val="009B2178"/>
    <w:rsid w:val="009B41C4"/>
    <w:rsid w:val="009B6E22"/>
    <w:rsid w:val="009C05C9"/>
    <w:rsid w:val="009C07BD"/>
    <w:rsid w:val="009C0A0F"/>
    <w:rsid w:val="009C18A8"/>
    <w:rsid w:val="009C467C"/>
    <w:rsid w:val="009C7407"/>
    <w:rsid w:val="009D58C6"/>
    <w:rsid w:val="009D5A93"/>
    <w:rsid w:val="009E1104"/>
    <w:rsid w:val="009E1286"/>
    <w:rsid w:val="009E6CC1"/>
    <w:rsid w:val="009F15BE"/>
    <w:rsid w:val="009F1C52"/>
    <w:rsid w:val="009F55BC"/>
    <w:rsid w:val="009F6FC0"/>
    <w:rsid w:val="00A00D29"/>
    <w:rsid w:val="00A02AAB"/>
    <w:rsid w:val="00A07FFD"/>
    <w:rsid w:val="00A14367"/>
    <w:rsid w:val="00A24029"/>
    <w:rsid w:val="00A249AD"/>
    <w:rsid w:val="00A3223B"/>
    <w:rsid w:val="00A35E02"/>
    <w:rsid w:val="00A41BC7"/>
    <w:rsid w:val="00A43018"/>
    <w:rsid w:val="00A45F4F"/>
    <w:rsid w:val="00A466DB"/>
    <w:rsid w:val="00A512E2"/>
    <w:rsid w:val="00A53A2B"/>
    <w:rsid w:val="00A54F5B"/>
    <w:rsid w:val="00A600A9"/>
    <w:rsid w:val="00A60F2A"/>
    <w:rsid w:val="00A63014"/>
    <w:rsid w:val="00A70837"/>
    <w:rsid w:val="00A73B57"/>
    <w:rsid w:val="00A74F47"/>
    <w:rsid w:val="00A74FC4"/>
    <w:rsid w:val="00A80830"/>
    <w:rsid w:val="00A8307C"/>
    <w:rsid w:val="00A845B7"/>
    <w:rsid w:val="00A866AC"/>
    <w:rsid w:val="00A871EF"/>
    <w:rsid w:val="00A873C7"/>
    <w:rsid w:val="00A91B32"/>
    <w:rsid w:val="00A92065"/>
    <w:rsid w:val="00A92AAC"/>
    <w:rsid w:val="00A9471D"/>
    <w:rsid w:val="00A95A21"/>
    <w:rsid w:val="00A95B9E"/>
    <w:rsid w:val="00A96817"/>
    <w:rsid w:val="00A97353"/>
    <w:rsid w:val="00AA25ED"/>
    <w:rsid w:val="00AA55B7"/>
    <w:rsid w:val="00AA5668"/>
    <w:rsid w:val="00AA5B9E"/>
    <w:rsid w:val="00AA6BE1"/>
    <w:rsid w:val="00AA7728"/>
    <w:rsid w:val="00AB2407"/>
    <w:rsid w:val="00AB3F7B"/>
    <w:rsid w:val="00AB53DF"/>
    <w:rsid w:val="00AC1C00"/>
    <w:rsid w:val="00AC3E5A"/>
    <w:rsid w:val="00AC7376"/>
    <w:rsid w:val="00AC7DFD"/>
    <w:rsid w:val="00AD0842"/>
    <w:rsid w:val="00AD0F70"/>
    <w:rsid w:val="00AD4893"/>
    <w:rsid w:val="00AE2A21"/>
    <w:rsid w:val="00AE518C"/>
    <w:rsid w:val="00AE521F"/>
    <w:rsid w:val="00AF261F"/>
    <w:rsid w:val="00AF3799"/>
    <w:rsid w:val="00B027E7"/>
    <w:rsid w:val="00B05FE6"/>
    <w:rsid w:val="00B063F4"/>
    <w:rsid w:val="00B07077"/>
    <w:rsid w:val="00B079D5"/>
    <w:rsid w:val="00B07A35"/>
    <w:rsid w:val="00B07E5C"/>
    <w:rsid w:val="00B10740"/>
    <w:rsid w:val="00B10DAE"/>
    <w:rsid w:val="00B11DBB"/>
    <w:rsid w:val="00B1310A"/>
    <w:rsid w:val="00B16DB2"/>
    <w:rsid w:val="00B20363"/>
    <w:rsid w:val="00B20C80"/>
    <w:rsid w:val="00B2422D"/>
    <w:rsid w:val="00B32455"/>
    <w:rsid w:val="00B326E3"/>
    <w:rsid w:val="00B32961"/>
    <w:rsid w:val="00B4038D"/>
    <w:rsid w:val="00B41046"/>
    <w:rsid w:val="00B4232F"/>
    <w:rsid w:val="00B4341E"/>
    <w:rsid w:val="00B44A67"/>
    <w:rsid w:val="00B45322"/>
    <w:rsid w:val="00B45509"/>
    <w:rsid w:val="00B507D9"/>
    <w:rsid w:val="00B521C8"/>
    <w:rsid w:val="00B54E3A"/>
    <w:rsid w:val="00B5756E"/>
    <w:rsid w:val="00B63DC9"/>
    <w:rsid w:val="00B63EE4"/>
    <w:rsid w:val="00B66438"/>
    <w:rsid w:val="00B7233B"/>
    <w:rsid w:val="00B72902"/>
    <w:rsid w:val="00B768A1"/>
    <w:rsid w:val="00B7739D"/>
    <w:rsid w:val="00B811F7"/>
    <w:rsid w:val="00B858FB"/>
    <w:rsid w:val="00B86EF4"/>
    <w:rsid w:val="00B878A5"/>
    <w:rsid w:val="00B9086F"/>
    <w:rsid w:val="00B90ED2"/>
    <w:rsid w:val="00B90F6E"/>
    <w:rsid w:val="00B931A4"/>
    <w:rsid w:val="00B933F0"/>
    <w:rsid w:val="00B940C7"/>
    <w:rsid w:val="00B95900"/>
    <w:rsid w:val="00B95E35"/>
    <w:rsid w:val="00BA32C7"/>
    <w:rsid w:val="00BA5DC6"/>
    <w:rsid w:val="00BA5E49"/>
    <w:rsid w:val="00BA6196"/>
    <w:rsid w:val="00BA6988"/>
    <w:rsid w:val="00BB1EA7"/>
    <w:rsid w:val="00BB42DF"/>
    <w:rsid w:val="00BB73C3"/>
    <w:rsid w:val="00BB777F"/>
    <w:rsid w:val="00BB7F47"/>
    <w:rsid w:val="00BC3C76"/>
    <w:rsid w:val="00BC54B7"/>
    <w:rsid w:val="00BC6D24"/>
    <w:rsid w:val="00BC6D8C"/>
    <w:rsid w:val="00BD0E5A"/>
    <w:rsid w:val="00BD2113"/>
    <w:rsid w:val="00BD67F3"/>
    <w:rsid w:val="00BE6082"/>
    <w:rsid w:val="00BE6DA7"/>
    <w:rsid w:val="00BE6E5C"/>
    <w:rsid w:val="00BE757D"/>
    <w:rsid w:val="00BF1BE6"/>
    <w:rsid w:val="00BF32CD"/>
    <w:rsid w:val="00BF3BF2"/>
    <w:rsid w:val="00BF57ED"/>
    <w:rsid w:val="00BF586D"/>
    <w:rsid w:val="00C0002A"/>
    <w:rsid w:val="00C00982"/>
    <w:rsid w:val="00C01B12"/>
    <w:rsid w:val="00C0270C"/>
    <w:rsid w:val="00C04A26"/>
    <w:rsid w:val="00C04A59"/>
    <w:rsid w:val="00C05760"/>
    <w:rsid w:val="00C05FDA"/>
    <w:rsid w:val="00C06436"/>
    <w:rsid w:val="00C06D4F"/>
    <w:rsid w:val="00C07CF4"/>
    <w:rsid w:val="00C113AA"/>
    <w:rsid w:val="00C1170F"/>
    <w:rsid w:val="00C1666B"/>
    <w:rsid w:val="00C16AF2"/>
    <w:rsid w:val="00C307CC"/>
    <w:rsid w:val="00C31A7D"/>
    <w:rsid w:val="00C32BD9"/>
    <w:rsid w:val="00C33A26"/>
    <w:rsid w:val="00C33DBF"/>
    <w:rsid w:val="00C34006"/>
    <w:rsid w:val="00C34BFD"/>
    <w:rsid w:val="00C379E1"/>
    <w:rsid w:val="00C4079B"/>
    <w:rsid w:val="00C426B1"/>
    <w:rsid w:val="00C44E3D"/>
    <w:rsid w:val="00C47A5B"/>
    <w:rsid w:val="00C47FA9"/>
    <w:rsid w:val="00C525FB"/>
    <w:rsid w:val="00C5358F"/>
    <w:rsid w:val="00C55E7D"/>
    <w:rsid w:val="00C57176"/>
    <w:rsid w:val="00C61224"/>
    <w:rsid w:val="00C642E5"/>
    <w:rsid w:val="00C64FA6"/>
    <w:rsid w:val="00C7022D"/>
    <w:rsid w:val="00C720B8"/>
    <w:rsid w:val="00C740EF"/>
    <w:rsid w:val="00C74105"/>
    <w:rsid w:val="00C74ADE"/>
    <w:rsid w:val="00C74FB1"/>
    <w:rsid w:val="00C75170"/>
    <w:rsid w:val="00C76BA4"/>
    <w:rsid w:val="00C80A8E"/>
    <w:rsid w:val="00C82B6B"/>
    <w:rsid w:val="00C84AD9"/>
    <w:rsid w:val="00C85CA2"/>
    <w:rsid w:val="00C87934"/>
    <w:rsid w:val="00C9009C"/>
    <w:rsid w:val="00C90D6A"/>
    <w:rsid w:val="00C93A46"/>
    <w:rsid w:val="00C94ECA"/>
    <w:rsid w:val="00C95092"/>
    <w:rsid w:val="00C95F8F"/>
    <w:rsid w:val="00C9638E"/>
    <w:rsid w:val="00CA2F15"/>
    <w:rsid w:val="00CA3520"/>
    <w:rsid w:val="00CA5A3B"/>
    <w:rsid w:val="00CA6A5F"/>
    <w:rsid w:val="00CA7A1D"/>
    <w:rsid w:val="00CB0825"/>
    <w:rsid w:val="00CB1070"/>
    <w:rsid w:val="00CB18C8"/>
    <w:rsid w:val="00CB4140"/>
    <w:rsid w:val="00CB524C"/>
    <w:rsid w:val="00CB5D7F"/>
    <w:rsid w:val="00CB5EE5"/>
    <w:rsid w:val="00CB66C3"/>
    <w:rsid w:val="00CB7BA8"/>
    <w:rsid w:val="00CC0B79"/>
    <w:rsid w:val="00CC5E2E"/>
    <w:rsid w:val="00CC72B6"/>
    <w:rsid w:val="00CD06AD"/>
    <w:rsid w:val="00CD0F14"/>
    <w:rsid w:val="00CD26F7"/>
    <w:rsid w:val="00CD622B"/>
    <w:rsid w:val="00CE0296"/>
    <w:rsid w:val="00CE2B3B"/>
    <w:rsid w:val="00CE311A"/>
    <w:rsid w:val="00CE3D0B"/>
    <w:rsid w:val="00CE3EB2"/>
    <w:rsid w:val="00CE4CCB"/>
    <w:rsid w:val="00CE5DF5"/>
    <w:rsid w:val="00CE7370"/>
    <w:rsid w:val="00CF340B"/>
    <w:rsid w:val="00CF340C"/>
    <w:rsid w:val="00CF69C0"/>
    <w:rsid w:val="00CF76B0"/>
    <w:rsid w:val="00CF7C2D"/>
    <w:rsid w:val="00D01255"/>
    <w:rsid w:val="00D01ABC"/>
    <w:rsid w:val="00D0218D"/>
    <w:rsid w:val="00D046BD"/>
    <w:rsid w:val="00D216CD"/>
    <w:rsid w:val="00D22EAA"/>
    <w:rsid w:val="00D24EBE"/>
    <w:rsid w:val="00D2740F"/>
    <w:rsid w:val="00D33B7A"/>
    <w:rsid w:val="00D37103"/>
    <w:rsid w:val="00D42F47"/>
    <w:rsid w:val="00D44631"/>
    <w:rsid w:val="00D45926"/>
    <w:rsid w:val="00D4655A"/>
    <w:rsid w:val="00D51781"/>
    <w:rsid w:val="00D537EF"/>
    <w:rsid w:val="00D54212"/>
    <w:rsid w:val="00D54ED9"/>
    <w:rsid w:val="00D616B3"/>
    <w:rsid w:val="00D61E56"/>
    <w:rsid w:val="00D62463"/>
    <w:rsid w:val="00D64454"/>
    <w:rsid w:val="00D65840"/>
    <w:rsid w:val="00D65DF7"/>
    <w:rsid w:val="00D67070"/>
    <w:rsid w:val="00D71C1A"/>
    <w:rsid w:val="00D75156"/>
    <w:rsid w:val="00D75B15"/>
    <w:rsid w:val="00D75B5B"/>
    <w:rsid w:val="00D75C6E"/>
    <w:rsid w:val="00D77A05"/>
    <w:rsid w:val="00D8020A"/>
    <w:rsid w:val="00D81C29"/>
    <w:rsid w:val="00D81F4F"/>
    <w:rsid w:val="00D82826"/>
    <w:rsid w:val="00D91C7A"/>
    <w:rsid w:val="00D94448"/>
    <w:rsid w:val="00DA1F60"/>
    <w:rsid w:val="00DA2529"/>
    <w:rsid w:val="00DA2551"/>
    <w:rsid w:val="00DA3B48"/>
    <w:rsid w:val="00DA4ADE"/>
    <w:rsid w:val="00DA5814"/>
    <w:rsid w:val="00DA5EF7"/>
    <w:rsid w:val="00DA5F6D"/>
    <w:rsid w:val="00DB035F"/>
    <w:rsid w:val="00DB130A"/>
    <w:rsid w:val="00DB1989"/>
    <w:rsid w:val="00DB2AD5"/>
    <w:rsid w:val="00DC10A1"/>
    <w:rsid w:val="00DC411A"/>
    <w:rsid w:val="00DC655F"/>
    <w:rsid w:val="00DD161C"/>
    <w:rsid w:val="00DD32CB"/>
    <w:rsid w:val="00DD4C86"/>
    <w:rsid w:val="00DD72D5"/>
    <w:rsid w:val="00DD7EBD"/>
    <w:rsid w:val="00DE1475"/>
    <w:rsid w:val="00DF3B43"/>
    <w:rsid w:val="00DF49EA"/>
    <w:rsid w:val="00DF62B6"/>
    <w:rsid w:val="00DF7177"/>
    <w:rsid w:val="00E01D5C"/>
    <w:rsid w:val="00E02031"/>
    <w:rsid w:val="00E0263F"/>
    <w:rsid w:val="00E030E7"/>
    <w:rsid w:val="00E0365D"/>
    <w:rsid w:val="00E058A2"/>
    <w:rsid w:val="00E05B48"/>
    <w:rsid w:val="00E07225"/>
    <w:rsid w:val="00E12979"/>
    <w:rsid w:val="00E141AA"/>
    <w:rsid w:val="00E155B7"/>
    <w:rsid w:val="00E15D3C"/>
    <w:rsid w:val="00E16A95"/>
    <w:rsid w:val="00E16DFE"/>
    <w:rsid w:val="00E2013C"/>
    <w:rsid w:val="00E23E7C"/>
    <w:rsid w:val="00E243DE"/>
    <w:rsid w:val="00E2509A"/>
    <w:rsid w:val="00E25439"/>
    <w:rsid w:val="00E26A08"/>
    <w:rsid w:val="00E35CE5"/>
    <w:rsid w:val="00E3723E"/>
    <w:rsid w:val="00E4351B"/>
    <w:rsid w:val="00E43A2F"/>
    <w:rsid w:val="00E46BEC"/>
    <w:rsid w:val="00E535E9"/>
    <w:rsid w:val="00E5409F"/>
    <w:rsid w:val="00E561C1"/>
    <w:rsid w:val="00E566D6"/>
    <w:rsid w:val="00E616EA"/>
    <w:rsid w:val="00E77FAA"/>
    <w:rsid w:val="00E80675"/>
    <w:rsid w:val="00E87D06"/>
    <w:rsid w:val="00E95A48"/>
    <w:rsid w:val="00EA01B1"/>
    <w:rsid w:val="00EA2D1B"/>
    <w:rsid w:val="00EA4237"/>
    <w:rsid w:val="00EB15B9"/>
    <w:rsid w:val="00EB1DF0"/>
    <w:rsid w:val="00EB3C4A"/>
    <w:rsid w:val="00EC0185"/>
    <w:rsid w:val="00EC26A0"/>
    <w:rsid w:val="00EC2B0C"/>
    <w:rsid w:val="00EC4B09"/>
    <w:rsid w:val="00EC5621"/>
    <w:rsid w:val="00EC6825"/>
    <w:rsid w:val="00EC6E8A"/>
    <w:rsid w:val="00EC71C0"/>
    <w:rsid w:val="00ED02EE"/>
    <w:rsid w:val="00ED121D"/>
    <w:rsid w:val="00ED4BC0"/>
    <w:rsid w:val="00EE13A7"/>
    <w:rsid w:val="00EE43A0"/>
    <w:rsid w:val="00EE4AD6"/>
    <w:rsid w:val="00EF1EDE"/>
    <w:rsid w:val="00EF751A"/>
    <w:rsid w:val="00F0201E"/>
    <w:rsid w:val="00F021FA"/>
    <w:rsid w:val="00F03BF3"/>
    <w:rsid w:val="00F03D3B"/>
    <w:rsid w:val="00F114D8"/>
    <w:rsid w:val="00F12599"/>
    <w:rsid w:val="00F17710"/>
    <w:rsid w:val="00F20763"/>
    <w:rsid w:val="00F22F7A"/>
    <w:rsid w:val="00F2411F"/>
    <w:rsid w:val="00F319D5"/>
    <w:rsid w:val="00F3258B"/>
    <w:rsid w:val="00F37D40"/>
    <w:rsid w:val="00F4131E"/>
    <w:rsid w:val="00F42062"/>
    <w:rsid w:val="00F42A5C"/>
    <w:rsid w:val="00F449B0"/>
    <w:rsid w:val="00F57ACA"/>
    <w:rsid w:val="00F6104B"/>
    <w:rsid w:val="00F6167F"/>
    <w:rsid w:val="00F61990"/>
    <w:rsid w:val="00F62E97"/>
    <w:rsid w:val="00F63313"/>
    <w:rsid w:val="00F64209"/>
    <w:rsid w:val="00F65CEA"/>
    <w:rsid w:val="00F66028"/>
    <w:rsid w:val="00F71DF4"/>
    <w:rsid w:val="00F72125"/>
    <w:rsid w:val="00F739AB"/>
    <w:rsid w:val="00F75F39"/>
    <w:rsid w:val="00F76DF0"/>
    <w:rsid w:val="00F77868"/>
    <w:rsid w:val="00F82D22"/>
    <w:rsid w:val="00F84037"/>
    <w:rsid w:val="00F85609"/>
    <w:rsid w:val="00F9024B"/>
    <w:rsid w:val="00F9134B"/>
    <w:rsid w:val="00F93BF5"/>
    <w:rsid w:val="00F96F63"/>
    <w:rsid w:val="00FA1C46"/>
    <w:rsid w:val="00FA67C1"/>
    <w:rsid w:val="00FA6BC3"/>
    <w:rsid w:val="00FB4A5E"/>
    <w:rsid w:val="00FB4E15"/>
    <w:rsid w:val="00FB7260"/>
    <w:rsid w:val="00FC1AD6"/>
    <w:rsid w:val="00FC2E1B"/>
    <w:rsid w:val="00FC4CAE"/>
    <w:rsid w:val="00FC5A7F"/>
    <w:rsid w:val="00FD1718"/>
    <w:rsid w:val="00FD48E6"/>
    <w:rsid w:val="00FD61CD"/>
    <w:rsid w:val="00FD6F5B"/>
    <w:rsid w:val="00FD7B10"/>
    <w:rsid w:val="00FE1EAF"/>
    <w:rsid w:val="00FE32F4"/>
    <w:rsid w:val="00FE3464"/>
    <w:rsid w:val="00FE71F2"/>
    <w:rsid w:val="00FF0E81"/>
    <w:rsid w:val="00FF6E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5296C5A-864B-4C2F-AEA8-F50D5B3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24"/>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4655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 Char Char Char,Footnote Text Char Char1 Char Char Char,Footnote Text Char1 Char Char Char Char Char Char,Footnote Text Char2 Char,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uiPriority w:val="9"/>
    <w:locked/>
    <w:rsid w:val="0017388E"/>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w:link w:val="FootnoteText"/>
    <w:locked/>
    <w:rsid w:val="0017388E"/>
  </w:style>
  <w:style w:type="character" w:styleId="CommentReference">
    <w:name w:val="annotation reference"/>
    <w:uiPriority w:val="99"/>
    <w:semiHidden/>
    <w:unhideWhenUsed/>
    <w:rsid w:val="0017388E"/>
    <w:rPr>
      <w:sz w:val="16"/>
    </w:rPr>
  </w:style>
  <w:style w:type="paragraph" w:styleId="CommentText">
    <w:name w:val="annotation text"/>
    <w:basedOn w:val="Normal"/>
    <w:link w:val="CommentTextChar"/>
    <w:uiPriority w:val="99"/>
    <w:unhideWhenUsed/>
    <w:rsid w:val="0017388E"/>
    <w:rPr>
      <w:snapToGrid/>
      <w:sz w:val="20"/>
    </w:rPr>
  </w:style>
  <w:style w:type="character" w:customStyle="1" w:styleId="CommentTextChar">
    <w:name w:val="Comment Text Char"/>
    <w:link w:val="CommentText"/>
    <w:uiPriority w:val="99"/>
    <w:rsid w:val="0017388E"/>
    <w:rPr>
      <w:kern w:val="28"/>
    </w:rPr>
  </w:style>
  <w:style w:type="paragraph" w:customStyle="1" w:styleId="Paranum0">
    <w:name w:val="Paranum"/>
    <w:basedOn w:val="Normal"/>
    <w:autoRedefine/>
    <w:rsid w:val="004B382D"/>
    <w:pPr>
      <w:widowControl/>
      <w:ind w:firstLine="720"/>
    </w:pPr>
    <w:rPr>
      <w:snapToGrid/>
    </w:rPr>
  </w:style>
  <w:style w:type="paragraph" w:styleId="BalloonText">
    <w:name w:val="Balloon Text"/>
    <w:basedOn w:val="Normal"/>
    <w:link w:val="BalloonTextChar"/>
    <w:uiPriority w:val="99"/>
    <w:semiHidden/>
    <w:unhideWhenUsed/>
    <w:rsid w:val="0017388E"/>
    <w:rPr>
      <w:rFonts w:ascii="Segoe UI" w:hAnsi="Segoe UI" w:cs="Segoe UI"/>
      <w:sz w:val="18"/>
      <w:szCs w:val="18"/>
    </w:rPr>
  </w:style>
  <w:style w:type="character" w:customStyle="1" w:styleId="BalloonTextChar">
    <w:name w:val="Balloon Text Char"/>
    <w:link w:val="BalloonText"/>
    <w:uiPriority w:val="99"/>
    <w:semiHidden/>
    <w:rsid w:val="0017388E"/>
    <w:rPr>
      <w:rFonts w:ascii="Segoe UI" w:hAnsi="Segoe UI" w:cs="Segoe UI"/>
      <w:snapToGrid w:val="0"/>
      <w:kern w:val="28"/>
      <w:sz w:val="18"/>
      <w:szCs w:val="18"/>
    </w:rPr>
  </w:style>
  <w:style w:type="character" w:customStyle="1" w:styleId="HeaderChar">
    <w:name w:val="Header Char"/>
    <w:link w:val="Header"/>
    <w:locked/>
    <w:rPr>
      <w:rFonts w:ascii="Arial" w:hAnsi="Arial" w:cs="Arial"/>
      <w:b/>
      <w:snapToGrid w:val="0"/>
      <w:kern w:val="28"/>
      <w:sz w:val="96"/>
      <w:szCs w:val="96"/>
    </w:rPr>
  </w:style>
  <w:style w:type="character" w:customStyle="1" w:styleId="ALTSFOOTNOTEChar">
    <w:name w:val="ALTS FOOTNOTE Char"/>
    <w:aliases w:val="ALTS FOOTNOTE Char Char Char,ALTS FOOTNOTE Char Char Char Char Char,Footnote Text Char Char Char,Footnote Text Char Char Char Char Char,Footnote Text Char1 Char,Footnote Text Char1 Char Char Char,f Char,fn Char2"/>
  </w:style>
  <w:style w:type="paragraph" w:styleId="CommentSubject">
    <w:name w:val="annotation subject"/>
    <w:basedOn w:val="CommentText"/>
    <w:next w:val="CommentText"/>
    <w:link w:val="CommentSubjectChar"/>
    <w:uiPriority w:val="99"/>
    <w:semiHidden/>
    <w:unhideWhenUsed/>
    <w:rsid w:val="00570763"/>
    <w:rPr>
      <w:b/>
      <w:bCs/>
      <w:snapToGrid w:val="0"/>
    </w:rPr>
  </w:style>
  <w:style w:type="character" w:customStyle="1" w:styleId="CommentSubjectChar">
    <w:name w:val="Comment Subject Char"/>
    <w:link w:val="CommentSubject"/>
    <w:uiPriority w:val="99"/>
    <w:semiHidden/>
    <w:rsid w:val="00570763"/>
    <w:rPr>
      <w:b/>
      <w:bCs/>
      <w:snapToGrid w:val="0"/>
      <w:kern w:val="28"/>
    </w:rPr>
  </w:style>
  <w:style w:type="paragraph" w:styleId="ColorfulShadingAccent1">
    <w:name w:val="Colorful Shading Accent 1"/>
    <w:hidden/>
    <w:uiPriority w:val="99"/>
    <w:semiHidden/>
    <w:rsid w:val="007B624A"/>
    <w:rPr>
      <w:snapToGrid w:val="0"/>
      <w:kern w:val="28"/>
      <w:sz w:val="22"/>
    </w:rPr>
  </w:style>
  <w:style w:type="paragraph" w:styleId="Revision">
    <w:name w:val="Revision"/>
    <w:hidden/>
    <w:uiPriority w:val="99"/>
    <w:semiHidden/>
    <w:rsid w:val="004B382D"/>
    <w:rPr>
      <w:snapToGrid w:val="0"/>
      <w:kern w:val="28"/>
      <w:sz w:val="22"/>
    </w:rPr>
  </w:style>
  <w:style w:type="character" w:customStyle="1" w:styleId="UnresolvedMention">
    <w:name w:val="Unresolved Mention"/>
    <w:uiPriority w:val="99"/>
    <w:semiHidden/>
    <w:unhideWhenUsed/>
    <w:rsid w:val="0045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Karen.Schroed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520Process\Public%2520Notice%25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