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A63A6" w:rsidP="00AA63A6" w14:paraId="0C4645FE" w14:textId="77777777">
      <w:pPr>
        <w:jc w:val="center"/>
        <w:rPr>
          <w:b/>
        </w:rPr>
      </w:pPr>
      <w:r w:rsidRPr="0070224F">
        <w:rPr>
          <w:rFonts w:ascii="Times New Roman Bold" w:hAnsi="Times New Roman Bold"/>
          <w:b/>
          <w:kern w:val="0"/>
          <w:szCs w:val="22"/>
        </w:rPr>
        <w:t>Before</w:t>
      </w:r>
      <w:r>
        <w:rPr>
          <w:b/>
        </w:rPr>
        <w:t xml:space="preserve"> the</w:t>
      </w:r>
    </w:p>
    <w:p w:rsidR="00AA63A6" w:rsidP="00AA63A6" w14:paraId="7EF7DBDD" w14:textId="77777777">
      <w:pPr>
        <w:pStyle w:val="StyleBoldCentered"/>
      </w:pPr>
      <w:r>
        <w:t>F</w:t>
      </w:r>
      <w:r>
        <w:rPr>
          <w:caps w:val="0"/>
        </w:rPr>
        <w:t>ederal Communications Commission</w:t>
      </w:r>
    </w:p>
    <w:p w:rsidR="00AA63A6" w:rsidP="00AA63A6" w14:paraId="05BAAF24" w14:textId="77777777">
      <w:pPr>
        <w:pStyle w:val="StyleBoldCentered"/>
      </w:pPr>
      <w:r>
        <w:rPr>
          <w:caps w:val="0"/>
        </w:rPr>
        <w:t>Washington, D.C. 20554</w:t>
      </w:r>
    </w:p>
    <w:p w:rsidR="00AA63A6" w:rsidP="00AA63A6" w14:paraId="65DDA34F" w14:textId="77777777"/>
    <w:p w:rsidR="00AA63A6" w:rsidP="00AA63A6" w14:paraId="02CF067D" w14:textId="77777777"/>
    <w:tbl>
      <w:tblPr>
        <w:tblW w:w="0" w:type="auto"/>
        <w:tblLayout w:type="fixed"/>
        <w:tblLook w:val="0000"/>
      </w:tblPr>
      <w:tblGrid>
        <w:gridCol w:w="4698"/>
        <w:gridCol w:w="630"/>
        <w:gridCol w:w="4248"/>
      </w:tblGrid>
      <w:tr w14:paraId="0FB8269B" w14:textId="77777777" w:rsidTr="00D7651E">
        <w:tblPrEx>
          <w:tblW w:w="0" w:type="auto"/>
          <w:tblLayout w:type="fixed"/>
          <w:tblLook w:val="0000"/>
        </w:tblPrEx>
        <w:tc>
          <w:tcPr>
            <w:tcW w:w="4698" w:type="dxa"/>
          </w:tcPr>
          <w:p w:rsidR="00AA63A6" w:rsidP="00D7651E" w14:paraId="5B389564" w14:textId="77777777">
            <w:pPr>
              <w:tabs>
                <w:tab w:val="center" w:pos="4680"/>
              </w:tabs>
              <w:suppressAutoHyphens/>
              <w:rPr>
                <w:spacing w:val="-2"/>
              </w:rPr>
            </w:pPr>
            <w:r>
              <w:rPr>
                <w:spacing w:val="-2"/>
              </w:rPr>
              <w:t>In the Matter of</w:t>
            </w:r>
          </w:p>
          <w:p w:rsidR="00AA63A6" w:rsidP="00D7651E" w14:paraId="24C80F13" w14:textId="77777777">
            <w:pPr>
              <w:tabs>
                <w:tab w:val="center" w:pos="4680"/>
              </w:tabs>
              <w:suppressAutoHyphens/>
              <w:rPr>
                <w:spacing w:val="-2"/>
              </w:rPr>
            </w:pPr>
          </w:p>
          <w:p w:rsidR="00AA63A6" w:rsidP="00D7651E" w14:paraId="29F70C0B" w14:textId="77777777">
            <w:pPr>
              <w:tabs>
                <w:tab w:val="center" w:pos="4680"/>
              </w:tabs>
              <w:suppressAutoHyphens/>
              <w:rPr>
                <w:spacing w:val="-2"/>
              </w:rPr>
            </w:pPr>
            <w:r>
              <w:rPr>
                <w:spacing w:val="-2"/>
              </w:rPr>
              <w:t>Structure and Practices of the Video Relay Service Program</w:t>
            </w:r>
          </w:p>
          <w:p w:rsidR="00AA63A6" w:rsidP="00D7651E" w14:paraId="0595C80F" w14:textId="77777777">
            <w:pPr>
              <w:tabs>
                <w:tab w:val="center" w:pos="4680"/>
              </w:tabs>
              <w:suppressAutoHyphens/>
              <w:rPr>
                <w:spacing w:val="-2"/>
              </w:rPr>
            </w:pPr>
          </w:p>
          <w:p w:rsidR="00AA63A6" w:rsidRPr="007115F7" w:rsidP="00D7651E" w14:paraId="5E28948E" w14:textId="7777777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AA63A6" w:rsidP="00D7651E" w14:paraId="55D7F2C3" w14:textId="77777777">
            <w:pPr>
              <w:tabs>
                <w:tab w:val="center" w:pos="4680"/>
              </w:tabs>
              <w:suppressAutoHyphens/>
              <w:rPr>
                <w:b/>
                <w:spacing w:val="-2"/>
              </w:rPr>
            </w:pPr>
            <w:r>
              <w:rPr>
                <w:b/>
                <w:spacing w:val="-2"/>
              </w:rPr>
              <w:t>)</w:t>
            </w:r>
          </w:p>
          <w:p w:rsidR="00AA63A6" w:rsidP="00D7651E" w14:paraId="58890140" w14:textId="77777777">
            <w:pPr>
              <w:tabs>
                <w:tab w:val="center" w:pos="4680"/>
              </w:tabs>
              <w:suppressAutoHyphens/>
              <w:rPr>
                <w:b/>
                <w:spacing w:val="-2"/>
              </w:rPr>
            </w:pPr>
            <w:r>
              <w:rPr>
                <w:b/>
                <w:spacing w:val="-2"/>
              </w:rPr>
              <w:t>)</w:t>
            </w:r>
          </w:p>
          <w:p w:rsidR="00AA63A6" w:rsidP="00D7651E" w14:paraId="1B01C8FF" w14:textId="77777777">
            <w:pPr>
              <w:tabs>
                <w:tab w:val="center" w:pos="4680"/>
              </w:tabs>
              <w:suppressAutoHyphens/>
              <w:rPr>
                <w:b/>
                <w:spacing w:val="-2"/>
              </w:rPr>
            </w:pPr>
            <w:r>
              <w:rPr>
                <w:b/>
                <w:spacing w:val="-2"/>
              </w:rPr>
              <w:t>)</w:t>
            </w:r>
          </w:p>
          <w:p w:rsidR="00AA63A6" w:rsidP="00D7651E" w14:paraId="2E88A2D3" w14:textId="77777777">
            <w:pPr>
              <w:tabs>
                <w:tab w:val="center" w:pos="4680"/>
              </w:tabs>
              <w:suppressAutoHyphens/>
              <w:rPr>
                <w:b/>
                <w:spacing w:val="-2"/>
              </w:rPr>
            </w:pPr>
            <w:r>
              <w:rPr>
                <w:b/>
                <w:spacing w:val="-2"/>
              </w:rPr>
              <w:t>)</w:t>
            </w:r>
          </w:p>
          <w:p w:rsidR="00AA63A6" w:rsidP="00D7651E" w14:paraId="4ADB375E" w14:textId="77777777">
            <w:pPr>
              <w:tabs>
                <w:tab w:val="center" w:pos="4680"/>
              </w:tabs>
              <w:suppressAutoHyphens/>
              <w:rPr>
                <w:b/>
                <w:spacing w:val="-2"/>
              </w:rPr>
            </w:pPr>
            <w:r>
              <w:rPr>
                <w:b/>
                <w:spacing w:val="-2"/>
              </w:rPr>
              <w:t>)</w:t>
            </w:r>
          </w:p>
          <w:p w:rsidR="00AA63A6" w:rsidP="00D7651E" w14:paraId="56E7EC43" w14:textId="77777777">
            <w:pPr>
              <w:tabs>
                <w:tab w:val="center" w:pos="4680"/>
              </w:tabs>
              <w:suppressAutoHyphens/>
              <w:rPr>
                <w:b/>
                <w:spacing w:val="-2"/>
              </w:rPr>
            </w:pPr>
            <w:r>
              <w:rPr>
                <w:b/>
                <w:spacing w:val="-2"/>
              </w:rPr>
              <w:t>)</w:t>
            </w:r>
          </w:p>
          <w:p w:rsidR="00AA63A6" w:rsidP="00D7651E" w14:paraId="1A5F9B63" w14:textId="77777777">
            <w:pPr>
              <w:tabs>
                <w:tab w:val="center" w:pos="4680"/>
              </w:tabs>
              <w:suppressAutoHyphens/>
              <w:rPr>
                <w:b/>
                <w:spacing w:val="-2"/>
              </w:rPr>
            </w:pPr>
            <w:r>
              <w:rPr>
                <w:b/>
                <w:spacing w:val="-2"/>
              </w:rPr>
              <w:t>)</w:t>
            </w:r>
          </w:p>
          <w:p w:rsidR="00AA63A6" w:rsidP="00D7651E" w14:paraId="60D8DEA8" w14:textId="77777777">
            <w:pPr>
              <w:tabs>
                <w:tab w:val="center" w:pos="4680"/>
              </w:tabs>
              <w:suppressAutoHyphens/>
              <w:rPr>
                <w:b/>
                <w:spacing w:val="-2"/>
              </w:rPr>
            </w:pPr>
            <w:r>
              <w:rPr>
                <w:b/>
                <w:spacing w:val="-2"/>
              </w:rPr>
              <w:t>)</w:t>
            </w:r>
          </w:p>
          <w:p w:rsidR="00AA63A6" w:rsidP="00D7651E" w14:paraId="7AE2CDFC" w14:textId="77777777">
            <w:pPr>
              <w:tabs>
                <w:tab w:val="center" w:pos="4680"/>
              </w:tabs>
              <w:suppressAutoHyphens/>
              <w:rPr>
                <w:spacing w:val="-2"/>
              </w:rPr>
            </w:pPr>
            <w:r>
              <w:rPr>
                <w:b/>
                <w:spacing w:val="-2"/>
              </w:rPr>
              <w:t>)</w:t>
            </w:r>
          </w:p>
        </w:tc>
        <w:tc>
          <w:tcPr>
            <w:tcW w:w="4248" w:type="dxa"/>
          </w:tcPr>
          <w:p w:rsidR="00AA63A6" w:rsidP="00D7651E" w14:paraId="6A053F85" w14:textId="77777777">
            <w:pPr>
              <w:tabs>
                <w:tab w:val="center" w:pos="4680"/>
              </w:tabs>
              <w:suppressAutoHyphens/>
              <w:rPr>
                <w:spacing w:val="-2"/>
              </w:rPr>
            </w:pPr>
          </w:p>
          <w:p w:rsidR="00AA63A6" w:rsidP="00D7651E" w14:paraId="6662BEA2" w14:textId="77777777">
            <w:pPr>
              <w:pStyle w:val="TOAHeading"/>
              <w:tabs>
                <w:tab w:val="center" w:pos="4680"/>
                <w:tab w:val="clear" w:pos="9360"/>
              </w:tabs>
              <w:rPr>
                <w:spacing w:val="-2"/>
              </w:rPr>
            </w:pPr>
          </w:p>
          <w:p w:rsidR="00AA63A6" w:rsidP="00D7651E" w14:paraId="75384D93" w14:textId="77777777">
            <w:pPr>
              <w:tabs>
                <w:tab w:val="center" w:pos="4680"/>
              </w:tabs>
              <w:suppressAutoHyphens/>
              <w:rPr>
                <w:spacing w:val="-2"/>
              </w:rPr>
            </w:pPr>
            <w:r>
              <w:rPr>
                <w:spacing w:val="-2"/>
              </w:rPr>
              <w:t xml:space="preserve">CG Docket No. 10-51 </w:t>
            </w:r>
          </w:p>
          <w:p w:rsidR="00AA63A6" w:rsidP="00D7651E" w14:paraId="0C0502DB" w14:textId="77777777">
            <w:pPr>
              <w:tabs>
                <w:tab w:val="center" w:pos="4680"/>
              </w:tabs>
              <w:suppressAutoHyphens/>
              <w:rPr>
                <w:spacing w:val="-2"/>
              </w:rPr>
            </w:pPr>
          </w:p>
          <w:p w:rsidR="00AA63A6" w:rsidP="00D7651E" w14:paraId="374B482D" w14:textId="77777777">
            <w:pPr>
              <w:tabs>
                <w:tab w:val="center" w:pos="4680"/>
              </w:tabs>
              <w:suppressAutoHyphens/>
              <w:rPr>
                <w:spacing w:val="-2"/>
              </w:rPr>
            </w:pPr>
          </w:p>
          <w:p w:rsidR="00AA63A6" w:rsidP="00D7651E" w14:paraId="5E1CBE29" w14:textId="77777777">
            <w:pPr>
              <w:tabs>
                <w:tab w:val="center" w:pos="4680"/>
              </w:tabs>
              <w:suppressAutoHyphens/>
              <w:rPr>
                <w:spacing w:val="-2"/>
              </w:rPr>
            </w:pPr>
            <w:r>
              <w:rPr>
                <w:spacing w:val="-2"/>
              </w:rPr>
              <w:t>CG Docket No. 03-123</w:t>
            </w:r>
          </w:p>
        </w:tc>
      </w:tr>
    </w:tbl>
    <w:p w:rsidR="00AA63A6" w:rsidP="00AA63A6" w14:paraId="26ADB784" w14:textId="77777777"/>
    <w:p w:rsidR="00AA63A6" w:rsidP="00AA63A6" w14:paraId="7166070F" w14:textId="77777777">
      <w:pPr>
        <w:pStyle w:val="StyleBoldCentered"/>
      </w:pPr>
      <w:r>
        <w:t>Order</w:t>
      </w:r>
    </w:p>
    <w:p w:rsidR="00AA63A6" w:rsidP="00AA63A6" w14:paraId="7229CEEB" w14:textId="77777777">
      <w:pPr>
        <w:tabs>
          <w:tab w:val="left" w:pos="-720"/>
        </w:tabs>
        <w:suppressAutoHyphens/>
        <w:spacing w:line="227" w:lineRule="auto"/>
        <w:rPr>
          <w:spacing w:val="-2"/>
        </w:rPr>
      </w:pPr>
    </w:p>
    <w:p w:rsidR="00AA63A6" w:rsidP="00AA63A6" w14:paraId="48F412F8" w14:textId="321F1906">
      <w:pPr>
        <w:tabs>
          <w:tab w:val="left" w:pos="720"/>
          <w:tab w:val="right" w:pos="9360"/>
        </w:tabs>
        <w:suppressAutoHyphens/>
        <w:spacing w:line="227" w:lineRule="auto"/>
        <w:rPr>
          <w:spacing w:val="-2"/>
        </w:rPr>
      </w:pPr>
      <w:r>
        <w:rPr>
          <w:b/>
          <w:spacing w:val="-2"/>
        </w:rPr>
        <w:t xml:space="preserve">Adopted:  </w:t>
      </w:r>
      <w:r w:rsidR="0080582A">
        <w:rPr>
          <w:b/>
          <w:spacing w:val="-2"/>
        </w:rPr>
        <w:t>April</w:t>
      </w:r>
      <w:r>
        <w:rPr>
          <w:b/>
          <w:spacing w:val="-2"/>
        </w:rPr>
        <w:t xml:space="preserve"> </w:t>
      </w:r>
      <w:r w:rsidR="00714C41">
        <w:rPr>
          <w:b/>
          <w:spacing w:val="-2"/>
        </w:rPr>
        <w:t>20</w:t>
      </w:r>
      <w:r>
        <w:rPr>
          <w:b/>
          <w:spacing w:val="-2"/>
        </w:rPr>
        <w:t>, 2020</w:t>
      </w:r>
      <w:r>
        <w:rPr>
          <w:b/>
          <w:spacing w:val="-2"/>
        </w:rPr>
        <w:tab/>
        <w:t xml:space="preserve">Released: </w:t>
      </w:r>
      <w:r w:rsidR="0080582A">
        <w:rPr>
          <w:b/>
          <w:spacing w:val="-2"/>
        </w:rPr>
        <w:t>April</w:t>
      </w:r>
      <w:r>
        <w:rPr>
          <w:b/>
          <w:spacing w:val="-2"/>
        </w:rPr>
        <w:t xml:space="preserve"> </w:t>
      </w:r>
      <w:r w:rsidR="00714C41">
        <w:rPr>
          <w:b/>
          <w:spacing w:val="-2"/>
        </w:rPr>
        <w:t>20</w:t>
      </w:r>
      <w:r>
        <w:rPr>
          <w:b/>
          <w:spacing w:val="-2"/>
        </w:rPr>
        <w:t>, 2020</w:t>
      </w:r>
    </w:p>
    <w:p w:rsidR="00AA63A6" w:rsidP="00AA63A6" w14:paraId="568888D6" w14:textId="77777777"/>
    <w:p w:rsidR="00AA63A6" w:rsidP="00AA63A6" w14:paraId="4EF6644A" w14:textId="77777777">
      <w:pPr>
        <w:rPr>
          <w:spacing w:val="-2"/>
        </w:rPr>
      </w:pPr>
      <w:r>
        <w:t xml:space="preserve">By the </w:t>
      </w:r>
      <w:r>
        <w:rPr>
          <w:spacing w:val="-2"/>
        </w:rPr>
        <w:t>Chief, Consumer and Governmental Affairs Bureau:</w:t>
      </w:r>
    </w:p>
    <w:p w:rsidR="00AA63A6" w:rsidP="00AA63A6" w14:paraId="5D724FF6" w14:textId="77777777">
      <w:pPr>
        <w:rPr>
          <w:spacing w:val="-2"/>
        </w:rPr>
      </w:pPr>
    </w:p>
    <w:p w:rsidR="00AA63A6" w:rsidP="00AA63A6" w14:paraId="05726B7C" w14:textId="77777777">
      <w:pPr>
        <w:pStyle w:val="Heading1"/>
        <w:numPr>
          <w:ilvl w:val="0"/>
          <w:numId w:val="23"/>
        </w:numPr>
        <w:tabs>
          <w:tab w:val="left" w:pos="720"/>
        </w:tabs>
        <w:spacing w:after="120"/>
        <w:jc w:val="left"/>
      </w:pPr>
      <w:r>
        <w:t>Introduction</w:t>
      </w:r>
    </w:p>
    <w:p w:rsidR="00AA63A6" w:rsidP="00AA63A6" w14:paraId="119222BB" w14:textId="6D854066">
      <w:pPr>
        <w:pStyle w:val="ParaNum"/>
        <w:numPr>
          <w:ilvl w:val="0"/>
          <w:numId w:val="22"/>
        </w:numPr>
        <w:tabs>
          <w:tab w:val="clear" w:pos="1080"/>
          <w:tab w:val="num" w:pos="1440"/>
        </w:tabs>
        <w:spacing w:after="120"/>
        <w:jc w:val="left"/>
      </w:pPr>
      <w:r>
        <w:t>By this Order, the Consumer and Governmental Affairs Bureau (Bureau) of the Federal Communications Commission (Commission)</w:t>
      </w:r>
      <w:r w:rsidR="000024DE">
        <w:t>, on its own motion,</w:t>
      </w:r>
      <w:r w:rsidR="006C2DEB">
        <w:t xml:space="preserve"> </w:t>
      </w:r>
      <w:r>
        <w:t>grants a waiver of the expiration date of the at-home call</w:t>
      </w:r>
      <w:r w:rsidR="00C23CB5">
        <w:t>-</w:t>
      </w:r>
      <w:r>
        <w:t>handling pilot program</w:t>
      </w:r>
      <w:r w:rsidRPr="009100A8">
        <w:t xml:space="preserve"> </w:t>
      </w:r>
      <w:r>
        <w:t>for video relay service (VRS),</w:t>
      </w:r>
      <w:r>
        <w:rPr>
          <w:rStyle w:val="FootnoteReference"/>
        </w:rPr>
        <w:footnoteReference w:id="3"/>
      </w:r>
      <w:r>
        <w:t xml:space="preserve"> extending the program through the effective date of </w:t>
      </w:r>
      <w:r w:rsidR="00AF50B0">
        <w:t>the</w:t>
      </w:r>
      <w:r>
        <w:t xml:space="preserve"> Commission</w:t>
      </w:r>
      <w:r w:rsidR="00AF50B0">
        <w:t>’s permanent rules</w:t>
      </w:r>
      <w:r w:rsidR="00960F9A">
        <w:t xml:space="preserve"> </w:t>
      </w:r>
      <w:r>
        <w:t xml:space="preserve">regarding at-home </w:t>
      </w:r>
      <w:r w:rsidR="00863261">
        <w:t xml:space="preserve">VRS </w:t>
      </w:r>
      <w:r>
        <w:t>call</w:t>
      </w:r>
      <w:r w:rsidR="00A9501C">
        <w:t>-</w:t>
      </w:r>
      <w:r>
        <w:t>handling</w:t>
      </w:r>
      <w:r w:rsidR="00960F9A">
        <w:t xml:space="preserve"> (Final Rules)</w:t>
      </w:r>
      <w:r w:rsidR="00AF50B0">
        <w:t>.</w:t>
      </w:r>
    </w:p>
    <w:p w:rsidR="00AA63A6" w:rsidP="00AA63A6" w14:paraId="2E4B19A1" w14:textId="77777777">
      <w:pPr>
        <w:pStyle w:val="Heading1"/>
        <w:numPr>
          <w:ilvl w:val="0"/>
          <w:numId w:val="23"/>
        </w:numPr>
        <w:tabs>
          <w:tab w:val="left" w:pos="720"/>
        </w:tabs>
        <w:spacing w:after="120"/>
        <w:jc w:val="left"/>
      </w:pPr>
      <w:r>
        <w:t>Background</w:t>
      </w:r>
    </w:p>
    <w:p w:rsidR="00AA63A6" w:rsidP="00FD6B43" w14:paraId="6217A57B" w14:textId="33143FDC">
      <w:pPr>
        <w:pStyle w:val="ParaNum"/>
        <w:numPr>
          <w:ilvl w:val="0"/>
          <w:numId w:val="22"/>
        </w:numPr>
        <w:tabs>
          <w:tab w:val="clear" w:pos="1080"/>
          <w:tab w:val="num" w:pos="1440"/>
        </w:tabs>
        <w:spacing w:after="120"/>
        <w:jc w:val="left"/>
      </w:pPr>
      <w:r>
        <w:t xml:space="preserve">In March 2017, the Commission </w:t>
      </w:r>
      <w:r w:rsidR="00A44C51">
        <w:t>established</w:t>
      </w:r>
      <w:r>
        <w:t xml:space="preserve"> a one-year pilot program</w:t>
      </w:r>
      <w:r w:rsidR="00AC2C36">
        <w:t xml:space="preserve"> allowing participating VRS providers to let some of their</w:t>
      </w:r>
      <w:r>
        <w:t xml:space="preserve"> </w:t>
      </w:r>
      <w:r w:rsidR="00A44C51">
        <w:t>communications assistants (CAs) work at home</w:t>
      </w:r>
      <w:r w:rsidR="00AC2C36">
        <w:t xml:space="preserve"> instead of in call centers</w:t>
      </w:r>
      <w:r w:rsidR="00A44C51">
        <w:t xml:space="preserve">.  </w:t>
      </w:r>
      <w:r>
        <w:t>P</w:t>
      </w:r>
      <w:r w:rsidRPr="003D4FDB">
        <w:t xml:space="preserve">articipating VRS providers </w:t>
      </w:r>
      <w:r>
        <w:t>may</w:t>
      </w:r>
      <w:r w:rsidRPr="003D4FDB">
        <w:t xml:space="preserve"> be compensated for calls handled by CAs </w:t>
      </w:r>
      <w:r w:rsidR="00A44C51">
        <w:t>at home workstations</w:t>
      </w:r>
      <w:r w:rsidRPr="003D4FDB">
        <w:t xml:space="preserve"> for up to 30</w:t>
      </w:r>
      <w:r w:rsidR="000024DE">
        <w:t>%</w:t>
      </w:r>
      <w:r w:rsidRPr="003D4FDB">
        <w:t xml:space="preserve"> of a </w:t>
      </w:r>
      <w:r>
        <w:t xml:space="preserve">participating </w:t>
      </w:r>
      <w:r w:rsidRPr="003D4FDB">
        <w:t>provider’s monthly minutes,</w:t>
      </w:r>
      <w:r>
        <w:rPr>
          <w:rStyle w:val="FootnoteReference"/>
        </w:rPr>
        <w:footnoteReference w:id="4"/>
      </w:r>
      <w:r w:rsidRPr="003D4FDB">
        <w:t xml:space="preserve"> so long as the provider complie</w:t>
      </w:r>
      <w:r>
        <w:t>s</w:t>
      </w:r>
      <w:r w:rsidRPr="003D4FDB">
        <w:t xml:space="preserve"> with the Commission’s mandatory minimum standards</w:t>
      </w:r>
      <w:r w:rsidR="00A44C51">
        <w:t>, including</w:t>
      </w:r>
      <w:r w:rsidR="000024DE">
        <w:t xml:space="preserve"> the</w:t>
      </w:r>
      <w:r w:rsidR="00A44C51">
        <w:t xml:space="preserve"> </w:t>
      </w:r>
      <w:r w:rsidRPr="003D4FDB">
        <w:t>personnel, technical, and environmental safeguards</w:t>
      </w:r>
      <w:r w:rsidR="00A44C51">
        <w:t xml:space="preserve"> </w:t>
      </w:r>
      <w:r w:rsidRPr="003D4FDB">
        <w:t>and monitoring, oversight</w:t>
      </w:r>
      <w:r w:rsidR="00C30E04">
        <w:t>,</w:t>
      </w:r>
      <w:r w:rsidRPr="003D4FDB">
        <w:t xml:space="preserve"> and reporting requirements </w:t>
      </w:r>
      <w:r w:rsidR="000024DE">
        <w:t>adopt</w:t>
      </w:r>
      <w:r w:rsidR="00A44C51">
        <w:t>ed for the pilot program</w:t>
      </w:r>
      <w:r w:rsidRPr="003D4FDB">
        <w:t>.</w:t>
      </w:r>
      <w:r>
        <w:rPr>
          <w:rStyle w:val="FootnoteReference"/>
        </w:rPr>
        <w:footnoteReference w:id="5"/>
      </w:r>
      <w:r w:rsidRPr="003D4FDB">
        <w:t xml:space="preserve">  </w:t>
      </w:r>
      <w:r w:rsidR="00FD6B43">
        <w:t xml:space="preserve">The Bureau has </w:t>
      </w:r>
      <w:r w:rsidR="00E45F12">
        <w:t>granted</w:t>
      </w:r>
      <w:r w:rsidR="00FD6B43">
        <w:t xml:space="preserve"> several</w:t>
      </w:r>
      <w:r w:rsidR="00E45F12">
        <w:t xml:space="preserve"> extensions of the pilot program</w:t>
      </w:r>
      <w:r w:rsidR="00FD6B43">
        <w:t xml:space="preserve"> expiration date</w:t>
      </w:r>
      <w:r w:rsidR="00E45F12">
        <w:t xml:space="preserve">, </w:t>
      </w:r>
      <w:r w:rsidR="00FD6B43">
        <w:t xml:space="preserve">and as a result, </w:t>
      </w:r>
      <w:r w:rsidR="00E45F12">
        <w:t>the program is currently scheduled to te</w:t>
      </w:r>
      <w:r w:rsidR="00CF2E4C">
        <w:t>rminate on April 30, 2020.</w:t>
      </w:r>
      <w:r>
        <w:rPr>
          <w:rStyle w:val="FootnoteReference"/>
        </w:rPr>
        <w:footnoteReference w:id="6"/>
      </w:r>
    </w:p>
    <w:p w:rsidR="008B2CBF" w:rsidP="00FC63A4" w14:paraId="2EA3BA73" w14:textId="2B4B9089">
      <w:pPr>
        <w:pStyle w:val="ParaNum"/>
        <w:numPr>
          <w:ilvl w:val="0"/>
          <w:numId w:val="22"/>
        </w:numPr>
        <w:tabs>
          <w:tab w:val="clear" w:pos="1080"/>
          <w:tab w:val="num" w:pos="1440"/>
        </w:tabs>
        <w:spacing w:after="120"/>
        <w:jc w:val="left"/>
      </w:pPr>
      <w:r>
        <w:t>On May 9, 2019, the Commission adopted a Further Notice of Proposed Rulemaking proposing to convert the VRS at-home call handling pilot program to a permanent program, subject to personnel, technical, and environmental safeguards.</w:t>
      </w:r>
      <w:r>
        <w:rPr>
          <w:rStyle w:val="FootnoteReference"/>
        </w:rPr>
        <w:footnoteReference w:id="7"/>
      </w:r>
      <w:r>
        <w:t xml:space="preserve">  </w:t>
      </w:r>
      <w:r>
        <w:t xml:space="preserve">On January 30, 2020, the Commission adopted </w:t>
      </w:r>
      <w:r w:rsidR="008E6408">
        <w:t>Final Rules</w:t>
      </w:r>
      <w:r>
        <w:t xml:space="preserve"> authoriz</w:t>
      </w:r>
      <w:r w:rsidR="00B36282">
        <w:t>ing</w:t>
      </w:r>
      <w:r>
        <w:t xml:space="preserve"> the TRS Fund to compensate VRS providers for calls handled by CAs from home workstations, converting the pilot program to a permanent one.</w:t>
      </w:r>
      <w:r>
        <w:rPr>
          <w:rStyle w:val="FootnoteReference"/>
        </w:rPr>
        <w:footnoteReference w:id="8"/>
      </w:r>
      <w:r>
        <w:t xml:space="preserve">  </w:t>
      </w:r>
      <w:r w:rsidR="00692AC0">
        <w:t>The</w:t>
      </w:r>
      <w:r w:rsidR="00960F9A">
        <w:t xml:space="preserve"> Commission </w:t>
      </w:r>
      <w:r w:rsidR="00A93F3A">
        <w:t>fo</w:t>
      </w:r>
      <w:r w:rsidR="007F3AD3">
        <w:t xml:space="preserve">und </w:t>
      </w:r>
      <w:r w:rsidR="00960F9A">
        <w:t>that t</w:t>
      </w:r>
      <w:r w:rsidR="00B36282">
        <w:t xml:space="preserve">he at-home </w:t>
      </w:r>
      <w:r w:rsidR="00692AC0">
        <w:t xml:space="preserve">option </w:t>
      </w:r>
      <w:r w:rsidR="00B36282">
        <w:t xml:space="preserve">enables providers to attract and retain </w:t>
      </w:r>
      <w:r w:rsidR="00692AC0">
        <w:t xml:space="preserve">additional </w:t>
      </w:r>
      <w:r w:rsidR="00B36282">
        <w:t>qualified CAs</w:t>
      </w:r>
      <w:r w:rsidR="00692AC0">
        <w:t>,</w:t>
      </w:r>
      <w:r w:rsidR="00B36282">
        <w:t xml:space="preserve"> appears to improve CA productivity and performance</w:t>
      </w:r>
      <w:r w:rsidR="00692AC0">
        <w:t>, and adds flexibility in</w:t>
      </w:r>
      <w:r w:rsidR="00B36282">
        <w:t xml:space="preserve"> unforeseen circumstances, such as inclement weather and</w:t>
      </w:r>
      <w:r w:rsidR="00960F9A">
        <w:t xml:space="preserve"> civic emergencies</w:t>
      </w:r>
      <w:r w:rsidR="00B36282">
        <w:t>.</w:t>
      </w:r>
      <w:r>
        <w:rPr>
          <w:rStyle w:val="FootnoteReference"/>
        </w:rPr>
        <w:footnoteReference w:id="9"/>
      </w:r>
      <w:r w:rsidR="00B36282">
        <w:t xml:space="preserve">  </w:t>
      </w:r>
      <w:r w:rsidR="00FE3C5F">
        <w:t xml:space="preserve">Moreover, by “largely retaining” the </w:t>
      </w:r>
      <w:r w:rsidR="00D43E9C">
        <w:t>safeguards estab</w:t>
      </w:r>
      <w:bookmarkStart w:id="0" w:name="_GoBack"/>
      <w:bookmarkEnd w:id="0"/>
      <w:r w:rsidR="00D43E9C">
        <w:t xml:space="preserve">lished for the pilot program, the Commission determined that </w:t>
      </w:r>
      <w:r w:rsidR="00015E72">
        <w:t xml:space="preserve">it </w:t>
      </w:r>
      <w:r w:rsidR="00526907">
        <w:t xml:space="preserve">“can permit at-home VRS call handling without </w:t>
      </w:r>
      <w:r w:rsidR="006C24D5">
        <w:t xml:space="preserve">increasing the risk of waste, fraud and abuse or endangering the confidentiality, reliability, </w:t>
      </w:r>
      <w:r w:rsidR="00EF540E">
        <w:t>and quality of VRS.”</w:t>
      </w:r>
      <w:r>
        <w:rPr>
          <w:rStyle w:val="FootnoteReference"/>
        </w:rPr>
        <w:footnoteReference w:id="10"/>
      </w:r>
    </w:p>
    <w:p w:rsidR="000024DE" w:rsidP="000024DE" w14:paraId="013F7D3C" w14:textId="520E9F29">
      <w:pPr>
        <w:pStyle w:val="ParaNum"/>
        <w:numPr>
          <w:ilvl w:val="0"/>
          <w:numId w:val="22"/>
        </w:numPr>
        <w:tabs>
          <w:tab w:val="clear" w:pos="1080"/>
          <w:tab w:val="num" w:pos="1440"/>
        </w:tabs>
        <w:spacing w:after="120"/>
        <w:jc w:val="left"/>
      </w:pPr>
      <w:r>
        <w:t xml:space="preserve">The </w:t>
      </w:r>
      <w:r w:rsidR="008E6408">
        <w:t>Final Rules</w:t>
      </w:r>
      <w:r>
        <w:t xml:space="preserve"> will </w:t>
      </w:r>
      <w:r w:rsidR="00686608">
        <w:t>become effective</w:t>
      </w:r>
      <w:r>
        <w:t xml:space="preserve"> upon approval</w:t>
      </w:r>
      <w:r w:rsidRPr="00686608" w:rsidR="00686608">
        <w:t xml:space="preserve"> </w:t>
      </w:r>
      <w:r w:rsidR="00686608">
        <w:t>of new or revised information collections by the Office of Management and Budget</w:t>
      </w:r>
      <w:r w:rsidR="00C23CB5">
        <w:t xml:space="preserve"> (OMB), pursuant to the </w:t>
      </w:r>
      <w:r w:rsidR="00686608">
        <w:t>Paperwork Reduction Act</w:t>
      </w:r>
      <w:r w:rsidR="008E6408">
        <w:t>,</w:t>
      </w:r>
      <w:r>
        <w:rPr>
          <w:rStyle w:val="FootnoteReference"/>
        </w:rPr>
        <w:footnoteReference w:id="11"/>
      </w:r>
      <w:r>
        <w:t xml:space="preserve"> </w:t>
      </w:r>
      <w:r w:rsidR="008E6408">
        <w:t>which has not yet been given.  Meanwhile</w:t>
      </w:r>
      <w:r>
        <w:t xml:space="preserve">, VRS providers continue to operate under the pilot program rules pursuant to </w:t>
      </w:r>
      <w:r w:rsidR="008E6408">
        <w:t xml:space="preserve">the </w:t>
      </w:r>
      <w:r w:rsidR="00C23CB5">
        <w:t>waivers</w:t>
      </w:r>
      <w:r w:rsidR="008E6408">
        <w:t xml:space="preserve"> previously granted, which</w:t>
      </w:r>
      <w:r>
        <w:t xml:space="preserve"> </w:t>
      </w:r>
      <w:r w:rsidR="008E6408">
        <w:t xml:space="preserve">will </w:t>
      </w:r>
      <w:r>
        <w:t>expire</w:t>
      </w:r>
      <w:r w:rsidR="00C23CB5">
        <w:t xml:space="preserve"> April 30, 2020</w:t>
      </w:r>
      <w:r w:rsidR="00A9501C">
        <w:t>.</w:t>
      </w:r>
      <w:r>
        <w:rPr>
          <w:rStyle w:val="FootnoteReference"/>
        </w:rPr>
        <w:footnoteReference w:id="12"/>
      </w:r>
      <w:r>
        <w:t xml:space="preserve"> </w:t>
      </w:r>
    </w:p>
    <w:p w:rsidR="00AA63A6" w:rsidP="00AA63A6" w14:paraId="5A348A51" w14:textId="77777777">
      <w:pPr>
        <w:pStyle w:val="Heading1"/>
        <w:numPr>
          <w:ilvl w:val="0"/>
          <w:numId w:val="23"/>
        </w:numPr>
        <w:tabs>
          <w:tab w:val="left" w:pos="720"/>
        </w:tabs>
        <w:spacing w:after="120"/>
        <w:jc w:val="left"/>
      </w:pPr>
      <w:r>
        <w:t>DISCUSSION</w:t>
      </w:r>
    </w:p>
    <w:p w:rsidR="00AA63A6" w:rsidP="00AA63A6" w14:paraId="2CAB3CA3" w14:textId="327EE138">
      <w:pPr>
        <w:pStyle w:val="ParaNum"/>
        <w:numPr>
          <w:ilvl w:val="0"/>
          <w:numId w:val="22"/>
        </w:numPr>
        <w:tabs>
          <w:tab w:val="clear" w:pos="1080"/>
          <w:tab w:val="num" w:pos="1440"/>
        </w:tabs>
        <w:spacing w:after="120"/>
        <w:jc w:val="left"/>
      </w:pPr>
      <w:r>
        <w:t xml:space="preserve">A </w:t>
      </w:r>
      <w:r w:rsidRPr="005E7C51">
        <w:t>Commission rule may be waived for good cause shown.</w:t>
      </w:r>
      <w:r>
        <w:rPr>
          <w:rStyle w:val="FootnoteReference"/>
        </w:rPr>
        <w:footnoteReference w:id="13"/>
      </w:r>
      <w:r w:rsidRPr="005E7C51">
        <w:t xml:space="preserve">  In particular, waiver of a rule is appropriate where the particular facts make strict enforcement of a rule inconsistent with the public interest.</w:t>
      </w:r>
      <w:r>
        <w:rPr>
          <w:rStyle w:val="FootnoteReference"/>
        </w:rPr>
        <w:footnoteReference w:id="14"/>
      </w:r>
      <w:r w:rsidRPr="005E7C51">
        <w:t xml:space="preserve">  In addition, we may take into account considerations of hardship, equity, or more effective imple</w:t>
      </w:r>
      <w:r w:rsidRPr="00071F30">
        <w:t>mentation of overall policy on an individual basis.</w:t>
      </w:r>
      <w:r>
        <w:rPr>
          <w:rStyle w:val="FootnoteReference"/>
        </w:rPr>
        <w:footnoteReference w:id="15"/>
      </w:r>
      <w:r w:rsidRPr="00071F30">
        <w:t xml:space="preserve">  </w:t>
      </w:r>
      <w:r>
        <w:t>Waiver of a rule</w:t>
      </w:r>
      <w:r w:rsidRPr="00071F30">
        <w:t xml:space="preserve"> is appropriate if special circumstances warrant a deviation from the general rule</w:t>
      </w:r>
      <w:r w:rsidR="00C12006">
        <w:t>,</w:t>
      </w:r>
      <w:r w:rsidRPr="00071F30">
        <w:t xml:space="preserve"> and such deviation will serve the public interest and will not undermine the policy underlying the rule.</w:t>
      </w:r>
      <w:r>
        <w:rPr>
          <w:rStyle w:val="FootnoteReference"/>
        </w:rPr>
        <w:footnoteReference w:id="16"/>
      </w:r>
    </w:p>
    <w:p w:rsidR="0090547D" w:rsidP="005A74C0" w14:paraId="56052B18" w14:textId="4B5E361D">
      <w:pPr>
        <w:pStyle w:val="ParaNum"/>
        <w:numPr>
          <w:ilvl w:val="0"/>
          <w:numId w:val="22"/>
        </w:numPr>
        <w:tabs>
          <w:tab w:val="clear" w:pos="1080"/>
          <w:tab w:val="num" w:pos="1440"/>
        </w:tabs>
        <w:spacing w:after="120"/>
        <w:jc w:val="left"/>
      </w:pPr>
      <w:r>
        <w:t xml:space="preserve">We find there are special circumstances establishing good cause for granting </w:t>
      </w:r>
      <w:r w:rsidR="00C23CB5">
        <w:t xml:space="preserve">a further </w:t>
      </w:r>
      <w:r w:rsidR="008B2CBF">
        <w:t xml:space="preserve">extension of the </w:t>
      </w:r>
      <w:r w:rsidRPr="00521DDF">
        <w:t xml:space="preserve">expiration date for the at-home VRS </w:t>
      </w:r>
      <w:r>
        <w:t>call handling</w:t>
      </w:r>
      <w:r w:rsidRPr="00521DDF">
        <w:t xml:space="preserve"> pilot program</w:t>
      </w:r>
      <w:r w:rsidR="00951C83">
        <w:t xml:space="preserve"> to avoid an undesirable lapse in </w:t>
      </w:r>
      <w:r w:rsidRPr="00951C83" w:rsidR="00951C83">
        <w:t xml:space="preserve">authorized </w:t>
      </w:r>
      <w:r w:rsidR="00951C83">
        <w:t xml:space="preserve">use of </w:t>
      </w:r>
      <w:r w:rsidRPr="00951C83" w:rsidR="00951C83">
        <w:t>at-home call handling</w:t>
      </w:r>
      <w:r w:rsidR="00C23CB5">
        <w:t>.</w:t>
      </w:r>
      <w:r w:rsidRPr="00C23CB5" w:rsidR="00C23CB5">
        <w:t xml:space="preserve"> </w:t>
      </w:r>
      <w:r w:rsidR="00C23CB5">
        <w:t xml:space="preserve"> </w:t>
      </w:r>
      <w:r w:rsidRPr="00814FF5">
        <w:t xml:space="preserve">Because </w:t>
      </w:r>
      <w:r w:rsidRPr="00814FF5">
        <w:t>a number of</w:t>
      </w:r>
      <w:r w:rsidRPr="00814FF5">
        <w:t xml:space="preserve"> the rule amendments adopted in th</w:t>
      </w:r>
      <w:r w:rsidR="00C80D0D">
        <w:t xml:space="preserve">e </w:t>
      </w:r>
      <w:r w:rsidRPr="001252B0" w:rsidR="00C80D0D">
        <w:rPr>
          <w:i/>
          <w:iCs/>
        </w:rPr>
        <w:t xml:space="preserve">VRS At-Home Call Handling </w:t>
      </w:r>
      <w:r w:rsidR="00A36658">
        <w:rPr>
          <w:i/>
          <w:iCs/>
        </w:rPr>
        <w:t xml:space="preserve">R&amp;O </w:t>
      </w:r>
      <w:r w:rsidRPr="00814FF5">
        <w:t xml:space="preserve">contain new or modified information collection requirements, they require approval by </w:t>
      </w:r>
      <w:r w:rsidR="00E857E9">
        <w:t>OMB</w:t>
      </w:r>
      <w:r w:rsidRPr="00814FF5">
        <w:t xml:space="preserve">, which, due to required comment cycles, </w:t>
      </w:r>
      <w:r w:rsidR="00584C17">
        <w:t>will not</w:t>
      </w:r>
      <w:r w:rsidRPr="00814FF5">
        <w:t xml:space="preserve"> be granted on or before April 30, 2020.  As a result, the </w:t>
      </w:r>
      <w:r w:rsidR="009C05BD">
        <w:t xml:space="preserve">current </w:t>
      </w:r>
      <w:r w:rsidRPr="00814FF5">
        <w:t xml:space="preserve">pilot program extension </w:t>
      </w:r>
      <w:r w:rsidR="00F7346E">
        <w:t>will</w:t>
      </w:r>
      <w:r w:rsidR="00584C17">
        <w:t xml:space="preserve"> </w:t>
      </w:r>
      <w:r w:rsidRPr="00814FF5">
        <w:t xml:space="preserve">expire before </w:t>
      </w:r>
      <w:r w:rsidR="00193345">
        <w:t xml:space="preserve">all </w:t>
      </w:r>
      <w:r w:rsidRPr="00814FF5">
        <w:t xml:space="preserve">the </w:t>
      </w:r>
      <w:r w:rsidR="00C80D0D">
        <w:t xml:space="preserve">Final Rules </w:t>
      </w:r>
      <w:r w:rsidRPr="00814FF5">
        <w:t xml:space="preserve">become effective. </w:t>
      </w:r>
    </w:p>
    <w:p w:rsidR="0090547D" w:rsidP="005A74C0" w14:paraId="41D37268" w14:textId="52CBDBF9">
      <w:pPr>
        <w:pStyle w:val="ParaNum"/>
        <w:numPr>
          <w:ilvl w:val="0"/>
          <w:numId w:val="22"/>
        </w:numPr>
        <w:tabs>
          <w:tab w:val="clear" w:pos="1080"/>
          <w:tab w:val="num" w:pos="1440"/>
        </w:tabs>
        <w:spacing w:after="120"/>
        <w:jc w:val="left"/>
      </w:pPr>
      <w:r>
        <w:t xml:space="preserve">In deciding to adopt </w:t>
      </w:r>
      <w:r w:rsidR="00A36658">
        <w:t xml:space="preserve">the </w:t>
      </w:r>
      <w:r w:rsidR="00271714">
        <w:t>Final R</w:t>
      </w:r>
      <w:r>
        <w:t xml:space="preserve">ules, the Commission </w:t>
      </w:r>
      <w:r w:rsidR="00A36658">
        <w:t xml:space="preserve">concluded </w:t>
      </w:r>
      <w:r>
        <w:t xml:space="preserve">that </w:t>
      </w:r>
      <w:r w:rsidR="00A36658">
        <w:t>at-home VRS call handling produces</w:t>
      </w:r>
      <w:r>
        <w:t xml:space="preserve"> important benefits that outweigh</w:t>
      </w:r>
      <w:r w:rsidR="00A36658">
        <w:t xml:space="preserve"> the associated costs</w:t>
      </w:r>
      <w:r w:rsidRPr="0070765D">
        <w:t>.</w:t>
      </w:r>
      <w:r>
        <w:rPr>
          <w:rStyle w:val="FootnoteReference"/>
        </w:rPr>
        <w:footnoteReference w:id="17"/>
      </w:r>
      <w:r>
        <w:t xml:space="preserve">  </w:t>
      </w:r>
      <w:r w:rsidR="00A36658">
        <w:t xml:space="preserve">Further, </w:t>
      </w:r>
      <w:r>
        <w:t xml:space="preserve">recent Bureau actions </w:t>
      </w:r>
      <w:r>
        <w:t xml:space="preserve">to address </w:t>
      </w:r>
      <w:r w:rsidR="00AC7167">
        <w:t>the national novel coronavirus (COVID-19) emergency</w:t>
      </w:r>
      <w:r>
        <w:rPr>
          <w:rStyle w:val="FootnoteReference"/>
        </w:rPr>
        <w:footnoteReference w:id="18"/>
      </w:r>
      <w:r w:rsidR="00AC7167">
        <w:t xml:space="preserve"> </w:t>
      </w:r>
      <w:r w:rsidR="00023BE4">
        <w:t>underscore the importance of allowing at-home VRS call handling to continue uninterrupted.</w:t>
      </w:r>
      <w:r>
        <w:rPr>
          <w:rStyle w:val="FootnoteReference"/>
        </w:rPr>
        <w:footnoteReference w:id="19"/>
      </w:r>
      <w:r w:rsidR="00FF1E5B">
        <w:t xml:space="preserve">  In addition to </w:t>
      </w:r>
      <w:r w:rsidR="00951C83">
        <w:t>its</w:t>
      </w:r>
      <w:r w:rsidR="00FF1E5B">
        <w:t xml:space="preserve"> severe impact on VRS communications during this national emergency, a</w:t>
      </w:r>
      <w:r w:rsidRPr="00814FF5" w:rsidR="00FF1E5B">
        <w:t xml:space="preserve">llowing </w:t>
      </w:r>
      <w:r w:rsidRPr="00814FF5">
        <w:t xml:space="preserve">the pilot program to expire before the effective date of the Final Rules would needlessly interrupt </w:t>
      </w:r>
      <w:r w:rsidR="00FF1E5B">
        <w:t xml:space="preserve">a program that the Commission has found cost-beneficial </w:t>
      </w:r>
      <w:r w:rsidRPr="00FF1E5B" w:rsidR="00951C83">
        <w:t xml:space="preserve">and </w:t>
      </w:r>
      <w:r w:rsidR="00951C83">
        <w:t xml:space="preserve">would </w:t>
      </w:r>
      <w:r w:rsidRPr="00FF1E5B" w:rsidR="00951C83">
        <w:t>burden VRS providers with unnecessary wind-down and start-up costs.</w:t>
      </w:r>
      <w:r>
        <w:rPr>
          <w:sz w:val="20"/>
          <w:vertAlign w:val="superscript"/>
        </w:rPr>
        <w:footnoteReference w:id="20"/>
      </w:r>
      <w:r w:rsidRPr="00FF1E5B" w:rsidR="00FF1E5B">
        <w:t xml:space="preserve">  </w:t>
      </w:r>
    </w:p>
    <w:p w:rsidR="00AA63A6" w:rsidP="002A7FA4" w14:paraId="0266F9DD" w14:textId="7C43E657">
      <w:pPr>
        <w:numPr>
          <w:ilvl w:val="0"/>
          <w:numId w:val="22"/>
        </w:numPr>
        <w:tabs>
          <w:tab w:val="clear" w:pos="1080"/>
          <w:tab w:val="num" w:pos="1440"/>
        </w:tabs>
        <w:spacing w:after="120"/>
      </w:pPr>
      <w:r w:rsidRPr="005A74C0">
        <w:t>Accordingly</w:t>
      </w:r>
      <w:r>
        <w:t>, t</w:t>
      </w:r>
      <w:r w:rsidRPr="00814FF5">
        <w:t>o prevent such costs and loss of the benefits of currently authorized at-home call handling</w:t>
      </w:r>
      <w:r w:rsidRPr="00814FF5" w:rsidR="00500D50">
        <w:t xml:space="preserve">, we </w:t>
      </w:r>
      <w:r w:rsidR="00111DE5">
        <w:t>find good cause to modify</w:t>
      </w:r>
      <w:r w:rsidR="0062248E">
        <w:t xml:space="preserve"> on our own motion the previously granted waivers to provide that</w:t>
      </w:r>
      <w:r w:rsidR="00111DE5">
        <w:t xml:space="preserve"> the </w:t>
      </w:r>
      <w:r w:rsidR="0062248E">
        <w:t xml:space="preserve">pilot program </w:t>
      </w:r>
      <w:r w:rsidR="00111DE5">
        <w:t xml:space="preserve">expiration date </w:t>
      </w:r>
      <w:r w:rsidR="0062248E">
        <w:t xml:space="preserve">is </w:t>
      </w:r>
      <w:r w:rsidR="00111DE5">
        <w:t>extend</w:t>
      </w:r>
      <w:r w:rsidR="0062248E">
        <w:t>ed</w:t>
      </w:r>
      <w:r w:rsidR="00111DE5">
        <w:t xml:space="preserve"> through the date </w:t>
      </w:r>
      <w:r w:rsidR="00621A52">
        <w:t xml:space="preserve">when </w:t>
      </w:r>
      <w:r w:rsidR="00111DE5">
        <w:t>all the Final Rules for VRS at-home call-handling</w:t>
      </w:r>
      <w:r w:rsidR="00621A52">
        <w:t xml:space="preserve"> become effective</w:t>
      </w:r>
      <w:r w:rsidR="002B6764">
        <w:t>.</w:t>
      </w:r>
      <w:r w:rsidR="00FD6B43">
        <w:t xml:space="preserve">  </w:t>
      </w:r>
      <w:r w:rsidRPr="00521DDF">
        <w:t xml:space="preserve">VRS providers that continue participating in the </w:t>
      </w:r>
      <w:r w:rsidR="00AF50B0">
        <w:t xml:space="preserve">CA at-home </w:t>
      </w:r>
      <w:r w:rsidRPr="00521DDF">
        <w:t>program must comply with the pilot program’s requirements in section 64.604(b)(8) of the rules,</w:t>
      </w:r>
      <w:r>
        <w:rPr>
          <w:rStyle w:val="FootnoteReference"/>
        </w:rPr>
        <w:footnoteReference w:id="21"/>
      </w:r>
      <w:r w:rsidRPr="00521DDF">
        <w:t xml:space="preserve"> </w:t>
      </w:r>
      <w:r w:rsidR="0062248E">
        <w:t xml:space="preserve">except to the extent </w:t>
      </w:r>
      <w:r w:rsidR="00767ABE">
        <w:t xml:space="preserve">temporarily </w:t>
      </w:r>
      <w:r w:rsidR="00995993">
        <w:t xml:space="preserve">waived </w:t>
      </w:r>
      <w:r w:rsidR="0062248E">
        <w:t xml:space="preserve">by </w:t>
      </w:r>
      <w:r w:rsidR="00EC20E4">
        <w:t>the</w:t>
      </w:r>
      <w:r w:rsidRPr="00FD6B43" w:rsidR="00EC20E4">
        <w:rPr>
          <w:i/>
          <w:iCs/>
        </w:rPr>
        <w:t xml:space="preserve"> </w:t>
      </w:r>
      <w:r w:rsidRPr="00FD6B43" w:rsidR="00995993">
        <w:rPr>
          <w:i/>
          <w:iCs/>
        </w:rPr>
        <w:t xml:space="preserve">March 16 </w:t>
      </w:r>
      <w:r w:rsidRPr="00FD6B43" w:rsidR="002A3C54">
        <w:rPr>
          <w:i/>
          <w:iCs/>
        </w:rPr>
        <w:t xml:space="preserve">TRS </w:t>
      </w:r>
      <w:r w:rsidRPr="00FD6B43" w:rsidR="00995993">
        <w:rPr>
          <w:i/>
          <w:iCs/>
        </w:rPr>
        <w:t>Waiver Orde</w:t>
      </w:r>
      <w:r w:rsidRPr="001370A6" w:rsidR="00995993">
        <w:rPr>
          <w:i/>
          <w:iCs/>
        </w:rPr>
        <w:t>r</w:t>
      </w:r>
      <w:r w:rsidR="00995993">
        <w:t xml:space="preserve"> and </w:t>
      </w:r>
      <w:r w:rsidRPr="00FD6B43" w:rsidR="00995993">
        <w:rPr>
          <w:i/>
          <w:iCs/>
        </w:rPr>
        <w:t xml:space="preserve">April 3 </w:t>
      </w:r>
      <w:r w:rsidRPr="00FD6B43" w:rsidR="002A3C54">
        <w:rPr>
          <w:i/>
          <w:iCs/>
        </w:rPr>
        <w:t xml:space="preserve">TRS </w:t>
      </w:r>
      <w:r w:rsidRPr="00FD6B43" w:rsidR="00995993">
        <w:rPr>
          <w:i/>
          <w:iCs/>
        </w:rPr>
        <w:t>Waiver Order</w:t>
      </w:r>
      <w:r w:rsidR="0062248E">
        <w:t xml:space="preserve">.  In addition to </w:t>
      </w:r>
      <w:r w:rsidRPr="00521DDF">
        <w:t xml:space="preserve">the submission of monthly reports to the TRS Fund administrator as specified in section 64.604(b)(8)(viii) of the </w:t>
      </w:r>
      <w:r w:rsidR="00230207">
        <w:t xml:space="preserve">pilot program </w:t>
      </w:r>
      <w:r w:rsidRPr="00521DDF">
        <w:t>rules</w:t>
      </w:r>
      <w:r w:rsidR="0062248E">
        <w:t>,</w:t>
      </w:r>
      <w:r w:rsidRPr="00521DDF">
        <w:t xml:space="preserve"> the providers shall submit </w:t>
      </w:r>
      <w:r w:rsidR="00E775BE">
        <w:t xml:space="preserve">compliance </w:t>
      </w:r>
      <w:r w:rsidRPr="00521DDF">
        <w:t xml:space="preserve">reports </w:t>
      </w:r>
      <w:r w:rsidR="00E775BE">
        <w:t xml:space="preserve">with </w:t>
      </w:r>
      <w:r w:rsidRPr="00521DDF" w:rsidR="00E775BE">
        <w:t>the informati</w:t>
      </w:r>
      <w:r w:rsidRPr="00B9558D" w:rsidR="00E775BE">
        <w:t>on specified in section 64.604(b)(8)(ix) of the rul</w:t>
      </w:r>
      <w:r w:rsidR="00E775BE">
        <w:t>es</w:t>
      </w:r>
      <w:r w:rsidR="004F2E66">
        <w:t>.</w:t>
      </w:r>
      <w:r>
        <w:rPr>
          <w:rStyle w:val="FootnoteReference"/>
        </w:rPr>
        <w:footnoteReference w:id="22"/>
      </w:r>
      <w:r w:rsidR="004F2E66">
        <w:t xml:space="preserve">  A </w:t>
      </w:r>
      <w:r w:rsidR="00230207">
        <w:t xml:space="preserve">compliance </w:t>
      </w:r>
      <w:r w:rsidR="004F2E66">
        <w:t xml:space="preserve">report covering the </w:t>
      </w:r>
      <w:r w:rsidRPr="00521DDF" w:rsidR="004F2E66">
        <w:t>six</w:t>
      </w:r>
      <w:r w:rsidR="004F2E66">
        <w:t>-</w:t>
      </w:r>
      <w:r w:rsidRPr="00521DDF" w:rsidR="004F2E66">
        <w:t>month extension</w:t>
      </w:r>
      <w:r w:rsidR="004F2E66">
        <w:t xml:space="preserve"> </w:t>
      </w:r>
      <w:r w:rsidRPr="00521DDF" w:rsidR="004F2E66">
        <w:t>authorized by th</w:t>
      </w:r>
      <w:r w:rsidR="004F2E66">
        <w:t xml:space="preserve">e </w:t>
      </w:r>
      <w:r w:rsidRPr="00FD6B43" w:rsidR="004F2E66">
        <w:rPr>
          <w:i/>
          <w:iCs/>
        </w:rPr>
        <w:t xml:space="preserve">Third </w:t>
      </w:r>
      <w:r w:rsidR="00EC20E4">
        <w:rPr>
          <w:i/>
          <w:iCs/>
        </w:rPr>
        <w:t xml:space="preserve">Pilot Program </w:t>
      </w:r>
      <w:r w:rsidRPr="00FD6B43" w:rsidR="004F2E66">
        <w:rPr>
          <w:i/>
          <w:iCs/>
        </w:rPr>
        <w:t>Extension Order</w:t>
      </w:r>
      <w:r w:rsidRPr="004F2E66" w:rsidR="004F2E66">
        <w:t xml:space="preserve"> </w:t>
      </w:r>
      <w:r w:rsidR="004F2E66">
        <w:t>(which expires April 30, 2020)</w:t>
      </w:r>
      <w:r w:rsidRPr="00521DDF" w:rsidR="004F2E66">
        <w:t xml:space="preserve"> </w:t>
      </w:r>
      <w:r w:rsidR="004F2E66">
        <w:t xml:space="preserve">shall </w:t>
      </w:r>
      <w:r w:rsidRPr="00521DDF">
        <w:t>be filed on or before June 1, 2020</w:t>
      </w:r>
      <w:r w:rsidR="004F2E66">
        <w:t>.</w:t>
      </w:r>
      <w:r w:rsidR="00ED06D8">
        <w:t xml:space="preserve"> </w:t>
      </w:r>
      <w:r w:rsidR="004F2E66">
        <w:t xml:space="preserve"> A subsequent report, covering the extension authorized by this Order, shall be filed </w:t>
      </w:r>
      <w:r w:rsidR="00230207">
        <w:t xml:space="preserve">no later than </w:t>
      </w:r>
      <w:r w:rsidR="00E775BE">
        <w:t xml:space="preserve">two months after </w:t>
      </w:r>
      <w:r w:rsidR="00C80D0D">
        <w:t xml:space="preserve">all the </w:t>
      </w:r>
      <w:r w:rsidR="00222537">
        <w:t>Final Rules</w:t>
      </w:r>
      <w:r w:rsidR="004F2E66">
        <w:t xml:space="preserve"> become effective</w:t>
      </w:r>
      <w:r w:rsidRPr="00B9558D">
        <w:t>.</w:t>
      </w:r>
      <w:r w:rsidR="004F2E66">
        <w:rPr>
          <w:rStyle w:val="FootnoteReference"/>
        </w:rPr>
        <w:t xml:space="preserve"> </w:t>
      </w:r>
    </w:p>
    <w:p w:rsidR="00AA63A6" w:rsidP="00AA63A6" w14:paraId="438C4A48" w14:textId="77777777">
      <w:pPr>
        <w:pStyle w:val="Heading1"/>
        <w:numPr>
          <w:ilvl w:val="0"/>
          <w:numId w:val="23"/>
        </w:numPr>
        <w:tabs>
          <w:tab w:val="left" w:pos="720"/>
        </w:tabs>
        <w:spacing w:after="120"/>
        <w:jc w:val="left"/>
      </w:pPr>
      <w:r>
        <w:t>Procedural Matters</w:t>
      </w:r>
    </w:p>
    <w:p w:rsidR="00AA63A6" w:rsidRPr="003D4FDB" w:rsidP="005A74C0" w14:paraId="780A926F" w14:textId="77777777">
      <w:pPr>
        <w:pStyle w:val="ParaNum"/>
        <w:numPr>
          <w:ilvl w:val="0"/>
          <w:numId w:val="22"/>
        </w:numPr>
        <w:tabs>
          <w:tab w:val="clear" w:pos="1080"/>
        </w:tabs>
        <w:spacing w:after="120"/>
        <w:jc w:val="left"/>
      </w:pPr>
      <w:r w:rsidRPr="003D4FDB">
        <w:rPr>
          <w:i/>
        </w:rPr>
        <w:t>People with Disabilities</w:t>
      </w:r>
      <w:r w:rsidRPr="003D4FDB">
        <w:t>:  To request materials in accessible formats for people with disabilities (Braille, large print, electronic files, audio format), send an e-mail to fcc504@fcc.gov or call the Consumer &amp; Governmental Affairs Bureau at 202-418-0530 (voice) or 202-418-0432 (TTY).</w:t>
      </w:r>
    </w:p>
    <w:p w:rsidR="00AA63A6" w:rsidP="00AA63A6" w14:paraId="48A09AD8" w14:textId="77777777">
      <w:pPr>
        <w:pStyle w:val="Heading1"/>
        <w:numPr>
          <w:ilvl w:val="0"/>
          <w:numId w:val="23"/>
        </w:numPr>
        <w:tabs>
          <w:tab w:val="left" w:pos="720"/>
        </w:tabs>
        <w:spacing w:after="120"/>
        <w:jc w:val="left"/>
      </w:pPr>
      <w:r>
        <w:t>Ordering Clauses</w:t>
      </w:r>
    </w:p>
    <w:p w:rsidR="00285A8D" w:rsidP="005A74C0" w14:paraId="5461274F" w14:textId="7C75558C">
      <w:pPr>
        <w:pStyle w:val="ParaNum"/>
        <w:numPr>
          <w:ilvl w:val="0"/>
          <w:numId w:val="22"/>
        </w:numPr>
        <w:tabs>
          <w:tab w:val="clear" w:pos="1080"/>
        </w:tabs>
        <w:spacing w:after="120"/>
        <w:jc w:val="left"/>
      </w:pPr>
      <w:r>
        <w:t>Accordingly, IT IS ORDERED that, pursuant to sections 4(</w:t>
      </w:r>
      <w:r>
        <w:t>i</w:t>
      </w:r>
      <w:r>
        <w:t>), 4(j), and 225 of the Communications Act of 1934, as amended, 47 U.S.C. §§ 154(</w:t>
      </w:r>
      <w:r>
        <w:t>i</w:t>
      </w:r>
      <w:r>
        <w:t>), 154(j), 225, and sections 0.141, 0.361, and 1.3 of the Commission’s rules, 47 CFR §§ 0.141, 0.361, 1.3, this Order IS ADOPTED.</w:t>
      </w:r>
    </w:p>
    <w:p w:rsidR="00285A8D" w:rsidP="005A74C0" w14:paraId="334B8C47" w14:textId="53E888D2">
      <w:pPr>
        <w:pStyle w:val="ParaNum"/>
        <w:numPr>
          <w:ilvl w:val="0"/>
          <w:numId w:val="22"/>
        </w:numPr>
        <w:tabs>
          <w:tab w:val="clear" w:pos="1080"/>
        </w:tabs>
        <w:snapToGrid w:val="0"/>
        <w:spacing w:after="120"/>
        <w:jc w:val="left"/>
      </w:pPr>
      <w:r>
        <w:t>IT IS FURTHER ORDERED that the at-home VRS call-handling pilot program</w:t>
      </w:r>
      <w:r>
        <w:t xml:space="preserve"> and the rules governing the program, </w:t>
      </w:r>
      <w:r>
        <w:t>SHALL REMAIN IN EFFECT</w:t>
      </w:r>
      <w:r>
        <w:t xml:space="preserve"> </w:t>
      </w:r>
      <w:r>
        <w:t>until the effective date of the amendments to section</w:t>
      </w:r>
      <w:r>
        <w:t>s</w:t>
      </w:r>
      <w:r>
        <w:t xml:space="preserve"> 64.604 and 64.606 of the Commission’s rules</w:t>
      </w:r>
      <w:r w:rsidR="00EC20E4">
        <w:t xml:space="preserve"> adopted in the</w:t>
      </w:r>
      <w:r w:rsidRPr="00EC20E4" w:rsidR="00EC20E4">
        <w:rPr>
          <w:i/>
        </w:rPr>
        <w:t xml:space="preserve"> </w:t>
      </w:r>
      <w:r w:rsidR="00EC20E4">
        <w:rPr>
          <w:i/>
        </w:rPr>
        <w:t>VRS At-Home Call Handling R&amp;O</w:t>
      </w:r>
      <w:r w:rsidR="00EC20E4">
        <w:rPr>
          <w:iCs/>
        </w:rPr>
        <w:t xml:space="preserve">, </w:t>
      </w:r>
      <w:r w:rsidR="00EC20E4">
        <w:t xml:space="preserve">35 FCC </w:t>
      </w:r>
      <w:r w:rsidR="00EC20E4">
        <w:t>Rcd</w:t>
      </w:r>
      <w:r w:rsidR="00EC20E4">
        <w:t xml:space="preserve"> 831</w:t>
      </w:r>
      <w:r>
        <w:t>.</w:t>
      </w:r>
    </w:p>
    <w:p w:rsidR="00AA63A6" w:rsidP="005A74C0" w14:paraId="74513F08" w14:textId="505F2261">
      <w:pPr>
        <w:pStyle w:val="ParaNum"/>
        <w:numPr>
          <w:ilvl w:val="0"/>
          <w:numId w:val="22"/>
        </w:numPr>
        <w:tabs>
          <w:tab w:val="clear" w:pos="1080"/>
        </w:tabs>
        <w:snapToGrid w:val="0"/>
        <w:spacing w:after="120"/>
        <w:jc w:val="left"/>
      </w:pPr>
      <w:r>
        <w:t xml:space="preserve">IT IS FURTHER ORDERED that VRS providers authorized to participate in the at-home call handling pilot program may continue to participate in the at-home call handling pilot program </w:t>
      </w:r>
      <w:r w:rsidRPr="00521DDF">
        <w:t>through the</w:t>
      </w:r>
      <w:r>
        <w:t xml:space="preserve"> effective date of </w:t>
      </w:r>
      <w:r w:rsidR="00285A8D">
        <w:t xml:space="preserve">the amendments to sections 64.604 and 64.606 of the </w:t>
      </w:r>
      <w:r>
        <w:t>Commission</w:t>
      </w:r>
      <w:r w:rsidR="00ED06D8">
        <w:t>’s</w:t>
      </w:r>
      <w:r w:rsidR="00285A8D">
        <w:t xml:space="preserve"> rules</w:t>
      </w:r>
      <w:r w:rsidRPr="00A76548" w:rsidR="00A76548">
        <w:t xml:space="preserve"> </w:t>
      </w:r>
      <w:r w:rsidR="00A76548">
        <w:t>adopted in the</w:t>
      </w:r>
      <w:r w:rsidRPr="00EC20E4" w:rsidR="00A76548">
        <w:rPr>
          <w:i/>
        </w:rPr>
        <w:t xml:space="preserve"> </w:t>
      </w:r>
      <w:r w:rsidR="00A76548">
        <w:rPr>
          <w:i/>
        </w:rPr>
        <w:t>VRS At-Home Call Handling R&amp;O</w:t>
      </w:r>
      <w:r w:rsidR="00A76548">
        <w:rPr>
          <w:iCs/>
        </w:rPr>
        <w:t xml:space="preserve">, </w:t>
      </w:r>
      <w:r w:rsidR="00A76548">
        <w:t xml:space="preserve">35 FCC </w:t>
      </w:r>
      <w:r w:rsidR="00A76548">
        <w:t>Rcd</w:t>
      </w:r>
      <w:r w:rsidR="00A76548">
        <w:t xml:space="preserve"> 831</w:t>
      </w:r>
      <w:r w:rsidR="00ED06D8">
        <w:t>.</w:t>
      </w:r>
      <w:r>
        <w:t xml:space="preserve"> </w:t>
      </w:r>
    </w:p>
    <w:p w:rsidR="00AA63A6" w:rsidP="005A74C0" w14:paraId="6BEBFB6F" w14:textId="77777777">
      <w:pPr>
        <w:pStyle w:val="ParaNum"/>
        <w:numPr>
          <w:ilvl w:val="0"/>
          <w:numId w:val="22"/>
        </w:numPr>
        <w:tabs>
          <w:tab w:val="clear" w:pos="1080"/>
        </w:tabs>
        <w:spacing w:after="120"/>
        <w:jc w:val="left"/>
      </w:pPr>
      <w:r>
        <w:t>IT IS FURTHER ORDERED that, pursuant to section 1.102(b)(1) of the Commission rules, 47 CFR § 1.102(b)(1), this Order SHALL BE EFFECTIVE immediately upon release.</w:t>
      </w:r>
    </w:p>
    <w:p w:rsidR="00AA63A6" w:rsidP="00AA63A6" w14:paraId="5719AFF5" w14:textId="77777777">
      <w:r>
        <w:tab/>
      </w:r>
      <w:r>
        <w:tab/>
      </w:r>
      <w:r>
        <w:tab/>
      </w:r>
      <w:r>
        <w:tab/>
      </w:r>
      <w:r>
        <w:tab/>
      </w:r>
      <w:r>
        <w:tab/>
        <w:t>FEDERAL COMMUNICATIONS COMMISSION</w:t>
      </w:r>
    </w:p>
    <w:p w:rsidR="00AA63A6" w:rsidP="00AA63A6" w14:paraId="0F8033BB" w14:textId="77777777"/>
    <w:p w:rsidR="00AA63A6" w:rsidP="00AA63A6" w14:paraId="444D4BB9" w14:textId="77777777"/>
    <w:p w:rsidR="00AA63A6" w:rsidP="00AA63A6" w14:paraId="645EDA49" w14:textId="77777777"/>
    <w:p w:rsidR="00AA63A6" w:rsidP="00AA63A6" w14:paraId="25E919CF" w14:textId="77777777"/>
    <w:p w:rsidR="00AA63A6" w:rsidP="00AA63A6" w14:paraId="7A8FD444" w14:textId="77777777">
      <w:r>
        <w:tab/>
      </w:r>
      <w:r>
        <w:tab/>
      </w:r>
      <w:r>
        <w:tab/>
      </w:r>
      <w:r>
        <w:tab/>
      </w:r>
      <w:r>
        <w:tab/>
      </w:r>
      <w:r>
        <w:tab/>
        <w:t xml:space="preserve">Patrick </w:t>
      </w:r>
      <w:r>
        <w:t>Webre</w:t>
      </w:r>
      <w:r>
        <w:t>, Chief</w:t>
      </w:r>
    </w:p>
    <w:p w:rsidR="00AA63A6" w:rsidP="00AA63A6" w14:paraId="7ACF2C23" w14:textId="77777777">
      <w:r>
        <w:tab/>
      </w:r>
      <w:r>
        <w:tab/>
      </w:r>
      <w:r>
        <w:tab/>
      </w:r>
      <w:r>
        <w:tab/>
      </w:r>
      <w:r>
        <w:tab/>
      </w:r>
      <w:r>
        <w:tab/>
        <w:t>Consumer and Governmental Affairs Bureau</w:t>
      </w:r>
      <w:r>
        <w:tab/>
      </w:r>
    </w:p>
    <w:p w:rsidR="00AA63A6" w:rsidP="00AA63A6" w14:paraId="78DD293B" w14:textId="77777777">
      <w:pPr>
        <w:pStyle w:val="ParaNum"/>
        <w:numPr>
          <w:ilvl w:val="0"/>
          <w:numId w:val="0"/>
        </w:numPr>
        <w:rPr>
          <w:b/>
        </w:rPr>
      </w:pPr>
    </w:p>
    <w:p w:rsidR="00AA63A6" w14:paraId="73759022" w14:textId="77777777"/>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356" w14:paraId="3333144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5D28" w14:paraId="05F5108F" w14:textId="77777777">
      <w:pPr>
        <w:rPr>
          <w:sz w:val="20"/>
        </w:rPr>
      </w:pPr>
      <w:r>
        <w:rPr>
          <w:sz w:val="20"/>
        </w:rPr>
        <w:separator/>
      </w:r>
    </w:p>
  </w:footnote>
  <w:footnote w:type="continuationSeparator" w:id="1">
    <w:p w:rsidR="00425D28" w14:paraId="144ED57E" w14:textId="77777777">
      <w:pPr>
        <w:rPr>
          <w:sz w:val="20"/>
        </w:rPr>
      </w:pPr>
      <w:r>
        <w:rPr>
          <w:sz w:val="20"/>
        </w:rPr>
        <w:separator/>
      </w:r>
    </w:p>
    <w:p w:rsidR="00425D28" w14:paraId="2F61066F" w14:textId="77777777">
      <w:pPr>
        <w:rPr>
          <w:sz w:val="20"/>
        </w:rPr>
      </w:pPr>
      <w:r>
        <w:rPr>
          <w:sz w:val="20"/>
        </w:rPr>
        <w:t>(...continued from previous page)</w:t>
      </w:r>
    </w:p>
  </w:footnote>
  <w:footnote w:type="continuationNotice" w:id="2">
    <w:p w:rsidR="00425D28" w14:paraId="23EC7D82" w14:textId="77777777">
      <w:pPr>
        <w:jc w:val="right"/>
        <w:rPr>
          <w:sz w:val="20"/>
        </w:rPr>
      </w:pPr>
      <w:r>
        <w:rPr>
          <w:sz w:val="20"/>
        </w:rPr>
        <w:t>(continued....)</w:t>
      </w:r>
    </w:p>
  </w:footnote>
  <w:footnote w:id="3">
    <w:p w:rsidR="00AA63A6" w:rsidP="00AA63A6" w14:paraId="19A82A16" w14:textId="77777777">
      <w:pPr>
        <w:pStyle w:val="FootnoteText"/>
      </w:pPr>
      <w:r>
        <w:rPr>
          <w:rStyle w:val="FootnoteReference"/>
        </w:rPr>
        <w:footnoteRef/>
      </w:r>
      <w:r>
        <w:t xml:space="preserve"> VRS is a form of “telecommunications relay service </w:t>
      </w:r>
      <w:r w:rsidRPr="00A77AB1">
        <w:t>that allows people with hearing or speech disabilities who use sign language to communicate with voice telephone users through video equipment.</w:t>
      </w:r>
      <w:r>
        <w:t xml:space="preserve">”  47 CFR § 64.601(a)(47).  </w:t>
      </w:r>
    </w:p>
  </w:footnote>
  <w:footnote w:id="4">
    <w:p w:rsidR="00AA63A6" w:rsidRPr="006B5B83" w:rsidP="00AA63A6" w14:paraId="72F89D12" w14:textId="4EE1C53B">
      <w:pPr>
        <w:pStyle w:val="FootnoteText"/>
      </w:pPr>
      <w:r>
        <w:rPr>
          <w:rStyle w:val="FootnoteReference"/>
        </w:rPr>
        <w:footnoteRef/>
      </w:r>
      <w:r>
        <w:t xml:space="preserve"> This monthly maximum is calculated as the greater of (1) 30</w:t>
      </w:r>
      <w:r w:rsidR="000024DE">
        <w:t xml:space="preserve">% </w:t>
      </w:r>
      <w:r>
        <w:t xml:space="preserve">of the provider’s </w:t>
      </w:r>
      <w:r w:rsidRPr="00D91C07">
        <w:t xml:space="preserve">total </w:t>
      </w:r>
      <w:r>
        <w:t>compensated minutes for that month, or (2)</w:t>
      </w:r>
      <w:r w:rsidRPr="00D91C07">
        <w:t xml:space="preserve"> 30</w:t>
      </w:r>
      <w:r w:rsidR="000024DE">
        <w:t>%</w:t>
      </w:r>
      <w:r w:rsidRPr="00D91C07">
        <w:t xml:space="preserve"> of the provider’s average monthly minutes for the 12 mon</w:t>
      </w:r>
      <w:r>
        <w:t xml:space="preserve">ths ending October 31, 2017.  47 CFR § 64.604(b)(8)(iii). </w:t>
      </w:r>
    </w:p>
  </w:footnote>
  <w:footnote w:id="5">
    <w:p w:rsidR="00AA63A6" w:rsidP="00AA63A6" w14:paraId="46AEBCF1" w14:textId="3C5FD312">
      <w:pPr>
        <w:pStyle w:val="FootnoteText"/>
      </w:pPr>
      <w:r>
        <w:rPr>
          <w:rStyle w:val="FootnoteReference"/>
        </w:rPr>
        <w:footnoteRef/>
      </w:r>
      <w:r>
        <w:t xml:space="preserve"> </w:t>
      </w:r>
      <w:r w:rsidRPr="002A7FA4" w:rsidR="00751E19">
        <w:rPr>
          <w:i/>
          <w:iCs/>
        </w:rPr>
        <w:t>Id</w:t>
      </w:r>
      <w:r w:rsidR="00751E19">
        <w:t>.</w:t>
      </w:r>
      <w:r>
        <w:t xml:space="preserve"> § 64.604(b)(8).  </w:t>
      </w:r>
    </w:p>
  </w:footnote>
  <w:footnote w:id="6">
    <w:p w:rsidR="007264E7" w14:paraId="57C69BFE" w14:textId="179439F4">
      <w:pPr>
        <w:pStyle w:val="FootnoteText"/>
      </w:pPr>
      <w:r>
        <w:rPr>
          <w:rStyle w:val="FootnoteReference"/>
        </w:rPr>
        <w:footnoteRef/>
      </w:r>
      <w:r>
        <w:t xml:space="preserve"> </w:t>
      </w:r>
      <w:r w:rsidRPr="00434207">
        <w:rPr>
          <w:i/>
        </w:rPr>
        <w:t>Structure and Practices of the Video Relay Service Program</w:t>
      </w:r>
      <w:r w:rsidRPr="00434207">
        <w:t>;</w:t>
      </w:r>
      <w:r w:rsidRPr="00434207">
        <w:rPr>
          <w:i/>
        </w:rPr>
        <w:t xml:space="preserve"> Telecommunications Relay Services and Speech-to-Speech Services for Individuals with Hearing and Speech Disabilities</w:t>
      </w:r>
      <w:r w:rsidRPr="00434207">
        <w:t xml:space="preserve">, CG Docket Nos. 10-51 and 03-123, </w:t>
      </w:r>
      <w:r>
        <w:t xml:space="preserve">Order, 34 FCC </w:t>
      </w:r>
      <w:r>
        <w:t>Rcd</w:t>
      </w:r>
      <w:r>
        <w:t xml:space="preserve"> 9880 </w:t>
      </w:r>
      <w:r w:rsidRPr="00434207">
        <w:t>(CGB 201</w:t>
      </w:r>
      <w:r>
        <w:t>9</w:t>
      </w:r>
      <w:r w:rsidRPr="00434207">
        <w:t>) (</w:t>
      </w:r>
      <w:r>
        <w:rPr>
          <w:i/>
        </w:rPr>
        <w:t xml:space="preserve">Third </w:t>
      </w:r>
      <w:r w:rsidRPr="00434207">
        <w:rPr>
          <w:i/>
        </w:rPr>
        <w:t>Pilot Program Extension Order</w:t>
      </w:r>
      <w:r w:rsidRPr="00434207">
        <w:t xml:space="preserve">).  </w:t>
      </w:r>
    </w:p>
  </w:footnote>
  <w:footnote w:id="7">
    <w:p w:rsidR="00AA63A6" w:rsidRPr="00474AC3" w:rsidP="00AA63A6" w14:paraId="5FE56623" w14:textId="3C05E116">
      <w:pPr>
        <w:pStyle w:val="FootnoteText"/>
      </w:pPr>
      <w:r>
        <w:rPr>
          <w:rStyle w:val="FootnoteReference"/>
        </w:rPr>
        <w:footnoteRef/>
      </w:r>
      <w:r>
        <w:t xml:space="preserve"> </w:t>
      </w:r>
      <w:r w:rsidRPr="00434207">
        <w:rPr>
          <w:i/>
        </w:rPr>
        <w:t>Structure and Practices of the Video Relay Service Program</w:t>
      </w:r>
      <w:r w:rsidRPr="00434207">
        <w:t>;</w:t>
      </w:r>
      <w:r w:rsidRPr="00434207">
        <w:rPr>
          <w:i/>
        </w:rPr>
        <w:t xml:space="preserve"> Telecommunications Relay Services and Speech-to-Speech Services for Individuals with Hearing and Speech Disabilities</w:t>
      </w:r>
      <w:r w:rsidRPr="00434207">
        <w:t>, CG Docket Nos. 10-51 and 03-123,</w:t>
      </w:r>
      <w:r>
        <w:t xml:space="preserve"> Report and Order and Further Notice of Proposed Rulemaking, 34 FCC </w:t>
      </w:r>
      <w:r>
        <w:t>Rcd</w:t>
      </w:r>
      <w:r>
        <w:t xml:space="preserve"> 3396 (2019)</w:t>
      </w:r>
      <w:r w:rsidR="003765CA">
        <w:rPr>
          <w:iCs/>
        </w:rPr>
        <w:t>.</w:t>
      </w:r>
      <w:r>
        <w:t xml:space="preserve">  </w:t>
      </w:r>
    </w:p>
  </w:footnote>
  <w:footnote w:id="8">
    <w:p w:rsidR="008B2CBF" w14:paraId="714E353C" w14:textId="4898D7E4">
      <w:pPr>
        <w:pStyle w:val="FootnoteText"/>
      </w:pPr>
      <w:r>
        <w:rPr>
          <w:rStyle w:val="FootnoteReference"/>
        </w:rPr>
        <w:footnoteRef/>
      </w:r>
      <w:r>
        <w:t xml:space="preserve"> </w:t>
      </w:r>
      <w:r w:rsidRPr="00434207">
        <w:rPr>
          <w:i/>
        </w:rPr>
        <w:t>Structure and Practices of the Video Relay Service Program</w:t>
      </w:r>
      <w:r w:rsidRPr="00434207">
        <w:t>;</w:t>
      </w:r>
      <w:r w:rsidRPr="00434207">
        <w:rPr>
          <w:i/>
        </w:rPr>
        <w:t xml:space="preserve"> Telecommunications Relay Services and Speech-to-Speech Services for Individuals with Hearing and Speech Disabilities</w:t>
      </w:r>
      <w:r w:rsidRPr="00434207">
        <w:t xml:space="preserve">, CG Docket Nos. 10-51 and 03-123, </w:t>
      </w:r>
      <w:r w:rsidR="00A36658">
        <w:t xml:space="preserve">Report and </w:t>
      </w:r>
      <w:r>
        <w:t xml:space="preserve">Order, 35 FCC </w:t>
      </w:r>
      <w:r>
        <w:t>Rcd</w:t>
      </w:r>
      <w:r w:rsidR="00DA218E">
        <w:t xml:space="preserve"> </w:t>
      </w:r>
      <w:r w:rsidR="00C87DB6">
        <w:t xml:space="preserve">831 </w:t>
      </w:r>
      <w:r w:rsidRPr="00434207">
        <w:t>(</w:t>
      </w:r>
      <w:r>
        <w:t>2020</w:t>
      </w:r>
      <w:r w:rsidRPr="00434207">
        <w:t>) (</w:t>
      </w:r>
      <w:r>
        <w:rPr>
          <w:i/>
        </w:rPr>
        <w:t xml:space="preserve">VRS </w:t>
      </w:r>
      <w:r w:rsidR="00F306AF">
        <w:rPr>
          <w:i/>
        </w:rPr>
        <w:t>At</w:t>
      </w:r>
      <w:r>
        <w:rPr>
          <w:i/>
        </w:rPr>
        <w:t xml:space="preserve">-Home </w:t>
      </w:r>
      <w:r w:rsidR="00355E76">
        <w:rPr>
          <w:i/>
        </w:rPr>
        <w:t>Call</w:t>
      </w:r>
      <w:r w:rsidR="00B4780C">
        <w:rPr>
          <w:i/>
        </w:rPr>
        <w:t xml:space="preserve"> </w:t>
      </w:r>
      <w:r w:rsidR="00355E76">
        <w:rPr>
          <w:i/>
        </w:rPr>
        <w:t xml:space="preserve">Handling </w:t>
      </w:r>
      <w:r w:rsidR="00A36658">
        <w:rPr>
          <w:i/>
        </w:rPr>
        <w:t>R&amp;O</w:t>
      </w:r>
      <w:r w:rsidRPr="00434207">
        <w:t>)</w:t>
      </w:r>
      <w:r w:rsidR="00355E76">
        <w:t>.</w:t>
      </w:r>
    </w:p>
  </w:footnote>
  <w:footnote w:id="9">
    <w:p w:rsidR="00355E76" w:rsidRPr="00C87DB6" w14:paraId="67A9058C" w14:textId="47C2E755">
      <w:pPr>
        <w:pStyle w:val="FootnoteText"/>
      </w:pPr>
      <w:r>
        <w:rPr>
          <w:rStyle w:val="FootnoteReference"/>
        </w:rPr>
        <w:footnoteRef/>
      </w:r>
      <w:r>
        <w:t xml:space="preserve"> </w:t>
      </w:r>
      <w:r>
        <w:rPr>
          <w:i/>
          <w:iCs/>
        </w:rPr>
        <w:t>Id.</w:t>
      </w:r>
      <w:r w:rsidR="00C87DB6">
        <w:rPr>
          <w:i/>
          <w:iCs/>
        </w:rPr>
        <w:t xml:space="preserve"> </w:t>
      </w:r>
      <w:r w:rsidR="00C87DB6">
        <w:t>at</w:t>
      </w:r>
      <w:r w:rsidR="00592DA9">
        <w:t xml:space="preserve"> 833-34, para.7.</w:t>
      </w:r>
    </w:p>
  </w:footnote>
  <w:footnote w:id="10">
    <w:p w:rsidR="00EF540E" w:rsidRPr="00080BB6" w14:paraId="1D7C3838" w14:textId="2A9F29EF">
      <w:pPr>
        <w:pStyle w:val="FootnoteText"/>
      </w:pPr>
      <w:r>
        <w:rPr>
          <w:rStyle w:val="FootnoteReference"/>
        </w:rPr>
        <w:footnoteRef/>
      </w:r>
      <w:r>
        <w:t xml:space="preserve"> </w:t>
      </w:r>
      <w:r>
        <w:rPr>
          <w:i/>
          <w:iCs/>
        </w:rPr>
        <w:t xml:space="preserve">Id. </w:t>
      </w:r>
      <w:r w:rsidR="00AD33B2">
        <w:t xml:space="preserve">at </w:t>
      </w:r>
      <w:r w:rsidR="00D81A88">
        <w:t>834,</w:t>
      </w:r>
      <w:r w:rsidR="00F7346E">
        <w:t xml:space="preserve"> </w:t>
      </w:r>
      <w:r>
        <w:t>para. 8</w:t>
      </w:r>
      <w:r w:rsidR="00CF01BC">
        <w:t>.</w:t>
      </w:r>
    </w:p>
  </w:footnote>
  <w:footnote w:id="11">
    <w:p w:rsidR="00686608" w:rsidRPr="00E775BE" w14:paraId="252E18C3" w14:textId="574B205A">
      <w:pPr>
        <w:pStyle w:val="FootnoteText"/>
        <w:rPr>
          <w:iCs/>
        </w:rPr>
      </w:pPr>
      <w:r>
        <w:rPr>
          <w:rStyle w:val="FootnoteReference"/>
        </w:rPr>
        <w:footnoteRef/>
      </w:r>
      <w:r>
        <w:t xml:space="preserve"> </w:t>
      </w:r>
      <w:r w:rsidR="00AD209A">
        <w:rPr>
          <w:i/>
        </w:rPr>
        <w:t>Id</w:t>
      </w:r>
      <w:r w:rsidR="000F540D">
        <w:rPr>
          <w:i/>
        </w:rPr>
        <w:t xml:space="preserve">. </w:t>
      </w:r>
      <w:r w:rsidRPr="00E775BE" w:rsidR="00E775BE">
        <w:rPr>
          <w:iCs/>
        </w:rPr>
        <w:t>at 835, para. 9.</w:t>
      </w:r>
    </w:p>
  </w:footnote>
  <w:footnote w:id="12">
    <w:p w:rsidR="00692AC0" w14:paraId="6F93867E" w14:textId="78C7A54A">
      <w:pPr>
        <w:pStyle w:val="FootnoteText"/>
      </w:pPr>
      <w:r>
        <w:rPr>
          <w:rStyle w:val="FootnoteReference"/>
        </w:rPr>
        <w:footnoteRef/>
      </w:r>
      <w:r>
        <w:t xml:space="preserve"> </w:t>
      </w:r>
      <w:r w:rsidRPr="00227C56" w:rsidR="00C23CB5">
        <w:rPr>
          <w:i/>
        </w:rPr>
        <w:t>See</w:t>
      </w:r>
      <w:r w:rsidRPr="00F44F6E" w:rsidR="00C23CB5">
        <w:t xml:space="preserve"> </w:t>
      </w:r>
      <w:r w:rsidRPr="0088711B" w:rsidR="00C23CB5">
        <w:rPr>
          <w:i/>
        </w:rPr>
        <w:t>Third Pilot Program Extension Order</w:t>
      </w:r>
      <w:r w:rsidR="00C23CB5">
        <w:t xml:space="preserve">, 34 FCC </w:t>
      </w:r>
      <w:r w:rsidR="00C23CB5">
        <w:t>Rcd</w:t>
      </w:r>
      <w:r w:rsidR="00C23CB5">
        <w:t xml:space="preserve"> at 9885, para. 14.</w:t>
      </w:r>
    </w:p>
  </w:footnote>
  <w:footnote w:id="13">
    <w:p w:rsidR="00AA63A6" w:rsidP="00AA63A6" w14:paraId="605D3E79" w14:textId="77777777">
      <w:pPr>
        <w:pStyle w:val="FootnoteText"/>
      </w:pPr>
      <w:r>
        <w:rPr>
          <w:rStyle w:val="FootnoteReference"/>
        </w:rPr>
        <w:footnoteRef/>
      </w:r>
      <w:r>
        <w:t xml:space="preserve"> 47 CFR § 1.3 (</w:t>
      </w:r>
      <w:r w:rsidRPr="00AE4794">
        <w:t>providing for suspension, amendment, or waiver of Commission rules, in whole or in part, for good cause shown</w:t>
      </w:r>
      <w:r>
        <w:t xml:space="preserve">).  </w:t>
      </w:r>
    </w:p>
  </w:footnote>
  <w:footnote w:id="14">
    <w:p w:rsidR="00AA63A6" w:rsidRPr="005E7C51" w:rsidP="00AA63A6" w14:paraId="74329593" w14:textId="77777777">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r>
        <w:t xml:space="preserve">. </w:t>
      </w:r>
    </w:p>
  </w:footnote>
  <w:footnote w:id="15">
    <w:p w:rsidR="00AA63A6" w:rsidRPr="00541DE1" w:rsidP="00AA63A6" w14:paraId="53A11EA3" w14:textId="77777777">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16">
    <w:p w:rsidR="00AA63A6" w:rsidRPr="00541DE1" w:rsidP="00AA63A6" w14:paraId="67214554" w14:textId="0F9B15BA">
      <w:pPr>
        <w:pStyle w:val="FootnoteText"/>
      </w:pPr>
      <w:r w:rsidRPr="00541DE1">
        <w:rPr>
          <w:rStyle w:val="FootnoteReference"/>
        </w:rPr>
        <w:footnoteRef/>
      </w:r>
      <w:r w:rsidRPr="00541DE1">
        <w:t xml:space="preserve"> </w:t>
      </w:r>
      <w:r w:rsidRPr="00541DE1">
        <w:rPr>
          <w:i/>
        </w:rPr>
        <w:t>Northeast Cellular</w:t>
      </w:r>
      <w:r w:rsidRPr="00541DE1">
        <w:t>, 897 F.2d at 1166.</w:t>
      </w:r>
    </w:p>
  </w:footnote>
  <w:footnote w:id="17">
    <w:p w:rsidR="00A36658" w14:paraId="2B8CF9AF" w14:textId="4D0BB71F">
      <w:pPr>
        <w:pStyle w:val="FootnoteText"/>
      </w:pPr>
      <w:r>
        <w:rPr>
          <w:rStyle w:val="FootnoteReference"/>
        </w:rPr>
        <w:footnoteRef/>
      </w:r>
      <w:r>
        <w:t xml:space="preserve"> </w:t>
      </w:r>
      <w:r w:rsidRPr="00A36658">
        <w:rPr>
          <w:i/>
        </w:rPr>
        <w:t>VRS At-Home Call Handling R&amp;O</w:t>
      </w:r>
      <w:r>
        <w:rPr>
          <w:iCs/>
        </w:rPr>
        <w:t>,</w:t>
      </w:r>
      <w:r w:rsidRPr="00A36658">
        <w:t xml:space="preserve"> 35 FCC </w:t>
      </w:r>
      <w:r w:rsidRPr="00A36658">
        <w:t>Rcd</w:t>
      </w:r>
      <w:r w:rsidRPr="00A36658">
        <w:t xml:space="preserve"> </w:t>
      </w:r>
      <w:r>
        <w:t>at 835, para. 9.</w:t>
      </w:r>
    </w:p>
  </w:footnote>
  <w:footnote w:id="18">
    <w:p w:rsidR="00AC7167" w:rsidRPr="00E85E09" w:rsidP="00AC7167" w14:paraId="25039105" w14:textId="77777777">
      <w:pPr>
        <w:pStyle w:val="FootnoteText"/>
      </w:pPr>
      <w:r>
        <w:rPr>
          <w:rStyle w:val="FootnoteReference"/>
        </w:rPr>
        <w:footnoteRef/>
      </w:r>
      <w:r>
        <w:t xml:space="preserve"> </w:t>
      </w:r>
      <w:r>
        <w:rPr>
          <w:i/>
          <w:iCs/>
        </w:rPr>
        <w:t>S</w:t>
      </w:r>
      <w:r w:rsidRPr="004D2644">
        <w:rPr>
          <w:i/>
          <w:iCs/>
        </w:rPr>
        <w:t xml:space="preserve">ee </w:t>
      </w:r>
      <w:r w:rsidRPr="004D2644">
        <w:t xml:space="preserve">Executive Office of the President, Proclamation on Declaring a National Emergency Concerning the Novel Coronavirus Disease (COVID-19) Outbreak (Mar. 13, 2020), </w:t>
      </w:r>
      <w:hyperlink r:id="rId1" w:history="1">
        <w:r w:rsidRPr="004D2644">
          <w:rPr>
            <w:rStyle w:val="Hyperlink"/>
          </w:rPr>
          <w:t>https://www.whitehouse.gov/presidential-actions/proclamation-declaring-national-emergency-concerning-novel-coronavirus-disease-covid-19-outbreak/</w:t>
        </w:r>
      </w:hyperlink>
      <w:r w:rsidRPr="004D2644">
        <w:t>.</w:t>
      </w:r>
    </w:p>
  </w:footnote>
  <w:footnote w:id="19">
    <w:p w:rsidR="00AC7167" w:rsidRPr="00A52A79" w:rsidP="00AC7167" w14:paraId="14DF3041" w14:textId="5DDBDE4D">
      <w:pPr>
        <w:pStyle w:val="FootnoteText"/>
      </w:pPr>
      <w:r>
        <w:rPr>
          <w:rStyle w:val="FootnoteReference"/>
        </w:rPr>
        <w:footnoteRef/>
      </w:r>
      <w:r>
        <w:t xml:space="preserve"> </w:t>
      </w:r>
      <w:r>
        <w:rPr>
          <w:i/>
          <w:iCs/>
        </w:rPr>
        <w:t>See Telecommunications Relay Services and Speech-to-Speech Services for Individuals with Hearing and Speech Disabilities</w:t>
      </w:r>
      <w:r w:rsidRPr="00A36658">
        <w:t>;</w:t>
      </w:r>
      <w:r>
        <w:rPr>
          <w:i/>
          <w:iCs/>
        </w:rPr>
        <w:t xml:space="preserve"> Structure and Practices of the Video Relay Service Program</w:t>
      </w:r>
      <w:r w:rsidRPr="00A36658">
        <w:t xml:space="preserve">, </w:t>
      </w:r>
      <w:r>
        <w:t>CG Docket Nos. 03-123 and 10-51, Order, DA 20-281, para</w:t>
      </w:r>
      <w:r w:rsidR="00751E19">
        <w:t>s</w:t>
      </w:r>
      <w:r>
        <w:t xml:space="preserve">. </w:t>
      </w:r>
      <w:r w:rsidR="00751E19">
        <w:t xml:space="preserve">3-5 </w:t>
      </w:r>
      <w:r>
        <w:t>(CGB rel. Mar. 16, 2020) (</w:t>
      </w:r>
      <w:r w:rsidR="00767ABE">
        <w:t>temporaril</w:t>
      </w:r>
      <w:r w:rsidR="0040314E">
        <w:t xml:space="preserve">y </w:t>
      </w:r>
      <w:r>
        <w:t xml:space="preserve">waiving multiple rules applicable to VRS to </w:t>
      </w:r>
      <w:r w:rsidR="00023BE4">
        <w:t xml:space="preserve">accelerate </w:t>
      </w:r>
      <w:r w:rsidR="00FF1E5B">
        <w:t xml:space="preserve">the installation of at-home workstations and </w:t>
      </w:r>
      <w:r>
        <w:t>ensure continued services at increasing demand levels</w:t>
      </w:r>
      <w:r w:rsidR="0040314E">
        <w:t xml:space="preserve"> during COVID-19 emergency</w:t>
      </w:r>
      <w:r>
        <w:t>)</w:t>
      </w:r>
      <w:r w:rsidR="00023BE4">
        <w:t>;</w:t>
      </w:r>
      <w:r w:rsidRPr="00023BE4" w:rsidR="00023BE4">
        <w:rPr>
          <w:i/>
          <w:iCs/>
        </w:rPr>
        <w:t xml:space="preserve"> </w:t>
      </w:r>
      <w:r w:rsidR="00023BE4">
        <w:rPr>
          <w:i/>
          <w:iCs/>
        </w:rPr>
        <w:t>Telecommunications Relay Services and Speech-to-Speech Services for Individuals with Hearing and Speech Disabilities</w:t>
      </w:r>
      <w:r w:rsidRPr="00A36658" w:rsidR="00023BE4">
        <w:t>;</w:t>
      </w:r>
      <w:r w:rsidR="00023BE4">
        <w:rPr>
          <w:i/>
          <w:iCs/>
        </w:rPr>
        <w:t xml:space="preserve"> Structure and Practices of the Video Relay Service Program,</w:t>
      </w:r>
      <w:r w:rsidR="00023BE4">
        <w:t xml:space="preserve"> CG Docket Nos. 03-123 and 10-51, Order, DA 20-378 (CGB rel. Apr. 3, 2020) (temporarily waiving rule restricting VRS providers from contracting for interpretation services with non-VRS certified entities during COVID-19 emergency).</w:t>
      </w:r>
    </w:p>
  </w:footnote>
  <w:footnote w:id="20">
    <w:p w:rsidR="00951C83" w:rsidRPr="005210DA" w:rsidP="00951C83" w14:paraId="48734EEB" w14:textId="79BD328D">
      <w:pPr>
        <w:pStyle w:val="FootnoteText"/>
      </w:pPr>
      <w:r>
        <w:rPr>
          <w:rStyle w:val="FootnoteReference"/>
        </w:rPr>
        <w:footnoteRef/>
      </w:r>
      <w:r>
        <w:t xml:space="preserve"> </w:t>
      </w:r>
      <w:r w:rsidRPr="00227C56">
        <w:rPr>
          <w:i/>
        </w:rPr>
        <w:t>See</w:t>
      </w:r>
      <w:r>
        <w:t xml:space="preserve"> </w:t>
      </w:r>
      <w:r w:rsidRPr="0088711B">
        <w:rPr>
          <w:i/>
        </w:rPr>
        <w:t>Third Pilot Program Extension Order</w:t>
      </w:r>
      <w:r w:rsidR="0063342D">
        <w:t xml:space="preserve">, </w:t>
      </w:r>
      <w:r w:rsidR="00002B17">
        <w:t xml:space="preserve">34 FCC </w:t>
      </w:r>
      <w:r w:rsidR="00002B17">
        <w:t>Rcd</w:t>
      </w:r>
      <w:r w:rsidR="00002B17">
        <w:t xml:space="preserve"> at 9883-84, para. 7.</w:t>
      </w:r>
    </w:p>
  </w:footnote>
  <w:footnote w:id="21">
    <w:p w:rsidR="00751E19" w14:paraId="50CA9B2F" w14:textId="3C68D262">
      <w:pPr>
        <w:pStyle w:val="FootnoteText"/>
      </w:pPr>
      <w:r>
        <w:rPr>
          <w:rStyle w:val="FootnoteReference"/>
        </w:rPr>
        <w:footnoteRef/>
      </w:r>
      <w:r>
        <w:t xml:space="preserve"> </w:t>
      </w:r>
      <w:r w:rsidR="00EC20E4">
        <w:t xml:space="preserve">47 CFR </w:t>
      </w:r>
      <w:r w:rsidRPr="00751E19">
        <w:t>§ 64.604(b)(8)</w:t>
      </w:r>
      <w:r>
        <w:t>.</w:t>
      </w:r>
    </w:p>
  </w:footnote>
  <w:footnote w:id="22">
    <w:p w:rsidR="004F2E66" w14:paraId="5B01CAE7" w14:textId="64E9EF35">
      <w:pPr>
        <w:pStyle w:val="FootnoteText"/>
      </w:pPr>
      <w:r>
        <w:rPr>
          <w:rStyle w:val="FootnoteReference"/>
        </w:rPr>
        <w:footnoteRef/>
      </w:r>
      <w:r>
        <w:t xml:space="preserve"> </w:t>
      </w:r>
      <w:r w:rsidRPr="00826AA5">
        <w:rPr>
          <w:i/>
        </w:rPr>
        <w:t>Id.</w:t>
      </w:r>
      <w:r>
        <w:t xml:space="preserve"> § 64.604(b)(8)</w:t>
      </w:r>
      <w:r w:rsidR="00751E19">
        <w:t xml:space="preserve">(viii), </w:t>
      </w:r>
      <w:r>
        <w:t xml:space="preserve">(ix).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356" w14:paraId="74199453" w14:textId="592759C8">
    <w:pPr>
      <w:pStyle w:val="Header"/>
      <w:tabs>
        <w:tab w:val="clear" w:pos="4320"/>
        <w:tab w:val="center" w:pos="4680"/>
        <w:tab w:val="clear" w:pos="8640"/>
        <w:tab w:val="right" w:pos="9360"/>
      </w:tabs>
      <w:rPr>
        <w:b/>
      </w:rPr>
    </w:pPr>
    <w:r>
      <w:rPr>
        <w:b/>
      </w:rPr>
      <w:tab/>
      <w:t>Federal Communications Commission</w:t>
    </w:r>
    <w:r>
      <w:rPr>
        <w:b/>
      </w:rPr>
      <w:tab/>
    </w:r>
    <w:r w:rsidR="00EF51C1">
      <w:rPr>
        <w:b/>
      </w:rPr>
      <w:t>DA 20-</w:t>
    </w:r>
    <w:r w:rsidR="007B5B03">
      <w:rPr>
        <w:b/>
      </w:rPr>
      <w:t>434</w:t>
    </w:r>
    <w:r>
      <w:rPr>
        <w:b/>
      </w:rPr>
      <w:t xml:space="preserve"> </w:t>
    </w:r>
  </w:p>
  <w:p w:rsidR="00613356" w14:paraId="145C3AA7" w14:textId="77777777">
    <w:pPr>
      <w:pStyle w:val="Header"/>
      <w:tabs>
        <w:tab w:val="clear" w:pos="8640"/>
        <w:tab w:val="right" w:pos="9360"/>
      </w:tabs>
    </w:pPr>
    <w:r>
      <w:rPr>
        <w:noProof/>
      </w:rPr>
      <w:pict>
        <v:line id="_x0000_s2049" style="mso-height-percent:0;mso-width-percent:0;mso-wrap-edited:f;position:absolute;z-index:251659264" from="0,1.75pt" to="468pt,1.75pt" o:allowincell="f" strokeweight="1.5pt"/>
      </w:pict>
    </w:r>
  </w:p>
  <w:p w:rsidR="00613356" w14:paraId="3142CD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356" w14:paraId="6636ECA1" w14:textId="5B2531DA">
    <w:pPr>
      <w:pStyle w:val="Header"/>
      <w:tabs>
        <w:tab w:val="clear" w:pos="4320"/>
        <w:tab w:val="center" w:pos="4680"/>
        <w:tab w:val="clear" w:pos="8640"/>
        <w:tab w:val="right" w:pos="9360"/>
      </w:tabs>
      <w:rPr>
        <w:b/>
      </w:rPr>
    </w:pPr>
    <w:r>
      <w:rPr>
        <w:b/>
      </w:rPr>
      <w:tab/>
      <w:t>Federal Communications Commission</w:t>
    </w:r>
    <w:r>
      <w:rPr>
        <w:b/>
      </w:rPr>
      <w:tab/>
    </w:r>
    <w:r w:rsidR="00EF51C1">
      <w:rPr>
        <w:b/>
      </w:rPr>
      <w:t>DA 20-</w:t>
    </w:r>
    <w:r w:rsidR="007B5B03">
      <w:rPr>
        <w:b/>
      </w:rPr>
      <w:t>434</w:t>
    </w:r>
    <w:r w:rsidR="00EF51C1">
      <w:rPr>
        <w:b/>
      </w:rPr>
      <w:t xml:space="preserve"> </w:t>
    </w:r>
  </w:p>
  <w:p w:rsidR="00613356" w14:paraId="6420CEE7" w14:textId="77777777">
    <w:pPr>
      <w:pStyle w:val="Header"/>
      <w:tabs>
        <w:tab w:val="clear" w:pos="8640"/>
        <w:tab w:val="right" w:pos="9360"/>
      </w:tabs>
    </w:pPr>
    <w:r>
      <w:rPr>
        <w:noProof/>
      </w:rPr>
      <w:pict>
        <v:line id="_x0000_s2050" style="mso-height-percent:0;mso-width-percent:0;mso-wrap-edited:f;position:absolute;z-index:251658240" from="0,1.75pt" to="468pt,1.75pt"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98D221E"/>
    <w:multiLevelType w:val="hybridMultilevel"/>
    <w:tmpl w:val="33A472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FBF8E45C"/>
    <w:lvl w:ilvl="0">
      <w:start w:val="1"/>
      <w:numFmt w:val="decimal"/>
      <w:lvlText w:val="%1."/>
      <w:lvlJc w:val="left"/>
      <w:pPr>
        <w:tabs>
          <w:tab w:val="num" w:pos="1080"/>
        </w:tabs>
        <w:ind w:left="0" w:firstLine="720"/>
      </w:pPr>
      <w:rPr>
        <w:rFonts w:hint="default"/>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4">
    <w:nsid w:val="6B0D1117"/>
    <w:multiLevelType w:val="singleLevel"/>
    <w:tmpl w:val="A9EE9842"/>
    <w:lvl w:ilvl="0">
      <w:start w:val="1"/>
      <w:numFmt w:val="decimal"/>
      <w:lvlText w:val="%1."/>
      <w:lvlJc w:val="left"/>
      <w:pPr>
        <w:tabs>
          <w:tab w:val="num" w:pos="1080"/>
        </w:tabs>
        <w:ind w:left="0" w:firstLine="720"/>
      </w:p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3"/>
  </w:num>
  <w:num w:numId="4">
    <w:abstractNumId w:val="18"/>
  </w:num>
  <w:num w:numId="5">
    <w:abstractNumId w:val="5"/>
  </w:num>
  <w:num w:numId="6">
    <w:abstractNumId w:val="21"/>
  </w:num>
  <w:num w:numId="7">
    <w:abstractNumId w:val="14"/>
  </w:num>
  <w:num w:numId="8">
    <w:abstractNumId w:val="6"/>
  </w:num>
  <w:num w:numId="9">
    <w:abstractNumId w:val="20"/>
  </w:num>
  <w:num w:numId="10">
    <w:abstractNumId w:val="12"/>
  </w:num>
  <w:num w:numId="11">
    <w:abstractNumId w:val="10"/>
  </w:num>
  <w:num w:numId="12">
    <w:abstractNumId w:val="7"/>
  </w:num>
  <w:num w:numId="13">
    <w:abstractNumId w:val="13"/>
  </w:num>
  <w:num w:numId="14">
    <w:abstractNumId w:val="19"/>
  </w:num>
  <w:num w:numId="15">
    <w:abstractNumId w:val="1"/>
  </w:num>
  <w:num w:numId="16">
    <w:abstractNumId w:val="2"/>
  </w:num>
  <w:num w:numId="17">
    <w:abstractNumId w:val="8"/>
  </w:num>
  <w:num w:numId="18">
    <w:abstractNumId w:val="0"/>
  </w:num>
  <w:num w:numId="19">
    <w:abstractNumId w:val="9"/>
  </w:num>
  <w:num w:numId="20">
    <w:abstractNumId w:val="15"/>
  </w:num>
  <w:num w:numId="21">
    <w:abstractNumId w:val="17"/>
  </w:num>
  <w:num w:numId="22">
    <w:abstractNumId w:val="22"/>
  </w:num>
  <w:num w:numId="23">
    <w:abstractNumId w:val="4"/>
  </w:num>
  <w:num w:numId="24">
    <w:abstractNumId w:val="16"/>
  </w:num>
  <w:num w:numId="25">
    <w:abstractNumId w:val="1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A6"/>
    <w:rsid w:val="000024DE"/>
    <w:rsid w:val="00002B17"/>
    <w:rsid w:val="00013E3D"/>
    <w:rsid w:val="00015E72"/>
    <w:rsid w:val="00021D77"/>
    <w:rsid w:val="000230F2"/>
    <w:rsid w:val="00023BE4"/>
    <w:rsid w:val="00051BD3"/>
    <w:rsid w:val="00064C67"/>
    <w:rsid w:val="000672B8"/>
    <w:rsid w:val="00071F30"/>
    <w:rsid w:val="00080BB6"/>
    <w:rsid w:val="00080E72"/>
    <w:rsid w:val="000908A1"/>
    <w:rsid w:val="000918C0"/>
    <w:rsid w:val="000B2663"/>
    <w:rsid w:val="000C1600"/>
    <w:rsid w:val="000D25E2"/>
    <w:rsid w:val="000D2C22"/>
    <w:rsid w:val="000F540D"/>
    <w:rsid w:val="0011055C"/>
    <w:rsid w:val="00111DE5"/>
    <w:rsid w:val="001171CD"/>
    <w:rsid w:val="001252B0"/>
    <w:rsid w:val="001370A6"/>
    <w:rsid w:val="00144E76"/>
    <w:rsid w:val="001644DD"/>
    <w:rsid w:val="00191D2C"/>
    <w:rsid w:val="00193345"/>
    <w:rsid w:val="001A061D"/>
    <w:rsid w:val="001B49EB"/>
    <w:rsid w:val="001C2044"/>
    <w:rsid w:val="001D4ECE"/>
    <w:rsid w:val="00201ADE"/>
    <w:rsid w:val="0020692A"/>
    <w:rsid w:val="00212BC3"/>
    <w:rsid w:val="00222537"/>
    <w:rsid w:val="00227C56"/>
    <w:rsid w:val="00230207"/>
    <w:rsid w:val="00245E3F"/>
    <w:rsid w:val="00252B29"/>
    <w:rsid w:val="00256253"/>
    <w:rsid w:val="00271714"/>
    <w:rsid w:val="00285A8D"/>
    <w:rsid w:val="00286725"/>
    <w:rsid w:val="002916A4"/>
    <w:rsid w:val="002A3C54"/>
    <w:rsid w:val="002A7FA4"/>
    <w:rsid w:val="002B58D6"/>
    <w:rsid w:val="002B6764"/>
    <w:rsid w:val="002C4A9D"/>
    <w:rsid w:val="002E301D"/>
    <w:rsid w:val="00355E76"/>
    <w:rsid w:val="00376421"/>
    <w:rsid w:val="003765CA"/>
    <w:rsid w:val="00382A9D"/>
    <w:rsid w:val="003D4FDB"/>
    <w:rsid w:val="0040314E"/>
    <w:rsid w:val="004105B1"/>
    <w:rsid w:val="00410DD2"/>
    <w:rsid w:val="004110E2"/>
    <w:rsid w:val="004129FC"/>
    <w:rsid w:val="00425D28"/>
    <w:rsid w:val="00425E7F"/>
    <w:rsid w:val="00431B23"/>
    <w:rsid w:val="00433FC7"/>
    <w:rsid w:val="00434207"/>
    <w:rsid w:val="0043523C"/>
    <w:rsid w:val="004356B4"/>
    <w:rsid w:val="00454463"/>
    <w:rsid w:val="00474AC3"/>
    <w:rsid w:val="004A6775"/>
    <w:rsid w:val="004B362F"/>
    <w:rsid w:val="004D2644"/>
    <w:rsid w:val="004E1BC9"/>
    <w:rsid w:val="004E6827"/>
    <w:rsid w:val="004F1EC5"/>
    <w:rsid w:val="004F2E66"/>
    <w:rsid w:val="004F3C86"/>
    <w:rsid w:val="00500D50"/>
    <w:rsid w:val="00501318"/>
    <w:rsid w:val="00501472"/>
    <w:rsid w:val="00506A0B"/>
    <w:rsid w:val="00513840"/>
    <w:rsid w:val="005210DA"/>
    <w:rsid w:val="00521DDF"/>
    <w:rsid w:val="00526907"/>
    <w:rsid w:val="00541DE1"/>
    <w:rsid w:val="005433FD"/>
    <w:rsid w:val="005634E7"/>
    <w:rsid w:val="005668EF"/>
    <w:rsid w:val="00584C17"/>
    <w:rsid w:val="00592DA9"/>
    <w:rsid w:val="005A74C0"/>
    <w:rsid w:val="005B2628"/>
    <w:rsid w:val="005C3A93"/>
    <w:rsid w:val="005D79D0"/>
    <w:rsid w:val="005E453F"/>
    <w:rsid w:val="005E7C51"/>
    <w:rsid w:val="00601E9D"/>
    <w:rsid w:val="00613356"/>
    <w:rsid w:val="00621A52"/>
    <w:rsid w:val="0062248E"/>
    <w:rsid w:val="0063342D"/>
    <w:rsid w:val="00650856"/>
    <w:rsid w:val="0067547B"/>
    <w:rsid w:val="00681B9B"/>
    <w:rsid w:val="00686608"/>
    <w:rsid w:val="00692AC0"/>
    <w:rsid w:val="00694C76"/>
    <w:rsid w:val="006B3A8E"/>
    <w:rsid w:val="006B5B83"/>
    <w:rsid w:val="006C24D5"/>
    <w:rsid w:val="006C2DEB"/>
    <w:rsid w:val="006C733C"/>
    <w:rsid w:val="006F41EB"/>
    <w:rsid w:val="0070224F"/>
    <w:rsid w:val="007046C8"/>
    <w:rsid w:val="0070765D"/>
    <w:rsid w:val="007115F7"/>
    <w:rsid w:val="00714C41"/>
    <w:rsid w:val="00720096"/>
    <w:rsid w:val="007264E7"/>
    <w:rsid w:val="007401A1"/>
    <w:rsid w:val="00751E19"/>
    <w:rsid w:val="007567AE"/>
    <w:rsid w:val="00760C8B"/>
    <w:rsid w:val="00761E09"/>
    <w:rsid w:val="00764C10"/>
    <w:rsid w:val="00767ABE"/>
    <w:rsid w:val="0077493D"/>
    <w:rsid w:val="00787147"/>
    <w:rsid w:val="00793D3C"/>
    <w:rsid w:val="007B5B03"/>
    <w:rsid w:val="007F16E2"/>
    <w:rsid w:val="007F261A"/>
    <w:rsid w:val="007F3AD3"/>
    <w:rsid w:val="007F5431"/>
    <w:rsid w:val="008020E7"/>
    <w:rsid w:val="0080582A"/>
    <w:rsid w:val="00810FF0"/>
    <w:rsid w:val="00814FF5"/>
    <w:rsid w:val="00826AA5"/>
    <w:rsid w:val="00831F13"/>
    <w:rsid w:val="008321F0"/>
    <w:rsid w:val="00842DC3"/>
    <w:rsid w:val="00852C68"/>
    <w:rsid w:val="008551B5"/>
    <w:rsid w:val="00863261"/>
    <w:rsid w:val="00871879"/>
    <w:rsid w:val="00886264"/>
    <w:rsid w:val="0088711B"/>
    <w:rsid w:val="008A320E"/>
    <w:rsid w:val="008B2CBF"/>
    <w:rsid w:val="008B3A10"/>
    <w:rsid w:val="008E6408"/>
    <w:rsid w:val="0090547D"/>
    <w:rsid w:val="009100A8"/>
    <w:rsid w:val="009339E4"/>
    <w:rsid w:val="00934312"/>
    <w:rsid w:val="00943DB2"/>
    <w:rsid w:val="00951C83"/>
    <w:rsid w:val="009607D7"/>
    <w:rsid w:val="00960F9A"/>
    <w:rsid w:val="00964316"/>
    <w:rsid w:val="00966219"/>
    <w:rsid w:val="0096677E"/>
    <w:rsid w:val="0096728D"/>
    <w:rsid w:val="00991843"/>
    <w:rsid w:val="009957CE"/>
    <w:rsid w:val="00995993"/>
    <w:rsid w:val="009A3749"/>
    <w:rsid w:val="009B7609"/>
    <w:rsid w:val="009C05BD"/>
    <w:rsid w:val="009D2BA6"/>
    <w:rsid w:val="009E0108"/>
    <w:rsid w:val="009E22BB"/>
    <w:rsid w:val="009F1FBE"/>
    <w:rsid w:val="00A03560"/>
    <w:rsid w:val="00A212FD"/>
    <w:rsid w:val="00A3460F"/>
    <w:rsid w:val="00A36658"/>
    <w:rsid w:val="00A409BC"/>
    <w:rsid w:val="00A44C51"/>
    <w:rsid w:val="00A525A8"/>
    <w:rsid w:val="00A52A79"/>
    <w:rsid w:val="00A64328"/>
    <w:rsid w:val="00A76548"/>
    <w:rsid w:val="00A77AB1"/>
    <w:rsid w:val="00A806B6"/>
    <w:rsid w:val="00A845C6"/>
    <w:rsid w:val="00A91C11"/>
    <w:rsid w:val="00A93F3A"/>
    <w:rsid w:val="00A9501C"/>
    <w:rsid w:val="00AA2A8A"/>
    <w:rsid w:val="00AA3EA7"/>
    <w:rsid w:val="00AA63A6"/>
    <w:rsid w:val="00AB6547"/>
    <w:rsid w:val="00AC2C36"/>
    <w:rsid w:val="00AC2CCB"/>
    <w:rsid w:val="00AC7167"/>
    <w:rsid w:val="00AD209A"/>
    <w:rsid w:val="00AD33B2"/>
    <w:rsid w:val="00AE1D68"/>
    <w:rsid w:val="00AE3BA7"/>
    <w:rsid w:val="00AE4794"/>
    <w:rsid w:val="00AE4DF2"/>
    <w:rsid w:val="00AF3AD2"/>
    <w:rsid w:val="00AF50B0"/>
    <w:rsid w:val="00B021BC"/>
    <w:rsid w:val="00B3114D"/>
    <w:rsid w:val="00B36282"/>
    <w:rsid w:val="00B47437"/>
    <w:rsid w:val="00B4780C"/>
    <w:rsid w:val="00B73154"/>
    <w:rsid w:val="00B8317E"/>
    <w:rsid w:val="00B8545A"/>
    <w:rsid w:val="00B8556C"/>
    <w:rsid w:val="00B9558D"/>
    <w:rsid w:val="00BD08C8"/>
    <w:rsid w:val="00BD4E0D"/>
    <w:rsid w:val="00BD71E9"/>
    <w:rsid w:val="00BE378B"/>
    <w:rsid w:val="00BE6C30"/>
    <w:rsid w:val="00BE72CA"/>
    <w:rsid w:val="00C12006"/>
    <w:rsid w:val="00C23CB5"/>
    <w:rsid w:val="00C25DBA"/>
    <w:rsid w:val="00C27560"/>
    <w:rsid w:val="00C30E04"/>
    <w:rsid w:val="00C3732E"/>
    <w:rsid w:val="00C41A5E"/>
    <w:rsid w:val="00C7362C"/>
    <w:rsid w:val="00C7388C"/>
    <w:rsid w:val="00C80D0D"/>
    <w:rsid w:val="00C87DB6"/>
    <w:rsid w:val="00CF01BC"/>
    <w:rsid w:val="00CF212D"/>
    <w:rsid w:val="00CF2E4C"/>
    <w:rsid w:val="00D01353"/>
    <w:rsid w:val="00D2327E"/>
    <w:rsid w:val="00D30E9D"/>
    <w:rsid w:val="00D43E9C"/>
    <w:rsid w:val="00D52259"/>
    <w:rsid w:val="00D7651E"/>
    <w:rsid w:val="00D81A88"/>
    <w:rsid w:val="00D822A3"/>
    <w:rsid w:val="00D83EFA"/>
    <w:rsid w:val="00D8413C"/>
    <w:rsid w:val="00D84A8F"/>
    <w:rsid w:val="00D91C07"/>
    <w:rsid w:val="00DA218E"/>
    <w:rsid w:val="00DB70A8"/>
    <w:rsid w:val="00DB7BA5"/>
    <w:rsid w:val="00DD54EA"/>
    <w:rsid w:val="00DE6FB4"/>
    <w:rsid w:val="00DF4C9E"/>
    <w:rsid w:val="00E23745"/>
    <w:rsid w:val="00E366C0"/>
    <w:rsid w:val="00E45F12"/>
    <w:rsid w:val="00E74712"/>
    <w:rsid w:val="00E775BE"/>
    <w:rsid w:val="00E857E9"/>
    <w:rsid w:val="00E85E09"/>
    <w:rsid w:val="00E9349D"/>
    <w:rsid w:val="00E95AD5"/>
    <w:rsid w:val="00EA0017"/>
    <w:rsid w:val="00EC1984"/>
    <w:rsid w:val="00EC20E4"/>
    <w:rsid w:val="00ED06D8"/>
    <w:rsid w:val="00EE221A"/>
    <w:rsid w:val="00EE2479"/>
    <w:rsid w:val="00EF51C1"/>
    <w:rsid w:val="00EF540E"/>
    <w:rsid w:val="00F06E94"/>
    <w:rsid w:val="00F10271"/>
    <w:rsid w:val="00F306AF"/>
    <w:rsid w:val="00F44F6E"/>
    <w:rsid w:val="00F67314"/>
    <w:rsid w:val="00F7346E"/>
    <w:rsid w:val="00FC63A4"/>
    <w:rsid w:val="00FD6B43"/>
    <w:rsid w:val="00FE1913"/>
    <w:rsid w:val="00FE2050"/>
    <w:rsid w:val="00FE3C5F"/>
    <w:rsid w:val="00FE4B38"/>
    <w:rsid w:val="00FF00DB"/>
    <w:rsid w:val="00FF1E5B"/>
    <w:rsid w:val="00FF401C"/>
    <w:rsid w:val="00FF72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25A8B2-C0CB-4DDE-A7AD-0549A7EE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A6"/>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pPr>
      <w:keepNext/>
      <w:numPr>
        <w:numId w:val="4"/>
      </w:numPr>
      <w:suppressAutoHyphens/>
      <w:spacing w:after="220"/>
      <w:jc w:val="both"/>
      <w:outlineLvl w:val="0"/>
    </w:pPr>
    <w:rPr>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qFormat/>
    <w:pPr>
      <w:keepNext/>
      <w:numPr>
        <w:ilvl w:val="1"/>
        <w:numId w:val="4"/>
      </w:numPr>
      <w:spacing w:after="220"/>
      <w:jc w:val="both"/>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pPr>
      <w:keepNext/>
      <w:numPr>
        <w:ilvl w:val="2"/>
        <w:numId w:val="4"/>
      </w:numPr>
      <w:spacing w:after="220"/>
      <w:jc w:val="both"/>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pPr>
      <w:keepNext/>
      <w:numPr>
        <w:ilvl w:val="3"/>
        <w:numId w:val="4"/>
      </w:numPr>
      <w:spacing w:after="220"/>
      <w:jc w:val="both"/>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4"/>
      </w:numPr>
      <w:suppressAutoHyphens/>
      <w:spacing w:after="220"/>
      <w:jc w:val="both"/>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aliases w:val="9,Heading 9.table,Titre 9,Topic,t,table"/>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5A74C0"/>
    <w:pPr>
      <w:numPr>
        <w:numId w:val="13"/>
      </w:numPr>
      <w:tabs>
        <w:tab w:val="clear" w:pos="1080"/>
        <w:tab w:val="left" w:pos="1440"/>
      </w:tabs>
      <w:spacing w:after="220"/>
      <w:jc w:val="both"/>
    </w:p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rsid w:val="00A44C51"/>
    <w:pPr>
      <w:tabs>
        <w:tab w:val="left" w:pos="180"/>
        <w:tab w:val="left" w:pos="720"/>
        <w:tab w:val="left" w:pos="1440"/>
        <w:tab w:val="left" w:pos="2160"/>
      </w:tabs>
      <w:spacing w:after="120"/>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6658"/>
    <w:rPr>
      <w:rFonts w:ascii="Times New Roman" w:hAnsi="Times New Roman"/>
      <w:sz w:val="20"/>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TOAHeading">
    <w:name w:val="toa heading"/>
    <w:basedOn w:val="Normal"/>
    <w:next w:val="Normal"/>
    <w:semiHidden/>
    <w:rsid w:val="00AA63A6"/>
    <w:pPr>
      <w:tabs>
        <w:tab w:val="right" w:pos="9360"/>
      </w:tabs>
      <w:suppressAutoHyphens/>
    </w:pPr>
  </w:style>
  <w:style w:type="paragraph" w:customStyle="1" w:styleId="StyleBoldCentered">
    <w:name w:val="Style Bold Centered"/>
    <w:basedOn w:val="Normal"/>
    <w:rsid w:val="00AA63A6"/>
    <w:pPr>
      <w:jc w:val="center"/>
    </w:pPr>
    <w:rPr>
      <w:rFonts w:ascii="Times New Roman Bold" w:hAnsi="Times New Roman Bold"/>
      <w:b/>
      <w:bCs/>
      <w:caps/>
      <w:szCs w:val="22"/>
    </w:rPr>
  </w:style>
  <w:style w:type="character" w:styleId="Hyperlink">
    <w:name w:val="Hyperlink"/>
    <w:uiPriority w:val="99"/>
    <w:rsid w:val="00AA63A6"/>
    <w:rPr>
      <w:color w:val="0000FF"/>
      <w:u w:val="single"/>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A44C51"/>
    <w:rPr>
      <w:snapToGrid w:val="0"/>
      <w:kern w:val="28"/>
    </w:rPr>
  </w:style>
  <w:style w:type="character" w:customStyle="1" w:styleId="ParaNumChar1">
    <w:name w:val="ParaNum Char1"/>
    <w:link w:val="ParaNum"/>
    <w:locked/>
    <w:rsid w:val="005A74C0"/>
    <w:rPr>
      <w:snapToGrid w:val="0"/>
      <w:kern w:val="28"/>
      <w:sz w:val="22"/>
    </w:rPr>
  </w:style>
  <w:style w:type="paragraph" w:styleId="BalloonText">
    <w:name w:val="Balloon Text"/>
    <w:basedOn w:val="Normal"/>
    <w:link w:val="BalloonTextChar"/>
    <w:uiPriority w:val="99"/>
    <w:semiHidden/>
    <w:unhideWhenUsed/>
    <w:rsid w:val="00285A8D"/>
    <w:rPr>
      <w:rFonts w:ascii="Segoe UI" w:hAnsi="Segoe UI" w:cs="Segoe UI"/>
      <w:sz w:val="18"/>
      <w:szCs w:val="18"/>
    </w:rPr>
  </w:style>
  <w:style w:type="character" w:customStyle="1" w:styleId="BalloonTextChar">
    <w:name w:val="Balloon Text Char"/>
    <w:link w:val="BalloonText"/>
    <w:uiPriority w:val="99"/>
    <w:semiHidden/>
    <w:rsid w:val="00285A8D"/>
    <w:rPr>
      <w:rFonts w:ascii="Segoe UI" w:hAnsi="Segoe UI" w:cs="Segoe UI"/>
      <w:snapToGrid w:val="0"/>
      <w:kern w:val="28"/>
      <w:sz w:val="18"/>
      <w:szCs w:val="18"/>
    </w:rPr>
  </w:style>
  <w:style w:type="character" w:styleId="CommentReference">
    <w:name w:val="annotation reference"/>
    <w:uiPriority w:val="99"/>
    <w:semiHidden/>
    <w:unhideWhenUsed/>
    <w:rsid w:val="00D8413C"/>
    <w:rPr>
      <w:sz w:val="16"/>
      <w:szCs w:val="16"/>
    </w:rPr>
  </w:style>
  <w:style w:type="paragraph" w:styleId="CommentText">
    <w:name w:val="annotation text"/>
    <w:basedOn w:val="Normal"/>
    <w:link w:val="CommentTextChar"/>
    <w:uiPriority w:val="99"/>
    <w:semiHidden/>
    <w:unhideWhenUsed/>
    <w:rsid w:val="00D8413C"/>
    <w:rPr>
      <w:sz w:val="20"/>
    </w:rPr>
  </w:style>
  <w:style w:type="character" w:customStyle="1" w:styleId="CommentTextChar">
    <w:name w:val="Comment Text Char"/>
    <w:link w:val="CommentText"/>
    <w:uiPriority w:val="99"/>
    <w:semiHidden/>
    <w:rsid w:val="00D8413C"/>
    <w:rPr>
      <w:snapToGrid w:val="0"/>
      <w:kern w:val="28"/>
    </w:rPr>
  </w:style>
  <w:style w:type="paragraph" w:styleId="CommentSubject">
    <w:name w:val="annotation subject"/>
    <w:basedOn w:val="CommentText"/>
    <w:next w:val="CommentText"/>
    <w:link w:val="CommentSubjectChar"/>
    <w:uiPriority w:val="99"/>
    <w:semiHidden/>
    <w:unhideWhenUsed/>
    <w:rsid w:val="00D8413C"/>
    <w:rPr>
      <w:b/>
      <w:bCs/>
    </w:rPr>
  </w:style>
  <w:style w:type="character" w:customStyle="1" w:styleId="CommentSubjectChar">
    <w:name w:val="Comment Subject Char"/>
    <w:link w:val="CommentSubject"/>
    <w:uiPriority w:val="99"/>
    <w:semiHidden/>
    <w:rsid w:val="00D8413C"/>
    <w:rPr>
      <w:b/>
      <w:bCs/>
      <w:snapToGrid w:val="0"/>
      <w:kern w:val="28"/>
    </w:rPr>
  </w:style>
  <w:style w:type="paragraph" w:styleId="Revision">
    <w:name w:val="Revision"/>
    <w:hidden/>
    <w:uiPriority w:val="99"/>
    <w:semiHidden/>
    <w:rsid w:val="00051BD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FCC%20Document%20Templates\Docu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