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E5884" w:rsidP="00C82B6B" w14:paraId="7712FF7F" w14:textId="77777777">
      <w:pPr>
        <w:jc w:val="right"/>
        <w:rPr>
          <w:sz w:val="24"/>
        </w:rPr>
      </w:pPr>
    </w:p>
    <w:p w:rsidR="008B21DB" w:rsidP="008B21DB" w14:paraId="7DA0A57F" w14:textId="714D2A5C">
      <w:pPr>
        <w:rPr>
          <w:b/>
          <w:sz w:val="24"/>
        </w:rPr>
      </w:pPr>
      <w:bookmarkStart w:id="0" w:name="TOChere"/>
      <w:r>
        <w:rPr>
          <w:b/>
          <w:sz w:val="24"/>
        </w:rPr>
        <w:t xml:space="preserve"> </w:t>
      </w:r>
    </w:p>
    <w:p w:rsidR="008B21DB" w:rsidP="008B21DB" w14:paraId="16F9EC87" w14:textId="7ECFC9EB">
      <w:pPr>
        <w:jc w:val="right"/>
        <w:rPr>
          <w:b/>
          <w:sz w:val="24"/>
        </w:rPr>
      </w:pPr>
      <w:r>
        <w:rPr>
          <w:b/>
          <w:sz w:val="24"/>
        </w:rPr>
        <w:t>DA 20-</w:t>
      </w:r>
      <w:r w:rsidR="0061619D">
        <w:rPr>
          <w:b/>
          <w:sz w:val="24"/>
        </w:rPr>
        <w:t>437</w:t>
      </w:r>
    </w:p>
    <w:p w:rsidR="008B21DB" w:rsidP="008B21DB" w14:paraId="0CF3C665" w14:textId="358AC3B1">
      <w:pPr>
        <w:spacing w:before="60"/>
        <w:jc w:val="right"/>
        <w:rPr>
          <w:b/>
          <w:sz w:val="24"/>
        </w:rPr>
      </w:pPr>
      <w:r>
        <w:rPr>
          <w:b/>
          <w:sz w:val="24"/>
        </w:rPr>
        <w:t xml:space="preserve">Released: </w:t>
      </w:r>
      <w:r w:rsidR="0061619D">
        <w:rPr>
          <w:b/>
          <w:sz w:val="24"/>
        </w:rPr>
        <w:t>April 21, 2020</w:t>
      </w:r>
    </w:p>
    <w:p w:rsidR="008B21DB" w:rsidP="008B21DB" w14:paraId="7F0ED1E0" w14:textId="77777777">
      <w:pPr>
        <w:jc w:val="right"/>
        <w:rPr>
          <w:sz w:val="24"/>
        </w:rPr>
      </w:pPr>
    </w:p>
    <w:p w:rsidR="008B21DB" w:rsidRPr="0089456E" w:rsidP="008B21DB" w14:paraId="76967FA0" w14:textId="02A38330">
      <w:pPr>
        <w:suppressAutoHyphens/>
        <w:jc w:val="center"/>
        <w:rPr>
          <w:b/>
          <w:sz w:val="24"/>
          <w:szCs w:val="22"/>
        </w:rPr>
      </w:pPr>
      <w:r w:rsidRPr="0089456E">
        <w:rPr>
          <w:rFonts w:ascii="Times New Roman Bold" w:hAnsi="Times New Roman Bold"/>
          <w:b/>
          <w:caps/>
          <w:sz w:val="24"/>
          <w:szCs w:val="22"/>
        </w:rPr>
        <w:t xml:space="preserve">Wireless Telecommunications Bureau and Office of Engineering and </w:t>
      </w:r>
      <w:r w:rsidRPr="009A5004">
        <w:rPr>
          <w:rFonts w:ascii="Times New Roman Bold" w:hAnsi="Times New Roman Bold"/>
          <w:b/>
          <w:caps/>
          <w:sz w:val="24"/>
          <w:szCs w:val="22"/>
        </w:rPr>
        <w:t xml:space="preserve">Technology </w:t>
      </w:r>
      <w:r>
        <w:rPr>
          <w:rFonts w:ascii="Times New Roman Bold" w:hAnsi="Times New Roman Bold"/>
          <w:b/>
          <w:caps/>
          <w:sz w:val="24"/>
          <w:szCs w:val="22"/>
        </w:rPr>
        <w:t>approve spectrum access system administrator</w:t>
      </w:r>
      <w:r w:rsidR="007C38F0">
        <w:rPr>
          <w:rFonts w:ascii="Times New Roman Bold" w:hAnsi="Times New Roman Bold"/>
          <w:b/>
          <w:caps/>
          <w:sz w:val="24"/>
          <w:szCs w:val="22"/>
        </w:rPr>
        <w:t xml:space="preserve"> </w:t>
      </w:r>
      <w:r w:rsidRPr="007C38F0" w:rsidR="007C38F0">
        <w:rPr>
          <w:rFonts w:ascii="Times New Roman Bold" w:hAnsi="Times New Roman Bold"/>
          <w:b/>
          <w:caps/>
          <w:sz w:val="24"/>
          <w:szCs w:val="22"/>
        </w:rPr>
        <w:t>AMDOCS</w:t>
      </w:r>
      <w:r>
        <w:rPr>
          <w:rFonts w:ascii="Times New Roman Bold" w:hAnsi="Times New Roman Bold"/>
          <w:b/>
          <w:caps/>
          <w:sz w:val="24"/>
          <w:szCs w:val="22"/>
        </w:rPr>
        <w:t xml:space="preserve"> for </w:t>
      </w:r>
      <w:r w:rsidRPr="0092767B">
        <w:rPr>
          <w:rFonts w:ascii="Times New Roman Bold" w:hAnsi="Times New Roman Bold"/>
          <w:b/>
          <w:caps/>
          <w:sz w:val="24"/>
          <w:szCs w:val="22"/>
        </w:rPr>
        <w:t xml:space="preserve">full scale commercial deployment </w:t>
      </w:r>
      <w:r>
        <w:rPr>
          <w:rFonts w:ascii="Times New Roman Bold" w:hAnsi="Times New Roman Bold"/>
          <w:b/>
          <w:caps/>
          <w:sz w:val="24"/>
          <w:szCs w:val="22"/>
        </w:rPr>
        <w:t xml:space="preserve">in the 3.5 ghz band </w:t>
      </w:r>
    </w:p>
    <w:p w:rsidR="008B21DB" w:rsidRPr="0089456E" w:rsidP="008B21DB" w14:paraId="06AB03B5" w14:textId="77777777">
      <w:pPr>
        <w:suppressAutoHyphens/>
        <w:jc w:val="center"/>
        <w:rPr>
          <w:sz w:val="24"/>
          <w:szCs w:val="22"/>
        </w:rPr>
      </w:pPr>
    </w:p>
    <w:p w:rsidR="008B21DB" w:rsidRPr="0089456E" w:rsidP="008B21DB" w14:paraId="69B9DD7D" w14:textId="77777777">
      <w:pPr>
        <w:jc w:val="center"/>
        <w:rPr>
          <w:b/>
          <w:sz w:val="24"/>
        </w:rPr>
      </w:pPr>
      <w:r>
        <w:rPr>
          <w:b/>
          <w:sz w:val="24"/>
        </w:rPr>
        <w:t xml:space="preserve">GN Docket No. </w:t>
      </w:r>
      <w:r w:rsidRPr="0089456E">
        <w:rPr>
          <w:b/>
          <w:sz w:val="24"/>
        </w:rPr>
        <w:t>15-319</w:t>
      </w:r>
    </w:p>
    <w:p w:rsidR="008B21DB" w:rsidP="008B21DB" w14:paraId="1A730118" w14:textId="77777777">
      <w:pPr>
        <w:rPr>
          <w:sz w:val="24"/>
        </w:rPr>
      </w:pPr>
    </w:p>
    <w:p w:rsidR="008B21DB" w:rsidRPr="00C8709F" w:rsidP="008B21DB" w14:paraId="48FDB2C9" w14:textId="77777777">
      <w:pPr>
        <w:pStyle w:val="Heading1"/>
        <w:rPr>
          <w:szCs w:val="22"/>
        </w:rPr>
      </w:pPr>
      <w:r w:rsidRPr="00570677">
        <w:rPr>
          <w:szCs w:val="22"/>
        </w:rPr>
        <w:t>Introduction</w:t>
      </w:r>
      <w:bookmarkStart w:id="1" w:name="_GoBack"/>
      <w:bookmarkEnd w:id="1"/>
    </w:p>
    <w:p w:rsidR="008B21DB" w:rsidRPr="00312522" w:rsidP="008B21DB" w14:paraId="47C0A448" w14:textId="30618898">
      <w:pPr>
        <w:pStyle w:val="ParaNum"/>
      </w:pPr>
      <w:r>
        <w:t xml:space="preserve">With this </w:t>
      </w:r>
      <w:r w:rsidRPr="0080436C">
        <w:rPr>
          <w:i/>
        </w:rPr>
        <w:t xml:space="preserve">Public </w:t>
      </w:r>
      <w:r w:rsidRPr="00456277">
        <w:rPr>
          <w:i/>
        </w:rPr>
        <w:t>Notice</w:t>
      </w:r>
      <w:r>
        <w:t>, t</w:t>
      </w:r>
      <w:r w:rsidRPr="0057273A">
        <w:t>he</w:t>
      </w:r>
      <w:r w:rsidRPr="00312522">
        <w:t xml:space="preserve"> Wireless Telecommunications Bureau (WTB) and the Office of Engineering and Technology (OET) (</w:t>
      </w:r>
      <w:r w:rsidRPr="0080436C">
        <w:t>collectively</w:t>
      </w:r>
      <w:r w:rsidRPr="00456277">
        <w:t>,</w:t>
      </w:r>
      <w:r w:rsidRPr="00312522">
        <w:t xml:space="preserve"> WTB/OET) </w:t>
      </w:r>
      <w:r>
        <w:t xml:space="preserve">of the Federal Communications Commission (Commission or FCC) certify </w:t>
      </w:r>
      <w:r w:rsidR="007C38F0">
        <w:t>Amdocs</w:t>
      </w:r>
      <w:r w:rsidRPr="00456277">
        <w:t>, Inc. (</w:t>
      </w:r>
      <w:r w:rsidRPr="007C38F0" w:rsidR="007C38F0">
        <w:t>Amdocs</w:t>
      </w:r>
      <w:r w:rsidRPr="00456277">
        <w:t xml:space="preserve">) as </w:t>
      </w:r>
      <w:r w:rsidR="007C38F0">
        <w:t xml:space="preserve">a </w:t>
      </w:r>
      <w:r>
        <w:t>Spectrum Access System (SAS) Administrator in the 3.55-3.7 GHz band (3.5 GHz band)</w:t>
      </w:r>
      <w:r w:rsidRPr="00456277">
        <w:t xml:space="preserve">. </w:t>
      </w:r>
      <w:r w:rsidRPr="007A797A">
        <w:t xml:space="preserve">WTB/OET, in consultation with the Department of Defense (DoD) and the National Telecommunications and Information Administration (NTIA), </w:t>
      </w:r>
      <w:r>
        <w:t xml:space="preserve">have </w:t>
      </w:r>
      <w:r w:rsidRPr="007A797A">
        <w:t>review</w:t>
      </w:r>
      <w:r>
        <w:t xml:space="preserve">ed </w:t>
      </w:r>
      <w:r w:rsidRPr="007C38F0" w:rsidR="007C38F0">
        <w:t>Amdocs</w:t>
      </w:r>
      <w:r>
        <w:t>’s Initial Commercial Deployment (ICD) report, and each ha</w:t>
      </w:r>
      <w:r w:rsidR="00271F17">
        <w:t>s</w:t>
      </w:r>
      <w:r>
        <w:t xml:space="preserve"> </w:t>
      </w:r>
      <w:r w:rsidR="00C07977">
        <w:t>attested</w:t>
      </w:r>
      <w:r w:rsidR="00FC0894">
        <w:t xml:space="preserve"> </w:t>
      </w:r>
      <w:r>
        <w:t xml:space="preserve">that </w:t>
      </w:r>
      <w:r w:rsidRPr="007C38F0" w:rsidR="007C38F0">
        <w:t>Amdocs</w:t>
      </w:r>
      <w:r>
        <w:t xml:space="preserve"> has met the requirements in Part 96 of our rules and is authorized to make </w:t>
      </w:r>
      <w:r w:rsidR="00271F17">
        <w:t>its</w:t>
      </w:r>
      <w:r>
        <w:t xml:space="preserve"> SAS available for commercial use for a five-year term.</w:t>
      </w:r>
      <w:r>
        <w:rPr>
          <w:rStyle w:val="FootnoteReference"/>
        </w:rPr>
        <w:footnoteReference w:id="3"/>
      </w:r>
      <w:r>
        <w:t xml:space="preserve">   </w:t>
      </w:r>
    </w:p>
    <w:p w:rsidR="008B21DB" w:rsidRPr="00312522" w:rsidP="008B21DB" w14:paraId="446B4123" w14:textId="77777777">
      <w:pPr>
        <w:pStyle w:val="Heading1"/>
        <w:rPr>
          <w:szCs w:val="22"/>
        </w:rPr>
      </w:pPr>
      <w:r w:rsidRPr="00312522">
        <w:rPr>
          <w:szCs w:val="22"/>
        </w:rPr>
        <w:t>BACKGROUND</w:t>
      </w:r>
    </w:p>
    <w:p w:rsidR="008B21DB" w:rsidRPr="00A168E9" w:rsidP="008B21DB" w14:paraId="61AEB387" w14:textId="7E0E5735">
      <w:pPr>
        <w:pStyle w:val="ParaNum"/>
        <w:rPr>
          <w:b/>
        </w:rPr>
      </w:pPr>
      <w:r w:rsidRPr="00A9457D">
        <w:t>In</w:t>
      </w:r>
      <w:r w:rsidRPr="67ED90C3">
        <w:t xml:space="preserve"> the </w:t>
      </w:r>
      <w:r>
        <w:rPr>
          <w:i/>
        </w:rPr>
        <w:t>2015 Report and Order</w:t>
      </w:r>
      <w:r w:rsidRPr="67ED90C3">
        <w:t>,</w:t>
      </w:r>
      <w:r w:rsidRPr="67ED90C3">
        <w:rPr>
          <w:i/>
        </w:rPr>
        <w:t xml:space="preserve"> </w:t>
      </w:r>
      <w:r w:rsidRPr="67ED90C3">
        <w:t>the Commission directed WTB/OET</w:t>
      </w:r>
      <w:r>
        <w:t xml:space="preserve">, </w:t>
      </w:r>
      <w:r w:rsidRPr="67ED90C3">
        <w:t>in consultation with the DoD and NTIA</w:t>
      </w:r>
      <w:r>
        <w:t xml:space="preserve">, </w:t>
      </w:r>
      <w:r w:rsidRPr="67ED90C3">
        <w:t>to oversee the review, certification, and approval of SAS</w:t>
      </w:r>
      <w:r w:rsidR="003645FE">
        <w:t xml:space="preserve"> Administrator</w:t>
      </w:r>
      <w:r w:rsidRPr="67ED90C3">
        <w:t>s in the 3.5 GHz band</w:t>
      </w:r>
      <w:r w:rsidRPr="007D7BF6">
        <w:t>.</w:t>
      </w:r>
      <w:r>
        <w:rPr>
          <w:rStyle w:val="FootnoteReference"/>
        </w:rPr>
        <w:footnoteReference w:id="4"/>
      </w:r>
      <w:r w:rsidRPr="007D7BF6">
        <w:t xml:space="preserve">  </w:t>
      </w:r>
      <w:r w:rsidRPr="00BA7EE4">
        <w:t xml:space="preserve">The </w:t>
      </w:r>
      <w:r w:rsidRPr="00BA7EE4">
        <w:rPr>
          <w:i/>
        </w:rPr>
        <w:t>2015 Report and Order</w:t>
      </w:r>
      <w:r w:rsidRPr="00BA7EE4">
        <w:t xml:space="preserve"> required </w:t>
      </w:r>
      <w:r>
        <w:t>a</w:t>
      </w:r>
      <w:r w:rsidRPr="67ED90C3">
        <w:t xml:space="preserve">ll prospective SAS Administrators </w:t>
      </w:r>
      <w:r>
        <w:t>to</w:t>
      </w:r>
      <w:r w:rsidRPr="67ED90C3">
        <w:t xml:space="preserve"> complete a two-stage review process prior to final certification.</w:t>
      </w:r>
      <w:r>
        <w:rPr>
          <w:rStyle w:val="FootnoteReference"/>
        </w:rPr>
        <w:footnoteReference w:id="5"/>
      </w:r>
      <w:r w:rsidRPr="67ED90C3">
        <w:t xml:space="preserve">  In the first stage, a prospective SAS Administrator must submit a proposal describing how its system will comply with all Commission rules governing the construction, operation, and approval of SASs and </w:t>
      </w:r>
      <w:r w:rsidR="00763C0C">
        <w:t xml:space="preserve">will </w:t>
      </w:r>
      <w:r w:rsidRPr="67ED90C3">
        <w:t xml:space="preserve">perform all core functions described in the </w:t>
      </w:r>
      <w:r>
        <w:rPr>
          <w:i/>
        </w:rPr>
        <w:t>2015 Report and Order</w:t>
      </w:r>
      <w:r w:rsidRPr="67ED90C3">
        <w:t>.</w:t>
      </w:r>
      <w:r>
        <w:rPr>
          <w:rStyle w:val="FootnoteReference"/>
        </w:rPr>
        <w:footnoteReference w:id="6"/>
      </w:r>
      <w:r w:rsidRPr="67ED90C3">
        <w:t xml:space="preserve">  The second stage involves SAS testing both in a controlled lab environment and in a </w:t>
      </w:r>
      <w:r w:rsidRPr="67ED90C3">
        <w:t>real-world setting.</w:t>
      </w:r>
      <w:r>
        <w:rPr>
          <w:rStyle w:val="FootnoteReference"/>
        </w:rPr>
        <w:footnoteReference w:id="7"/>
      </w:r>
      <w:r w:rsidRPr="67ED90C3">
        <w:t xml:space="preserve">  On December 21, 2016, WTB/OET conditionally approved the first wave of SAS Administrators</w:t>
      </w:r>
      <w:r>
        <w:t xml:space="preserve">, thus </w:t>
      </w:r>
      <w:r w:rsidRPr="00805A81">
        <w:t>concluding the first stage</w:t>
      </w:r>
      <w:r>
        <w:t xml:space="preserve"> of the review process</w:t>
      </w:r>
      <w:r w:rsidRPr="67ED90C3">
        <w:t>.</w:t>
      </w:r>
      <w:r>
        <w:rPr>
          <w:rStyle w:val="FootnoteReference"/>
        </w:rPr>
        <w:footnoteReference w:id="8"/>
      </w:r>
      <w:r w:rsidRPr="67ED90C3">
        <w:t xml:space="preserve">  </w:t>
      </w:r>
    </w:p>
    <w:p w:rsidR="008B21DB" w:rsidRPr="00981213" w:rsidP="008B21DB" w14:paraId="062A3DC1" w14:textId="5EA3ADC0">
      <w:pPr>
        <w:pStyle w:val="ParaNum"/>
        <w:rPr>
          <w:b/>
        </w:rPr>
      </w:pPr>
      <w:r>
        <w:t xml:space="preserve">As part of the second </w:t>
      </w:r>
      <w:r w:rsidRPr="00EC6581">
        <w:t>stage</w:t>
      </w:r>
      <w:r>
        <w:t xml:space="preserve"> testing process, Amdocs</w:t>
      </w:r>
      <w:r w:rsidR="007C38F0">
        <w:t xml:space="preserve"> and other conditionally approved SAS</w:t>
      </w:r>
      <w:r w:rsidR="00397F60">
        <w:t xml:space="preserve"> Administrators</w:t>
      </w:r>
      <w:r>
        <w:t xml:space="preserve"> elected to collaborate with t</w:t>
      </w:r>
      <w:r w:rsidRPr="00AB1B56">
        <w:t xml:space="preserve">he </w:t>
      </w:r>
      <w:r w:rsidRPr="00E75879">
        <w:t>Institute</w:t>
      </w:r>
      <w:r w:rsidRPr="00AB1B56">
        <w:t xml:space="preserve"> for Telecommunication Sciences (ITS), NTIA’s research and development arm,</w:t>
      </w:r>
      <w:r>
        <w:t xml:space="preserve"> to complete the laboratory testing requirement.</w:t>
      </w:r>
      <w:r>
        <w:rPr>
          <w:rStyle w:val="FootnoteReference"/>
          <w:szCs w:val="22"/>
        </w:rPr>
        <w:footnoteReference w:id="9"/>
      </w:r>
      <w:r>
        <w:t xml:space="preserve">  </w:t>
      </w:r>
      <w:r w:rsidRPr="004D7ABB">
        <w:t xml:space="preserve">ITS completed its laboratory testing on May 3, 2019, </w:t>
      </w:r>
      <w:r>
        <w:t>and</w:t>
      </w:r>
      <w:r w:rsidRPr="004D7ABB">
        <w:t xml:space="preserve"> </w:t>
      </w:r>
      <w:r>
        <w:t>it subsequently</w:t>
      </w:r>
      <w:r w:rsidRPr="003C7BCD">
        <w:t xml:space="preserve"> provided </w:t>
      </w:r>
      <w:r w:rsidR="00397F60">
        <w:t>Amdocs</w:t>
      </w:r>
      <w:r w:rsidRPr="003C7BCD">
        <w:t xml:space="preserve"> with </w:t>
      </w:r>
      <w:r w:rsidR="00397F60">
        <w:t xml:space="preserve">a </w:t>
      </w:r>
      <w:r w:rsidRPr="004D7ABB">
        <w:t>SAS laboratory test report, which Amdocs</w:t>
      </w:r>
      <w:r w:rsidRPr="00397F60" w:rsidR="00397F60">
        <w:t xml:space="preserve"> </w:t>
      </w:r>
      <w:r w:rsidRPr="004D7ABB">
        <w:t>submitted for the Commission’s review in July 2019.</w:t>
      </w:r>
      <w:r>
        <w:rPr>
          <w:rStyle w:val="FootnoteReference"/>
          <w:szCs w:val="22"/>
        </w:rPr>
        <w:footnoteReference w:id="10"/>
      </w:r>
      <w:r w:rsidRPr="004D7ABB">
        <w:t xml:space="preserve">  </w:t>
      </w:r>
      <w:r>
        <w:t xml:space="preserve"> </w:t>
      </w:r>
    </w:p>
    <w:p w:rsidR="008B21DB" w:rsidRPr="00A168E9" w:rsidP="6C6976F5" w14:paraId="1D8FC452" w14:textId="33B02D04">
      <w:pPr>
        <w:pStyle w:val="ParaNum"/>
        <w:rPr>
          <w:b/>
          <w:bCs/>
        </w:rPr>
      </w:pPr>
      <w:r w:rsidRPr="44869CEA">
        <w:t xml:space="preserve">In order to comply with the field-testing requirement, </w:t>
      </w:r>
      <w:r w:rsidR="00397F60">
        <w:t>Amdocs</w:t>
      </w:r>
      <w:r w:rsidRPr="44869CEA">
        <w:t xml:space="preserve"> timely filed an ICD proposal with the Commission, which described its proposed short-term, limited geographic commercial deployment, and later supplemented its proposal.</w:t>
      </w:r>
      <w:r>
        <w:rPr>
          <w:rStyle w:val="FootnoteReference"/>
        </w:rPr>
        <w:footnoteReference w:id="11"/>
      </w:r>
      <w:r w:rsidRPr="44869CEA">
        <w:t xml:space="preserve">  On September 16, 2019, WTB/OET found that </w:t>
      </w:r>
      <w:r w:rsidRPr="44869CEA" w:rsidR="3B09C94E">
        <w:t xml:space="preserve">certain </w:t>
      </w:r>
      <w:r w:rsidRPr="44869CEA">
        <w:t>SAS Administrator</w:t>
      </w:r>
      <w:r w:rsidRPr="44869CEA" w:rsidR="29206108">
        <w:t>s</w:t>
      </w:r>
      <w:r w:rsidR="00397F60">
        <w:t>, including Amdocs,</w:t>
      </w:r>
      <w:r w:rsidRPr="44869CEA">
        <w:t xml:space="preserve"> had satisfied the Commission’s SAS laboratory testing requirements</w:t>
      </w:r>
      <w:r>
        <w:t>,</w:t>
      </w:r>
      <w:r w:rsidRPr="44869CEA">
        <w:t xml:space="preserve"> and </w:t>
      </w:r>
      <w:r>
        <w:t xml:space="preserve">they </w:t>
      </w:r>
      <w:r w:rsidRPr="44869CEA">
        <w:t xml:space="preserve">approved </w:t>
      </w:r>
      <w:r w:rsidRPr="44869CEA" w:rsidR="49A1CAAC">
        <w:t xml:space="preserve">certain </w:t>
      </w:r>
      <w:r w:rsidRPr="44869CEA">
        <w:t>SAS Administrator</w:t>
      </w:r>
      <w:r w:rsidRPr="44869CEA" w:rsidR="7FAF9562">
        <w:t>s</w:t>
      </w:r>
      <w:r w:rsidR="00397F60">
        <w:t>, including Amdocs,</w:t>
      </w:r>
      <w:r w:rsidRPr="44869CEA">
        <w:t xml:space="preserve"> to begin ICD as described in their ICD proposals.</w:t>
      </w:r>
      <w:r>
        <w:rPr>
          <w:rStyle w:val="FootnoteReference"/>
        </w:rPr>
        <w:footnoteReference w:id="12"/>
      </w:r>
      <w:r w:rsidRPr="44869CEA">
        <w:t xml:space="preserve">  </w:t>
      </w:r>
      <w:r w:rsidRPr="00472019">
        <w:t xml:space="preserve">In accordance with the </w:t>
      </w:r>
      <w:r w:rsidRPr="6C6976F5">
        <w:rPr>
          <w:i/>
          <w:iCs/>
        </w:rPr>
        <w:t>ICD Approvals PN</w:t>
      </w:r>
      <w:r w:rsidRPr="00472019">
        <w:t xml:space="preserve">, </w:t>
      </w:r>
      <w:r w:rsidR="00397F60">
        <w:t>Amdocs</w:t>
      </w:r>
      <w:r w:rsidRPr="44869CEA">
        <w:t xml:space="preserve"> notified the Commission of commencement of its ICD.</w:t>
      </w:r>
      <w:r>
        <w:rPr>
          <w:rStyle w:val="FootnoteReference"/>
        </w:rPr>
        <w:footnoteReference w:id="13"/>
      </w:r>
      <w:r w:rsidRPr="44869CEA">
        <w:t xml:space="preserve">  After the requisite 30-day ICD period and consistent with </w:t>
      </w:r>
      <w:r w:rsidRPr="44869CEA">
        <w:t xml:space="preserve">the </w:t>
      </w:r>
      <w:r w:rsidRPr="6C6976F5">
        <w:rPr>
          <w:i/>
          <w:iCs/>
        </w:rPr>
        <w:t>ICD Proposals Public Notice</w:t>
      </w:r>
      <w:r w:rsidRPr="44869CEA">
        <w:t xml:space="preserve">, </w:t>
      </w:r>
      <w:r w:rsidR="008954C0">
        <w:t>Amdocs</w:t>
      </w:r>
      <w:r w:rsidRPr="44869CEA">
        <w:t xml:space="preserve"> filed its ICD report with the Commission in GN Docket 15-319</w:t>
      </w:r>
      <w:r>
        <w:t>,</w:t>
      </w:r>
      <w:r w:rsidRPr="44869CEA">
        <w:t xml:space="preserve"> and requested confidential treatment.</w:t>
      </w:r>
      <w:r>
        <w:rPr>
          <w:rStyle w:val="FootnoteReference"/>
        </w:rPr>
        <w:footnoteReference w:id="14"/>
      </w:r>
      <w:r w:rsidRPr="44869CEA">
        <w:t xml:space="preserve">  WTB/OET, in coordination with NTIA and DoD, reviewed the ICD report in detail.</w:t>
      </w:r>
      <w:r>
        <w:rPr>
          <w:rStyle w:val="FootnoteReference"/>
        </w:rPr>
        <w:footnoteReference w:id="15"/>
      </w:r>
      <w:r w:rsidRPr="44869CEA">
        <w:t xml:space="preserve">  </w:t>
      </w:r>
    </w:p>
    <w:p w:rsidR="008B21DB" w:rsidRPr="00312522" w:rsidP="008B21DB" w14:paraId="2F6B41E6" w14:textId="77777777">
      <w:pPr>
        <w:pStyle w:val="Heading1"/>
        <w:rPr>
          <w:szCs w:val="22"/>
        </w:rPr>
      </w:pPr>
      <w:r>
        <w:rPr>
          <w:szCs w:val="22"/>
        </w:rPr>
        <w:t>dISCUSSION</w:t>
      </w:r>
    </w:p>
    <w:p w:rsidR="008B21DB" w:rsidRPr="000352BF" w:rsidP="008B21DB" w14:paraId="40CBF2AA" w14:textId="4AE80744">
      <w:pPr>
        <w:pStyle w:val="ParaNum"/>
        <w:rPr>
          <w:b/>
        </w:rPr>
      </w:pPr>
      <w:r w:rsidRPr="000352BF">
        <w:t>Based on</w:t>
      </w:r>
      <w:r>
        <w:t xml:space="preserve"> our review of</w:t>
      </w:r>
      <w:r w:rsidRPr="000352BF">
        <w:t xml:space="preserve"> the information contained </w:t>
      </w:r>
      <w:r>
        <w:t xml:space="preserve">in </w:t>
      </w:r>
      <w:r w:rsidR="008954C0">
        <w:t>Amdocs’s</w:t>
      </w:r>
      <w:r>
        <w:t xml:space="preserve"> ICD report in addition to all previously filed information </w:t>
      </w:r>
      <w:r w:rsidRPr="00AF188C">
        <w:t>in this proceeding</w:t>
      </w:r>
      <w:r w:rsidRPr="000352BF">
        <w:t xml:space="preserve">, we </w:t>
      </w:r>
      <w:r>
        <w:t>certify</w:t>
      </w:r>
      <w:r w:rsidRPr="000352BF">
        <w:t xml:space="preserve"> that</w:t>
      </w:r>
      <w:r>
        <w:t xml:space="preserve"> </w:t>
      </w:r>
      <w:r w:rsidRPr="008954C0" w:rsidR="008954C0">
        <w:t xml:space="preserve">Amdocs’s </w:t>
      </w:r>
      <w:r>
        <w:t>SAS compl</w:t>
      </w:r>
      <w:r w:rsidR="008954C0">
        <w:t>ies</w:t>
      </w:r>
      <w:r>
        <w:t xml:space="preserve"> with our rules, and we approve </w:t>
      </w:r>
      <w:r w:rsidRPr="008954C0" w:rsidR="008954C0">
        <w:t>Amdocs</w:t>
      </w:r>
      <w:r w:rsidR="008954C0">
        <w:t xml:space="preserve"> </w:t>
      </w:r>
      <w:r>
        <w:t xml:space="preserve">for commercial operation subject to ongoing compliance with the Commission’s rules, including the specific compliance obligations set forth below.  Specifically, </w:t>
      </w:r>
      <w:r w:rsidRPr="008954C0" w:rsidR="008954C0">
        <w:t xml:space="preserve">Amdocs </w:t>
      </w:r>
      <w:r>
        <w:t xml:space="preserve">may operate </w:t>
      </w:r>
      <w:r w:rsidR="002F7270">
        <w:t xml:space="preserve">as a SAS Administrator </w:t>
      </w:r>
      <w:r>
        <w:t xml:space="preserve">on a commercial basis subject to the following compliance obligations, which remain consistent with those described in the </w:t>
      </w:r>
      <w:r w:rsidRPr="0019674D">
        <w:rPr>
          <w:i/>
        </w:rPr>
        <w:t>SAS Conditional Approval Public Notice</w:t>
      </w:r>
      <w:r w:rsidR="00C02A6D">
        <w:t xml:space="preserve">, </w:t>
      </w:r>
      <w:r>
        <w:t>our rules</w:t>
      </w:r>
      <w:r w:rsidR="0070152C">
        <w:t>, and the condition</w:t>
      </w:r>
      <w:r w:rsidR="00F14531">
        <w:t xml:space="preserve">s required of other </w:t>
      </w:r>
      <w:r w:rsidR="00D91639">
        <w:t>SAS Administrators</w:t>
      </w:r>
      <w:r w:rsidR="00D52300">
        <w:t xml:space="preserve"> approved for full scale commercial deployment</w:t>
      </w:r>
      <w:r>
        <w:t>:</w:t>
      </w:r>
      <w:r>
        <w:rPr>
          <w:rStyle w:val="FootnoteReference"/>
        </w:rPr>
        <w:footnoteReference w:id="16"/>
      </w:r>
    </w:p>
    <w:p w:rsidR="008B21DB" w:rsidP="008B21DB" w14:paraId="6B2942FD" w14:textId="3D50DC50">
      <w:pPr>
        <w:pStyle w:val="ParaNum"/>
        <w:numPr>
          <w:ilvl w:val="0"/>
          <w:numId w:val="7"/>
        </w:numPr>
      </w:pPr>
      <w:r>
        <w:t>Amdocs</w:t>
      </w:r>
      <w:r w:rsidRPr="00F3281C" w:rsidR="000708D5">
        <w:t xml:space="preserve">  must comply with all current and future Commission rules</w:t>
      </w:r>
      <w:r w:rsidR="000708D5">
        <w:t xml:space="preserve"> and policies</w:t>
      </w:r>
      <w:r w:rsidRPr="00F3281C" w:rsidR="000708D5">
        <w:t xml:space="preserve">, </w:t>
      </w:r>
      <w:r w:rsidR="000708D5">
        <w:t xml:space="preserve">as well as all </w:t>
      </w:r>
      <w:r w:rsidRPr="00F3281C" w:rsidR="000708D5">
        <w:t>instructions</w:t>
      </w:r>
      <w:r w:rsidRPr="0048250D" w:rsidR="000708D5">
        <w:t xml:space="preserve"> </w:t>
      </w:r>
      <w:r w:rsidR="000708D5">
        <w:t xml:space="preserve">issued by WTB, </w:t>
      </w:r>
      <w:r w:rsidRPr="00F3281C" w:rsidR="000708D5">
        <w:t>OET</w:t>
      </w:r>
      <w:r w:rsidR="000708D5">
        <w:t>, or the Enforcement Bureau (EB), including any processes for interference reporting,</w:t>
      </w:r>
      <w:r w:rsidRPr="00F3281C" w:rsidR="000708D5">
        <w:t xml:space="preserve"> consistent with Sections 0.241(j) and 0.331(f) of the Commission’s rules and procedures</w:t>
      </w:r>
      <w:r>
        <w:rPr>
          <w:vertAlign w:val="superscript"/>
        </w:rPr>
        <w:footnoteReference w:id="17"/>
      </w:r>
      <w:r w:rsidR="000708D5">
        <w:t xml:space="preserve"> applicable to SASs on an ongoing basis.</w:t>
      </w:r>
      <w:r>
        <w:rPr>
          <w:rStyle w:val="FootnoteReference"/>
          <w:szCs w:val="22"/>
        </w:rPr>
        <w:footnoteReference w:id="18"/>
      </w:r>
      <w:r w:rsidRPr="0048250D" w:rsidR="000708D5">
        <w:t xml:space="preserve"> </w:t>
      </w:r>
      <w:r w:rsidR="000708D5">
        <w:t xml:space="preserve"> </w:t>
      </w:r>
      <w:r w:rsidRPr="00C9155B" w:rsidR="00C9155B">
        <w:t>Amdocs</w:t>
      </w:r>
      <w:r w:rsidR="00C9155B">
        <w:t xml:space="preserve"> </w:t>
      </w:r>
      <w:r w:rsidRPr="00182F77" w:rsidR="000708D5">
        <w:t xml:space="preserve">must </w:t>
      </w:r>
      <w:r w:rsidR="000708D5">
        <w:t xml:space="preserve">also </w:t>
      </w:r>
      <w:r w:rsidRPr="00182F77" w:rsidR="000708D5">
        <w:t>comply with requests for additional information from the Commission</w:t>
      </w:r>
      <w:r w:rsidR="000708D5">
        <w:t>, WTB, OET or EB.</w:t>
      </w:r>
      <w:r w:rsidRPr="00182F77" w:rsidR="000708D5">
        <w:t xml:space="preserve"> </w:t>
      </w:r>
    </w:p>
    <w:p w:rsidR="008B21DB" w:rsidRPr="0092767B" w:rsidP="008B21DB" w14:paraId="28FBDEF2" w14:textId="1195F8A3">
      <w:pPr>
        <w:pStyle w:val="ParaNum"/>
        <w:numPr>
          <w:ilvl w:val="0"/>
          <w:numId w:val="7"/>
        </w:numPr>
      </w:pPr>
      <w:r w:rsidRPr="0092767B">
        <w:t xml:space="preserve">As commercial deployments expand, </w:t>
      </w:r>
      <w:r w:rsidRPr="00C9155B" w:rsidR="00C9155B">
        <w:t>Amdocs</w:t>
      </w:r>
      <w:r w:rsidR="00C9155B">
        <w:t xml:space="preserve"> </w:t>
      </w:r>
      <w:r w:rsidRPr="0092767B">
        <w:t>must demonstrate continued compliance with all current and future Commission rules</w:t>
      </w:r>
      <w:r>
        <w:t xml:space="preserve"> and policies</w:t>
      </w:r>
      <w:r w:rsidRPr="0092767B">
        <w:t>, which may include working with commercial and non-commercial users to demonstrate compliance with protection criteria.  For example, a SAS may be required to demonstrate proper interoperation with its associated ESC to demonstrate effective protection of federal incumbents from actual commercial deployments.</w:t>
      </w:r>
      <w:r>
        <w:t xml:space="preserve">  </w:t>
      </w:r>
    </w:p>
    <w:p w:rsidR="008B21DB" w:rsidP="008B21DB" w14:paraId="61A4A747" w14:textId="7E02DEAC">
      <w:pPr>
        <w:pStyle w:val="ParaNum"/>
        <w:widowControl/>
        <w:numPr>
          <w:ilvl w:val="0"/>
          <w:numId w:val="7"/>
        </w:numPr>
      </w:pPr>
      <w:r w:rsidRPr="009B6CA3">
        <w:t xml:space="preserve">Amdocs </w:t>
      </w:r>
      <w:r w:rsidR="000708D5">
        <w:t>must protect current and future federal incumbent operations in and near the 3.5 GHz band, as set forth in the Commission’s rules.</w:t>
      </w:r>
      <w:r>
        <w:rPr>
          <w:rStyle w:val="FootnoteReference"/>
        </w:rPr>
        <w:footnoteReference w:id="19"/>
      </w:r>
      <w:r w:rsidR="000708D5">
        <w:t xml:space="preserve">  </w:t>
      </w:r>
      <w:r w:rsidRPr="009B6CA3">
        <w:t xml:space="preserve">Amdocs </w:t>
      </w:r>
      <w:r w:rsidRPr="00871DDC" w:rsidR="000708D5">
        <w:t xml:space="preserve">must be attentive to changes in protection criteria, such as those NTIA identified </w:t>
      </w:r>
      <w:r w:rsidR="00D16A7D">
        <w:t xml:space="preserve">in January 2020 </w:t>
      </w:r>
      <w:r w:rsidRPr="00871DDC" w:rsidR="000708D5">
        <w:t xml:space="preserve">for Category B CBRS base stations, and to </w:t>
      </w:r>
      <w:r w:rsidR="000708D5">
        <w:t>modifications to the list of sites identified by NTIA.</w:t>
      </w:r>
      <w:r>
        <w:rPr>
          <w:vertAlign w:val="superscript"/>
        </w:rPr>
        <w:footnoteReference w:id="20"/>
      </w:r>
      <w:r w:rsidR="000708D5">
        <w:t xml:space="preserve">  </w:t>
      </w:r>
      <w:r w:rsidRPr="009B6CA3">
        <w:t xml:space="preserve">Amdocs </w:t>
      </w:r>
      <w:r w:rsidR="000708D5">
        <w:t xml:space="preserve">must be able </w:t>
      </w:r>
      <w:r w:rsidR="000708D5">
        <w:t>to receive and address reports of interference from federal Incumbent Access tier users</w:t>
      </w:r>
      <w:r w:rsidRPr="00F741C5" w:rsidR="000708D5">
        <w:t>.</w:t>
      </w:r>
      <w:r w:rsidR="000708D5">
        <w:t xml:space="preserve">  In addition, </w:t>
      </w:r>
      <w:r w:rsidRPr="00CD35F0" w:rsidR="00CD35F0">
        <w:t xml:space="preserve">Amdocs </w:t>
      </w:r>
      <w:r w:rsidR="000708D5">
        <w:t xml:space="preserve">must </w:t>
      </w:r>
      <w:r w:rsidRPr="00C34B33" w:rsidR="000708D5">
        <w:t xml:space="preserve">work with </w:t>
      </w:r>
      <w:r w:rsidR="000708D5">
        <w:t xml:space="preserve">the </w:t>
      </w:r>
      <w:r w:rsidRPr="00C34B33" w:rsidR="000708D5">
        <w:t xml:space="preserve">FCC, NTIA, </w:t>
      </w:r>
      <w:r w:rsidR="000708D5">
        <w:t xml:space="preserve">and </w:t>
      </w:r>
      <w:r w:rsidRPr="00C34B33" w:rsidR="000708D5">
        <w:t xml:space="preserve">DoD to </w:t>
      </w:r>
      <w:r w:rsidRPr="00166FE6" w:rsidR="00166FE6">
        <w:t xml:space="preserve">address </w:t>
      </w:r>
      <w:r w:rsidRPr="00C34B33" w:rsidR="000708D5">
        <w:t xml:space="preserve">interference issues </w:t>
      </w:r>
      <w:r w:rsidRPr="0077377D" w:rsidR="0077377D">
        <w:t xml:space="preserve">expeditiously </w:t>
      </w:r>
      <w:r w:rsidRPr="00C34B33" w:rsidR="000708D5">
        <w:t xml:space="preserve">and </w:t>
      </w:r>
      <w:r w:rsidR="000708D5">
        <w:t xml:space="preserve">to </w:t>
      </w:r>
      <w:r w:rsidRPr="00C34B33" w:rsidR="000708D5">
        <w:t>implement any new reporting processes as they are developed</w:t>
      </w:r>
      <w:r w:rsidR="000708D5">
        <w:t>.</w:t>
      </w:r>
      <w:r>
        <w:rPr>
          <w:rStyle w:val="FootnoteReference"/>
        </w:rPr>
        <w:footnoteReference w:id="21"/>
      </w:r>
    </w:p>
    <w:p w:rsidR="008B21DB" w:rsidP="008B21DB" w14:paraId="04B245EF" w14:textId="1FDE27BA">
      <w:pPr>
        <w:pStyle w:val="ParaNum"/>
        <w:numPr>
          <w:ilvl w:val="0"/>
          <w:numId w:val="7"/>
        </w:numPr>
      </w:pPr>
      <w:r>
        <w:t xml:space="preserve">If </w:t>
      </w:r>
      <w:r w:rsidRPr="00CD35F0">
        <w:t xml:space="preserve">Amdocs </w:t>
      </w:r>
      <w:r w:rsidR="000708D5">
        <w:t>chooses to support PAL leasing</w:t>
      </w:r>
      <w:r>
        <w:t>, it</w:t>
      </w:r>
      <w:r w:rsidR="000708D5">
        <w:t xml:space="preserve"> must submit a supplemental filing in GN Docket No. 15-319 and demonstrate the functionality of its leasing system before offering PAL leasing services.</w:t>
      </w:r>
      <w:r>
        <w:rPr>
          <w:rStyle w:val="FootnoteReference"/>
        </w:rPr>
        <w:footnoteReference w:id="22"/>
      </w:r>
      <w:r w:rsidR="000708D5">
        <w:t xml:space="preserve"> </w:t>
      </w:r>
    </w:p>
    <w:p w:rsidR="008B21DB" w:rsidRPr="00F3281C" w:rsidP="008B21DB" w14:paraId="46318DF5" w14:textId="5D639B79">
      <w:pPr>
        <w:pStyle w:val="ParaNum"/>
        <w:numPr>
          <w:ilvl w:val="0"/>
          <w:numId w:val="7"/>
        </w:numPr>
        <w:rPr>
          <w:szCs w:val="22"/>
        </w:rPr>
      </w:pPr>
      <w:r w:rsidRPr="000F1FDD">
        <w:t xml:space="preserve">Amdocs </w:t>
      </w:r>
      <w:r w:rsidR="000708D5">
        <w:t xml:space="preserve">is certified to operate in the </w:t>
      </w:r>
      <w:r w:rsidR="00891401">
        <w:t>contiguous</w:t>
      </w:r>
      <w:r w:rsidR="000708D5">
        <w:t xml:space="preserve"> United States, Alaska, Hawaii, Puerto Rico, and Guam.  If </w:t>
      </w:r>
      <w:r w:rsidRPr="000F1FDD">
        <w:t xml:space="preserve">Amdocs </w:t>
      </w:r>
      <w:r w:rsidR="000708D5">
        <w:t xml:space="preserve">intends to operate in additional </w:t>
      </w:r>
      <w:r w:rsidRPr="005B7923" w:rsidR="000708D5">
        <w:t>U.S. Territories and Possessions</w:t>
      </w:r>
      <w:r w:rsidR="000708D5">
        <w:t xml:space="preserve">, it must submit a filing in GN Docket No. 15-319 detailing the additional territories that it plans to cover.  These supplemental filings must include all information necessary for WTB/OET to </w:t>
      </w:r>
      <w:r w:rsidR="000708D5">
        <w:t>make a determination</w:t>
      </w:r>
      <w:r w:rsidR="000708D5">
        <w:t xml:space="preserve"> regarding </w:t>
      </w:r>
      <w:r w:rsidRPr="000F1FDD">
        <w:t>Amdocs</w:t>
      </w:r>
      <w:r w:rsidR="000708D5">
        <w:t xml:space="preserve">’s ability to provide service to each territory, including terrain maps and associated ESC sensor coverage information (where applicable). </w:t>
      </w:r>
    </w:p>
    <w:p w:rsidR="008B21DB" w:rsidRPr="001E0678" w:rsidP="008B21DB" w14:paraId="761FC951" w14:textId="69CF0514">
      <w:pPr>
        <w:pStyle w:val="ParaNum"/>
        <w:numPr>
          <w:ilvl w:val="0"/>
          <w:numId w:val="7"/>
        </w:numPr>
      </w:pPr>
      <w:r>
        <w:t xml:space="preserve">If </w:t>
      </w:r>
      <w:r w:rsidRPr="009D4167" w:rsidR="009D4167">
        <w:t xml:space="preserve">Amdocs </w:t>
      </w:r>
      <w:r>
        <w:t>plans to make substantive</w:t>
      </w:r>
      <w:r w:rsidRPr="00BC7FD2">
        <w:t xml:space="preserve"> </w:t>
      </w:r>
      <w:r>
        <w:t xml:space="preserve">changes to its system, for example, to comply with new releases of industry standards, </w:t>
      </w:r>
      <w:r w:rsidRPr="009D4167" w:rsidR="009D4167">
        <w:t xml:space="preserve">Amdocs </w:t>
      </w:r>
      <w:r w:rsidRPr="00BC7FD2">
        <w:t xml:space="preserve">must </w:t>
      </w:r>
      <w:r>
        <w:t>supplement or amend its filings</w:t>
      </w:r>
      <w:r w:rsidRPr="00BC7FD2">
        <w:t xml:space="preserve"> </w:t>
      </w:r>
      <w:r>
        <w:t>in GN Docket No. 15-319 to reflect these changes.</w:t>
      </w:r>
      <w:r>
        <w:rPr>
          <w:vertAlign w:val="superscript"/>
        </w:rPr>
        <w:footnoteReference w:id="23"/>
      </w:r>
      <w:r>
        <w:t xml:space="preserve">  </w:t>
      </w:r>
      <w:r w:rsidRPr="00E71759">
        <w:t xml:space="preserve">Before WTB/OET approves the use of new or modified SAS features, </w:t>
      </w:r>
      <w:r w:rsidRPr="009D4167" w:rsidR="009D4167">
        <w:t xml:space="preserve">Amdocs </w:t>
      </w:r>
      <w:r>
        <w:t xml:space="preserve">must demonstrate that the modified SAS will continue to comply with the Commission’s rules, and it may be required to submit its systems for additional testing.  Upon request, </w:t>
      </w:r>
      <w:r w:rsidRPr="00DE1D5B" w:rsidR="00DE1D5B">
        <w:t>Amdocs</w:t>
      </w:r>
      <w:r>
        <w:t xml:space="preserve"> must provide </w:t>
      </w:r>
      <w:r w:rsidRPr="00BC7FD2">
        <w:t xml:space="preserve">external testing interfaces to enable WTB/OET, in collaboration with NTIA and DoD, </w:t>
      </w:r>
      <w:r>
        <w:t xml:space="preserve">to </w:t>
      </w:r>
      <w:r w:rsidRPr="00BC7FD2">
        <w:t>verify that the</w:t>
      </w:r>
      <w:r>
        <w:t xml:space="preserve"> proposed modifications </w:t>
      </w:r>
      <w:r w:rsidRPr="00BC7FD2">
        <w:t>compl</w:t>
      </w:r>
      <w:r>
        <w:t>y</w:t>
      </w:r>
      <w:r w:rsidRPr="00BC7FD2">
        <w:t xml:space="preserve"> with the relevant rules as specified by the Commission.</w:t>
      </w:r>
    </w:p>
    <w:p w:rsidR="008B21DB" w:rsidRPr="003C0060" w:rsidP="008B21DB" w14:paraId="3C7B160C" w14:textId="289C1FFC">
      <w:pPr>
        <w:pStyle w:val="ParaNum"/>
        <w:rPr>
          <w:b/>
        </w:rPr>
      </w:pPr>
      <w:r>
        <w:t xml:space="preserve">The above conditions will ensure that </w:t>
      </w:r>
      <w:r w:rsidRPr="00DE1D5B" w:rsidR="00DE1D5B">
        <w:t xml:space="preserve">Amdocs </w:t>
      </w:r>
      <w:r>
        <w:t xml:space="preserve">will continue to comply with the Commission’s rules.  </w:t>
      </w:r>
      <w:r w:rsidRPr="00DE1D5B" w:rsidR="00DE1D5B">
        <w:t>Amdocs</w:t>
      </w:r>
      <w:r>
        <w:t xml:space="preserve">’s certification may be revoked at any time if </w:t>
      </w:r>
      <w:r w:rsidRPr="003C5AFD" w:rsidR="003C5AFD">
        <w:t xml:space="preserve">Amdocs </w:t>
      </w:r>
      <w:r>
        <w:t xml:space="preserve">fails to comply with the Commission’s rules and guidance on an ongoing basis. </w:t>
      </w:r>
    </w:p>
    <w:p w:rsidR="008B21DB" w:rsidRPr="008B21DB" w:rsidP="008B21DB" w14:paraId="2254EDD5" w14:textId="6AE2FB97">
      <w:pPr>
        <w:pStyle w:val="ParaNum"/>
        <w:numPr>
          <w:ilvl w:val="0"/>
          <w:numId w:val="0"/>
        </w:numPr>
        <w:ind w:firstLine="720"/>
        <w:rPr>
          <w:b/>
          <w:szCs w:val="22"/>
        </w:rPr>
      </w:pPr>
      <w:r>
        <w:rPr>
          <w:szCs w:val="22"/>
        </w:rPr>
        <w:t xml:space="preserve">By the Chief, Wireless Telecommunications Bureau, and the </w:t>
      </w:r>
      <w:r w:rsidR="008758ED">
        <w:rPr>
          <w:szCs w:val="22"/>
        </w:rPr>
        <w:t xml:space="preserve">Acting </w:t>
      </w:r>
      <w:r>
        <w:rPr>
          <w:szCs w:val="22"/>
        </w:rPr>
        <w:t>Chief, Office of Engineering and Technology.</w:t>
      </w:r>
    </w:p>
    <w:p w:rsidR="008B21DB" w:rsidRPr="008B21DB" w:rsidP="008B21DB" w14:paraId="2F34D4A1" w14:textId="77777777">
      <w:pPr>
        <w:jc w:val="center"/>
        <w:rPr>
          <w:b/>
          <w:bCs/>
        </w:rPr>
      </w:pPr>
      <w:r w:rsidRPr="008B21DB">
        <w:rPr>
          <w:b/>
          <w:bCs/>
        </w:rPr>
        <w:t>-FCC-</w:t>
      </w:r>
    </w:p>
    <w:p w:rsidR="00F96F63" w:rsidRPr="00930ECF" w:rsidP="008B21DB" w14:paraId="3926CE40" w14:textId="77777777"/>
    <w:bookmarkEnd w:id="0"/>
    <w:p w:rsidR="00F96F63" w:rsidP="00F96F63" w14:paraId="20C337CE" w14:textId="77777777">
      <w:pPr>
        <w:rPr>
          <w:sz w:val="24"/>
        </w:rPr>
      </w:pPr>
    </w:p>
    <w:p w:rsidR="00930ECF" w:rsidRPr="00930ECF" w:rsidP="00F96F63" w14:paraId="7C40A968" w14:textId="77777777">
      <w:pPr>
        <w:rPr>
          <w:sz w:val="24"/>
        </w:rPr>
      </w:pP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1B24F33E"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73943FA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751AD415"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7AF5FC3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128EB" w14:paraId="7B593F0A" w14:textId="77777777">
      <w:r>
        <w:separator/>
      </w:r>
    </w:p>
  </w:footnote>
  <w:footnote w:type="continuationSeparator" w:id="1">
    <w:p w:rsidR="00F128EB" w14:paraId="5459380E" w14:textId="77777777">
      <w:pPr>
        <w:rPr>
          <w:sz w:val="20"/>
        </w:rPr>
      </w:pPr>
      <w:r>
        <w:rPr>
          <w:sz w:val="20"/>
        </w:rPr>
        <w:t xml:space="preserve">(Continued from previous page)  </w:t>
      </w:r>
      <w:r>
        <w:rPr>
          <w:sz w:val="20"/>
        </w:rPr>
        <w:separator/>
      </w:r>
    </w:p>
  </w:footnote>
  <w:footnote w:type="continuationNotice" w:id="2">
    <w:p w:rsidR="00F128EB" w:rsidP="00910F12" w14:paraId="0BB7EC31" w14:textId="77777777">
      <w:pPr>
        <w:jc w:val="right"/>
        <w:rPr>
          <w:sz w:val="20"/>
        </w:rPr>
      </w:pPr>
      <w:r>
        <w:rPr>
          <w:sz w:val="20"/>
        </w:rPr>
        <w:t>(continued….)</w:t>
      </w:r>
    </w:p>
  </w:footnote>
  <w:footnote w:id="3">
    <w:p w:rsidR="008B21DB" w:rsidRPr="009019F5" w:rsidP="008B21DB" w14:paraId="18CDF813" w14:textId="77777777">
      <w:pPr>
        <w:pStyle w:val="FootnoteText"/>
      </w:pPr>
      <w:r>
        <w:rPr>
          <w:rStyle w:val="FootnoteReference"/>
        </w:rPr>
        <w:footnoteRef/>
      </w:r>
      <w:r>
        <w:t xml:space="preserve"> </w:t>
      </w:r>
      <w:r>
        <w:rPr>
          <w:i/>
        </w:rPr>
        <w:t xml:space="preserve">See </w:t>
      </w:r>
      <w:r>
        <w:t>47 C.F.R. 96.63(e).</w:t>
      </w:r>
    </w:p>
  </w:footnote>
  <w:footnote w:id="4">
    <w:p w:rsidR="008B21DB" w:rsidRPr="0028722E" w:rsidP="008B21DB" w14:paraId="30B2A8FD" w14:textId="77777777">
      <w:pPr>
        <w:pStyle w:val="FootnoteText"/>
      </w:pPr>
      <w:r w:rsidRPr="00182F77">
        <w:rPr>
          <w:rStyle w:val="FootnoteReference"/>
          <w:sz w:val="20"/>
        </w:rPr>
        <w:footnoteRef/>
      </w:r>
      <w:r w:rsidRPr="0028722E">
        <w:t xml:space="preserve"> </w:t>
      </w:r>
      <w:r w:rsidRPr="0028722E">
        <w:rPr>
          <w:i/>
        </w:rPr>
        <w:t xml:space="preserve">See generally Amendment of the Commission's Rules </w:t>
      </w:r>
      <w:r w:rsidRPr="0028722E">
        <w:rPr>
          <w:i/>
          <w:snapToGrid w:val="0"/>
        </w:rPr>
        <w:t>with</w:t>
      </w:r>
      <w:r w:rsidRPr="0028722E">
        <w:rPr>
          <w:i/>
        </w:rPr>
        <w:t xml:space="preserve"> Regard to</w:t>
      </w:r>
      <w:r w:rsidRPr="0028722E">
        <w:rPr>
          <w:i/>
        </w:rPr>
        <w:t xml:space="preserve"> Commercial Operations in the 3550-3650 MHz Band</w:t>
      </w:r>
      <w:r w:rsidRPr="0028722E">
        <w:t xml:space="preserve">, </w:t>
      </w:r>
      <w:r>
        <w:t xml:space="preserve">GN Docket No. 12-354, </w:t>
      </w:r>
      <w:r w:rsidRPr="0028722E">
        <w:t xml:space="preserve">Report and Order and Second Further Notice of Proposed Rulemaking, 30 FCC </w:t>
      </w:r>
      <w:r w:rsidRPr="0028722E">
        <w:t>Rcd</w:t>
      </w:r>
      <w:r w:rsidRPr="0028722E">
        <w:t xml:space="preserve"> 3959</w:t>
      </w:r>
      <w:r>
        <w:t xml:space="preserve">, </w:t>
      </w:r>
      <w:r w:rsidRPr="007A6FFC">
        <w:rPr>
          <w:snapToGrid w:val="0"/>
        </w:rPr>
        <w:t>4067, paras. 369-</w:t>
      </w:r>
      <w:r w:rsidRPr="00CE4E4D">
        <w:rPr>
          <w:snapToGrid w:val="0"/>
        </w:rPr>
        <w:t>373 (2015) (</w:t>
      </w:r>
      <w:r>
        <w:rPr>
          <w:i/>
          <w:snapToGrid w:val="0"/>
        </w:rPr>
        <w:t xml:space="preserve">2015 Report and Order </w:t>
      </w:r>
      <w:r>
        <w:rPr>
          <w:snapToGrid w:val="0"/>
        </w:rPr>
        <w:t xml:space="preserve">and </w:t>
      </w:r>
      <w:r>
        <w:rPr>
          <w:i/>
          <w:snapToGrid w:val="0"/>
        </w:rPr>
        <w:t>2015 FNPRM</w:t>
      </w:r>
      <w:r>
        <w:rPr>
          <w:snapToGrid w:val="0"/>
        </w:rPr>
        <w:t>, respectively);</w:t>
      </w:r>
      <w:r w:rsidRPr="007A6FFC">
        <w:rPr>
          <w:snapToGrid w:val="0"/>
        </w:rPr>
        <w:t xml:space="preserve"> </w:t>
      </w:r>
      <w:r w:rsidRPr="0028722E">
        <w:rPr>
          <w:i/>
          <w:snapToGrid w:val="0"/>
        </w:rPr>
        <w:t xml:space="preserve">see also </w:t>
      </w:r>
      <w:r w:rsidRPr="0028722E">
        <w:rPr>
          <w:snapToGrid w:val="0"/>
        </w:rPr>
        <w:t xml:space="preserve">47 CFR </w:t>
      </w:r>
      <w:bookmarkStart w:id="2" w:name="_Hlk5881743"/>
      <w:r w:rsidRPr="0028722E">
        <w:rPr>
          <w:snapToGrid w:val="0"/>
        </w:rPr>
        <w:t>§§</w:t>
      </w:r>
      <w:r>
        <w:rPr>
          <w:snapToGrid w:val="0"/>
        </w:rPr>
        <w:t> </w:t>
      </w:r>
      <w:r w:rsidRPr="0028722E">
        <w:rPr>
          <w:snapToGrid w:val="0"/>
        </w:rPr>
        <w:t xml:space="preserve">0.241(j), </w:t>
      </w:r>
      <w:bookmarkEnd w:id="2"/>
      <w:r w:rsidRPr="0028722E">
        <w:rPr>
          <w:snapToGrid w:val="0"/>
        </w:rPr>
        <w:t xml:space="preserve">0.331(f).  </w:t>
      </w:r>
    </w:p>
  </w:footnote>
  <w:footnote w:id="5">
    <w:p w:rsidR="008B21DB" w:rsidP="008B21DB" w14:paraId="5109B6F5" w14:textId="77777777">
      <w:pPr>
        <w:pStyle w:val="FootnoteText"/>
      </w:pPr>
      <w:r w:rsidRPr="00182F77">
        <w:rPr>
          <w:rStyle w:val="FootnoteReference"/>
          <w:sz w:val="20"/>
        </w:rPr>
        <w:footnoteRef/>
      </w:r>
      <w:r>
        <w:t xml:space="preserve"> </w:t>
      </w:r>
      <w:r w:rsidRPr="009D58CF">
        <w:rPr>
          <w:i/>
        </w:rPr>
        <w:t>See</w:t>
      </w:r>
      <w:r>
        <w:rPr>
          <w:i/>
        </w:rPr>
        <w:t xml:space="preserve"> </w:t>
      </w:r>
      <w:r w:rsidRPr="00182F77">
        <w:rPr>
          <w:i/>
        </w:rPr>
        <w:t>Wireless Telecommunications Bureau and Office of Engineering and Technology Establish Procedure and Deadline for Filing Spectrum Access System (SAS) Administrators(s) and Environmental Sensing Capability (ESC) Operator(s) Applications</w:t>
      </w:r>
      <w:r w:rsidRPr="00182F77">
        <w:t xml:space="preserve">, </w:t>
      </w:r>
      <w:bookmarkStart w:id="3" w:name="_Hlk5881762"/>
      <w:r>
        <w:t>GN Docket No. 15-319</w:t>
      </w:r>
      <w:bookmarkEnd w:id="3"/>
      <w:r>
        <w:t xml:space="preserve">, </w:t>
      </w:r>
      <w:r w:rsidRPr="00182F77">
        <w:t xml:space="preserve">Public Notice, </w:t>
      </w:r>
      <w:r w:rsidRPr="00CE4E4D">
        <w:t xml:space="preserve">30 FCC </w:t>
      </w:r>
      <w:r w:rsidRPr="00CE4E4D">
        <w:t>Rcd</w:t>
      </w:r>
      <w:r w:rsidRPr="00CE4E4D">
        <w:t xml:space="preserve"> 14170, 14174-77</w:t>
      </w:r>
      <w:r w:rsidRPr="00182F77">
        <w:rPr>
          <w:i/>
        </w:rPr>
        <w:t xml:space="preserve"> </w:t>
      </w:r>
      <w:r w:rsidRPr="00182F77">
        <w:t>(WTB/OET 2015) (</w:t>
      </w:r>
      <w:r w:rsidRPr="00182F77">
        <w:rPr>
          <w:i/>
        </w:rPr>
        <w:t>First Wave Proposal Public Notice</w:t>
      </w:r>
      <w:r w:rsidRPr="00182F77">
        <w:t xml:space="preserve">). </w:t>
      </w:r>
    </w:p>
  </w:footnote>
  <w:footnote w:id="6">
    <w:p w:rsidR="008B21DB" w:rsidP="008B21DB" w14:paraId="7CBCAA4E" w14:textId="77777777">
      <w:pPr>
        <w:pStyle w:val="FootnoteText"/>
      </w:pPr>
      <w:r w:rsidRPr="0019674D">
        <w:rPr>
          <w:rStyle w:val="FootnoteReference"/>
          <w:sz w:val="20"/>
        </w:rPr>
        <w:footnoteRef/>
      </w:r>
      <w:r w:rsidRPr="0019674D">
        <w:t xml:space="preserve"> </w:t>
      </w:r>
      <w:r w:rsidRPr="007A6FFC">
        <w:rPr>
          <w:i/>
        </w:rPr>
        <w:t xml:space="preserve">See </w:t>
      </w:r>
      <w:r>
        <w:rPr>
          <w:i/>
          <w:snapToGrid w:val="0"/>
        </w:rPr>
        <w:t>2015 Report and Order</w:t>
      </w:r>
      <w:r w:rsidRPr="00CE4E4D">
        <w:t>,</w:t>
      </w:r>
      <w:r w:rsidRPr="007A6FFC">
        <w:t xml:space="preserve"> 30 FCC </w:t>
      </w:r>
      <w:r w:rsidRPr="007A6FFC">
        <w:t>Rcd</w:t>
      </w:r>
      <w:r w:rsidRPr="007A6FFC">
        <w:t xml:space="preserve"> at</w:t>
      </w:r>
      <w:r w:rsidRPr="007A6FFC">
        <w:rPr>
          <w:i/>
        </w:rPr>
        <w:t xml:space="preserve"> </w:t>
      </w:r>
      <w:r w:rsidRPr="007A6FFC">
        <w:t>4054</w:t>
      </w:r>
      <w:r>
        <w:t>-55</w:t>
      </w:r>
      <w:r w:rsidRPr="007A6FFC">
        <w:t>, para. 3</w:t>
      </w:r>
      <w:r>
        <w:t xml:space="preserve">20 (listing SAS core functions); </w:t>
      </w:r>
      <w:r w:rsidRPr="0001439F">
        <w:rPr>
          <w:i/>
        </w:rPr>
        <w:t xml:space="preserve">see also </w:t>
      </w:r>
      <w:r w:rsidRPr="00182F77">
        <w:rPr>
          <w:i/>
        </w:rPr>
        <w:t>First Wave Proposal Public Notice</w:t>
      </w:r>
      <w:r w:rsidRPr="00DC7439">
        <w:t xml:space="preserve">, 30 FCC </w:t>
      </w:r>
      <w:r w:rsidRPr="00DC7439">
        <w:t>Rcd</w:t>
      </w:r>
      <w:r w:rsidRPr="00DC7439">
        <w:t xml:space="preserve"> 14170</w:t>
      </w:r>
      <w:r w:rsidRPr="00955168">
        <w:t>;</w:t>
      </w:r>
      <w:r>
        <w:rPr>
          <w:i/>
        </w:rPr>
        <w:t xml:space="preserve"> </w:t>
      </w:r>
      <w:r w:rsidRPr="00955168">
        <w:rPr>
          <w:i/>
        </w:rPr>
        <w:t xml:space="preserve">Wireless Telecommunications Bureau and Office of Engineering and Technology Conditionally Approve Seven Spectrum Access System Administrators for the 3.5 GHz Band, </w:t>
      </w:r>
      <w:r w:rsidRPr="001E3F66">
        <w:t xml:space="preserve">Public Notice, 31 FCC </w:t>
      </w:r>
      <w:r w:rsidRPr="001E3F66">
        <w:t>Rcd</w:t>
      </w:r>
      <w:r w:rsidRPr="001E3F66">
        <w:t xml:space="preserve"> 13355</w:t>
      </w:r>
      <w:r w:rsidRPr="00955168">
        <w:rPr>
          <w:i/>
        </w:rPr>
        <w:t xml:space="preserve"> </w:t>
      </w:r>
      <w:r w:rsidRPr="003F25DF">
        <w:t>(WTB/OET 2016) (</w:t>
      </w:r>
      <w:r w:rsidRPr="00955168">
        <w:rPr>
          <w:i/>
        </w:rPr>
        <w:t>SAS Conditional Approval Public Notice</w:t>
      </w:r>
      <w:r w:rsidRPr="003F25DF">
        <w:t>)</w:t>
      </w:r>
      <w:r w:rsidRPr="0001439F">
        <w:t xml:space="preserve">.  </w:t>
      </w:r>
    </w:p>
  </w:footnote>
  <w:footnote w:id="7">
    <w:p w:rsidR="008B21DB" w:rsidRPr="0019674D" w:rsidP="008B21DB" w14:paraId="6CDE7E00" w14:textId="2524862C">
      <w:pPr>
        <w:pStyle w:val="FootnoteText"/>
      </w:pPr>
      <w:r w:rsidRPr="0019674D">
        <w:rPr>
          <w:rStyle w:val="FootnoteReference"/>
          <w:sz w:val="20"/>
        </w:rPr>
        <w:footnoteRef/>
      </w:r>
      <w:r w:rsidRPr="0019674D">
        <w:t xml:space="preserve"> </w:t>
      </w:r>
      <w:r w:rsidRPr="0019674D">
        <w:rPr>
          <w:i/>
        </w:rPr>
        <w:t xml:space="preserve">See </w:t>
      </w:r>
      <w:r>
        <w:rPr>
          <w:i/>
          <w:snapToGrid w:val="0"/>
        </w:rPr>
        <w:t>2015 Report and Order</w:t>
      </w:r>
      <w:r w:rsidRPr="00CE4E4D">
        <w:t>,</w:t>
      </w:r>
      <w:r w:rsidRPr="0066056A">
        <w:t xml:space="preserve"> </w:t>
      </w:r>
      <w:r w:rsidRPr="0019674D">
        <w:t xml:space="preserve">30 FCC </w:t>
      </w:r>
      <w:r w:rsidRPr="0019674D">
        <w:t>Rcd</w:t>
      </w:r>
      <w:r w:rsidRPr="0019674D">
        <w:t xml:space="preserve"> at</w:t>
      </w:r>
      <w:r w:rsidRPr="0019674D">
        <w:rPr>
          <w:i/>
        </w:rPr>
        <w:t xml:space="preserve"> </w:t>
      </w:r>
      <w:r w:rsidRPr="0019674D">
        <w:t>4067, para. 372 (</w:t>
      </w:r>
      <w:r>
        <w:t xml:space="preserve">noting </w:t>
      </w:r>
      <w:r w:rsidRPr="0019674D">
        <w:t>that</w:t>
      </w:r>
      <w:r>
        <w:t xml:space="preserve"> the</w:t>
      </w:r>
      <w:r w:rsidRPr="0019674D">
        <w:t xml:space="preserve"> final compliance testing phase can include a public testing period, testing of protections for incumbent systems, and field trials).  </w:t>
      </w:r>
      <w:r w:rsidRPr="00197869">
        <w:t xml:space="preserve">On July 27, 2018, WTB/OET released a Public Notice that described the procedure and deadline for filing </w:t>
      </w:r>
      <w:r w:rsidRPr="00C42C1C" w:rsidR="00C42C1C">
        <w:t xml:space="preserve">Initial Commercial Deployment </w:t>
      </w:r>
      <w:r w:rsidR="00C42C1C">
        <w:t>(</w:t>
      </w:r>
      <w:r w:rsidRPr="00197869">
        <w:t>ICD</w:t>
      </w:r>
      <w:r w:rsidR="00C42C1C">
        <w:t>)</w:t>
      </w:r>
      <w:r w:rsidRPr="00197869">
        <w:t xml:space="preserve"> proposals.</w:t>
      </w:r>
      <w:r>
        <w:t xml:space="preserve">  </w:t>
      </w:r>
      <w:r w:rsidRPr="001132FC">
        <w:rPr>
          <w:i/>
        </w:rPr>
        <w:t xml:space="preserve">See </w:t>
      </w:r>
      <w:r w:rsidRPr="00B03471">
        <w:rPr>
          <w:i/>
        </w:rPr>
        <w:t>Wireless Telecommunications Bureau and Office of Engineering and Technology Establish Procedure and Deadline for Filing Spectrum Access System Initial Commercial Deployment Proposals</w:t>
      </w:r>
      <w:r w:rsidRPr="00240D42">
        <w:t>,</w:t>
      </w:r>
      <w:r w:rsidRPr="00B03471">
        <w:rPr>
          <w:i/>
        </w:rPr>
        <w:t xml:space="preserve"> </w:t>
      </w:r>
      <w:r w:rsidRPr="00240D42">
        <w:t>Public Notice</w:t>
      </w:r>
      <w:r w:rsidRPr="001132FC">
        <w:t xml:space="preserve">, 33 FCC </w:t>
      </w:r>
      <w:r w:rsidRPr="001132FC">
        <w:t>Rcd</w:t>
      </w:r>
      <w:r w:rsidRPr="001132FC">
        <w:t xml:space="preserve"> 7390</w:t>
      </w:r>
      <w:r>
        <w:t xml:space="preserve"> </w:t>
      </w:r>
      <w:r w:rsidRPr="00240D42">
        <w:t>(WTB/OET 2018) (</w:t>
      </w:r>
      <w:r w:rsidRPr="00240D42">
        <w:rPr>
          <w:i/>
        </w:rPr>
        <w:t>ICD Proposals Public Notice</w:t>
      </w:r>
      <w:r w:rsidRPr="00240D42">
        <w:t>)</w:t>
      </w:r>
      <w:r w:rsidRPr="001132FC">
        <w:t>.</w:t>
      </w:r>
      <w:r>
        <w:t xml:space="preserve">  </w:t>
      </w:r>
      <w:r w:rsidR="00022511">
        <w:t xml:space="preserve">The </w:t>
      </w:r>
      <w:r w:rsidRPr="00721F5B">
        <w:t>ICD</w:t>
      </w:r>
      <w:r w:rsidR="00022511">
        <w:t xml:space="preserve"> requirement</w:t>
      </w:r>
      <w:r w:rsidRPr="00721F5B">
        <w:t xml:space="preserve"> is meant to fulfill the Commission’s requirement that applicants conduct a public testing period and field trials prior to final certification.</w:t>
      </w:r>
      <w:r>
        <w:t xml:space="preserve">  </w:t>
      </w:r>
      <w:r w:rsidRPr="001132FC">
        <w:rPr>
          <w:i/>
        </w:rPr>
        <w:t>2015 Report and Order</w:t>
      </w:r>
      <w:r w:rsidRPr="001132FC">
        <w:t xml:space="preserve">, 30 FCC </w:t>
      </w:r>
      <w:r w:rsidRPr="001132FC">
        <w:t>Rcd</w:t>
      </w:r>
      <w:r w:rsidRPr="001132FC">
        <w:t xml:space="preserve"> at</w:t>
      </w:r>
      <w:r w:rsidRPr="001132FC">
        <w:rPr>
          <w:i/>
        </w:rPr>
        <w:t xml:space="preserve"> </w:t>
      </w:r>
      <w:r w:rsidRPr="001132FC">
        <w:t>4067, para. 372</w:t>
      </w:r>
      <w:r>
        <w:t>.</w:t>
      </w:r>
    </w:p>
  </w:footnote>
  <w:footnote w:id="8">
    <w:p w:rsidR="008B21DB" w:rsidRPr="0019674D" w:rsidP="008B21DB" w14:paraId="2E94B605" w14:textId="522BDDD7">
      <w:pPr>
        <w:pStyle w:val="FootnoteText"/>
      </w:pPr>
      <w:r w:rsidRPr="0019674D">
        <w:rPr>
          <w:rStyle w:val="FootnoteReference"/>
          <w:sz w:val="20"/>
        </w:rPr>
        <w:footnoteRef/>
      </w:r>
      <w:r w:rsidRPr="0019674D">
        <w:t xml:space="preserve"> </w:t>
      </w:r>
      <w:r w:rsidRPr="0019674D">
        <w:rPr>
          <w:i/>
        </w:rPr>
        <w:t>SAS Conditional Approval Public Notice</w:t>
      </w:r>
      <w:r>
        <w:t xml:space="preserve">, 31 FCC </w:t>
      </w:r>
      <w:r>
        <w:t>Rcd</w:t>
      </w:r>
      <w:r>
        <w:t xml:space="preserve"> 13355</w:t>
      </w:r>
      <w:r w:rsidRPr="0019674D">
        <w:t xml:space="preserve"> (conditionally approving the following seven SAS Administrators:  Amdocs, Inc.; Comm</w:t>
      </w:r>
      <w:r>
        <w:t>S</w:t>
      </w:r>
      <w:r w:rsidRPr="0019674D">
        <w:t>cope; CTIA; Federated</w:t>
      </w:r>
      <w:r w:rsidR="00163F55">
        <w:t xml:space="preserve"> Wireless, Inc.</w:t>
      </w:r>
      <w:r w:rsidRPr="0019674D">
        <w:t xml:space="preserve">; Google; </w:t>
      </w:r>
      <w:r w:rsidRPr="0019674D">
        <w:t>iPosi</w:t>
      </w:r>
      <w:r w:rsidRPr="0019674D">
        <w:t>; Key Bridge; and Sony</w:t>
      </w:r>
      <w:r w:rsidR="00954736">
        <w:t xml:space="preserve"> Corporation</w:t>
      </w:r>
      <w:r w:rsidRPr="0019674D">
        <w:t xml:space="preserve">).  CTIA later withdrew its proposal.  </w:t>
      </w:r>
      <w:r w:rsidRPr="0019674D">
        <w:rPr>
          <w:i/>
        </w:rPr>
        <w:t xml:space="preserve">See </w:t>
      </w:r>
      <w:r w:rsidRPr="0019674D">
        <w:t>Letter from Paul Anuszkiewicz et al., Vice President, Spectrum Planning, CTIA, to Marlene H. Dortch, Secretary, FCC</w:t>
      </w:r>
      <w:r>
        <w:t>,</w:t>
      </w:r>
      <w:r w:rsidRPr="0019674D">
        <w:t xml:space="preserve"> </w:t>
      </w:r>
      <w:r w:rsidRPr="00D974FA">
        <w:t>GN Docket No. 15-319</w:t>
      </w:r>
      <w:r>
        <w:t xml:space="preserve"> </w:t>
      </w:r>
      <w:r w:rsidRPr="0019674D">
        <w:t>(</w:t>
      </w:r>
      <w:r>
        <w:t xml:space="preserve">filed </w:t>
      </w:r>
      <w:r w:rsidRPr="0019674D">
        <w:t xml:space="preserve">Nov. 20, 2017). </w:t>
      </w:r>
    </w:p>
  </w:footnote>
  <w:footnote w:id="9">
    <w:p w:rsidR="008B21DB" w:rsidP="008B21DB" w14:paraId="1A17A693" w14:textId="77777777">
      <w:pPr>
        <w:pStyle w:val="FootnoteText"/>
      </w:pPr>
      <w:r>
        <w:rPr>
          <w:rStyle w:val="FootnoteReference"/>
        </w:rPr>
        <w:footnoteRef/>
      </w:r>
      <w:r>
        <w:t xml:space="preserve"> </w:t>
      </w:r>
      <w:r w:rsidRPr="00077B00">
        <w:t xml:space="preserve">While lab testing of individual SASs is required before final certification, participation in either the process of verifying and validating the test harness or the subsequent lab testing of an individual SAS with ITS is optional and is not a prerequisite to submitting an ICD </w:t>
      </w:r>
      <w:r>
        <w:t>p</w:t>
      </w:r>
      <w:r w:rsidRPr="00077B00">
        <w:t>roposal or to obtaining final certification.</w:t>
      </w:r>
      <w:r>
        <w:t xml:space="preserve">  </w:t>
      </w:r>
      <w:r w:rsidRPr="00077B00">
        <w:rPr>
          <w:i/>
        </w:rPr>
        <w:t>ICD Proposals Public Notice</w:t>
      </w:r>
      <w:r w:rsidRPr="00077B00">
        <w:t xml:space="preserve">, 33 FCC </w:t>
      </w:r>
      <w:r w:rsidRPr="00077B00">
        <w:t>Rcd</w:t>
      </w:r>
      <w:r w:rsidRPr="00077B00">
        <w:t xml:space="preserve"> at </w:t>
      </w:r>
      <w:r>
        <w:t>7392, para. 4.</w:t>
      </w:r>
    </w:p>
  </w:footnote>
  <w:footnote w:id="10">
    <w:p w:rsidR="008B21DB" w:rsidP="008B21DB" w14:paraId="185E1731" w14:textId="17C9605E">
      <w:pPr>
        <w:pStyle w:val="FootnoteText"/>
      </w:pPr>
      <w:r>
        <w:rPr>
          <w:rStyle w:val="FootnoteReference"/>
        </w:rPr>
        <w:footnoteRef/>
      </w:r>
      <w:r>
        <w:t xml:space="preserve"> </w:t>
      </w:r>
      <w:r>
        <w:rPr>
          <w:i/>
        </w:rPr>
        <w:t xml:space="preserve">See </w:t>
      </w:r>
      <w:r w:rsidRPr="00656CD4">
        <w:rPr>
          <w:i/>
        </w:rPr>
        <w:t>ICD Proposals Public Notice</w:t>
      </w:r>
      <w:r w:rsidRPr="006A640E">
        <w:t xml:space="preserve">, 33 FCC </w:t>
      </w:r>
      <w:r w:rsidRPr="006A640E">
        <w:t>Rcd</w:t>
      </w:r>
      <w:r w:rsidRPr="006A640E">
        <w:t xml:space="preserve"> </w:t>
      </w:r>
      <w:r>
        <w:t xml:space="preserve">at </w:t>
      </w:r>
      <w:r w:rsidRPr="006A640E">
        <w:t>7390, para. 1.</w:t>
      </w:r>
      <w:r>
        <w:t xml:space="preserve">  </w:t>
      </w:r>
      <w:r w:rsidRPr="007533F9">
        <w:t xml:space="preserve">Conditionally approved SAS Administrators were permitted to file their laboratory testing reports in GN Docket No. 15-319.  </w:t>
      </w:r>
      <w:r w:rsidRPr="00F84183">
        <w:rPr>
          <w:i/>
        </w:rPr>
        <w:t>ICD Proposals Public Notice</w:t>
      </w:r>
      <w:r w:rsidRPr="007533F9">
        <w:t xml:space="preserve">, 33 FCC </w:t>
      </w:r>
      <w:r w:rsidRPr="007533F9">
        <w:t>Rcd</w:t>
      </w:r>
      <w:r w:rsidRPr="007533F9">
        <w:t xml:space="preserve"> </w:t>
      </w:r>
      <w:r>
        <w:t xml:space="preserve">at </w:t>
      </w:r>
      <w:r w:rsidRPr="007533F9">
        <w:t>7392, para. 5</w:t>
      </w:r>
      <w:r>
        <w:t xml:space="preserve">.  </w:t>
      </w:r>
      <w:r w:rsidR="00397F60">
        <w:t>Amdocs</w:t>
      </w:r>
      <w:r>
        <w:t xml:space="preserve"> chose to file </w:t>
      </w:r>
      <w:r w:rsidR="00397F60">
        <w:t>its</w:t>
      </w:r>
      <w:r>
        <w:t xml:space="preserve"> laboratory testing report with the Commission and requested confidential treatment.  </w:t>
      </w:r>
      <w:r>
        <w:rPr>
          <w:i/>
        </w:rPr>
        <w:t>See</w:t>
      </w:r>
      <w:r>
        <w:t xml:space="preserve"> Letter from Robert A. Silverman, Counsel for Amdocs, Inc., to </w:t>
      </w:r>
      <w:r w:rsidRPr="001C697D">
        <w:t>Marlene H. Dortch, Secretary, FCC, GN Docket No. 15-319 (filed July 2</w:t>
      </w:r>
      <w:r>
        <w:t>4</w:t>
      </w:r>
      <w:r w:rsidRPr="001C697D">
        <w:t>, 2019)</w:t>
      </w:r>
      <w:r>
        <w:t>.</w:t>
      </w:r>
    </w:p>
  </w:footnote>
  <w:footnote w:id="11">
    <w:p w:rsidR="008B21DB" w:rsidP="008B21DB" w14:paraId="6CAC78B5" w14:textId="229036AC">
      <w:pPr>
        <w:pStyle w:val="FootnoteText"/>
      </w:pPr>
      <w:r>
        <w:rPr>
          <w:rStyle w:val="FootnoteReference"/>
        </w:rPr>
        <w:footnoteRef/>
      </w:r>
      <w:r>
        <w:t xml:space="preserve"> </w:t>
      </w:r>
      <w:r w:rsidRPr="007625FC">
        <w:rPr>
          <w:i/>
        </w:rPr>
        <w:t>ICD Proposals Public Notice</w:t>
      </w:r>
      <w:r w:rsidRPr="007625FC">
        <w:t xml:space="preserve">, 33 FCC </w:t>
      </w:r>
      <w:r w:rsidRPr="007625FC">
        <w:t>Rcd</w:t>
      </w:r>
      <w:r w:rsidRPr="007625FC">
        <w:t xml:space="preserve"> at 739</w:t>
      </w:r>
      <w:r>
        <w:t>0</w:t>
      </w:r>
      <w:r w:rsidRPr="007625FC">
        <w:t xml:space="preserve">, para. </w:t>
      </w:r>
      <w:r>
        <w:t>1</w:t>
      </w:r>
      <w:r w:rsidRPr="007625FC">
        <w:t>.</w:t>
      </w:r>
      <w:r>
        <w:t xml:space="preserve">  </w:t>
      </w:r>
      <w:r w:rsidRPr="007F5D62">
        <w:t xml:space="preserve">ICD proposals and any supplements were filed in GN Docket No. 15-319 consistent with the Commission’s instructions.  </w:t>
      </w:r>
      <w:r w:rsidRPr="007F5D62">
        <w:rPr>
          <w:i/>
        </w:rPr>
        <w:t>ICD Proposals Public Notice</w:t>
      </w:r>
      <w:r w:rsidRPr="007F5D62">
        <w:t xml:space="preserve">, 33 FCC </w:t>
      </w:r>
      <w:r w:rsidRPr="007F5D62">
        <w:t>Rcd</w:t>
      </w:r>
      <w:r w:rsidRPr="007F5D62">
        <w:t xml:space="preserve"> at 7394-95, para. 11.</w:t>
      </w:r>
      <w:r w:rsidRPr="007F5D62">
        <w:rPr>
          <w:b/>
        </w:rPr>
        <w:t xml:space="preserve"> </w:t>
      </w:r>
      <w:r w:rsidR="00397F60">
        <w:t>Amdocs</w:t>
      </w:r>
      <w:r w:rsidRPr="007F5D62">
        <w:t xml:space="preserve"> requested confidential treatment for </w:t>
      </w:r>
      <w:r w:rsidR="00397F60">
        <w:t>its</w:t>
      </w:r>
      <w:r w:rsidRPr="007F5D62">
        <w:t xml:space="preserve"> ICD filings. </w:t>
      </w:r>
      <w:r w:rsidRPr="007F5D62">
        <w:rPr>
          <w:b/>
        </w:rPr>
        <w:t xml:space="preserve"> </w:t>
      </w:r>
      <w:r w:rsidRPr="007F5D62">
        <w:rPr>
          <w:i/>
        </w:rPr>
        <w:t>See</w:t>
      </w:r>
      <w:r w:rsidRPr="007F5D62">
        <w:t xml:space="preserve"> Letter from Letter from Caressa D. Bennet, Counsel for Amdocs, Inc., to Marlene H. Dortch, Secretary, FCC, GN Docket No. 15-319 (filed Sep. 10, 2018) (ICD proposal); Letter from Letter from Robert Silverman, Counsel for Amdocs, Inc., to Marlene H. Dortch, Secretary, FCC, GN Docket No. 15-319 (filed September 12, 2019) (Supplement).</w:t>
      </w:r>
    </w:p>
  </w:footnote>
  <w:footnote w:id="12">
    <w:p w:rsidR="008B21DB" w:rsidRPr="00404361" w:rsidP="008B21DB" w14:paraId="2F9FA3A7" w14:textId="77777777">
      <w:pPr>
        <w:pStyle w:val="FootnoteText"/>
      </w:pPr>
      <w:r>
        <w:rPr>
          <w:rStyle w:val="FootnoteReference"/>
        </w:rPr>
        <w:footnoteRef/>
      </w:r>
      <w:r>
        <w:t xml:space="preserve"> </w:t>
      </w:r>
      <w:r>
        <w:rPr>
          <w:i/>
        </w:rPr>
        <w:t>Wireless Telecommunications Bureau and Office of Engineering and Technology Announce Five Spectrum Access System Administrators to Begin Initial Commercial Deployments in the 3.5 GHz Band</w:t>
      </w:r>
      <w:r>
        <w:t xml:space="preserve">, GN Docket 15-319, </w:t>
      </w:r>
      <w:r w:rsidRPr="00890599">
        <w:t>Public Notice</w:t>
      </w:r>
      <w:r>
        <w:t xml:space="preserve">, </w:t>
      </w:r>
      <w:r w:rsidRPr="00890599">
        <w:t>34</w:t>
      </w:r>
      <w:r>
        <w:t xml:space="preserve"> FCC </w:t>
      </w:r>
      <w:r>
        <w:t>Rcd</w:t>
      </w:r>
      <w:r>
        <w:t xml:space="preserve"> 8106 (2019 WTB/OET) (</w:t>
      </w:r>
      <w:r>
        <w:rPr>
          <w:i/>
        </w:rPr>
        <w:t>ICD Approvals PN</w:t>
      </w:r>
      <w:r>
        <w:t xml:space="preserve">).  </w:t>
      </w:r>
    </w:p>
  </w:footnote>
  <w:footnote w:id="13">
    <w:p w:rsidR="008B21DB" w:rsidRPr="00ED157C" w:rsidP="008B21DB" w14:paraId="714CC4DD" w14:textId="1E6A81FF">
      <w:pPr>
        <w:pStyle w:val="FootnoteText"/>
      </w:pPr>
      <w:r>
        <w:rPr>
          <w:rStyle w:val="FootnoteReference"/>
        </w:rPr>
        <w:footnoteRef/>
      </w:r>
      <w:r>
        <w:t xml:space="preserve"> </w:t>
      </w:r>
      <w:r w:rsidRPr="008954C0" w:rsidR="008954C0">
        <w:t xml:space="preserve">Letter from Letter from Robert Silverman, Counsel for Amdocs, Inc., to Marlene H. Dortch, Secretary, FCC, GN Docket No. 15-319 (filed </w:t>
      </w:r>
      <w:r w:rsidR="008954C0">
        <w:t>Nov. 27</w:t>
      </w:r>
      <w:r w:rsidRPr="008954C0" w:rsidR="008954C0">
        <w:t>, 2019)</w:t>
      </w:r>
      <w:r>
        <w:t xml:space="preserve"> (notifying Commission of ICD commencement date of </w:t>
      </w:r>
      <w:r w:rsidR="008954C0">
        <w:t>December 1</w:t>
      </w:r>
      <w:r>
        <w:t>, 2019</w:t>
      </w:r>
      <w:r w:rsidRPr="007E1A71">
        <w:t>)</w:t>
      </w:r>
      <w:r>
        <w:t>.</w:t>
      </w:r>
      <w:r w:rsidR="007F580D">
        <w:t xml:space="preserve">  </w:t>
      </w:r>
      <w:r>
        <w:t xml:space="preserve">As permitted in the </w:t>
      </w:r>
      <w:r w:rsidRPr="00393F21">
        <w:rPr>
          <w:i/>
        </w:rPr>
        <w:t>ICD Approvals PN</w:t>
      </w:r>
      <w:r>
        <w:t xml:space="preserve">, </w:t>
      </w:r>
      <w:r w:rsidRPr="0042038F">
        <w:t xml:space="preserve">34 FCC </w:t>
      </w:r>
      <w:r w:rsidRPr="0042038F">
        <w:t>Rcd</w:t>
      </w:r>
      <w:r w:rsidRPr="0042038F">
        <w:t xml:space="preserve"> </w:t>
      </w:r>
      <w:r>
        <w:t xml:space="preserve">at 8111, para. 10, </w:t>
      </w:r>
      <w:r w:rsidR="008954C0">
        <w:t xml:space="preserve">Amdocs filed a </w:t>
      </w:r>
      <w:r>
        <w:t xml:space="preserve">notification to expand </w:t>
      </w:r>
      <w:r w:rsidR="008954C0">
        <w:t>its</w:t>
      </w:r>
      <w:r>
        <w:t xml:space="preserve"> ICD.  </w:t>
      </w:r>
      <w:r>
        <w:rPr>
          <w:i/>
        </w:rPr>
        <w:t>See</w:t>
      </w:r>
      <w:r>
        <w:t xml:space="preserve"> </w:t>
      </w:r>
      <w:r w:rsidRPr="008954C0" w:rsidR="008954C0">
        <w:t xml:space="preserve">Letter from Letter from Robert Silverman, Counsel for Amdocs, Inc., to Marlene H. Dortch, Secretary, FCC, GN Docket No. 15-319 (filed </w:t>
      </w:r>
      <w:r w:rsidR="008954C0">
        <w:t>Jan. 30, 2020</w:t>
      </w:r>
      <w:r w:rsidRPr="008954C0" w:rsidR="008954C0">
        <w:t>)</w:t>
      </w:r>
      <w:r w:rsidR="008954C0">
        <w:t>.</w:t>
      </w:r>
    </w:p>
  </w:footnote>
  <w:footnote w:id="14">
    <w:p w:rsidR="008B21DB" w:rsidP="008B21DB" w14:paraId="29295470" w14:textId="643C9006">
      <w:pPr>
        <w:pStyle w:val="FootnoteText"/>
      </w:pPr>
      <w:r>
        <w:rPr>
          <w:rStyle w:val="FootnoteReference"/>
        </w:rPr>
        <w:footnoteRef/>
      </w:r>
      <w:r>
        <w:t xml:space="preserve"> </w:t>
      </w:r>
      <w:r w:rsidRPr="008954C0" w:rsidR="008954C0">
        <w:t xml:space="preserve">Letter from Letter from Robert Silverman, Counsel for Amdocs, Inc., to Marlene H. Dortch, Secretary, FCC, GN Docket No. 15-319 (filed </w:t>
      </w:r>
      <w:r w:rsidR="008954C0">
        <w:t>Feb. 26, 2020</w:t>
      </w:r>
      <w:r w:rsidRPr="008954C0" w:rsidR="008954C0">
        <w:t>)</w:t>
      </w:r>
      <w:r>
        <w:t>.</w:t>
      </w:r>
    </w:p>
  </w:footnote>
  <w:footnote w:id="15">
    <w:p w:rsidR="007D1298" w:rsidRPr="00AB5EA7" w14:paraId="08BBB285" w14:textId="280699CF">
      <w:pPr>
        <w:pStyle w:val="FootnoteText"/>
      </w:pPr>
      <w:r>
        <w:rPr>
          <w:rStyle w:val="FootnoteReference"/>
        </w:rPr>
        <w:footnoteRef/>
      </w:r>
      <w:r>
        <w:t xml:space="preserve"> </w:t>
      </w:r>
      <w:r w:rsidR="00C41037">
        <w:t xml:space="preserve">Amdocs was one of five SAS Administrators </w:t>
      </w:r>
      <w:r w:rsidR="00AB5EA7">
        <w:t xml:space="preserve">approved to begin ICD in the 3.5 GHz band. </w:t>
      </w:r>
      <w:r w:rsidR="00AB5EA7">
        <w:rPr>
          <w:i/>
          <w:iCs/>
        </w:rPr>
        <w:t xml:space="preserve"> See </w:t>
      </w:r>
      <w:r w:rsidRPr="00AB5EA7" w:rsidR="00AB5EA7">
        <w:rPr>
          <w:i/>
          <w:iCs/>
        </w:rPr>
        <w:t>ICD Approvals PN</w:t>
      </w:r>
      <w:r w:rsidR="00AB5EA7">
        <w:t xml:space="preserve">, </w:t>
      </w:r>
      <w:r w:rsidRPr="00713009" w:rsidR="00713009">
        <w:t xml:space="preserve">34 FCC </w:t>
      </w:r>
      <w:r w:rsidRPr="00713009" w:rsidR="00713009">
        <w:t>Rcd</w:t>
      </w:r>
      <w:r w:rsidRPr="00713009" w:rsidR="00713009">
        <w:t xml:space="preserve"> 8106</w:t>
      </w:r>
      <w:r w:rsidR="00713009">
        <w:t>.</w:t>
      </w:r>
    </w:p>
  </w:footnote>
  <w:footnote w:id="16">
    <w:p w:rsidR="008B21DB" w:rsidRPr="008D57F9" w:rsidP="008B21DB" w14:paraId="319913CC" w14:textId="49B5C07E">
      <w:pPr>
        <w:pStyle w:val="FootnoteText"/>
      </w:pPr>
      <w:r>
        <w:rPr>
          <w:rStyle w:val="FootnoteReference"/>
        </w:rPr>
        <w:footnoteRef/>
      </w:r>
      <w:r>
        <w:t xml:space="preserve"> </w:t>
      </w:r>
      <w:r>
        <w:rPr>
          <w:i/>
        </w:rPr>
        <w:t xml:space="preserve">See </w:t>
      </w:r>
      <w:r w:rsidRPr="008D57F9">
        <w:rPr>
          <w:i/>
        </w:rPr>
        <w:t>SAS Conditional Approval Public Notice</w:t>
      </w:r>
      <w:r>
        <w:t xml:space="preserve">, </w:t>
      </w:r>
      <w:r w:rsidRPr="00C93F2D">
        <w:t xml:space="preserve">31 FCC </w:t>
      </w:r>
      <w:r w:rsidRPr="00C93F2D">
        <w:t>Rcd</w:t>
      </w:r>
      <w:r>
        <w:t xml:space="preserve"> at 13356-58, para. 7</w:t>
      </w:r>
      <w:r w:rsidR="00D91639">
        <w:t xml:space="preserve">; </w:t>
      </w:r>
      <w:r w:rsidR="002E126C">
        <w:rPr>
          <w:i/>
          <w:iCs/>
        </w:rPr>
        <w:t>Wireless Telecommunications Bureau</w:t>
      </w:r>
      <w:r w:rsidR="005B0DCF">
        <w:rPr>
          <w:i/>
          <w:iCs/>
        </w:rPr>
        <w:t xml:space="preserve"> and Office of Engineering and Technology Approve Four Spectrum Access Administrators for Full Scale Commercial Deployment in the 3.5 GHz Band and Emphasize Licensee Compliance Obligations </w:t>
      </w:r>
      <w:r w:rsidR="00192DFA">
        <w:rPr>
          <w:i/>
          <w:iCs/>
        </w:rPr>
        <w:t>in the 3650-3700 MHz Band Under Part 96</w:t>
      </w:r>
      <w:r w:rsidR="00192DFA">
        <w:t xml:space="preserve">, </w:t>
      </w:r>
      <w:r w:rsidR="00A438BE">
        <w:t xml:space="preserve">Public Notice, </w:t>
      </w:r>
      <w:r w:rsidR="00192DFA">
        <w:t xml:space="preserve">35 FCC </w:t>
      </w:r>
      <w:r w:rsidR="00192DFA">
        <w:t>Rcd</w:t>
      </w:r>
      <w:r w:rsidR="00192DFA">
        <w:t xml:space="preserve"> 117, </w:t>
      </w:r>
      <w:r w:rsidR="00F50B58">
        <w:t>11</w:t>
      </w:r>
      <w:r w:rsidR="008449D6">
        <w:t>8</w:t>
      </w:r>
      <w:r w:rsidR="00F50B58">
        <w:t>-20</w:t>
      </w:r>
      <w:r w:rsidR="008449D6">
        <w:t>, para. 5 (</w:t>
      </w:r>
      <w:r w:rsidRPr="007B5B3D" w:rsidR="007B5B3D">
        <w:t xml:space="preserve">WTB/OET </w:t>
      </w:r>
      <w:r w:rsidRPr="00B45EB0" w:rsidR="00B45EB0">
        <w:t>2020</w:t>
      </w:r>
      <w:r w:rsidR="008449D6">
        <w:t>)</w:t>
      </w:r>
      <w:r w:rsidR="00AE06FB">
        <w:t>.</w:t>
      </w:r>
    </w:p>
  </w:footnote>
  <w:footnote w:id="17">
    <w:p w:rsidR="006E0BEA" w:rsidRPr="00256F4A" w:rsidP="006E0BEA" w14:paraId="6220CDC4" w14:textId="77777777">
      <w:pPr>
        <w:pStyle w:val="FootnoteText"/>
      </w:pPr>
      <w:r w:rsidRPr="00256F4A">
        <w:rPr>
          <w:rStyle w:val="FootnoteReference"/>
          <w:sz w:val="20"/>
        </w:rPr>
        <w:footnoteRef/>
      </w:r>
      <w:r w:rsidRPr="00256F4A">
        <w:rPr>
          <w:i/>
        </w:rPr>
        <w:t xml:space="preserve"> See </w:t>
      </w:r>
      <w:r w:rsidRPr="00256F4A">
        <w:t xml:space="preserve">47 CFR </w:t>
      </w:r>
      <w:bookmarkStart w:id="4" w:name="_Hlk5882168"/>
      <w:r w:rsidRPr="00256F4A">
        <w:t>§§</w:t>
      </w:r>
      <w:r>
        <w:t> </w:t>
      </w:r>
      <w:r w:rsidRPr="00256F4A">
        <w:t xml:space="preserve">0.241(j), </w:t>
      </w:r>
      <w:bookmarkEnd w:id="4"/>
      <w:r w:rsidRPr="00256F4A">
        <w:t>0.1331(f)</w:t>
      </w:r>
      <w:r>
        <w:t xml:space="preserve"> (delegating authority to WTB/</w:t>
      </w:r>
      <w:r w:rsidRPr="00256F4A">
        <w:t xml:space="preserve">OET to oversee the </w:t>
      </w:r>
      <w:r>
        <w:t>SAS</w:t>
      </w:r>
      <w:r w:rsidRPr="00256F4A">
        <w:t xml:space="preserve"> approval process and facilitate the testing and development of multiple </w:t>
      </w:r>
      <w:r>
        <w:t>SAS</w:t>
      </w:r>
      <w:r w:rsidRPr="00256F4A">
        <w:t xml:space="preserve"> operators).  </w:t>
      </w:r>
    </w:p>
  </w:footnote>
  <w:footnote w:id="18">
    <w:p w:rsidR="008B21DB" w:rsidRPr="002A7D77" w:rsidP="008B21DB" w14:paraId="097B0F35" w14:textId="77777777">
      <w:pPr>
        <w:pStyle w:val="FootnoteText"/>
      </w:pPr>
      <w:r>
        <w:rPr>
          <w:rStyle w:val="FootnoteReference"/>
        </w:rPr>
        <w:footnoteRef/>
      </w:r>
      <w:r>
        <w:t xml:space="preserve"> </w:t>
      </w:r>
      <w:r>
        <w:rPr>
          <w:i/>
        </w:rPr>
        <w:t xml:space="preserve">See, e.g., </w:t>
      </w:r>
      <w:r>
        <w:t xml:space="preserve">47 CFR </w:t>
      </w:r>
      <w:bookmarkStart w:id="5" w:name="_Hlk5882184"/>
      <w:r w:rsidRPr="00256F4A">
        <w:t>§</w:t>
      </w:r>
      <w:r w:rsidRPr="00D940C2">
        <w:t>§</w:t>
      </w:r>
      <w:r>
        <w:t> 96.</w:t>
      </w:r>
      <w:bookmarkEnd w:id="5"/>
      <w:r>
        <w:t>53-96.65.</w:t>
      </w:r>
    </w:p>
  </w:footnote>
  <w:footnote w:id="19">
    <w:p w:rsidR="008B21DB" w:rsidP="008B21DB" w14:paraId="5103218B" w14:textId="77777777">
      <w:pPr>
        <w:pStyle w:val="FootnoteText"/>
      </w:pPr>
      <w:r>
        <w:rPr>
          <w:rStyle w:val="FootnoteReference"/>
        </w:rPr>
        <w:footnoteRef/>
      </w:r>
      <w:r>
        <w:t xml:space="preserve"> </w:t>
      </w:r>
      <w:r w:rsidRPr="00601046">
        <w:rPr>
          <w:i/>
        </w:rPr>
        <w:t xml:space="preserve">See </w:t>
      </w:r>
      <w:r w:rsidRPr="00601046">
        <w:t>47 CFR § 96.</w:t>
      </w:r>
      <w:r>
        <w:t>15.</w:t>
      </w:r>
    </w:p>
  </w:footnote>
  <w:footnote w:id="20">
    <w:p w:rsidR="008B21DB" w:rsidP="008B21DB" w14:paraId="002AC1AB" w14:textId="77777777">
      <w:pPr>
        <w:pStyle w:val="FootnoteText"/>
      </w:pPr>
      <w:r>
        <w:rPr>
          <w:rStyle w:val="FootnoteReference"/>
        </w:rPr>
        <w:footnoteRef/>
      </w:r>
      <w:r>
        <w:t xml:space="preserve"> </w:t>
      </w:r>
      <w:r>
        <w:rPr>
          <w:i/>
        </w:rPr>
        <w:t>See</w:t>
      </w:r>
      <w:r>
        <w:t xml:space="preserve"> Letter from Charles Cooper, Assoc. Admin., Office of Spectrum Mgt., NTIA, to Ronald T. Repasi, Chief (Acting) OET, and Donald Stockdale, Jr., Chief, WTB, FCC (Jan. 22, 2020), </w:t>
      </w:r>
      <w:r>
        <w:rPr>
          <w:i/>
        </w:rPr>
        <w:t xml:space="preserve">available at </w:t>
      </w:r>
      <w:hyperlink r:id="rId1" w:history="1">
        <w:r w:rsidRPr="001D1085">
          <w:rPr>
            <w:rStyle w:val="Hyperlink"/>
          </w:rPr>
          <w:t>https://www.ntia.doc.gov/fcc-filing/2015/ntia-letter-fcc-commercial-operations-3550-3650-mhz-band</w:t>
        </w:r>
      </w:hyperlink>
      <w:r>
        <w:t xml:space="preserve">; </w:t>
      </w:r>
      <w:r w:rsidRPr="00637E56">
        <w:t>https://www.fcc.gov/ecfs/filing/101220466714222</w:t>
      </w:r>
      <w:r>
        <w:t>.</w:t>
      </w:r>
    </w:p>
  </w:footnote>
  <w:footnote w:id="21">
    <w:p w:rsidR="008B21DB" w:rsidP="008B21DB" w14:paraId="03546D61" w14:textId="77777777">
      <w:pPr>
        <w:pStyle w:val="FootnoteText"/>
      </w:pPr>
      <w:r>
        <w:rPr>
          <w:rStyle w:val="FootnoteReference"/>
        </w:rPr>
        <w:footnoteRef/>
      </w:r>
      <w:r>
        <w:t xml:space="preserve"> </w:t>
      </w:r>
      <w:r w:rsidRPr="00883CEA">
        <w:rPr>
          <w:i/>
        </w:rPr>
        <w:t xml:space="preserve">See, e.g., </w:t>
      </w:r>
      <w:r w:rsidRPr="00883CEA">
        <w:t>47 CFR §§ 96.53</w:t>
      </w:r>
      <w:r>
        <w:t>, 96.55.</w:t>
      </w:r>
    </w:p>
  </w:footnote>
  <w:footnote w:id="22">
    <w:p w:rsidR="008B21DB" w:rsidP="008B21DB" w14:paraId="58F4D4D1" w14:textId="77777777">
      <w:pPr>
        <w:pStyle w:val="FootnoteText"/>
      </w:pPr>
      <w:r>
        <w:rPr>
          <w:rStyle w:val="FootnoteReference"/>
        </w:rPr>
        <w:footnoteRef/>
      </w:r>
      <w:r>
        <w:t xml:space="preserve"> </w:t>
      </w:r>
      <w:r w:rsidRPr="00145453">
        <w:rPr>
          <w:i/>
        </w:rPr>
        <w:t xml:space="preserve">See </w:t>
      </w:r>
      <w:r w:rsidRPr="00145453">
        <w:t>47 CFR §</w:t>
      </w:r>
      <w:r>
        <w:t xml:space="preserve"> 96.66.</w:t>
      </w:r>
    </w:p>
  </w:footnote>
  <w:footnote w:id="23">
    <w:p w:rsidR="008B21DB" w:rsidP="008B21DB" w14:paraId="43952F14" w14:textId="117FBEFC">
      <w:pPr>
        <w:pStyle w:val="FootnoteText"/>
      </w:pPr>
      <w:r w:rsidRPr="00182F77">
        <w:rPr>
          <w:rStyle w:val="FootnoteReference"/>
          <w:sz w:val="20"/>
        </w:rPr>
        <w:footnoteRef/>
      </w:r>
      <w:r>
        <w:t xml:space="preserve"> For example, t</w:t>
      </w:r>
      <w:r w:rsidRPr="00AD3666">
        <w:t xml:space="preserve">o the extent that </w:t>
      </w:r>
      <w:r w:rsidRPr="00652AE4" w:rsidR="00652AE4">
        <w:t xml:space="preserve">Amdocs </w:t>
      </w:r>
      <w:r>
        <w:t xml:space="preserve">later </w:t>
      </w:r>
      <w:r w:rsidRPr="00AD3666">
        <w:t xml:space="preserve">incorporates any </w:t>
      </w:r>
      <w:r>
        <w:t xml:space="preserve">future </w:t>
      </w:r>
      <w:r>
        <w:t>WinnForum</w:t>
      </w:r>
      <w:r>
        <w:t xml:space="preserve"> standards or any </w:t>
      </w:r>
      <w:r w:rsidRPr="00AD3666">
        <w:t xml:space="preserve">revisions to existing </w:t>
      </w:r>
      <w:r w:rsidRPr="00AD3666">
        <w:t>WinnForum</w:t>
      </w:r>
      <w:r w:rsidRPr="00AD3666">
        <w:t xml:space="preserve"> standards into its system, such </w:t>
      </w:r>
      <w:r>
        <w:t xml:space="preserve">standards and </w:t>
      </w:r>
      <w:r w:rsidRPr="00AD3666">
        <w:t>revisions must also be consistent with Commission rules.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50E8C49B" w14:textId="68CE9411">
    <w:pPr>
      <w:tabs>
        <w:tab w:val="center" w:pos="4680"/>
        <w:tab w:val="right" w:pos="9360"/>
      </w:tabs>
    </w:pPr>
    <w:r w:rsidRPr="009838BC">
      <w:rPr>
        <w:b/>
      </w:rPr>
      <w:tab/>
      <w:t>Federal Communications Commission</w:t>
    </w:r>
    <w:r w:rsidRPr="009838BC">
      <w:rPr>
        <w:b/>
      </w:rPr>
      <w:tab/>
    </w:r>
    <w:r w:rsidR="008D2F55">
      <w:rPr>
        <w:b/>
      </w:rPr>
      <w:t>DA 20-</w:t>
    </w:r>
    <w:r w:rsidR="0061619D">
      <w:rPr>
        <w:b/>
      </w:rPr>
      <w:t>437</w:t>
    </w:r>
  </w:p>
  <w:p w:rsidR="009838BC" w:rsidRPr="009838BC" w:rsidP="009838BC" w14:paraId="0CCB538A"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9838BC" w:rsidRPr="009838BC" w:rsidP="009838BC" w14:paraId="6F5097D1"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3E98EAAE"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14:paraId="6DAFE362" w14:textId="77777777">
                <w:pPr>
                  <w:rPr>
                    <w:rFonts w:ascii="Arial" w:hAnsi="Arial"/>
                    <w:b/>
                  </w:rPr>
                </w:pPr>
                <w:r>
                  <w:rPr>
                    <w:rFonts w:ascii="Arial" w:hAnsi="Arial"/>
                    <w:b/>
                  </w:rPr>
                  <w:t>Federal Communications Commission</w:t>
                </w:r>
              </w:p>
              <w:p w:rsidR="009838BC" w:rsidP="009838BC" w14:paraId="0FB31A12"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64FBD491"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w10:wrap type="topAndBottom"/>
        </v:shape>
      </w:pict>
    </w:r>
    <w:r w:rsidRPr="00A866AC" w:rsidR="000708D5">
      <w:rPr>
        <w:rFonts w:ascii="Arial" w:hAnsi="Arial" w:cs="Arial"/>
        <w:b/>
        <w:sz w:val="96"/>
      </w:rPr>
      <w:t>PUBLIC NOTICE</w:t>
    </w:r>
  </w:p>
  <w:p w:rsidR="009838BC" w:rsidRPr="00357D50" w:rsidP="009838BC" w14:paraId="0B6FEE14" w14:textId="77777777">
    <w:pPr>
      <w:spacing w:before="40"/>
      <w:rPr>
        <w:rFonts w:ascii="Arial" w:hAnsi="Arial" w:cs="Arial"/>
        <w:b/>
        <w:sz w:val="96"/>
      </w:rPr>
    </w:pPr>
    <w:r>
      <w:rPr>
        <w:noProof/>
      </w:rPr>
      <w:pict>
        <v:line id="Straight Connector 10" o:spid="_x0000_s2052" style="mso-position-horizontal:right;mso-position-horizontal-relative:margin;position:absolute;visibility:visible;z-index:251660288" from="5429.6pt,56.7pt" to="5897.6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14:paraId="7C61150A" w14:textId="77777777">
                <w:pPr>
                  <w:spacing w:before="40"/>
                  <w:jc w:val="right"/>
                  <w:rPr>
                    <w:rFonts w:ascii="Arial" w:hAnsi="Arial"/>
                    <w:b/>
                    <w:sz w:val="16"/>
                  </w:rPr>
                </w:pPr>
                <w:r>
                  <w:rPr>
                    <w:rFonts w:ascii="Arial" w:hAnsi="Arial"/>
                    <w:b/>
                    <w:sz w:val="16"/>
                  </w:rPr>
                  <w:t>News Media Information 202 / 418-0500</w:t>
                </w:r>
              </w:p>
              <w:p w:rsidR="009838BC" w:rsidP="009838BC" w14:paraId="33712A5A" w14:textId="77777777">
                <w:pPr>
                  <w:jc w:val="right"/>
                  <w:rPr>
                    <w:rFonts w:ascii="Arial" w:hAnsi="Arial"/>
                    <w:b/>
                    <w:sz w:val="16"/>
                  </w:rPr>
                </w:pPr>
                <w:r>
                  <w:rPr>
                    <w:rFonts w:ascii="Arial" w:hAnsi="Arial"/>
                    <w:b/>
                    <w:sz w:val="16"/>
                  </w:rPr>
                  <w:t xml:space="preserve">Internet: </w:t>
                </w:r>
                <w:bookmarkStart w:id="6" w:name="_Hlt233824"/>
                <w:hyperlink r:id="rId1" w:history="1">
                  <w:r w:rsidRPr="00D216CD">
                    <w:rPr>
                      <w:rStyle w:val="Hyperlink"/>
                      <w:rFonts w:ascii="Arial" w:hAnsi="Arial"/>
                      <w:b/>
                      <w:sz w:val="16"/>
                    </w:rPr>
                    <w:t>h</w:t>
                  </w:r>
                  <w:bookmarkEnd w:id="6"/>
                  <w:r w:rsidRPr="00D216CD">
                    <w:rPr>
                      <w:rStyle w:val="Hyperlink"/>
                      <w:rFonts w:ascii="Arial" w:hAnsi="Arial"/>
                      <w:b/>
                      <w:sz w:val="16"/>
                    </w:rPr>
                    <w:t>ttps://www.fcc.gov</w:t>
                  </w:r>
                </w:hyperlink>
              </w:p>
              <w:p w:rsidR="009838BC" w:rsidP="009838BC" w14:paraId="17729324" w14:textId="77777777">
                <w:pPr>
                  <w:jc w:val="right"/>
                </w:pPr>
                <w:r>
                  <w:rPr>
                    <w:rFonts w:ascii="Arial" w:hAnsi="Arial"/>
                    <w:b/>
                    <w:sz w:val="16"/>
                  </w:rPr>
                  <w:t>TTY: 1-888-835-5322</w:t>
                </w:r>
              </w:p>
            </w:txbxContent>
          </v:textbox>
        </v:shape>
      </w:pict>
    </w:r>
  </w:p>
  <w:p w:rsidR="006F7393" w:rsidRPr="009838BC" w:rsidP="009838BC" w14:paraId="600D3913"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B162155"/>
    <w:multiLevelType w:val="hybridMultilevel"/>
    <w:tmpl w:val="E63AE48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3E1C244C"/>
    <w:lvl w:ilvl="0">
      <w:start w:val="1"/>
      <w:numFmt w:val="decimal"/>
      <w:pStyle w:val="ParaNum"/>
      <w:lvlText w:val="%1."/>
      <w:lvlJc w:val="left"/>
      <w:pPr>
        <w:tabs>
          <w:tab w:val="num" w:pos="1080"/>
        </w:tabs>
        <w:ind w:left="0" w:firstLine="720"/>
      </w:pPr>
      <w:rPr>
        <w:b w:val="0"/>
        <w:bCs/>
      </w:r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1DB"/>
    <w:rsid w:val="000072CE"/>
    <w:rsid w:val="00013A8B"/>
    <w:rsid w:val="0001439F"/>
    <w:rsid w:val="00021445"/>
    <w:rsid w:val="00022511"/>
    <w:rsid w:val="000352BF"/>
    <w:rsid w:val="00036039"/>
    <w:rsid w:val="00037F90"/>
    <w:rsid w:val="000511B6"/>
    <w:rsid w:val="000708AB"/>
    <w:rsid w:val="000708D5"/>
    <w:rsid w:val="00077B00"/>
    <w:rsid w:val="000875BF"/>
    <w:rsid w:val="00096D8C"/>
    <w:rsid w:val="000B4594"/>
    <w:rsid w:val="000C0B65"/>
    <w:rsid w:val="000E3D42"/>
    <w:rsid w:val="000E5884"/>
    <w:rsid w:val="000E6DC8"/>
    <w:rsid w:val="000F1FDD"/>
    <w:rsid w:val="00102921"/>
    <w:rsid w:val="001132FC"/>
    <w:rsid w:val="00122BD5"/>
    <w:rsid w:val="001366C6"/>
    <w:rsid w:val="00145453"/>
    <w:rsid w:val="00163F55"/>
    <w:rsid w:val="00166FE6"/>
    <w:rsid w:val="001733D0"/>
    <w:rsid w:val="00182572"/>
    <w:rsid w:val="00182F77"/>
    <w:rsid w:val="00192DFA"/>
    <w:rsid w:val="0019674D"/>
    <w:rsid w:val="00197869"/>
    <w:rsid w:val="001979D9"/>
    <w:rsid w:val="001C697D"/>
    <w:rsid w:val="001D1085"/>
    <w:rsid w:val="001D4AFB"/>
    <w:rsid w:val="001D6BCF"/>
    <w:rsid w:val="001E01CA"/>
    <w:rsid w:val="001E0678"/>
    <w:rsid w:val="001E3F66"/>
    <w:rsid w:val="002060D9"/>
    <w:rsid w:val="002175C5"/>
    <w:rsid w:val="00226822"/>
    <w:rsid w:val="00240D42"/>
    <w:rsid w:val="00256F4A"/>
    <w:rsid w:val="00260594"/>
    <w:rsid w:val="00271EB2"/>
    <w:rsid w:val="00271F17"/>
    <w:rsid w:val="00285017"/>
    <w:rsid w:val="0028722E"/>
    <w:rsid w:val="002A2D2E"/>
    <w:rsid w:val="002A4A55"/>
    <w:rsid w:val="002A7D77"/>
    <w:rsid w:val="002B4BFA"/>
    <w:rsid w:val="002B6176"/>
    <w:rsid w:val="002D16E9"/>
    <w:rsid w:val="002E126C"/>
    <w:rsid w:val="002F7270"/>
    <w:rsid w:val="00312522"/>
    <w:rsid w:val="0033410F"/>
    <w:rsid w:val="00342B64"/>
    <w:rsid w:val="00343749"/>
    <w:rsid w:val="00357D50"/>
    <w:rsid w:val="003645FE"/>
    <w:rsid w:val="00381482"/>
    <w:rsid w:val="003925DC"/>
    <w:rsid w:val="00393F21"/>
    <w:rsid w:val="00397F60"/>
    <w:rsid w:val="003A4EE3"/>
    <w:rsid w:val="003B0550"/>
    <w:rsid w:val="003B694F"/>
    <w:rsid w:val="003C0060"/>
    <w:rsid w:val="003C5AFD"/>
    <w:rsid w:val="003C7BCD"/>
    <w:rsid w:val="003F171C"/>
    <w:rsid w:val="003F25DF"/>
    <w:rsid w:val="00402972"/>
    <w:rsid w:val="00404068"/>
    <w:rsid w:val="00404361"/>
    <w:rsid w:val="00412FC5"/>
    <w:rsid w:val="0042038F"/>
    <w:rsid w:val="00422276"/>
    <w:rsid w:val="004242F1"/>
    <w:rsid w:val="00442F3B"/>
    <w:rsid w:val="00445A00"/>
    <w:rsid w:val="004502EE"/>
    <w:rsid w:val="00451A38"/>
    <w:rsid w:val="00451B0F"/>
    <w:rsid w:val="00456277"/>
    <w:rsid w:val="0046125F"/>
    <w:rsid w:val="00472019"/>
    <w:rsid w:val="004761A0"/>
    <w:rsid w:val="0048250D"/>
    <w:rsid w:val="00487524"/>
    <w:rsid w:val="00496106"/>
    <w:rsid w:val="004A2BE3"/>
    <w:rsid w:val="004B0E16"/>
    <w:rsid w:val="004C12D0"/>
    <w:rsid w:val="004C2EE3"/>
    <w:rsid w:val="004D7ABB"/>
    <w:rsid w:val="004E4A22"/>
    <w:rsid w:val="004E5736"/>
    <w:rsid w:val="004F7691"/>
    <w:rsid w:val="00503E35"/>
    <w:rsid w:val="00511968"/>
    <w:rsid w:val="00530E1A"/>
    <w:rsid w:val="00540985"/>
    <w:rsid w:val="005460C1"/>
    <w:rsid w:val="0055614C"/>
    <w:rsid w:val="005633A5"/>
    <w:rsid w:val="005669FB"/>
    <w:rsid w:val="00567F98"/>
    <w:rsid w:val="00570677"/>
    <w:rsid w:val="0057273A"/>
    <w:rsid w:val="005821ED"/>
    <w:rsid w:val="005B0DCF"/>
    <w:rsid w:val="005B7923"/>
    <w:rsid w:val="005D59AF"/>
    <w:rsid w:val="005E1CAE"/>
    <w:rsid w:val="00601046"/>
    <w:rsid w:val="00607BA5"/>
    <w:rsid w:val="0061619D"/>
    <w:rsid w:val="00617926"/>
    <w:rsid w:val="00626EB6"/>
    <w:rsid w:val="00634D13"/>
    <w:rsid w:val="006353A3"/>
    <w:rsid w:val="00637E56"/>
    <w:rsid w:val="00645938"/>
    <w:rsid w:val="00652AE4"/>
    <w:rsid w:val="00655D03"/>
    <w:rsid w:val="00656CD4"/>
    <w:rsid w:val="0066056A"/>
    <w:rsid w:val="00662467"/>
    <w:rsid w:val="00683F84"/>
    <w:rsid w:val="006A343B"/>
    <w:rsid w:val="006A640E"/>
    <w:rsid w:val="006A6A81"/>
    <w:rsid w:val="006C4687"/>
    <w:rsid w:val="006E0BEA"/>
    <w:rsid w:val="006E26AF"/>
    <w:rsid w:val="006F5B1A"/>
    <w:rsid w:val="006F7393"/>
    <w:rsid w:val="0070152C"/>
    <w:rsid w:val="0070224F"/>
    <w:rsid w:val="00711062"/>
    <w:rsid w:val="007115F7"/>
    <w:rsid w:val="00713009"/>
    <w:rsid w:val="00721F5B"/>
    <w:rsid w:val="007533F9"/>
    <w:rsid w:val="007625FC"/>
    <w:rsid w:val="00763C0C"/>
    <w:rsid w:val="00767326"/>
    <w:rsid w:val="0077377D"/>
    <w:rsid w:val="00785689"/>
    <w:rsid w:val="0079754B"/>
    <w:rsid w:val="007A12E7"/>
    <w:rsid w:val="007A1E6D"/>
    <w:rsid w:val="007A6FFC"/>
    <w:rsid w:val="007A797A"/>
    <w:rsid w:val="007B5B3D"/>
    <w:rsid w:val="007C38F0"/>
    <w:rsid w:val="007D1298"/>
    <w:rsid w:val="007D673B"/>
    <w:rsid w:val="007D7BF6"/>
    <w:rsid w:val="007E1A71"/>
    <w:rsid w:val="007F580D"/>
    <w:rsid w:val="007F5D62"/>
    <w:rsid w:val="0080436C"/>
    <w:rsid w:val="00805A81"/>
    <w:rsid w:val="00822CE0"/>
    <w:rsid w:val="00837C62"/>
    <w:rsid w:val="00841AB1"/>
    <w:rsid w:val="008449D6"/>
    <w:rsid w:val="0084764E"/>
    <w:rsid w:val="008576DB"/>
    <w:rsid w:val="00861D03"/>
    <w:rsid w:val="00871DDC"/>
    <w:rsid w:val="00872234"/>
    <w:rsid w:val="00872D23"/>
    <w:rsid w:val="008758ED"/>
    <w:rsid w:val="00883CEA"/>
    <w:rsid w:val="00890599"/>
    <w:rsid w:val="00891401"/>
    <w:rsid w:val="0089456E"/>
    <w:rsid w:val="008954C0"/>
    <w:rsid w:val="00895CE9"/>
    <w:rsid w:val="008B21DB"/>
    <w:rsid w:val="008B41FA"/>
    <w:rsid w:val="008B7794"/>
    <w:rsid w:val="008C22FD"/>
    <w:rsid w:val="008D2F55"/>
    <w:rsid w:val="008D57F9"/>
    <w:rsid w:val="008D65D1"/>
    <w:rsid w:val="008E3689"/>
    <w:rsid w:val="008F2C18"/>
    <w:rsid w:val="008F2EFD"/>
    <w:rsid w:val="009019F5"/>
    <w:rsid w:val="00910F12"/>
    <w:rsid w:val="00921027"/>
    <w:rsid w:val="00926503"/>
    <w:rsid w:val="0092767B"/>
    <w:rsid w:val="00930ECF"/>
    <w:rsid w:val="00954736"/>
    <w:rsid w:val="00955168"/>
    <w:rsid w:val="009555A2"/>
    <w:rsid w:val="00981213"/>
    <w:rsid w:val="009838BC"/>
    <w:rsid w:val="009953A3"/>
    <w:rsid w:val="0099653B"/>
    <w:rsid w:val="009A5004"/>
    <w:rsid w:val="009B446A"/>
    <w:rsid w:val="009B6483"/>
    <w:rsid w:val="009B6CA3"/>
    <w:rsid w:val="009D19DA"/>
    <w:rsid w:val="009D4167"/>
    <w:rsid w:val="009D58CF"/>
    <w:rsid w:val="009D67CF"/>
    <w:rsid w:val="00A06F16"/>
    <w:rsid w:val="00A168E9"/>
    <w:rsid w:val="00A438BE"/>
    <w:rsid w:val="00A45F4F"/>
    <w:rsid w:val="00A600A9"/>
    <w:rsid w:val="00A606B3"/>
    <w:rsid w:val="00A663FE"/>
    <w:rsid w:val="00A865F7"/>
    <w:rsid w:val="00A866AC"/>
    <w:rsid w:val="00A9457D"/>
    <w:rsid w:val="00AA55B7"/>
    <w:rsid w:val="00AA5B9E"/>
    <w:rsid w:val="00AB1B56"/>
    <w:rsid w:val="00AB2407"/>
    <w:rsid w:val="00AB53DF"/>
    <w:rsid w:val="00AB5EA7"/>
    <w:rsid w:val="00AD3666"/>
    <w:rsid w:val="00AD5AF4"/>
    <w:rsid w:val="00AE06FB"/>
    <w:rsid w:val="00AF188C"/>
    <w:rsid w:val="00B03471"/>
    <w:rsid w:val="00B07E5C"/>
    <w:rsid w:val="00B326E3"/>
    <w:rsid w:val="00B36B9A"/>
    <w:rsid w:val="00B3762F"/>
    <w:rsid w:val="00B44BD7"/>
    <w:rsid w:val="00B45EB0"/>
    <w:rsid w:val="00B811F7"/>
    <w:rsid w:val="00BA5DC6"/>
    <w:rsid w:val="00BA6196"/>
    <w:rsid w:val="00BA7EE4"/>
    <w:rsid w:val="00BC2C38"/>
    <w:rsid w:val="00BC6D8C"/>
    <w:rsid w:val="00BC7FD2"/>
    <w:rsid w:val="00BE27FB"/>
    <w:rsid w:val="00C02A6D"/>
    <w:rsid w:val="00C07977"/>
    <w:rsid w:val="00C16AF2"/>
    <w:rsid w:val="00C1764E"/>
    <w:rsid w:val="00C34006"/>
    <w:rsid w:val="00C34B33"/>
    <w:rsid w:val="00C34CD0"/>
    <w:rsid w:val="00C4040E"/>
    <w:rsid w:val="00C40AEC"/>
    <w:rsid w:val="00C41037"/>
    <w:rsid w:val="00C426B1"/>
    <w:rsid w:val="00C42C1C"/>
    <w:rsid w:val="00C55A72"/>
    <w:rsid w:val="00C82B6B"/>
    <w:rsid w:val="00C86C0A"/>
    <w:rsid w:val="00C8709F"/>
    <w:rsid w:val="00C90D6A"/>
    <w:rsid w:val="00C9155B"/>
    <w:rsid w:val="00C93F2D"/>
    <w:rsid w:val="00CA7CD2"/>
    <w:rsid w:val="00CB280C"/>
    <w:rsid w:val="00CC111C"/>
    <w:rsid w:val="00CC2BA7"/>
    <w:rsid w:val="00CC72B6"/>
    <w:rsid w:val="00CD03CA"/>
    <w:rsid w:val="00CD0A8E"/>
    <w:rsid w:val="00CD35F0"/>
    <w:rsid w:val="00CE17D8"/>
    <w:rsid w:val="00CE2535"/>
    <w:rsid w:val="00CE4E4D"/>
    <w:rsid w:val="00D0218D"/>
    <w:rsid w:val="00D16A7D"/>
    <w:rsid w:val="00D216CD"/>
    <w:rsid w:val="00D52300"/>
    <w:rsid w:val="00D67073"/>
    <w:rsid w:val="00D723D9"/>
    <w:rsid w:val="00D726BC"/>
    <w:rsid w:val="00D72D47"/>
    <w:rsid w:val="00D752BF"/>
    <w:rsid w:val="00D91639"/>
    <w:rsid w:val="00D940C2"/>
    <w:rsid w:val="00D974FA"/>
    <w:rsid w:val="00DA1B21"/>
    <w:rsid w:val="00DA2529"/>
    <w:rsid w:val="00DB130A"/>
    <w:rsid w:val="00DB6585"/>
    <w:rsid w:val="00DC10A1"/>
    <w:rsid w:val="00DC4310"/>
    <w:rsid w:val="00DC48C5"/>
    <w:rsid w:val="00DC655F"/>
    <w:rsid w:val="00DC7439"/>
    <w:rsid w:val="00DD7EBD"/>
    <w:rsid w:val="00DE1D5B"/>
    <w:rsid w:val="00DF62B6"/>
    <w:rsid w:val="00E07225"/>
    <w:rsid w:val="00E155B7"/>
    <w:rsid w:val="00E32EA2"/>
    <w:rsid w:val="00E43C53"/>
    <w:rsid w:val="00E5409F"/>
    <w:rsid w:val="00E7001A"/>
    <w:rsid w:val="00E70679"/>
    <w:rsid w:val="00E71759"/>
    <w:rsid w:val="00E75879"/>
    <w:rsid w:val="00EA69DE"/>
    <w:rsid w:val="00EB38B4"/>
    <w:rsid w:val="00EB67DC"/>
    <w:rsid w:val="00EC0185"/>
    <w:rsid w:val="00EC1098"/>
    <w:rsid w:val="00EC6581"/>
    <w:rsid w:val="00ED157C"/>
    <w:rsid w:val="00F021FA"/>
    <w:rsid w:val="00F053BA"/>
    <w:rsid w:val="00F128EB"/>
    <w:rsid w:val="00F14531"/>
    <w:rsid w:val="00F3281C"/>
    <w:rsid w:val="00F50B58"/>
    <w:rsid w:val="00F51DB2"/>
    <w:rsid w:val="00F57ACA"/>
    <w:rsid w:val="00F62E97"/>
    <w:rsid w:val="00F64209"/>
    <w:rsid w:val="00F741C5"/>
    <w:rsid w:val="00F84183"/>
    <w:rsid w:val="00F93BF5"/>
    <w:rsid w:val="00F96F63"/>
    <w:rsid w:val="00FB741C"/>
    <w:rsid w:val="00FC0894"/>
    <w:rsid w:val="29206108"/>
    <w:rsid w:val="3B09C94E"/>
    <w:rsid w:val="44869CEA"/>
    <w:rsid w:val="49A1CAAC"/>
    <w:rsid w:val="637B8809"/>
    <w:rsid w:val="67ED90C3"/>
    <w:rsid w:val="6C6976F5"/>
    <w:rsid w:val="7FAF956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AE0CC58-8348-4A03-AA30-547D2D2F8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1DB"/>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Footnote Text Char Char,Footnote Text Char Char Char Char,Footnote Text Char Char Char Char Char Char1,Footnote Text Char1 Char Char,Footnote Text Char1 Char Char Char Char,Footnote Text Char2,Footnote text,fn,fn Cha"/>
    <w:link w:val="FootnoteTextChar"/>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FOOTNOTE Char,Footnote Text Char Char Char,Footnote Text Char Char Char Char Char,Footnote Text Char Char Char Char Char Char1 Char,Footnote Text Char1 Char Char Char,Footnote Text Char1 Char Char Char Char Char"/>
    <w:link w:val="FootnoteText"/>
    <w:rsid w:val="008B21DB"/>
  </w:style>
  <w:style w:type="character" w:customStyle="1" w:styleId="ParaNumChar">
    <w:name w:val="ParaNum Char"/>
    <w:link w:val="ParaNum"/>
    <w:locked/>
    <w:rsid w:val="008B21DB"/>
    <w:rPr>
      <w:snapToGrid w:val="0"/>
      <w:kern w:val="28"/>
      <w:sz w:val="22"/>
    </w:rPr>
  </w:style>
  <w:style w:type="character" w:styleId="CommentReference">
    <w:name w:val="annotation reference"/>
    <w:uiPriority w:val="99"/>
    <w:semiHidden/>
    <w:unhideWhenUsed/>
    <w:rsid w:val="001366C6"/>
    <w:rPr>
      <w:sz w:val="16"/>
      <w:szCs w:val="16"/>
    </w:rPr>
  </w:style>
  <w:style w:type="paragraph" w:styleId="CommentText">
    <w:name w:val="annotation text"/>
    <w:basedOn w:val="Normal"/>
    <w:link w:val="CommentTextChar"/>
    <w:uiPriority w:val="99"/>
    <w:semiHidden/>
    <w:unhideWhenUsed/>
    <w:rsid w:val="001366C6"/>
    <w:rPr>
      <w:sz w:val="20"/>
    </w:rPr>
  </w:style>
  <w:style w:type="character" w:customStyle="1" w:styleId="CommentTextChar">
    <w:name w:val="Comment Text Char"/>
    <w:link w:val="CommentText"/>
    <w:uiPriority w:val="99"/>
    <w:semiHidden/>
    <w:rsid w:val="001366C6"/>
    <w:rPr>
      <w:snapToGrid w:val="0"/>
      <w:kern w:val="28"/>
    </w:rPr>
  </w:style>
  <w:style w:type="paragraph" w:styleId="CommentSubject">
    <w:name w:val="annotation subject"/>
    <w:basedOn w:val="CommentText"/>
    <w:next w:val="CommentText"/>
    <w:link w:val="CommentSubjectChar"/>
    <w:uiPriority w:val="99"/>
    <w:semiHidden/>
    <w:unhideWhenUsed/>
    <w:rsid w:val="001366C6"/>
    <w:rPr>
      <w:b/>
      <w:bCs/>
    </w:rPr>
  </w:style>
  <w:style w:type="character" w:customStyle="1" w:styleId="CommentSubjectChar">
    <w:name w:val="Comment Subject Char"/>
    <w:link w:val="CommentSubject"/>
    <w:uiPriority w:val="99"/>
    <w:semiHidden/>
    <w:rsid w:val="001366C6"/>
    <w:rPr>
      <w:b/>
      <w:bCs/>
      <w:snapToGrid w:val="0"/>
      <w:kern w:val="28"/>
    </w:rPr>
  </w:style>
  <w:style w:type="paragraph" w:styleId="BalloonText">
    <w:name w:val="Balloon Text"/>
    <w:basedOn w:val="Normal"/>
    <w:link w:val="BalloonTextChar"/>
    <w:uiPriority w:val="99"/>
    <w:semiHidden/>
    <w:unhideWhenUsed/>
    <w:rsid w:val="001366C6"/>
    <w:rPr>
      <w:rFonts w:ascii="Segoe UI" w:hAnsi="Segoe UI" w:cs="Segoe UI"/>
      <w:sz w:val="18"/>
      <w:szCs w:val="18"/>
    </w:rPr>
  </w:style>
  <w:style w:type="character" w:customStyle="1" w:styleId="BalloonTextChar">
    <w:name w:val="Balloon Text Char"/>
    <w:link w:val="BalloonText"/>
    <w:uiPriority w:val="99"/>
    <w:semiHidden/>
    <w:rsid w:val="001366C6"/>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ntia.doc.gov/fcc-filing/2015/ntia-letter-fcc-commercial-operations-3550-3650-mhz-band" TargetMode="External" /></Relationships>
</file>

<file path=word/_rels/header2.xml.rels>&#65279;<?xml version="1.0" encoding="utf-8" standalone="yes"?><Relationships xmlns="http://schemas.openxmlformats.org/package/2006/relationships"><Relationship Id="rId1"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