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33C8B2F1" w14:textId="77777777">
      <w:pPr>
        <w:jc w:val="right"/>
        <w:rPr>
          <w:sz w:val="24"/>
        </w:rPr>
      </w:pPr>
    </w:p>
    <w:p w:rsidR="00013A8B" w:rsidRPr="00B20363" w:rsidP="00013A8B" w14:paraId="358592DB" w14:textId="3E90DE1A">
      <w:pPr>
        <w:jc w:val="right"/>
        <w:rPr>
          <w:b/>
          <w:sz w:val="24"/>
        </w:rPr>
      </w:pPr>
      <w:r>
        <w:rPr>
          <w:b/>
          <w:sz w:val="24"/>
        </w:rPr>
        <w:t>DA 20-</w:t>
      </w:r>
      <w:r w:rsidR="00015F2F">
        <w:rPr>
          <w:b/>
          <w:sz w:val="24"/>
        </w:rPr>
        <w:t>43</w:t>
      </w:r>
    </w:p>
    <w:p w:rsidR="00013A8B" w:rsidRPr="00CE323A" w:rsidP="00013A8B" w14:paraId="605FA416" w14:textId="7199FD4A">
      <w:pPr>
        <w:spacing w:before="60"/>
        <w:jc w:val="right"/>
        <w:rPr>
          <w:b/>
          <w:szCs w:val="22"/>
        </w:rPr>
      </w:pPr>
      <w:r w:rsidRPr="00CE323A">
        <w:rPr>
          <w:b/>
          <w:szCs w:val="22"/>
        </w:rPr>
        <w:t xml:space="preserve">Released:  </w:t>
      </w:r>
      <w:r w:rsidRPr="00CE323A" w:rsidR="00470A81">
        <w:rPr>
          <w:b/>
          <w:szCs w:val="22"/>
        </w:rPr>
        <w:t xml:space="preserve">January </w:t>
      </w:r>
      <w:r w:rsidR="00E15B4E">
        <w:rPr>
          <w:b/>
          <w:szCs w:val="22"/>
        </w:rPr>
        <w:t>10</w:t>
      </w:r>
      <w:r w:rsidRPr="00CE323A" w:rsidR="00470A81">
        <w:rPr>
          <w:b/>
          <w:szCs w:val="22"/>
        </w:rPr>
        <w:t>, 2020</w:t>
      </w:r>
    </w:p>
    <w:p w:rsidR="00013A8B" w:rsidP="00013A8B" w14:paraId="5026D99A" w14:textId="77777777">
      <w:pPr>
        <w:jc w:val="right"/>
        <w:rPr>
          <w:sz w:val="24"/>
        </w:rPr>
      </w:pPr>
    </w:p>
    <w:p w:rsidR="00470A81" w:rsidRPr="00307030" w:rsidP="00470A81" w14:paraId="7D76BB37" w14:textId="77777777">
      <w:pPr>
        <w:autoSpaceDE w:val="0"/>
        <w:autoSpaceDN w:val="0"/>
        <w:adjustRightInd w:val="0"/>
        <w:jc w:val="center"/>
        <w:rPr>
          <w:b/>
          <w:szCs w:val="22"/>
        </w:rPr>
      </w:pPr>
      <w:r w:rsidRPr="00307030">
        <w:rPr>
          <w:b/>
          <w:szCs w:val="22"/>
        </w:rPr>
        <w:t xml:space="preserve">APPLICATIONS </w:t>
      </w:r>
      <w:r>
        <w:rPr>
          <w:b/>
          <w:szCs w:val="22"/>
        </w:rPr>
        <w:t>GRANTED</w:t>
      </w:r>
      <w:r w:rsidRPr="00307030">
        <w:rPr>
          <w:b/>
          <w:szCs w:val="22"/>
        </w:rPr>
        <w:t xml:space="preserve"> FOR THE TRANSFER OF CONTROL OF </w:t>
      </w:r>
    </w:p>
    <w:p w:rsidR="00470A81" w:rsidRPr="00307030" w:rsidP="00470A81" w14:paraId="4EF917C1" w14:textId="6F3D0F33">
      <w:pPr>
        <w:autoSpaceDE w:val="0"/>
        <w:autoSpaceDN w:val="0"/>
        <w:adjustRightInd w:val="0"/>
        <w:jc w:val="center"/>
        <w:rPr>
          <w:b/>
          <w:szCs w:val="22"/>
        </w:rPr>
      </w:pPr>
      <w:r>
        <w:rPr>
          <w:b/>
          <w:szCs w:val="22"/>
        </w:rPr>
        <w:t>FUSION CONNECT, INC.</w:t>
      </w:r>
      <w:r w:rsidR="002809D2">
        <w:rPr>
          <w:b/>
          <w:szCs w:val="22"/>
        </w:rPr>
        <w:t>, DEBTOR-IN-POSSESSION,</w:t>
      </w:r>
      <w:r>
        <w:rPr>
          <w:b/>
          <w:szCs w:val="22"/>
        </w:rPr>
        <w:t xml:space="preserve"> AND SUBSIDIARIES </w:t>
      </w:r>
      <w:bookmarkStart w:id="0" w:name="_GoBack"/>
      <w:bookmarkEnd w:id="0"/>
    </w:p>
    <w:p w:rsidR="00470A81" w:rsidRPr="00307030" w:rsidP="00470A81" w14:paraId="45111ACF" w14:textId="77777777">
      <w:pPr>
        <w:autoSpaceDE w:val="0"/>
        <w:autoSpaceDN w:val="0"/>
        <w:adjustRightInd w:val="0"/>
        <w:jc w:val="center"/>
        <w:rPr>
          <w:b/>
          <w:szCs w:val="22"/>
        </w:rPr>
      </w:pPr>
    </w:p>
    <w:p w:rsidR="00470A81" w:rsidP="00470A81" w14:paraId="3C3E4CEB" w14:textId="77777777">
      <w:pPr>
        <w:autoSpaceDE w:val="0"/>
        <w:autoSpaceDN w:val="0"/>
        <w:adjustRightInd w:val="0"/>
        <w:jc w:val="center"/>
        <w:rPr>
          <w:b/>
          <w:szCs w:val="22"/>
        </w:rPr>
      </w:pPr>
      <w:r w:rsidRPr="00307030">
        <w:rPr>
          <w:b/>
          <w:szCs w:val="22"/>
        </w:rPr>
        <w:t>WC Docket No. 19-</w:t>
      </w:r>
      <w:r>
        <w:rPr>
          <w:b/>
          <w:szCs w:val="22"/>
        </w:rPr>
        <w:t>262</w:t>
      </w:r>
    </w:p>
    <w:p w:rsidR="00470A81" w:rsidRPr="00307030" w:rsidP="00470A81" w14:paraId="3D19A56B" w14:textId="77777777">
      <w:pPr>
        <w:autoSpaceDE w:val="0"/>
        <w:autoSpaceDN w:val="0"/>
        <w:adjustRightInd w:val="0"/>
        <w:jc w:val="center"/>
        <w:rPr>
          <w:b/>
          <w:szCs w:val="22"/>
        </w:rPr>
      </w:pPr>
    </w:p>
    <w:p w:rsidR="00470A81" w:rsidP="00470A81" w14:paraId="1BEBCFBE" w14:textId="1388A9A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sidRPr="00307030">
        <w:rPr>
          <w:b/>
          <w:szCs w:val="22"/>
        </w:rPr>
        <w:t xml:space="preserve"> </w:t>
      </w:r>
      <w:r>
        <w:rPr>
          <w:b/>
          <w:szCs w:val="22"/>
        </w:rPr>
        <w:tab/>
      </w:r>
      <w:r w:rsidRPr="00DF1B24">
        <w:rPr>
          <w:color w:val="000000"/>
        </w:rPr>
        <w:t xml:space="preserve">By this Public Notice, </w:t>
      </w:r>
      <w:r>
        <w:rPr>
          <w:szCs w:val="22"/>
        </w:rPr>
        <w:t>the Wireline Competition Bureau</w:t>
      </w:r>
      <w:r w:rsidR="00A87A4A">
        <w:rPr>
          <w:szCs w:val="22"/>
        </w:rPr>
        <w:t xml:space="preserve"> and the</w:t>
      </w:r>
      <w:r>
        <w:rPr>
          <w:szCs w:val="22"/>
        </w:rPr>
        <w:t xml:space="preserve"> International Bureau (Bureaus) </w:t>
      </w:r>
      <w:r>
        <w:rPr>
          <w:color w:val="000000"/>
        </w:rPr>
        <w:t xml:space="preserve">grant </w:t>
      </w:r>
      <w:r w:rsidRPr="00DF1B24">
        <w:rPr>
          <w:color w:val="000000"/>
        </w:rPr>
        <w:t xml:space="preserve">applications filed </w:t>
      </w:r>
      <w:r>
        <w:rPr>
          <w:color w:val="000000"/>
        </w:rPr>
        <w:t xml:space="preserve">by </w:t>
      </w:r>
      <w:r w:rsidRPr="0031237C">
        <w:rPr>
          <w:szCs w:val="22"/>
        </w:rPr>
        <w:t>Fusion Connect, Inc., debtor-in-possession (Fusion Connect), and Telecom Holdings LLC (Telecom Holdings, together with Fusion Connect, Applicants</w:t>
      </w:r>
      <w:r w:rsidRPr="009463B9">
        <w:rPr>
          <w:szCs w:val="22"/>
        </w:rPr>
        <w:t xml:space="preserve">), </w:t>
      </w:r>
      <w:r w:rsidR="00DD78C4">
        <w:rPr>
          <w:szCs w:val="22"/>
        </w:rPr>
        <w:t xml:space="preserve">subject to the conditions discussed herein, </w:t>
      </w:r>
      <w:r w:rsidRPr="00C07140">
        <w:rPr>
          <w:szCs w:val="22"/>
        </w:rPr>
        <w:t xml:space="preserve">pursuant to section 214 of the Communications Act of 1934, as amended (Act), and sections 63.03-04, 63.18, and 63.24 of the </w:t>
      </w:r>
      <w:r>
        <w:rPr>
          <w:szCs w:val="22"/>
        </w:rPr>
        <w:t xml:space="preserve">Federal Communications </w:t>
      </w:r>
      <w:r w:rsidRPr="00C07140">
        <w:rPr>
          <w:szCs w:val="22"/>
        </w:rPr>
        <w:t xml:space="preserve">Commission’s </w:t>
      </w:r>
      <w:r>
        <w:rPr>
          <w:szCs w:val="22"/>
        </w:rPr>
        <w:t xml:space="preserve">(Commission) </w:t>
      </w:r>
      <w:r w:rsidRPr="00C07140">
        <w:rPr>
          <w:szCs w:val="22"/>
        </w:rPr>
        <w:t>rules</w:t>
      </w:r>
      <w:r>
        <w:rPr>
          <w:szCs w:val="22"/>
        </w:rPr>
        <w:t>, to transfer control of Fusion Connect and its subsidiaries to Telecom Holdings.</w:t>
      </w:r>
      <w:r>
        <w:rPr>
          <w:szCs w:val="22"/>
          <w:vertAlign w:val="superscript"/>
        </w:rPr>
        <w:footnoteReference w:id="3"/>
      </w:r>
      <w:r>
        <w:rPr>
          <w:szCs w:val="22"/>
        </w:rPr>
        <w:t xml:space="preserve">  In addition, the Bureau</w:t>
      </w:r>
      <w:r w:rsidR="007D3846">
        <w:rPr>
          <w:szCs w:val="22"/>
        </w:rPr>
        <w:t>s</w:t>
      </w:r>
      <w:r w:rsidR="00CC0080">
        <w:rPr>
          <w:szCs w:val="22"/>
        </w:rPr>
        <w:t xml:space="preserve"> </w:t>
      </w:r>
      <w:r>
        <w:rPr>
          <w:szCs w:val="22"/>
        </w:rPr>
        <w:t>grant Applicants’</w:t>
      </w:r>
      <w:r w:rsidRPr="00316418">
        <w:rPr>
          <w:snapToGrid/>
          <w:kern w:val="0"/>
          <w:szCs w:val="22"/>
        </w:rPr>
        <w:t xml:space="preserve"> </w:t>
      </w:r>
      <w:r w:rsidRPr="006B134F">
        <w:rPr>
          <w:snapToGrid/>
          <w:kern w:val="0"/>
          <w:szCs w:val="22"/>
        </w:rPr>
        <w:t>request</w:t>
      </w:r>
      <w:r w:rsidRPr="006B134F" w:rsidR="002B69BF">
        <w:rPr>
          <w:snapToGrid/>
          <w:kern w:val="0"/>
          <w:szCs w:val="22"/>
        </w:rPr>
        <w:t>s</w:t>
      </w:r>
      <w:r w:rsidRPr="006B134F" w:rsidR="00483840">
        <w:rPr>
          <w:snapToGrid/>
          <w:kern w:val="0"/>
          <w:szCs w:val="22"/>
        </w:rPr>
        <w:t xml:space="preserve"> for</w:t>
      </w:r>
      <w:r w:rsidRPr="00316418">
        <w:rPr>
          <w:snapToGrid/>
          <w:kern w:val="0"/>
          <w:szCs w:val="22"/>
        </w:rPr>
        <w:t xml:space="preserve"> a temporary and limited waiver</w:t>
      </w:r>
      <w:r>
        <w:rPr>
          <w:snapToGrid/>
          <w:kern w:val="0"/>
          <w:szCs w:val="22"/>
          <w:vertAlign w:val="superscript"/>
        </w:rPr>
        <w:footnoteReference w:id="4"/>
      </w:r>
      <w:r w:rsidRPr="00316418">
        <w:rPr>
          <w:snapToGrid/>
          <w:kern w:val="0"/>
          <w:szCs w:val="22"/>
        </w:rPr>
        <w:t xml:space="preserve"> of sections 1.5000(a)(1), 63.03, 63.04, 63.18, and 63.24 of the </w:t>
      </w:r>
      <w:r>
        <w:rPr>
          <w:snapToGrid/>
          <w:kern w:val="0"/>
          <w:szCs w:val="22"/>
        </w:rPr>
        <w:t xml:space="preserve">Commission’s </w:t>
      </w:r>
      <w:r w:rsidRPr="00316418">
        <w:rPr>
          <w:snapToGrid/>
          <w:kern w:val="0"/>
          <w:szCs w:val="22"/>
        </w:rPr>
        <w:t>rules.</w:t>
      </w:r>
      <w:r>
        <w:rPr>
          <w:snapToGrid/>
          <w:kern w:val="0"/>
          <w:szCs w:val="22"/>
          <w:vertAlign w:val="superscript"/>
        </w:rPr>
        <w:footnoteReference w:id="5"/>
      </w:r>
    </w:p>
    <w:p w:rsidR="00470A81" w:rsidP="00470A81" w14:paraId="408D65A5"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70A81" w:rsidP="00470A81" w14:paraId="0B813892"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Pr>
          <w:snapToGrid/>
          <w:kern w:val="0"/>
          <w:szCs w:val="22"/>
          <w:u w:val="single"/>
        </w:rPr>
        <w:t xml:space="preserve">The </w:t>
      </w:r>
      <w:r>
        <w:rPr>
          <w:snapToGrid/>
          <w:kern w:val="0"/>
          <w:szCs w:val="22"/>
          <w:u w:val="single"/>
        </w:rPr>
        <w:t>Applicants</w:t>
      </w:r>
    </w:p>
    <w:p w:rsidR="00470A81" w:rsidRPr="008D3067" w:rsidP="00470A81" w14:paraId="7763F368"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70A81" w:rsidP="00470A81" w14:paraId="507DC9BA" w14:textId="32969F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Pr>
          <w:snapToGrid/>
          <w:kern w:val="0"/>
          <w:szCs w:val="22"/>
        </w:rPr>
        <w:tab/>
      </w:r>
      <w:r w:rsidRPr="0006630B">
        <w:rPr>
          <w:snapToGrid/>
          <w:kern w:val="0"/>
          <w:szCs w:val="22"/>
        </w:rPr>
        <w:t xml:space="preserve">Through the following </w:t>
      </w:r>
      <w:r w:rsidRPr="00EC2026">
        <w:rPr>
          <w:snapToGrid/>
          <w:kern w:val="0"/>
          <w:szCs w:val="22"/>
        </w:rPr>
        <w:t>wholly-owned</w:t>
      </w:r>
      <w:r>
        <w:rPr>
          <w:snapToGrid/>
          <w:kern w:val="0"/>
          <w:szCs w:val="22"/>
        </w:rPr>
        <w:t xml:space="preserve"> </w:t>
      </w:r>
      <w:r w:rsidRPr="0006630B">
        <w:rPr>
          <w:snapToGrid/>
          <w:kern w:val="0"/>
          <w:szCs w:val="22"/>
        </w:rPr>
        <w:t xml:space="preserve">subsidiaries, </w:t>
      </w:r>
      <w:r>
        <w:rPr>
          <w:snapToGrid/>
          <w:kern w:val="0"/>
          <w:szCs w:val="22"/>
        </w:rPr>
        <w:t>Fusion Connect</w:t>
      </w:r>
      <w:r w:rsidRPr="0006630B">
        <w:rPr>
          <w:snapToGrid/>
          <w:kern w:val="0"/>
          <w:szCs w:val="22"/>
        </w:rPr>
        <w:t xml:space="preserve"> provides competitive telecommunications services primarily to business customers located throughout the United States:  Fusion LLC, Fusion Cloud Services, LLC, Fusion Communications, LLC, Fusion Telecom of Kansas, LLC, Fusion Telecom of Missouri, LLC, Fusion Telecom of Oklahoma, LLC, and Fusion Telecom of Texas Ltd., LLP (collectively, Fusion Companies).</w:t>
      </w:r>
      <w:r>
        <w:rPr>
          <w:snapToGrid/>
          <w:kern w:val="0"/>
          <w:szCs w:val="22"/>
          <w:vertAlign w:val="superscript"/>
        </w:rPr>
        <w:footnoteReference w:id="6"/>
      </w:r>
      <w:r>
        <w:rPr>
          <w:snapToGrid/>
          <w:kern w:val="0"/>
          <w:szCs w:val="22"/>
        </w:rPr>
        <w:t xml:space="preserve">  </w:t>
      </w:r>
      <w:bookmarkStart w:id="3" w:name="_Hlk21685563"/>
      <w:r w:rsidRPr="001B1CCA">
        <w:rPr>
          <w:snapToGrid/>
          <w:kern w:val="0"/>
          <w:szCs w:val="22"/>
        </w:rPr>
        <w:t xml:space="preserve">Telecom Holdings, a Delaware limited liability </w:t>
      </w:r>
      <w:r w:rsidRPr="001B1CCA">
        <w:rPr>
          <w:snapToGrid/>
          <w:kern w:val="0"/>
          <w:szCs w:val="22"/>
        </w:rPr>
        <w:t>company, is a holding company that does not provide telecommunication services</w:t>
      </w:r>
      <w:r w:rsidR="00A87A4A">
        <w:rPr>
          <w:snapToGrid/>
          <w:kern w:val="0"/>
          <w:szCs w:val="22"/>
        </w:rPr>
        <w:t>.</w:t>
      </w:r>
      <w:r>
        <w:rPr>
          <w:rStyle w:val="FootnoteReference"/>
          <w:snapToGrid/>
          <w:kern w:val="0"/>
          <w:szCs w:val="22"/>
        </w:rPr>
        <w:footnoteReference w:id="7"/>
      </w:r>
      <w:r w:rsidR="00A87A4A">
        <w:rPr>
          <w:snapToGrid/>
          <w:kern w:val="0"/>
          <w:szCs w:val="22"/>
        </w:rPr>
        <w:t xml:space="preserve">  Upon the Fusion Companies’ </w:t>
      </w:r>
      <w:r w:rsidRPr="001B1CCA">
        <w:rPr>
          <w:snapToGrid/>
          <w:kern w:val="0"/>
          <w:szCs w:val="22"/>
        </w:rPr>
        <w:t xml:space="preserve">emergence from bankruptcy, </w:t>
      </w:r>
      <w:r w:rsidR="00A87A4A">
        <w:rPr>
          <w:snapToGrid/>
          <w:kern w:val="0"/>
          <w:szCs w:val="22"/>
        </w:rPr>
        <w:t xml:space="preserve">Telecom Holdings </w:t>
      </w:r>
      <w:r w:rsidRPr="001B1CCA">
        <w:rPr>
          <w:snapToGrid/>
          <w:kern w:val="0"/>
          <w:szCs w:val="22"/>
        </w:rPr>
        <w:t>will hold more than 50% of the new common stock of reorganized Fusion Connect (Reorganized FCI) and equivalent indirect interests in each of the Fusion Companies.</w:t>
      </w:r>
      <w:r>
        <w:rPr>
          <w:snapToGrid/>
          <w:kern w:val="0"/>
          <w:szCs w:val="22"/>
          <w:vertAlign w:val="superscript"/>
        </w:rPr>
        <w:footnoteReference w:id="8"/>
      </w:r>
      <w:r w:rsidRPr="001B1CCA">
        <w:rPr>
          <w:snapToGrid/>
          <w:kern w:val="0"/>
          <w:szCs w:val="22"/>
        </w:rPr>
        <w:t xml:space="preserve">  Telecom Holdings is owned on a </w:t>
      </w:r>
      <w:r w:rsidRPr="005F3F4E">
        <w:rPr>
          <w:i/>
          <w:snapToGrid/>
          <w:kern w:val="0"/>
          <w:szCs w:val="22"/>
        </w:rPr>
        <w:t>pro rata</w:t>
      </w:r>
      <w:r w:rsidRPr="001B1CCA">
        <w:rPr>
          <w:snapToGrid/>
          <w:kern w:val="0"/>
          <w:szCs w:val="22"/>
        </w:rPr>
        <w:t xml:space="preserve"> basis by 12 U.S. citizens, none of whom will hold a direct or indirect interest in Reorganized FCI of 10% or more</w:t>
      </w:r>
      <w:bookmarkEnd w:id="3"/>
      <w:r w:rsidRPr="001B1CCA">
        <w:rPr>
          <w:snapToGrid/>
          <w:kern w:val="0"/>
          <w:szCs w:val="22"/>
        </w:rPr>
        <w:t>.</w:t>
      </w:r>
      <w:r>
        <w:rPr>
          <w:snapToGrid/>
          <w:kern w:val="0"/>
          <w:szCs w:val="22"/>
          <w:vertAlign w:val="superscript"/>
        </w:rPr>
        <w:footnoteReference w:id="9"/>
      </w:r>
      <w:r>
        <w:rPr>
          <w:snapToGrid/>
          <w:kern w:val="0"/>
          <w:szCs w:val="22"/>
        </w:rPr>
        <w:t xml:space="preserve">  </w:t>
      </w:r>
    </w:p>
    <w:p w:rsidR="00470A81" w:rsidP="00470A81" w14:paraId="04B0C29C"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70A81" w:rsidRPr="008D3067" w:rsidP="00470A81" w14:paraId="0C268C94" w14:textId="6F2EEA11">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r w:rsidRPr="008D3067">
        <w:rPr>
          <w:snapToGrid/>
          <w:kern w:val="0"/>
          <w:szCs w:val="22"/>
          <w:u w:val="single"/>
        </w:rPr>
        <w:t xml:space="preserve">Description of Transaction and Waiver </w:t>
      </w:r>
      <w:r w:rsidRPr="006B134F">
        <w:rPr>
          <w:snapToGrid/>
          <w:kern w:val="0"/>
          <w:szCs w:val="22"/>
          <w:u w:val="single"/>
        </w:rPr>
        <w:t>Request</w:t>
      </w:r>
    </w:p>
    <w:p w:rsidR="00470A81" w:rsidP="00470A81" w14:paraId="3DEBBC31"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p>
    <w:p w:rsidR="00470A81" w:rsidP="00470A81" w14:paraId="179F8702" w14:textId="3566D688">
      <w:pPr>
        <w:widowControl/>
        <w:ind w:firstLine="720"/>
        <w:rPr>
          <w:snapToGrid/>
          <w:kern w:val="0"/>
        </w:rPr>
      </w:pPr>
      <w:bookmarkStart w:id="5" w:name="_Hlk21685671"/>
      <w:r w:rsidRPr="001B1CCA">
        <w:rPr>
          <w:snapToGrid/>
          <w:kern w:val="0"/>
          <w:szCs w:val="22"/>
        </w:rPr>
        <w:t xml:space="preserve">The proposed </w:t>
      </w:r>
      <w:r w:rsidRPr="001B1CCA">
        <w:rPr>
          <w:snapToGrid/>
          <w:kern w:val="0"/>
        </w:rPr>
        <w:t>transfer of control result</w:t>
      </w:r>
      <w:r>
        <w:rPr>
          <w:snapToGrid/>
          <w:kern w:val="0"/>
        </w:rPr>
        <w:t>s</w:t>
      </w:r>
      <w:r w:rsidRPr="001B1CCA">
        <w:rPr>
          <w:snapToGrid/>
          <w:kern w:val="0"/>
        </w:rPr>
        <w:t xml:space="preserve"> from an agreement by an </w:t>
      </w:r>
      <w:r w:rsidRPr="005F3F4E">
        <w:rPr>
          <w:i/>
          <w:snapToGrid/>
          <w:kern w:val="0"/>
        </w:rPr>
        <w:t>ad hoc</w:t>
      </w:r>
      <w:r w:rsidRPr="001B1CCA">
        <w:rPr>
          <w:snapToGrid/>
          <w:kern w:val="0"/>
        </w:rPr>
        <w:t xml:space="preserve"> group consisting of the majority of the holders of Fusion Connect’s </w:t>
      </w:r>
      <w:r w:rsidRPr="00EC2026">
        <w:rPr>
          <w:snapToGrid/>
          <w:kern w:val="0"/>
        </w:rPr>
        <w:t>first lien</w:t>
      </w:r>
      <w:r w:rsidRPr="001B1CCA">
        <w:rPr>
          <w:snapToGrid/>
          <w:kern w:val="0"/>
        </w:rPr>
        <w:t xml:space="preserve"> debt to exchange a portion of their debt for, among other things, the common stock of the Reorganized FCI</w:t>
      </w:r>
      <w:r w:rsidRPr="00E55AB6">
        <w:rPr>
          <w:b/>
          <w:snapToGrid/>
          <w:kern w:val="0"/>
        </w:rPr>
        <w:t xml:space="preserve"> </w:t>
      </w:r>
      <w:r w:rsidRPr="00EC2026">
        <w:rPr>
          <w:snapToGrid/>
          <w:kern w:val="0"/>
        </w:rPr>
        <w:t>that</w:t>
      </w:r>
      <w:r w:rsidRPr="001B1CCA">
        <w:rPr>
          <w:snapToGrid/>
          <w:kern w:val="0"/>
        </w:rPr>
        <w:t xml:space="preserve"> is issued at emergence</w:t>
      </w:r>
      <w:bookmarkEnd w:id="5"/>
      <w:r>
        <w:rPr>
          <w:snapToGrid/>
          <w:kern w:val="0"/>
        </w:rPr>
        <w:t xml:space="preserve"> </w:t>
      </w:r>
      <w:r w:rsidR="008D7588">
        <w:rPr>
          <w:snapToGrid/>
          <w:kern w:val="0"/>
        </w:rPr>
        <w:t xml:space="preserve">from bankruptcy </w:t>
      </w:r>
      <w:r>
        <w:rPr>
          <w:snapToGrid/>
          <w:kern w:val="0"/>
        </w:rPr>
        <w:t>(</w:t>
      </w:r>
      <w:r w:rsidR="00351202">
        <w:rPr>
          <w:snapToGrid/>
          <w:kern w:val="0"/>
        </w:rPr>
        <w:t xml:space="preserve">referred to by Applicants as </w:t>
      </w:r>
      <w:r w:rsidRPr="00EC2026">
        <w:rPr>
          <w:snapToGrid/>
          <w:kern w:val="0"/>
        </w:rPr>
        <w:t>New Equity Interests</w:t>
      </w:r>
      <w:r>
        <w:rPr>
          <w:snapToGrid/>
          <w:kern w:val="0"/>
        </w:rPr>
        <w:t>)</w:t>
      </w:r>
      <w:r w:rsidRPr="001B1CCA">
        <w:rPr>
          <w:snapToGrid/>
          <w:kern w:val="0"/>
        </w:rPr>
        <w:t>.</w:t>
      </w:r>
      <w:r>
        <w:rPr>
          <w:snapToGrid/>
          <w:kern w:val="0"/>
          <w:vertAlign w:val="superscript"/>
        </w:rPr>
        <w:footnoteReference w:id="10"/>
      </w:r>
      <w:r w:rsidRPr="001B1CCA">
        <w:rPr>
          <w:snapToGrid/>
          <w:kern w:val="0"/>
        </w:rPr>
        <w:t xml:space="preserve">  </w:t>
      </w:r>
      <w:r>
        <w:t xml:space="preserve">Under the Fusion Companies’ Chapter 11 Plan of Reorganization </w:t>
      </w:r>
      <w:r w:rsidRPr="00EC2026">
        <w:t>(Plan)</w:t>
      </w:r>
      <w:r>
        <w:t>, all current equity interests in Fusion Connect will be cancelled, certain debt will be extinguished, and first and second lien l</w:t>
      </w:r>
      <w:r w:rsidRPr="005D6D67">
        <w:t xml:space="preserve">enders </w:t>
      </w:r>
      <w:r>
        <w:t xml:space="preserve">(Lenders) </w:t>
      </w:r>
      <w:r w:rsidRPr="005D6D67">
        <w:t xml:space="preserve">will receive </w:t>
      </w:r>
      <w:r w:rsidRPr="00EC2026">
        <w:t>shares of Reorganized FCI’s voting common stock</w:t>
      </w:r>
      <w:r>
        <w:rPr>
          <w:rStyle w:val="FootnoteReference"/>
        </w:rPr>
        <w:footnoteReference w:id="11"/>
      </w:r>
      <w:r w:rsidRPr="00EC2026">
        <w:t xml:space="preserve"> and/or special pre-paid warrants (Special Warrants)</w:t>
      </w:r>
      <w:r w:rsidRPr="005D6D67">
        <w:t xml:space="preserve"> </w:t>
      </w:r>
      <w:r>
        <w:t>to acquire New Equity</w:t>
      </w:r>
      <w:r w:rsidR="00441561">
        <w:t xml:space="preserve"> Interests</w:t>
      </w:r>
      <w:r>
        <w:t>.</w:t>
      </w:r>
      <w:r>
        <w:rPr>
          <w:rStyle w:val="FootnoteReference"/>
        </w:rPr>
        <w:footnoteReference w:id="12"/>
      </w:r>
      <w:r>
        <w:t xml:space="preserve">  Upon emergence from bankruptcy, Telecom Holdings would hold more than 50% of the New Equity</w:t>
      </w:r>
      <w:r w:rsidR="00441561">
        <w:t xml:space="preserve"> Interests</w:t>
      </w:r>
      <w:r>
        <w:t xml:space="preserve"> and have </w:t>
      </w:r>
      <w:r w:rsidRPr="00BC1188">
        <w:rPr>
          <w:i/>
        </w:rPr>
        <w:t>de</w:t>
      </w:r>
      <w:r>
        <w:t xml:space="preserve"> </w:t>
      </w:r>
      <w:r w:rsidRPr="00BC1188">
        <w:rPr>
          <w:i/>
        </w:rPr>
        <w:t>facto</w:t>
      </w:r>
      <w:r>
        <w:t xml:space="preserve"> and </w:t>
      </w:r>
      <w:r w:rsidRPr="00BC1188">
        <w:rPr>
          <w:i/>
        </w:rPr>
        <w:t>de</w:t>
      </w:r>
      <w:r>
        <w:t xml:space="preserve"> </w:t>
      </w:r>
      <w:r w:rsidRPr="00BC1188">
        <w:rPr>
          <w:i/>
        </w:rPr>
        <w:t>jure</w:t>
      </w:r>
      <w:r>
        <w:t xml:space="preserve"> control of</w:t>
      </w:r>
      <w:r w:rsidRPr="001D7C7D">
        <w:rPr>
          <w:b/>
        </w:rPr>
        <w:t xml:space="preserve"> </w:t>
      </w:r>
      <w:r w:rsidRPr="001D7C7D">
        <w:t>Reorganized FCI</w:t>
      </w:r>
      <w:r>
        <w:t xml:space="preserve"> and the other Fusion Companies</w:t>
      </w:r>
      <w:r>
        <w:rPr>
          <w:snapToGrid/>
          <w:kern w:val="0"/>
        </w:rPr>
        <w:t>.</w:t>
      </w:r>
      <w:r>
        <w:rPr>
          <w:rStyle w:val="FootnoteReference"/>
          <w:snapToGrid/>
          <w:kern w:val="0"/>
        </w:rPr>
        <w:footnoteReference w:id="13"/>
      </w:r>
      <w:r>
        <w:rPr>
          <w:snapToGrid/>
          <w:kern w:val="0"/>
        </w:rPr>
        <w:t xml:space="preserve">  </w:t>
      </w:r>
    </w:p>
    <w:p w:rsidR="00470A81" w:rsidP="00470A81" w14:paraId="5E0B1E15" w14:textId="77777777">
      <w:pPr>
        <w:widowControl/>
        <w:rPr>
          <w:snapToGrid/>
          <w:kern w:val="0"/>
        </w:rPr>
      </w:pPr>
    </w:p>
    <w:p w:rsidR="00470A81" w:rsidP="00470A81" w14:paraId="6B8DFAF8" w14:textId="3D21D81A">
      <w:pPr>
        <w:widowControl/>
        <w:ind w:firstLine="720"/>
      </w:pPr>
      <w:r>
        <w:t>Applicants state that, because certain Lenders have material foreign ownership, immediate distribution of common stock to these Lenders would trigger a more extended regulatory review process under sections 214, 310(b)(4)</w:t>
      </w:r>
      <w:r w:rsidR="00316B6F">
        <w:t>, and 310(d)</w:t>
      </w:r>
      <w:r>
        <w:t xml:space="preserve"> of the Act and associated rules than is feasible given the urgency for the Fusion Companies to emerge.</w:t>
      </w:r>
      <w:r>
        <w:rPr>
          <w:rStyle w:val="FootnoteReference"/>
        </w:rPr>
        <w:footnoteReference w:id="14"/>
      </w:r>
      <w:r>
        <w:t xml:space="preserve">  The Plan therefore proposes a review process that consists of two transactions.  In the first transaction, which is the subject of the instant</w:t>
      </w:r>
      <w:r w:rsidR="001338A9">
        <w:t xml:space="preserve"> </w:t>
      </w:r>
      <w:r w:rsidR="004D3DAA">
        <w:t>a</w:t>
      </w:r>
      <w:r>
        <w:t xml:space="preserve">pplications and </w:t>
      </w:r>
      <w:r w:rsidRPr="006B134F" w:rsidR="004D3DAA">
        <w:t>request</w:t>
      </w:r>
      <w:r w:rsidRPr="006B134F" w:rsidR="002B69BF">
        <w:t>s</w:t>
      </w:r>
      <w:r w:rsidRPr="006B134F" w:rsidR="004D3DAA">
        <w:t xml:space="preserve"> for waiver</w:t>
      </w:r>
      <w:r w:rsidRPr="006B134F" w:rsidR="001338A9">
        <w:t>,</w:t>
      </w:r>
      <w:r>
        <w:t xml:space="preserve"> Special Warrants, rather than, or in addition to, shares of common stock of Reorganized FCI would be issued to certain Lenders</w:t>
      </w:r>
      <w:r>
        <w:rPr>
          <w:rStyle w:val="FootnoteReference"/>
        </w:rPr>
        <w:footnoteReference w:id="15"/>
      </w:r>
      <w:r>
        <w:t xml:space="preserve"> insofar as their equity ownership of Reorganized FCI would require review under the foreign ownership provisions in section 310(b)(4)</w:t>
      </w:r>
      <w:r w:rsidR="006078BD">
        <w:t>,</w:t>
      </w:r>
      <w:r>
        <w:rPr>
          <w:rStyle w:val="FootnoteReference"/>
        </w:rPr>
        <w:footnoteReference w:id="16"/>
      </w:r>
      <w:r>
        <w:t xml:space="preserve"> in addition to the transfer of control provisions in sections 214 and 310(d) of the Act and associated Commission rules.</w:t>
      </w:r>
      <w:r>
        <w:rPr>
          <w:rStyle w:val="FootnoteReference"/>
        </w:rPr>
        <w:footnoteReference w:id="17"/>
      </w:r>
    </w:p>
    <w:p w:rsidR="00470A81" w:rsidP="00470A81" w14:paraId="40E1F926" w14:textId="77777777">
      <w:pPr>
        <w:widowControl/>
        <w:ind w:firstLine="720"/>
      </w:pPr>
    </w:p>
    <w:p w:rsidR="00470A81" w:rsidP="00470A81" w14:paraId="382006CA" w14:textId="306A3AE8">
      <w:pPr>
        <w:widowControl/>
        <w:ind w:firstLine="720"/>
      </w:pPr>
      <w:r>
        <w:t xml:space="preserve">According to Applicants, the Special Warrants represent a future right to acquire shares of </w:t>
      </w:r>
      <w:r>
        <w:rPr>
          <w:snapToGrid/>
          <w:kern w:val="0"/>
        </w:rPr>
        <w:t>Reorganized FCI’s common stock.</w:t>
      </w:r>
      <w:r>
        <w:rPr>
          <w:rStyle w:val="FootnoteReference"/>
          <w:snapToGrid/>
          <w:kern w:val="0"/>
        </w:rPr>
        <w:footnoteReference w:id="18"/>
      </w:r>
      <w:r>
        <w:rPr>
          <w:snapToGrid/>
          <w:kern w:val="0"/>
        </w:rPr>
        <w:t xml:space="preserve">  The Special Warrants c</w:t>
      </w:r>
      <w:r>
        <w:t>arry no voting rights and cannot be exercised until Reorganized FCI has secured any necessary Commission approvals.</w:t>
      </w:r>
      <w:r>
        <w:rPr>
          <w:rStyle w:val="FootnoteReference"/>
        </w:rPr>
        <w:footnoteReference w:id="19"/>
      </w:r>
      <w:r>
        <w:t xml:space="preserve">  The issuance of </w:t>
      </w:r>
      <w:r w:rsidRPr="00EC2026">
        <w:t>Special Warrants</w:t>
      </w:r>
      <w:r>
        <w:t xml:space="preserve"> to certain Lenders, they state,</w:t>
      </w:r>
      <w:r w:rsidRPr="00EC2026">
        <w:t xml:space="preserve"> </w:t>
      </w:r>
      <w:r>
        <w:t>would ensure that</w:t>
      </w:r>
      <w:r w:rsidRPr="00EC2026">
        <w:t xml:space="preserve">, at emergence, no more than 25% of </w:t>
      </w:r>
      <w:r w:rsidRPr="00EC2026">
        <w:rPr>
          <w:snapToGrid/>
          <w:kern w:val="0"/>
        </w:rPr>
        <w:t>Reorganized FCI’s e</w:t>
      </w:r>
      <w:r w:rsidRPr="00EC2026">
        <w:t>quity or voting interests would be held, in the aggregate, by foreign individuals or foreign-organized entities</w:t>
      </w:r>
      <w:r>
        <w:t>,</w:t>
      </w:r>
      <w:r>
        <w:rPr>
          <w:rStyle w:val="FootnoteReference"/>
        </w:rPr>
        <w:footnoteReference w:id="20"/>
      </w:r>
      <w:r>
        <w:t xml:space="preserve"> and </w:t>
      </w:r>
      <w:r w:rsidRPr="00EC2026">
        <w:t xml:space="preserve">no single foreign individual or foreign-organized entity would hold as much as 10% of </w:t>
      </w:r>
      <w:r w:rsidRPr="00EC2026">
        <w:rPr>
          <w:snapToGrid/>
          <w:kern w:val="0"/>
        </w:rPr>
        <w:t xml:space="preserve">Reorganized FCI’s </w:t>
      </w:r>
      <w:r w:rsidRPr="00EC2026">
        <w:t>equity or voting interests</w:t>
      </w:r>
      <w:r>
        <w:t>.</w:t>
      </w:r>
      <w:r>
        <w:rPr>
          <w:rStyle w:val="FootnoteReference"/>
        </w:rPr>
        <w:footnoteReference w:id="21"/>
      </w:r>
      <w:r>
        <w:t xml:space="preserve"> </w:t>
      </w:r>
    </w:p>
    <w:p w:rsidR="00470A81" w:rsidP="00470A81" w14:paraId="3FB14102" w14:textId="77777777">
      <w:pPr>
        <w:widowControl/>
        <w:ind w:firstLine="720"/>
      </w:pPr>
    </w:p>
    <w:p w:rsidR="00470A81" w:rsidP="00470A81" w14:paraId="0E17CA76" w14:textId="566C40E0">
      <w:pPr>
        <w:widowControl/>
        <w:ind w:firstLine="720"/>
        <w:rPr>
          <w:snapToGrid/>
          <w:kern w:val="0"/>
        </w:rPr>
      </w:pPr>
      <w:r>
        <w:rPr>
          <w:snapToGrid/>
          <w:kern w:val="0"/>
        </w:rPr>
        <w:t xml:space="preserve">In the second transaction, which would occur post emergence and after Applicants obtain any required Commission approvals, parties would exchange the Special Warrants for </w:t>
      </w:r>
      <w:r w:rsidRPr="00EC2026">
        <w:rPr>
          <w:snapToGrid/>
          <w:kern w:val="0"/>
        </w:rPr>
        <w:t>common</w:t>
      </w:r>
      <w:r w:rsidRPr="00CA55DF">
        <w:rPr>
          <w:b/>
          <w:snapToGrid/>
          <w:kern w:val="0"/>
        </w:rPr>
        <w:t xml:space="preserve"> </w:t>
      </w:r>
      <w:r>
        <w:rPr>
          <w:snapToGrid/>
          <w:kern w:val="0"/>
        </w:rPr>
        <w:t>stock of Reorganized FCI, triggering a transfer of control event because it is expected that Telecom Holdings</w:t>
      </w:r>
      <w:r w:rsidR="0026744D">
        <w:rPr>
          <w:snapToGrid/>
          <w:kern w:val="0"/>
        </w:rPr>
        <w:t xml:space="preserve"> </w:t>
      </w:r>
      <w:r>
        <w:rPr>
          <w:snapToGrid/>
          <w:kern w:val="0"/>
        </w:rPr>
        <w:t>would cease to hold more than 50% of the Reorganized FCI’s common stock.</w:t>
      </w:r>
      <w:r>
        <w:rPr>
          <w:rStyle w:val="FootnoteReference"/>
          <w:snapToGrid/>
          <w:kern w:val="0"/>
        </w:rPr>
        <w:footnoteReference w:id="22"/>
      </w:r>
      <w:r>
        <w:rPr>
          <w:snapToGrid/>
          <w:kern w:val="0"/>
        </w:rPr>
        <w:t xml:space="preserve">  </w:t>
      </w:r>
      <w:r w:rsidRPr="00C520C2">
        <w:rPr>
          <w:snapToGrid/>
          <w:kern w:val="0"/>
        </w:rPr>
        <w:t xml:space="preserve">The Applicants </w:t>
      </w:r>
      <w:r w:rsidRPr="00EC2026">
        <w:rPr>
          <w:snapToGrid/>
          <w:kern w:val="0"/>
        </w:rPr>
        <w:t>anticipate</w:t>
      </w:r>
      <w:r w:rsidRPr="00C520C2">
        <w:rPr>
          <w:b/>
          <w:snapToGrid/>
          <w:kern w:val="0"/>
        </w:rPr>
        <w:t xml:space="preserve"> </w:t>
      </w:r>
      <w:r w:rsidRPr="00C520C2">
        <w:rPr>
          <w:snapToGrid/>
          <w:kern w:val="0"/>
        </w:rPr>
        <w:t>that no individual or entity would hold a controlling interest in Reorganized FCI at that point.</w:t>
      </w:r>
      <w:r>
        <w:rPr>
          <w:rStyle w:val="FootnoteReference"/>
          <w:snapToGrid/>
          <w:kern w:val="0"/>
        </w:rPr>
        <w:footnoteReference w:id="23"/>
      </w:r>
      <w:r>
        <w:rPr>
          <w:snapToGrid/>
          <w:kern w:val="0"/>
        </w:rPr>
        <w:t xml:space="preserve"> </w:t>
      </w:r>
    </w:p>
    <w:p w:rsidR="00470A81" w:rsidP="00470A81" w14:paraId="41BED773" w14:textId="77777777">
      <w:pPr>
        <w:widowControl/>
        <w:ind w:firstLine="720"/>
        <w:rPr>
          <w:snapToGrid/>
          <w:kern w:val="0"/>
        </w:rPr>
      </w:pPr>
    </w:p>
    <w:p w:rsidR="00470A81" w:rsidP="00470A81" w14:paraId="515C34A9" w14:textId="34CE71FB">
      <w:pPr>
        <w:widowControl/>
        <w:autoSpaceDE w:val="0"/>
        <w:autoSpaceDN w:val="0"/>
        <w:adjustRightInd w:val="0"/>
        <w:ind w:firstLine="720"/>
        <w:rPr>
          <w:snapToGrid/>
          <w:kern w:val="0"/>
          <w:szCs w:val="22"/>
        </w:rPr>
      </w:pPr>
      <w:r>
        <w:rPr>
          <w:snapToGrid/>
          <w:kern w:val="0"/>
        </w:rPr>
        <w:t xml:space="preserve">With the instant </w:t>
      </w:r>
      <w:r w:rsidR="004D3DAA">
        <w:rPr>
          <w:snapToGrid/>
          <w:kern w:val="0"/>
        </w:rPr>
        <w:t>a</w:t>
      </w:r>
      <w:r>
        <w:rPr>
          <w:snapToGrid/>
          <w:kern w:val="0"/>
        </w:rPr>
        <w:t xml:space="preserve">pplications and </w:t>
      </w:r>
      <w:r w:rsidR="004D3DAA">
        <w:rPr>
          <w:snapToGrid/>
          <w:kern w:val="0"/>
        </w:rPr>
        <w:t>w</w:t>
      </w:r>
      <w:r>
        <w:rPr>
          <w:snapToGrid/>
          <w:kern w:val="0"/>
        </w:rPr>
        <w:t xml:space="preserve">aiver </w:t>
      </w:r>
      <w:r w:rsidR="004D3DAA">
        <w:rPr>
          <w:snapToGrid/>
          <w:kern w:val="0"/>
        </w:rPr>
        <w:t>r</w:t>
      </w:r>
      <w:r>
        <w:rPr>
          <w:snapToGrid/>
          <w:kern w:val="0"/>
        </w:rPr>
        <w:t xml:space="preserve">equests, Applicants seek </w:t>
      </w:r>
      <w:r w:rsidRPr="001B1CCA">
        <w:rPr>
          <w:snapToGrid/>
          <w:kern w:val="0"/>
          <w:szCs w:val="22"/>
        </w:rPr>
        <w:t xml:space="preserve">“to emerge from bankruptcy protection </w:t>
      </w:r>
      <w:r w:rsidRPr="007537F7">
        <w:rPr>
          <w:i/>
          <w:snapToGrid/>
          <w:kern w:val="0"/>
        </w:rPr>
        <w:t>before</w:t>
      </w:r>
      <w:r w:rsidRPr="001B1CCA">
        <w:rPr>
          <w:snapToGrid/>
          <w:kern w:val="0"/>
          <w:szCs w:val="22"/>
        </w:rPr>
        <w:t xml:space="preserve"> filing any applications for approval that will be required in connection with the exercise of the </w:t>
      </w:r>
      <w:r>
        <w:rPr>
          <w:snapToGrid/>
          <w:kern w:val="0"/>
          <w:szCs w:val="22"/>
        </w:rPr>
        <w:t>S</w:t>
      </w:r>
      <w:r w:rsidRPr="001B1CCA">
        <w:rPr>
          <w:snapToGrid/>
          <w:kern w:val="0"/>
          <w:szCs w:val="22"/>
        </w:rPr>
        <w:t xml:space="preserve">pecial </w:t>
      </w:r>
      <w:r>
        <w:rPr>
          <w:snapToGrid/>
          <w:kern w:val="0"/>
          <w:szCs w:val="22"/>
        </w:rPr>
        <w:t>W</w:t>
      </w:r>
      <w:r w:rsidRPr="001B1CCA">
        <w:rPr>
          <w:snapToGrid/>
          <w:kern w:val="0"/>
          <w:szCs w:val="22"/>
        </w:rPr>
        <w:t xml:space="preserve">arrants: specifically, a petition for declaratory ruling that will be required with respect to foreign ownership exceeding the 25% level set forth in </w:t>
      </w:r>
      <w:r w:rsidR="00291643">
        <w:rPr>
          <w:snapToGrid/>
          <w:kern w:val="0"/>
          <w:szCs w:val="22"/>
        </w:rPr>
        <w:t>S</w:t>
      </w:r>
      <w:r w:rsidRPr="001B1CCA">
        <w:rPr>
          <w:snapToGrid/>
          <w:kern w:val="0"/>
          <w:szCs w:val="22"/>
        </w:rPr>
        <w:t>ection 310(b)(4) of the Communications Act and transfer of control applications pursuant to Section 214 and Section 310</w:t>
      </w:r>
      <w:r>
        <w:rPr>
          <w:snapToGrid/>
          <w:kern w:val="0"/>
          <w:szCs w:val="22"/>
        </w:rPr>
        <w:t>(d)</w:t>
      </w:r>
      <w:r w:rsidRPr="001B1CCA">
        <w:rPr>
          <w:snapToGrid/>
          <w:kern w:val="0"/>
          <w:szCs w:val="22"/>
        </w:rPr>
        <w:t xml:space="preserve"> that will be required for approval of the ownership of the Fusion Companies once special warrants have been exercised.”</w:t>
      </w:r>
      <w:r>
        <w:rPr>
          <w:snapToGrid/>
          <w:kern w:val="0"/>
          <w:szCs w:val="22"/>
          <w:vertAlign w:val="superscript"/>
        </w:rPr>
        <w:footnoteReference w:id="24"/>
      </w:r>
      <w:r w:rsidRPr="001B1CCA">
        <w:rPr>
          <w:snapToGrid/>
          <w:kern w:val="0"/>
          <w:szCs w:val="22"/>
        </w:rPr>
        <w:t xml:space="preserve"> </w:t>
      </w:r>
      <w:r>
        <w:rPr>
          <w:snapToGrid/>
          <w:kern w:val="0"/>
          <w:szCs w:val="22"/>
        </w:rPr>
        <w:t xml:space="preserve"> </w:t>
      </w:r>
      <w:r>
        <w:t xml:space="preserve">Applicants state that they intend to file such a petition and the related subsequent applications no later than 30 days following the date that all conditions precedent contained in the Plan of Reorganization are satisfied and after grant of the instant </w:t>
      </w:r>
      <w:r w:rsidRPr="00EC2026">
        <w:t>Applications by the Commission.</w:t>
      </w:r>
      <w:r>
        <w:rPr>
          <w:snapToGrid/>
          <w:kern w:val="0"/>
          <w:szCs w:val="22"/>
          <w:vertAlign w:val="superscript"/>
        </w:rPr>
        <w:footnoteReference w:id="25"/>
      </w:r>
    </w:p>
    <w:p w:rsidR="00470A81" w:rsidP="004C44BF" w14:paraId="595D2816" w14:textId="77777777">
      <w:pPr>
        <w:widowControl/>
        <w:autoSpaceDE w:val="0"/>
        <w:autoSpaceDN w:val="0"/>
        <w:adjustRightInd w:val="0"/>
        <w:rPr>
          <w:snapToGrid/>
          <w:kern w:val="0"/>
          <w:szCs w:val="22"/>
        </w:rPr>
      </w:pPr>
    </w:p>
    <w:p w:rsidR="00470A81" w:rsidP="004C44BF" w14:paraId="65D7B506" w14:textId="6EF77F86">
      <w:pPr>
        <w:widowControl/>
        <w:autoSpaceDE w:val="0"/>
        <w:autoSpaceDN w:val="0"/>
        <w:adjustRightInd w:val="0"/>
        <w:ind w:firstLine="720"/>
        <w:rPr>
          <w:snapToGrid/>
          <w:kern w:val="0"/>
          <w:szCs w:val="22"/>
        </w:rPr>
      </w:pPr>
      <w:bookmarkStart w:id="7" w:name="_Hlk29214809"/>
      <w:r>
        <w:rPr>
          <w:rFonts w:eastAsia="Calibri"/>
          <w:snapToGrid/>
          <w:kern w:val="0"/>
          <w:szCs w:val="22"/>
        </w:rPr>
        <w:t>As noted, t</w:t>
      </w:r>
      <w:r w:rsidRPr="005D4ADB">
        <w:rPr>
          <w:rFonts w:eastAsia="Calibri"/>
          <w:snapToGrid/>
          <w:kern w:val="0"/>
          <w:szCs w:val="22"/>
        </w:rPr>
        <w:t xml:space="preserve">he </w:t>
      </w:r>
      <w:r>
        <w:rPr>
          <w:rFonts w:eastAsia="Calibri"/>
          <w:snapToGrid/>
          <w:kern w:val="0"/>
          <w:szCs w:val="22"/>
        </w:rPr>
        <w:t xml:space="preserve">Applicants state </w:t>
      </w:r>
      <w:r w:rsidRPr="005D4ADB">
        <w:rPr>
          <w:rFonts w:eastAsia="Calibri"/>
          <w:snapToGrid/>
          <w:kern w:val="0"/>
          <w:szCs w:val="22"/>
        </w:rPr>
        <w:t>that they believe th</w:t>
      </w:r>
      <w:r>
        <w:rPr>
          <w:rFonts w:eastAsia="Calibri"/>
          <w:snapToGrid/>
          <w:kern w:val="0"/>
          <w:szCs w:val="22"/>
        </w:rPr>
        <w:t>e</w:t>
      </w:r>
      <w:r w:rsidRPr="005D4ADB">
        <w:rPr>
          <w:rFonts w:eastAsia="Calibri"/>
          <w:snapToGrid/>
          <w:kern w:val="0"/>
          <w:szCs w:val="22"/>
        </w:rPr>
        <w:t xml:space="preserve"> ownership structure</w:t>
      </w:r>
      <w:r>
        <w:rPr>
          <w:rFonts w:eastAsia="Calibri"/>
          <w:snapToGrid/>
          <w:kern w:val="0"/>
          <w:szCs w:val="22"/>
        </w:rPr>
        <w:t xml:space="preserve"> proposed in the instant </w:t>
      </w:r>
      <w:r w:rsidR="0072601C">
        <w:rPr>
          <w:rFonts w:eastAsia="Calibri"/>
          <w:snapToGrid/>
          <w:kern w:val="0"/>
          <w:szCs w:val="22"/>
        </w:rPr>
        <w:t>a</w:t>
      </w:r>
      <w:r>
        <w:rPr>
          <w:rFonts w:eastAsia="Calibri"/>
          <w:snapToGrid/>
          <w:kern w:val="0"/>
          <w:szCs w:val="22"/>
        </w:rPr>
        <w:t>pplications</w:t>
      </w:r>
      <w:r w:rsidRPr="005D4ADB">
        <w:rPr>
          <w:rFonts w:eastAsia="Calibri"/>
          <w:snapToGrid/>
          <w:kern w:val="0"/>
          <w:szCs w:val="22"/>
        </w:rPr>
        <w:t xml:space="preserve">, including the distribution of </w:t>
      </w:r>
      <w:r>
        <w:rPr>
          <w:rFonts w:eastAsia="Calibri"/>
          <w:snapToGrid/>
          <w:kern w:val="0"/>
          <w:szCs w:val="22"/>
        </w:rPr>
        <w:t xml:space="preserve">common stock </w:t>
      </w:r>
      <w:r w:rsidRPr="005D4ADB">
        <w:rPr>
          <w:rFonts w:eastAsia="Calibri"/>
          <w:snapToGrid/>
          <w:kern w:val="0"/>
          <w:szCs w:val="22"/>
        </w:rPr>
        <w:t xml:space="preserve">and </w:t>
      </w:r>
      <w:r>
        <w:rPr>
          <w:rFonts w:eastAsia="Calibri"/>
          <w:snapToGrid/>
          <w:kern w:val="0"/>
          <w:szCs w:val="22"/>
        </w:rPr>
        <w:t xml:space="preserve">Special </w:t>
      </w:r>
      <w:r w:rsidRPr="005D4ADB">
        <w:rPr>
          <w:rFonts w:eastAsia="Calibri"/>
          <w:snapToGrid/>
          <w:kern w:val="0"/>
          <w:szCs w:val="22"/>
        </w:rPr>
        <w:t xml:space="preserve">Warrants, fully complies with the </w:t>
      </w:r>
      <w:r w:rsidRPr="00EC2026">
        <w:rPr>
          <w:rFonts w:eastAsia="Calibri"/>
          <w:snapToGrid/>
          <w:kern w:val="0"/>
          <w:szCs w:val="22"/>
        </w:rPr>
        <w:t>Act and</w:t>
      </w:r>
      <w:r>
        <w:rPr>
          <w:rFonts w:eastAsia="Calibri"/>
          <w:snapToGrid/>
          <w:kern w:val="0"/>
          <w:szCs w:val="22"/>
        </w:rPr>
        <w:t xml:space="preserve"> the </w:t>
      </w:r>
      <w:r w:rsidRPr="005D4ADB">
        <w:rPr>
          <w:rFonts w:eastAsia="Calibri"/>
          <w:snapToGrid/>
          <w:kern w:val="0"/>
          <w:szCs w:val="22"/>
        </w:rPr>
        <w:t>Commission’s rules</w:t>
      </w:r>
      <w:r>
        <w:rPr>
          <w:rFonts w:eastAsia="Calibri"/>
          <w:snapToGrid/>
          <w:kern w:val="0"/>
          <w:szCs w:val="22"/>
        </w:rPr>
        <w:t>, including</w:t>
      </w:r>
      <w:r w:rsidRPr="005D4ADB">
        <w:rPr>
          <w:rFonts w:eastAsia="Calibri"/>
          <w:snapToGrid/>
          <w:kern w:val="0"/>
          <w:szCs w:val="22"/>
        </w:rPr>
        <w:t xml:space="preserve"> </w:t>
      </w:r>
      <w:r>
        <w:rPr>
          <w:rFonts w:eastAsia="Calibri"/>
          <w:snapToGrid/>
          <w:kern w:val="0"/>
          <w:szCs w:val="22"/>
        </w:rPr>
        <w:t xml:space="preserve">the </w:t>
      </w:r>
      <w:r w:rsidRPr="005D4ADB">
        <w:rPr>
          <w:rFonts w:eastAsia="Calibri"/>
          <w:snapToGrid/>
          <w:kern w:val="0"/>
          <w:szCs w:val="22"/>
        </w:rPr>
        <w:t>limitations on foreign ownership.</w:t>
      </w:r>
      <w:r>
        <w:rPr>
          <w:rStyle w:val="FootnoteReference"/>
          <w:rFonts w:eastAsia="Calibri"/>
          <w:snapToGrid/>
          <w:kern w:val="0"/>
          <w:szCs w:val="22"/>
        </w:rPr>
        <w:footnoteReference w:id="26"/>
      </w:r>
      <w:r w:rsidRPr="005D4ADB">
        <w:rPr>
          <w:rFonts w:eastAsia="Calibri"/>
          <w:snapToGrid/>
          <w:kern w:val="0"/>
          <w:szCs w:val="22"/>
        </w:rPr>
        <w:t xml:space="preserve">  </w:t>
      </w:r>
      <w:r>
        <w:rPr>
          <w:rFonts w:eastAsia="Calibri"/>
          <w:snapToGrid/>
          <w:kern w:val="0"/>
          <w:szCs w:val="22"/>
        </w:rPr>
        <w:t xml:space="preserve">At the same time, Applicants “understand that there is some possibility that, in an unexercised state, warrants would be deemed to constitute </w:t>
      </w:r>
      <w:r w:rsidRPr="005D4ADB">
        <w:rPr>
          <w:rFonts w:eastAsia="Calibri"/>
          <w:snapToGrid/>
          <w:kern w:val="0"/>
          <w:szCs w:val="22"/>
        </w:rPr>
        <w:t>equity</w:t>
      </w:r>
      <w:r>
        <w:rPr>
          <w:rFonts w:eastAsia="Calibri"/>
          <w:snapToGrid/>
          <w:kern w:val="0"/>
          <w:szCs w:val="22"/>
        </w:rPr>
        <w:t xml:space="preserve"> and be included in the Commission’s review</w:t>
      </w:r>
      <w:r w:rsidR="003F0252">
        <w:rPr>
          <w:rFonts w:eastAsia="Calibri"/>
          <w:snapToGrid/>
          <w:kern w:val="0"/>
          <w:szCs w:val="22"/>
        </w:rPr>
        <w:t>s”</w:t>
      </w:r>
      <w:r>
        <w:rPr>
          <w:rFonts w:eastAsia="Calibri"/>
          <w:snapToGrid/>
          <w:kern w:val="0"/>
          <w:szCs w:val="22"/>
        </w:rPr>
        <w:t xml:space="preserve"> of Reorganized FCI’s proposed, post-emergence ownership under sections 214, 310(b), and 310(d) of the Act.</w:t>
      </w:r>
      <w:r>
        <w:rPr>
          <w:rStyle w:val="FootnoteReference"/>
          <w:rFonts w:eastAsia="Calibri"/>
          <w:snapToGrid/>
          <w:kern w:val="0"/>
          <w:szCs w:val="22"/>
        </w:rPr>
        <w:footnoteReference w:id="27"/>
      </w:r>
      <w:r>
        <w:rPr>
          <w:rFonts w:eastAsia="Calibri"/>
          <w:snapToGrid/>
          <w:kern w:val="0"/>
          <w:szCs w:val="22"/>
        </w:rPr>
        <w:t xml:space="preserve">  </w:t>
      </w:r>
      <w:bookmarkStart w:id="8" w:name="_Hlk29214788"/>
      <w:r>
        <w:rPr>
          <w:rFonts w:eastAsia="Calibri"/>
          <w:snapToGrid/>
          <w:kern w:val="0"/>
          <w:szCs w:val="22"/>
        </w:rPr>
        <w:t xml:space="preserve">The Applicants therefore seek, out of an abundance of caution, </w:t>
      </w:r>
      <w:r w:rsidRPr="005D4ADB">
        <w:rPr>
          <w:rFonts w:eastAsia="Calibri"/>
          <w:snapToGrid/>
          <w:kern w:val="0"/>
          <w:szCs w:val="22"/>
        </w:rPr>
        <w:t>a temporary and limited waiver of section 1.5000(a)(1) of the Commission’s rules</w:t>
      </w:r>
      <w:r>
        <w:rPr>
          <w:rFonts w:eastAsia="Calibri"/>
          <w:snapToGrid/>
          <w:kern w:val="0"/>
          <w:szCs w:val="22"/>
        </w:rPr>
        <w:t xml:space="preserve"> on foreign ownership as well as </w:t>
      </w:r>
      <w:r w:rsidR="00C93C3E">
        <w:rPr>
          <w:rFonts w:eastAsia="Calibri"/>
          <w:snapToGrid/>
          <w:kern w:val="0"/>
          <w:szCs w:val="22"/>
        </w:rPr>
        <w:t>filing</w:t>
      </w:r>
      <w:r>
        <w:rPr>
          <w:rFonts w:eastAsia="Calibri"/>
          <w:snapToGrid/>
          <w:kern w:val="0"/>
          <w:szCs w:val="22"/>
        </w:rPr>
        <w:t xml:space="preserve"> requirements for transfers of control or assignment under sections </w:t>
      </w:r>
      <w:r w:rsidRPr="00773B8C">
        <w:rPr>
          <w:snapToGrid/>
          <w:kern w:val="0"/>
          <w:szCs w:val="22"/>
        </w:rPr>
        <w:t>63.03, 63.04, 63.18, and 63.24</w:t>
      </w:r>
      <w:r w:rsidRPr="005D4ADB">
        <w:rPr>
          <w:rFonts w:eastAsia="Calibri"/>
          <w:snapToGrid/>
          <w:kern w:val="0"/>
          <w:szCs w:val="22"/>
        </w:rPr>
        <w:t>.</w:t>
      </w:r>
      <w:bookmarkEnd w:id="7"/>
      <w:r>
        <w:rPr>
          <w:rStyle w:val="FootnoteReference"/>
          <w:rFonts w:eastAsia="Calibri"/>
        </w:rPr>
        <w:footnoteReference w:id="28"/>
      </w:r>
    </w:p>
    <w:bookmarkEnd w:id="8"/>
    <w:p w:rsidR="00470A81" w:rsidP="00470A81" w14:paraId="1F4889A3" w14:textId="77777777">
      <w:pPr>
        <w:widowControl/>
        <w:autoSpaceDE w:val="0"/>
        <w:autoSpaceDN w:val="0"/>
        <w:adjustRightInd w:val="0"/>
        <w:ind w:firstLine="720"/>
        <w:rPr>
          <w:snapToGrid/>
          <w:kern w:val="0"/>
          <w:szCs w:val="22"/>
        </w:rPr>
      </w:pPr>
    </w:p>
    <w:p w:rsidR="005062E0" w:rsidP="00470A81" w14:paraId="3CD4FF9E" w14:textId="7376E883">
      <w:pPr>
        <w:widowControl/>
        <w:autoSpaceDE w:val="0"/>
        <w:autoSpaceDN w:val="0"/>
        <w:adjustRightInd w:val="0"/>
        <w:ind w:firstLine="720"/>
        <w:rPr>
          <w:szCs w:val="22"/>
        </w:rPr>
      </w:pPr>
      <w:r>
        <w:rPr>
          <w:szCs w:val="22"/>
        </w:rPr>
        <w:t>The Bureaus did not receive comments or petitions in opposition to the</w:t>
      </w:r>
      <w:r w:rsidR="00A17E28">
        <w:rPr>
          <w:szCs w:val="22"/>
        </w:rPr>
        <w:t xml:space="preserve"> </w:t>
      </w:r>
      <w:r w:rsidR="002B69BF">
        <w:rPr>
          <w:szCs w:val="22"/>
        </w:rPr>
        <w:t xml:space="preserve">Application or </w:t>
      </w:r>
      <w:r w:rsidR="001C17CC">
        <w:rPr>
          <w:szCs w:val="22"/>
        </w:rPr>
        <w:t>the Waiver Request</w:t>
      </w:r>
      <w:r>
        <w:rPr>
          <w:szCs w:val="22"/>
        </w:rPr>
        <w:t>.</w:t>
      </w:r>
    </w:p>
    <w:p w:rsidR="005062E0" w:rsidP="00470A81" w14:paraId="525F1C3A" w14:textId="77777777">
      <w:pPr>
        <w:widowControl/>
        <w:autoSpaceDE w:val="0"/>
        <w:autoSpaceDN w:val="0"/>
        <w:adjustRightInd w:val="0"/>
        <w:ind w:firstLine="720"/>
        <w:rPr>
          <w:snapToGrid/>
          <w:kern w:val="0"/>
          <w:szCs w:val="22"/>
        </w:rPr>
      </w:pPr>
    </w:p>
    <w:p w:rsidR="00205634" w:rsidRPr="005F3F4E" w:rsidP="00205634" w14:paraId="25CAB005" w14:textId="77777777">
      <w:pPr>
        <w:widowControl/>
        <w:autoSpaceDE w:val="0"/>
        <w:autoSpaceDN w:val="0"/>
        <w:adjustRightInd w:val="0"/>
        <w:rPr>
          <w:rFonts w:eastAsia="Calibri"/>
          <w:snapToGrid/>
          <w:kern w:val="0"/>
          <w:szCs w:val="22"/>
          <w:u w:val="single"/>
        </w:rPr>
      </w:pPr>
      <w:r w:rsidRPr="005F3F4E">
        <w:rPr>
          <w:rFonts w:eastAsia="Calibri"/>
          <w:snapToGrid/>
          <w:kern w:val="0"/>
          <w:szCs w:val="22"/>
          <w:u w:val="single"/>
        </w:rPr>
        <w:t>Grant of the Waiver Request</w:t>
      </w:r>
    </w:p>
    <w:p w:rsidR="00205634" w:rsidP="004C44BF" w14:paraId="6BCF6636" w14:textId="77777777">
      <w:pPr>
        <w:widowControl/>
        <w:autoSpaceDE w:val="0"/>
        <w:autoSpaceDN w:val="0"/>
        <w:adjustRightInd w:val="0"/>
        <w:rPr>
          <w:rFonts w:eastAsia="Calibri"/>
          <w:snapToGrid/>
          <w:kern w:val="0"/>
          <w:szCs w:val="22"/>
        </w:rPr>
      </w:pPr>
    </w:p>
    <w:p w:rsidR="00470A81" w:rsidRPr="005D4ADB" w:rsidP="004C44BF" w14:paraId="0E9120E1" w14:textId="61F55F5C">
      <w:pPr>
        <w:widowControl/>
        <w:autoSpaceDE w:val="0"/>
        <w:autoSpaceDN w:val="0"/>
        <w:adjustRightInd w:val="0"/>
        <w:ind w:firstLine="720"/>
        <w:rPr>
          <w:rFonts w:eastAsia="Calibri"/>
          <w:snapToGrid/>
          <w:kern w:val="0"/>
          <w:szCs w:val="22"/>
        </w:rPr>
      </w:pPr>
      <w:r w:rsidRPr="005D4ADB">
        <w:rPr>
          <w:rFonts w:eastAsia="Calibri"/>
          <w:snapToGrid/>
          <w:kern w:val="0"/>
          <w:szCs w:val="22"/>
        </w:rPr>
        <w:t>The Commission's rules may be waived for good cause shown</w:t>
      </w:r>
      <w:r w:rsidRPr="006B134F">
        <w:rPr>
          <w:rFonts w:eastAsia="Calibri"/>
          <w:kern w:val="0"/>
        </w:rPr>
        <w:t>.</w:t>
      </w:r>
      <w:bookmarkStart w:id="9" w:name="FN[FN8]"/>
      <w:bookmarkEnd w:id="9"/>
      <w:r>
        <w:rPr>
          <w:rFonts w:eastAsia="Calibri"/>
          <w:kern w:val="0"/>
          <w:vertAlign w:val="superscript"/>
        </w:rPr>
        <w:footnoteReference w:id="29"/>
      </w:r>
      <w:r w:rsidRPr="005D4ADB">
        <w:rPr>
          <w:rFonts w:eastAsia="Calibri"/>
          <w:snapToGrid/>
          <w:kern w:val="0"/>
          <w:szCs w:val="22"/>
        </w:rPr>
        <w:t xml:space="preserve">  Waiver of the Commission’s rules is appropriate only if special circumstances warrant a deviation from the rule</w:t>
      </w:r>
      <w:r w:rsidR="00291643">
        <w:rPr>
          <w:rFonts w:eastAsia="Calibri"/>
          <w:snapToGrid/>
          <w:kern w:val="0"/>
          <w:szCs w:val="22"/>
        </w:rPr>
        <w:t>,</w:t>
      </w:r>
      <w:r w:rsidRPr="005D4ADB">
        <w:rPr>
          <w:rFonts w:eastAsia="Calibri"/>
          <w:snapToGrid/>
          <w:kern w:val="0"/>
          <w:szCs w:val="22"/>
        </w:rPr>
        <w:t xml:space="preserve"> and such deviation will serve the public interest.</w:t>
      </w:r>
      <w:bookmarkStart w:id="10" w:name="FN[FN10]"/>
      <w:bookmarkEnd w:id="10"/>
      <w:r>
        <w:rPr>
          <w:rFonts w:eastAsia="Calibri"/>
          <w:snapToGrid/>
          <w:kern w:val="0"/>
          <w:szCs w:val="22"/>
          <w:vertAlign w:val="superscript"/>
        </w:rPr>
        <w:footnoteReference w:id="30"/>
      </w:r>
      <w:r w:rsidRPr="005D4ADB">
        <w:rPr>
          <w:rFonts w:eastAsia="Calibri"/>
          <w:snapToGrid/>
          <w:kern w:val="0"/>
          <w:szCs w:val="22"/>
        </w:rPr>
        <w:t xml:space="preserve">  The Commission may exercise its discretion to waive a rule where the particular facts make strict compliance inconsistent with the public interest.</w:t>
      </w:r>
      <w:r>
        <w:rPr>
          <w:rFonts w:eastAsia="Calibri"/>
          <w:snapToGrid/>
          <w:kern w:val="0"/>
          <w:szCs w:val="22"/>
          <w:vertAlign w:val="superscript"/>
        </w:rPr>
        <w:footnoteReference w:id="31"/>
      </w:r>
      <w:r w:rsidRPr="005D4ADB">
        <w:rPr>
          <w:rFonts w:eastAsia="Calibri"/>
          <w:snapToGrid/>
          <w:kern w:val="0"/>
          <w:szCs w:val="22"/>
        </w:rPr>
        <w:t xml:space="preserve">  It may also take into account considerations of hardship, equity, or more </w:t>
      </w:r>
      <w:bookmarkStart w:id="11" w:name="sp_1511_11220"/>
      <w:bookmarkStart w:id="12" w:name="SDU_11220"/>
      <w:bookmarkStart w:id="13" w:name="citeas((Cite_as:_22_F.C.C.R._11218,_*112"/>
      <w:bookmarkEnd w:id="11"/>
      <w:bookmarkEnd w:id="12"/>
      <w:bookmarkEnd w:id="13"/>
      <w:r w:rsidRPr="005D4ADB">
        <w:rPr>
          <w:rFonts w:eastAsia="Calibri"/>
          <w:snapToGrid/>
          <w:kern w:val="0"/>
          <w:szCs w:val="22"/>
        </w:rPr>
        <w:t>effective implementation of overall policy on an individual basis.</w:t>
      </w:r>
      <w:r>
        <w:rPr>
          <w:rFonts w:eastAsia="Calibri"/>
          <w:snapToGrid/>
          <w:kern w:val="0"/>
          <w:szCs w:val="22"/>
          <w:vertAlign w:val="superscript"/>
        </w:rPr>
        <w:footnoteReference w:id="32"/>
      </w:r>
    </w:p>
    <w:p w:rsidR="0084567A" w:rsidP="0084567A" w14:paraId="70A70392" w14:textId="77777777">
      <w:pPr>
        <w:widowControl/>
        <w:autoSpaceDE w:val="0"/>
        <w:autoSpaceDN w:val="0"/>
        <w:adjustRightInd w:val="0"/>
        <w:ind w:firstLine="720"/>
        <w:rPr>
          <w:rFonts w:eastAsia="Calibri"/>
          <w:snapToGrid/>
          <w:kern w:val="0"/>
          <w:szCs w:val="22"/>
        </w:rPr>
      </w:pPr>
    </w:p>
    <w:p w:rsidR="008E40C6" w:rsidP="002802C9" w14:paraId="5240DBD8" w14:textId="0E0FE1E7">
      <w:pPr>
        <w:widowControl/>
        <w:autoSpaceDE w:val="0"/>
        <w:autoSpaceDN w:val="0"/>
        <w:adjustRightInd w:val="0"/>
        <w:ind w:firstLine="720"/>
        <w:rPr>
          <w:rFonts w:eastAsia="Calibri"/>
          <w:snapToGrid/>
          <w:kern w:val="0"/>
          <w:szCs w:val="22"/>
        </w:rPr>
      </w:pPr>
      <w:r>
        <w:rPr>
          <w:rFonts w:eastAsia="Calibri"/>
          <w:snapToGrid/>
          <w:kern w:val="0"/>
          <w:szCs w:val="22"/>
        </w:rPr>
        <w:t>We grant the Applicants’</w:t>
      </w:r>
      <w:r w:rsidR="00F04D3A">
        <w:rPr>
          <w:rFonts w:eastAsia="Calibri"/>
          <w:snapToGrid/>
          <w:kern w:val="0"/>
          <w:szCs w:val="22"/>
        </w:rPr>
        <w:t xml:space="preserve"> request </w:t>
      </w:r>
      <w:r w:rsidR="00470A81">
        <w:rPr>
          <w:rFonts w:eastAsia="Calibri"/>
          <w:snapToGrid/>
          <w:kern w:val="0"/>
          <w:szCs w:val="22"/>
        </w:rPr>
        <w:t xml:space="preserve">to waive </w:t>
      </w:r>
      <w:r w:rsidRPr="005D4ADB" w:rsidR="00470A81">
        <w:rPr>
          <w:rFonts w:eastAsia="Calibri"/>
          <w:snapToGrid/>
          <w:kern w:val="0"/>
          <w:szCs w:val="22"/>
        </w:rPr>
        <w:t>section</w:t>
      </w:r>
      <w:r w:rsidR="00BA14DC">
        <w:rPr>
          <w:rFonts w:eastAsia="Calibri"/>
          <w:snapToGrid/>
          <w:kern w:val="0"/>
          <w:szCs w:val="22"/>
        </w:rPr>
        <w:t>s</w:t>
      </w:r>
      <w:r w:rsidRPr="005D4ADB" w:rsidR="00470A81">
        <w:rPr>
          <w:rFonts w:eastAsia="Calibri"/>
          <w:snapToGrid/>
          <w:kern w:val="0"/>
          <w:szCs w:val="22"/>
        </w:rPr>
        <w:t xml:space="preserve"> 1.5000(a)(1)</w:t>
      </w:r>
      <w:r w:rsidR="00BA14DC">
        <w:rPr>
          <w:rFonts w:eastAsia="Calibri"/>
          <w:snapToGrid/>
          <w:kern w:val="0"/>
          <w:szCs w:val="22"/>
        </w:rPr>
        <w:t>,</w:t>
      </w:r>
      <w:r w:rsidR="00470A81">
        <w:rPr>
          <w:rFonts w:eastAsia="Calibri"/>
          <w:snapToGrid/>
          <w:kern w:val="0"/>
          <w:szCs w:val="22"/>
        </w:rPr>
        <w:t xml:space="preserve"> </w:t>
      </w:r>
      <w:r w:rsidRPr="00773B8C" w:rsidR="00470A81">
        <w:rPr>
          <w:snapToGrid/>
          <w:kern w:val="0"/>
          <w:szCs w:val="22"/>
        </w:rPr>
        <w:t>63.03, 63.04, 63.18, and 63.</w:t>
      </w:r>
      <w:r w:rsidR="00470A81">
        <w:rPr>
          <w:snapToGrid/>
          <w:kern w:val="0"/>
          <w:szCs w:val="22"/>
        </w:rPr>
        <w:t>24</w:t>
      </w:r>
      <w:r w:rsidR="006078BD">
        <w:rPr>
          <w:snapToGrid/>
          <w:kern w:val="0"/>
          <w:szCs w:val="22"/>
        </w:rPr>
        <w:t xml:space="preserve"> of the Commission’s rules</w:t>
      </w:r>
      <w:r w:rsidR="00470A81">
        <w:rPr>
          <w:rFonts w:eastAsia="Calibri"/>
          <w:snapToGrid/>
          <w:kern w:val="0"/>
          <w:szCs w:val="22"/>
        </w:rPr>
        <w:t xml:space="preserve"> in the circumstances of the proposed transaction</w:t>
      </w:r>
      <w:r w:rsidR="006F6EAD">
        <w:rPr>
          <w:rFonts w:eastAsia="Calibri"/>
          <w:snapToGrid/>
          <w:kern w:val="0"/>
          <w:szCs w:val="22"/>
        </w:rPr>
        <w:t xml:space="preserve">.  We find that the </w:t>
      </w:r>
      <w:r w:rsidR="009028FD">
        <w:rPr>
          <w:rFonts w:eastAsia="Calibri"/>
          <w:snapToGrid/>
          <w:kern w:val="0"/>
          <w:szCs w:val="22"/>
        </w:rPr>
        <w:t xml:space="preserve">request to waive </w:t>
      </w:r>
      <w:r w:rsidR="007344C5">
        <w:rPr>
          <w:rFonts w:eastAsia="Calibri"/>
          <w:snapToGrid/>
          <w:kern w:val="0"/>
          <w:szCs w:val="22"/>
        </w:rPr>
        <w:t xml:space="preserve">these rules is </w:t>
      </w:r>
      <w:r w:rsidRPr="005D4ADB" w:rsidR="00470A81">
        <w:rPr>
          <w:rFonts w:eastAsia="Calibri"/>
          <w:snapToGrid/>
          <w:kern w:val="0"/>
          <w:szCs w:val="22"/>
        </w:rPr>
        <w:t>well supported</w:t>
      </w:r>
      <w:r>
        <w:rPr>
          <w:rFonts w:eastAsia="Calibri"/>
          <w:snapToGrid/>
          <w:kern w:val="0"/>
          <w:szCs w:val="22"/>
        </w:rPr>
        <w:t xml:space="preserve"> and consistent with existing policy and practice,</w:t>
      </w:r>
      <w:r w:rsidR="004C44BF">
        <w:rPr>
          <w:rFonts w:eastAsia="Calibri"/>
          <w:snapToGrid/>
          <w:kern w:val="0"/>
          <w:szCs w:val="22"/>
        </w:rPr>
        <w:t xml:space="preserve"> </w:t>
      </w:r>
      <w:r w:rsidRPr="00291643" w:rsidR="004C44BF">
        <w:rPr>
          <w:rFonts w:eastAsia="Calibri"/>
          <w:i/>
          <w:snapToGrid/>
          <w:kern w:val="0"/>
          <w:szCs w:val="22"/>
        </w:rPr>
        <w:t>e.g</w:t>
      </w:r>
      <w:r w:rsidRPr="005F3F4E" w:rsidR="004C44BF">
        <w:rPr>
          <w:rFonts w:eastAsia="Calibri"/>
          <w:snapToGrid/>
          <w:kern w:val="0"/>
          <w:szCs w:val="22"/>
        </w:rPr>
        <w:t>.</w:t>
      </w:r>
      <w:r w:rsidR="004C44BF">
        <w:rPr>
          <w:rFonts w:eastAsia="Calibri"/>
          <w:i/>
          <w:snapToGrid/>
          <w:kern w:val="0"/>
          <w:szCs w:val="22"/>
        </w:rPr>
        <w:t>,</w:t>
      </w:r>
      <w:r>
        <w:rPr>
          <w:rFonts w:eastAsia="Calibri"/>
          <w:snapToGrid/>
          <w:kern w:val="0"/>
          <w:szCs w:val="22"/>
        </w:rPr>
        <w:t xml:space="preserve"> the Media Bureau’s deci</w:t>
      </w:r>
      <w:r w:rsidR="007344C5">
        <w:rPr>
          <w:rFonts w:eastAsia="Calibri"/>
          <w:snapToGrid/>
          <w:kern w:val="0"/>
          <w:szCs w:val="22"/>
        </w:rPr>
        <w:t>sio</w:t>
      </w:r>
      <w:r>
        <w:rPr>
          <w:rFonts w:eastAsia="Calibri"/>
          <w:snapToGrid/>
          <w:kern w:val="0"/>
          <w:szCs w:val="22"/>
        </w:rPr>
        <w:t xml:space="preserve">n in </w:t>
      </w:r>
      <w:r w:rsidR="003F0683">
        <w:rPr>
          <w:rFonts w:eastAsia="Calibri"/>
          <w:snapToGrid/>
          <w:kern w:val="0"/>
          <w:szCs w:val="22"/>
        </w:rPr>
        <w:t xml:space="preserve">the </w:t>
      </w:r>
      <w:r w:rsidRPr="001E2CEC">
        <w:rPr>
          <w:rFonts w:eastAsia="Calibri"/>
          <w:i/>
          <w:snapToGrid/>
          <w:kern w:val="0"/>
          <w:szCs w:val="22"/>
        </w:rPr>
        <w:t xml:space="preserve">Liberman </w:t>
      </w:r>
      <w:r w:rsidR="003F0683">
        <w:rPr>
          <w:rFonts w:eastAsia="Calibri"/>
          <w:i/>
          <w:snapToGrid/>
          <w:kern w:val="0"/>
          <w:szCs w:val="22"/>
        </w:rPr>
        <w:t>Order</w:t>
      </w:r>
      <w:r>
        <w:rPr>
          <w:rFonts w:eastAsia="Calibri"/>
          <w:snapToGrid/>
          <w:kern w:val="0"/>
          <w:szCs w:val="22"/>
        </w:rPr>
        <w:t>.</w:t>
      </w:r>
      <w:r>
        <w:rPr>
          <w:rStyle w:val="FootnoteReference"/>
          <w:rFonts w:eastAsia="Calibri"/>
          <w:snapToGrid/>
          <w:kern w:val="0"/>
          <w:szCs w:val="22"/>
        </w:rPr>
        <w:footnoteReference w:id="33"/>
      </w:r>
      <w:r w:rsidRPr="005D4ADB">
        <w:rPr>
          <w:rFonts w:eastAsia="Calibri"/>
          <w:snapToGrid/>
          <w:kern w:val="0"/>
          <w:szCs w:val="22"/>
        </w:rPr>
        <w:t xml:space="preserve"> </w:t>
      </w:r>
      <w:r>
        <w:rPr>
          <w:rFonts w:eastAsia="Calibri"/>
          <w:snapToGrid/>
          <w:kern w:val="0"/>
          <w:szCs w:val="22"/>
        </w:rPr>
        <w:t xml:space="preserve"> </w:t>
      </w:r>
    </w:p>
    <w:p w:rsidR="008E40C6" w:rsidP="002802C9" w14:paraId="1D3EC536" w14:textId="77777777">
      <w:pPr>
        <w:widowControl/>
        <w:autoSpaceDE w:val="0"/>
        <w:autoSpaceDN w:val="0"/>
        <w:adjustRightInd w:val="0"/>
        <w:ind w:firstLine="720"/>
        <w:rPr>
          <w:rFonts w:eastAsia="Calibri"/>
          <w:snapToGrid/>
          <w:kern w:val="0"/>
          <w:szCs w:val="22"/>
        </w:rPr>
      </w:pPr>
    </w:p>
    <w:p w:rsidR="00470A81" w:rsidP="005F3F4E" w14:paraId="0C2076FF" w14:textId="20D536A9">
      <w:pPr>
        <w:widowControl/>
        <w:autoSpaceDE w:val="0"/>
        <w:autoSpaceDN w:val="0"/>
        <w:adjustRightInd w:val="0"/>
        <w:ind w:firstLine="720"/>
        <w:rPr>
          <w:rFonts w:eastAsia="Calibri"/>
          <w:snapToGrid/>
          <w:kern w:val="0"/>
          <w:szCs w:val="22"/>
        </w:rPr>
      </w:pPr>
      <w:r>
        <w:rPr>
          <w:rFonts w:eastAsia="Calibri"/>
          <w:snapToGrid/>
          <w:kern w:val="0"/>
          <w:szCs w:val="22"/>
        </w:rPr>
        <w:t xml:space="preserve">Grant of the </w:t>
      </w:r>
      <w:r w:rsidRPr="00063C94" w:rsidR="006078BD">
        <w:rPr>
          <w:rFonts w:eastAsia="Calibri"/>
          <w:snapToGrid/>
          <w:kern w:val="0"/>
          <w:szCs w:val="22"/>
        </w:rPr>
        <w:t>W</w:t>
      </w:r>
      <w:r w:rsidRPr="00063C94">
        <w:rPr>
          <w:rFonts w:eastAsia="Calibri"/>
          <w:snapToGrid/>
          <w:kern w:val="0"/>
          <w:szCs w:val="22"/>
        </w:rPr>
        <w:t xml:space="preserve">aiver </w:t>
      </w:r>
      <w:r w:rsidRPr="00063C94" w:rsidR="006078BD">
        <w:rPr>
          <w:rFonts w:eastAsia="Calibri"/>
          <w:snapToGrid/>
          <w:kern w:val="0"/>
          <w:szCs w:val="22"/>
        </w:rPr>
        <w:t>R</w:t>
      </w:r>
      <w:r w:rsidRPr="00063C94">
        <w:rPr>
          <w:rFonts w:eastAsia="Calibri"/>
          <w:snapToGrid/>
          <w:kern w:val="0"/>
          <w:szCs w:val="22"/>
        </w:rPr>
        <w:t>equest</w:t>
      </w:r>
      <w:r w:rsidR="00785EE9">
        <w:rPr>
          <w:rFonts w:eastAsia="Calibri"/>
          <w:snapToGrid/>
          <w:kern w:val="0"/>
          <w:szCs w:val="22"/>
        </w:rPr>
        <w:t xml:space="preserve"> </w:t>
      </w:r>
      <w:r>
        <w:rPr>
          <w:rFonts w:eastAsia="Calibri"/>
          <w:snapToGrid/>
          <w:kern w:val="0"/>
          <w:szCs w:val="22"/>
        </w:rPr>
        <w:t>would facilitate the Fusion Companies’ prompt emergence from the bankruptcy process consistent with the Commission’s longstanding practice to accommodate federal bankruptcy law when doing so will not unduly interfere with the Commission’s public interest obligations under the Act.</w:t>
      </w:r>
      <w:r>
        <w:rPr>
          <w:rStyle w:val="FootnoteReference"/>
          <w:rFonts w:eastAsia="Calibri"/>
          <w:snapToGrid/>
          <w:kern w:val="0"/>
          <w:szCs w:val="22"/>
        </w:rPr>
        <w:footnoteReference w:id="34"/>
      </w:r>
      <w:r>
        <w:rPr>
          <w:rFonts w:eastAsia="Calibri"/>
          <w:snapToGrid/>
          <w:kern w:val="0"/>
          <w:szCs w:val="22"/>
        </w:rPr>
        <w:t xml:space="preserve">  We agree with the Applicants that facilitating s</w:t>
      </w:r>
      <w:r w:rsidRPr="005D4ADB">
        <w:rPr>
          <w:rFonts w:eastAsia="Calibri"/>
          <w:snapToGrid/>
          <w:kern w:val="0"/>
          <w:szCs w:val="22"/>
        </w:rPr>
        <w:t xml:space="preserve">uccessful </w:t>
      </w:r>
      <w:r>
        <w:rPr>
          <w:rFonts w:eastAsia="Calibri"/>
          <w:snapToGrid/>
          <w:kern w:val="0"/>
          <w:szCs w:val="22"/>
        </w:rPr>
        <w:t xml:space="preserve">and timely </w:t>
      </w:r>
      <w:r w:rsidRPr="005D4ADB">
        <w:rPr>
          <w:rFonts w:eastAsia="Calibri"/>
          <w:snapToGrid/>
          <w:kern w:val="0"/>
          <w:szCs w:val="22"/>
        </w:rPr>
        <w:t>emergence from bankruptcy “advances the public interest by providing economic and social benefits, especially including the compensation of innocent creditors.”</w:t>
      </w:r>
      <w:r>
        <w:rPr>
          <w:rFonts w:eastAsia="Calibri"/>
          <w:snapToGrid/>
          <w:kern w:val="0"/>
          <w:sz w:val="20"/>
          <w:szCs w:val="22"/>
          <w:vertAlign w:val="superscript"/>
        </w:rPr>
        <w:footnoteReference w:id="35"/>
      </w:r>
      <w:r w:rsidRPr="005D4ADB">
        <w:rPr>
          <w:rFonts w:eastAsia="Calibri"/>
          <w:snapToGrid/>
          <w:kern w:val="0"/>
          <w:szCs w:val="22"/>
        </w:rPr>
        <w:t xml:space="preserve">  </w:t>
      </w:r>
      <w:bookmarkStart w:id="14" w:name="_Hlk29215345"/>
      <w:r w:rsidRPr="005D4ADB">
        <w:rPr>
          <w:rFonts w:eastAsia="Calibri"/>
          <w:snapToGrid/>
          <w:kern w:val="0"/>
          <w:szCs w:val="22"/>
        </w:rPr>
        <w:t xml:space="preserve">Moreover, waiver </w:t>
      </w:r>
      <w:r>
        <w:rPr>
          <w:rFonts w:eastAsia="Calibri"/>
          <w:snapToGrid/>
          <w:kern w:val="0"/>
          <w:szCs w:val="22"/>
        </w:rPr>
        <w:t>of section 1.5000(a)</w:t>
      </w:r>
      <w:r w:rsidR="0036014D">
        <w:rPr>
          <w:rFonts w:eastAsia="Calibri"/>
          <w:snapToGrid/>
          <w:kern w:val="0"/>
          <w:szCs w:val="22"/>
        </w:rPr>
        <w:t>(1)</w:t>
      </w:r>
      <w:r>
        <w:rPr>
          <w:rFonts w:eastAsia="Calibri"/>
          <w:snapToGrid/>
          <w:kern w:val="0"/>
          <w:szCs w:val="22"/>
        </w:rPr>
        <w:t xml:space="preserve"> </w:t>
      </w:r>
      <w:r w:rsidRPr="005D4ADB">
        <w:rPr>
          <w:rFonts w:eastAsia="Calibri"/>
          <w:snapToGrid/>
          <w:kern w:val="0"/>
          <w:szCs w:val="22"/>
        </w:rPr>
        <w:t xml:space="preserve">effectively provides interim section 310(b)(4) authority only, in order to enable </w:t>
      </w:r>
      <w:r>
        <w:rPr>
          <w:rFonts w:eastAsia="Calibri"/>
          <w:snapToGrid/>
          <w:kern w:val="0"/>
          <w:szCs w:val="22"/>
        </w:rPr>
        <w:t xml:space="preserve">Fusion Connect’s </w:t>
      </w:r>
      <w:r w:rsidRPr="005D4ADB">
        <w:rPr>
          <w:rFonts w:eastAsia="Calibri"/>
          <w:snapToGrid/>
          <w:kern w:val="0"/>
          <w:szCs w:val="22"/>
        </w:rPr>
        <w:t xml:space="preserve">prompt emergence from bankruptcy while preserving the Commission’s ability to review and rule on </w:t>
      </w:r>
      <w:r>
        <w:rPr>
          <w:rFonts w:eastAsia="Calibri"/>
          <w:snapToGrid/>
          <w:kern w:val="0"/>
          <w:szCs w:val="22"/>
        </w:rPr>
        <w:t>its proposed</w:t>
      </w:r>
      <w:r w:rsidRPr="005D4ADB">
        <w:rPr>
          <w:rFonts w:eastAsia="Calibri"/>
          <w:snapToGrid/>
          <w:kern w:val="0"/>
          <w:szCs w:val="22"/>
        </w:rPr>
        <w:t xml:space="preserve"> foreign ownership upon emergence from </w:t>
      </w:r>
      <w:r w:rsidRPr="00FA1F0A">
        <w:rPr>
          <w:rFonts w:eastAsia="Calibri"/>
          <w:snapToGrid/>
          <w:kern w:val="0"/>
          <w:szCs w:val="22"/>
        </w:rPr>
        <w:t>bankruptcy.</w:t>
      </w:r>
      <w:r>
        <w:rPr>
          <w:rFonts w:eastAsia="Calibri"/>
          <w:snapToGrid/>
          <w:kern w:val="0"/>
          <w:sz w:val="20"/>
          <w:szCs w:val="22"/>
          <w:vertAlign w:val="superscript"/>
        </w:rPr>
        <w:footnoteReference w:id="36"/>
      </w:r>
      <w:r w:rsidR="004C44BF">
        <w:rPr>
          <w:rFonts w:eastAsia="Calibri"/>
          <w:snapToGrid/>
          <w:kern w:val="0"/>
          <w:szCs w:val="22"/>
        </w:rPr>
        <w:t xml:space="preserve">  </w:t>
      </w:r>
      <w:r w:rsidRPr="005D4ADB">
        <w:rPr>
          <w:rFonts w:eastAsia="Calibri"/>
          <w:snapToGrid/>
          <w:kern w:val="0"/>
          <w:szCs w:val="22"/>
        </w:rPr>
        <w:t xml:space="preserve">Accordingly, in consideration of the specific circumstances before us, we grant the </w:t>
      </w:r>
      <w:r w:rsidRPr="00063C94" w:rsidR="006F6EAD">
        <w:rPr>
          <w:rFonts w:eastAsia="Calibri"/>
          <w:snapToGrid/>
          <w:kern w:val="0"/>
          <w:szCs w:val="22"/>
        </w:rPr>
        <w:t>r</w:t>
      </w:r>
      <w:r w:rsidRPr="00063C94">
        <w:rPr>
          <w:rFonts w:eastAsia="Calibri"/>
          <w:snapToGrid/>
          <w:kern w:val="0"/>
          <w:szCs w:val="22"/>
        </w:rPr>
        <w:t>equest</w:t>
      </w:r>
      <w:r w:rsidRPr="00E31B9F" w:rsidR="006F6EAD">
        <w:rPr>
          <w:rFonts w:eastAsia="Calibri"/>
          <w:snapToGrid/>
          <w:kern w:val="0"/>
          <w:szCs w:val="22"/>
        </w:rPr>
        <w:t xml:space="preserve"> </w:t>
      </w:r>
      <w:r w:rsidRPr="00063C94" w:rsidR="006F6EAD">
        <w:rPr>
          <w:rFonts w:eastAsia="Calibri"/>
          <w:snapToGrid/>
          <w:kern w:val="0"/>
          <w:szCs w:val="22"/>
        </w:rPr>
        <w:t>to waive</w:t>
      </w:r>
      <w:r w:rsidR="006F6EAD">
        <w:rPr>
          <w:rFonts w:eastAsia="Calibri"/>
          <w:snapToGrid/>
          <w:kern w:val="0"/>
          <w:szCs w:val="22"/>
        </w:rPr>
        <w:t xml:space="preserve"> </w:t>
      </w:r>
      <w:r w:rsidRPr="005D4ADB" w:rsidR="006F6EAD">
        <w:rPr>
          <w:rFonts w:eastAsia="Calibri"/>
          <w:snapToGrid/>
          <w:kern w:val="0"/>
          <w:szCs w:val="22"/>
        </w:rPr>
        <w:t>section</w:t>
      </w:r>
      <w:r w:rsidR="009028FD">
        <w:rPr>
          <w:rFonts w:eastAsia="Calibri"/>
          <w:snapToGrid/>
          <w:kern w:val="0"/>
          <w:szCs w:val="22"/>
        </w:rPr>
        <w:t>s</w:t>
      </w:r>
      <w:r w:rsidRPr="005D4ADB" w:rsidR="006F6EAD">
        <w:rPr>
          <w:rFonts w:eastAsia="Calibri"/>
          <w:snapToGrid/>
          <w:kern w:val="0"/>
          <w:szCs w:val="22"/>
        </w:rPr>
        <w:t xml:space="preserve"> 1.5000(a)(1)</w:t>
      </w:r>
      <w:r w:rsidR="009028FD">
        <w:rPr>
          <w:rFonts w:eastAsia="Calibri"/>
          <w:snapToGrid/>
          <w:kern w:val="0"/>
          <w:szCs w:val="22"/>
        </w:rPr>
        <w:t xml:space="preserve">, </w:t>
      </w:r>
      <w:r w:rsidRPr="00773B8C" w:rsidR="006F6EAD">
        <w:rPr>
          <w:snapToGrid/>
          <w:kern w:val="0"/>
          <w:szCs w:val="22"/>
        </w:rPr>
        <w:t>63.03, 63.04, 63.18, and 63.</w:t>
      </w:r>
      <w:r w:rsidR="006F6EAD">
        <w:rPr>
          <w:snapToGrid/>
          <w:kern w:val="0"/>
          <w:szCs w:val="22"/>
        </w:rPr>
        <w:t>24 of the Commission’s rules</w:t>
      </w:r>
      <w:r w:rsidRPr="005D4ADB">
        <w:rPr>
          <w:rFonts w:eastAsia="Calibri"/>
          <w:snapToGrid/>
          <w:kern w:val="0"/>
          <w:szCs w:val="22"/>
        </w:rPr>
        <w:t>.</w:t>
      </w:r>
      <w:bookmarkEnd w:id="14"/>
    </w:p>
    <w:p w:rsidR="00470A81" w:rsidP="00470A81" w14:paraId="5481C7F6"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p>
    <w:p w:rsidR="00470A81" w:rsidRPr="00B6081D" w:rsidP="00470A81" w14:paraId="11E11278" w14:textId="4AC2E83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u w:val="single"/>
        </w:rPr>
      </w:pPr>
      <w:r w:rsidRPr="00B6081D">
        <w:rPr>
          <w:snapToGrid/>
          <w:kern w:val="0"/>
          <w:szCs w:val="22"/>
          <w:u w:val="single"/>
        </w:rPr>
        <w:t xml:space="preserve">Grant of </w:t>
      </w:r>
      <w:r w:rsidRPr="00063C94">
        <w:rPr>
          <w:snapToGrid/>
          <w:kern w:val="0"/>
          <w:szCs w:val="22"/>
          <w:u w:val="single"/>
        </w:rPr>
        <w:t>Applications</w:t>
      </w:r>
      <w:r>
        <w:rPr>
          <w:snapToGrid/>
          <w:kern w:val="0"/>
          <w:szCs w:val="22"/>
          <w:u w:val="single"/>
        </w:rPr>
        <w:t xml:space="preserve"> </w:t>
      </w:r>
      <w:r w:rsidR="007344C5">
        <w:rPr>
          <w:snapToGrid/>
          <w:kern w:val="0"/>
          <w:szCs w:val="22"/>
          <w:u w:val="single"/>
        </w:rPr>
        <w:t xml:space="preserve">and Waiver Request, </w:t>
      </w:r>
      <w:r>
        <w:rPr>
          <w:snapToGrid/>
          <w:kern w:val="0"/>
          <w:szCs w:val="22"/>
          <w:u w:val="single"/>
        </w:rPr>
        <w:t>Subject to Condition</w:t>
      </w:r>
      <w:r w:rsidR="00DD78C4">
        <w:rPr>
          <w:snapToGrid/>
          <w:kern w:val="0"/>
          <w:szCs w:val="22"/>
          <w:u w:val="single"/>
        </w:rPr>
        <w:t>s</w:t>
      </w:r>
    </w:p>
    <w:p w:rsidR="00470A81" w:rsidRPr="00C07140" w:rsidP="00470A81" w14:paraId="028E40DE"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napToGrid/>
          <w:kern w:val="0"/>
          <w:szCs w:val="22"/>
        </w:rPr>
        <w:tab/>
      </w:r>
    </w:p>
    <w:p w:rsidR="00470A81" w:rsidRPr="006F68A7" w:rsidP="00470A81" w14:paraId="265B2BC3" w14:textId="51CEEBD1">
      <w:pPr>
        <w:widowControl/>
        <w:ind w:firstLine="720"/>
      </w:pPr>
      <w:r w:rsidRPr="00DB54CA">
        <w:rPr>
          <w:color w:val="000000"/>
        </w:rPr>
        <w:t xml:space="preserve">We find, upon consideration of the record, that the proposed </w:t>
      </w:r>
      <w:r w:rsidRPr="006F68A7">
        <w:t xml:space="preserve">transfers </w:t>
      </w:r>
      <w:r w:rsidR="006F6EAD">
        <w:t xml:space="preserve">of control under section 214 of the Act </w:t>
      </w:r>
      <w:r w:rsidRPr="006F68A7">
        <w:t xml:space="preserve">will serve the public interest, convenience, and necessity, and therefore grant the </w:t>
      </w:r>
      <w:r w:rsidR="00BA14DC">
        <w:t>a</w:t>
      </w:r>
      <w:r w:rsidRPr="006F68A7">
        <w:t>pplications</w:t>
      </w:r>
      <w:r w:rsidRPr="00E73330">
        <w:t xml:space="preserve"> </w:t>
      </w:r>
      <w:r w:rsidRPr="00E73330" w:rsidR="00894143">
        <w:t xml:space="preserve">and </w:t>
      </w:r>
      <w:r w:rsidR="00955279">
        <w:t>requests for waiver</w:t>
      </w:r>
      <w:r w:rsidR="009F2D4C">
        <w:t>,</w:t>
      </w:r>
      <w:r w:rsidR="00955279">
        <w:t xml:space="preserve"> </w:t>
      </w:r>
      <w:r w:rsidRPr="006F68A7">
        <w:rPr>
          <w:shd w:val="clear" w:color="auto" w:fill="FFFFFF"/>
        </w:rPr>
        <w:t xml:space="preserve">conditioned upon the filing, </w:t>
      </w:r>
      <w:bookmarkStart w:id="16" w:name="_Hlk29215467"/>
      <w:r w:rsidRPr="006F68A7">
        <w:rPr>
          <w:shd w:val="clear" w:color="auto" w:fill="FFFFFF"/>
        </w:rPr>
        <w:t xml:space="preserve">no later than 30 days after closing the </w:t>
      </w:r>
      <w:r w:rsidRPr="006F68A7">
        <w:rPr>
          <w:shd w:val="clear" w:color="auto" w:fill="FFFFFF"/>
        </w:rPr>
        <w:t>transaction authorized by such grant, of a petition for declaratory ruling to exceed the aggregate foreign ownership benchmark set forth in section 310(b)(4) of the Act and necessary transfer applications</w:t>
      </w:r>
      <w:bookmarkEnd w:id="16"/>
      <w:r w:rsidRPr="006F68A7">
        <w:rPr>
          <w:shd w:val="clear" w:color="auto" w:fill="FFFFFF"/>
        </w:rPr>
        <w:t>.</w:t>
      </w:r>
      <w:r w:rsidRPr="006F68A7">
        <w:t xml:space="preserve"> </w:t>
      </w:r>
    </w:p>
    <w:p w:rsidR="00470A81" w:rsidP="00470A81" w14:paraId="12AAAAA4" w14:textId="77777777">
      <w:pPr>
        <w:widowControl/>
        <w:ind w:firstLine="720"/>
        <w:rPr>
          <w:rFonts w:ascii="Arial" w:hAnsi="Arial" w:cs="Arial"/>
          <w:color w:val="212121"/>
          <w:sz w:val="21"/>
          <w:szCs w:val="21"/>
        </w:rPr>
      </w:pPr>
    </w:p>
    <w:p w:rsidR="00470A81" w:rsidP="00470A81" w14:paraId="3861150B" w14:textId="2A451342">
      <w:pPr>
        <w:pStyle w:val="ParaNum"/>
        <w:numPr>
          <w:ilvl w:val="0"/>
          <w:numId w:val="0"/>
        </w:numPr>
        <w:spacing w:after="0"/>
        <w:ind w:firstLine="720"/>
      </w:pPr>
      <w:r>
        <w:t xml:space="preserve">Therefore, </w:t>
      </w:r>
      <w:r w:rsidRPr="00C7200D">
        <w:t xml:space="preserve">pursuant to </w:t>
      </w:r>
      <w:r>
        <w:t>s</w:t>
      </w:r>
      <w:r w:rsidRPr="00C7200D">
        <w:t xml:space="preserve">ections </w:t>
      </w:r>
      <w:r w:rsidR="006F6EAD">
        <w:t xml:space="preserve">4(i) and (j), </w:t>
      </w:r>
      <w:r w:rsidRPr="00C7200D">
        <w:t xml:space="preserve">214(a), </w:t>
      </w:r>
      <w:r w:rsidR="00317639">
        <w:t xml:space="preserve">and </w:t>
      </w:r>
      <w:r w:rsidRPr="00C7200D">
        <w:t xml:space="preserve">214(c) of the </w:t>
      </w:r>
      <w:r>
        <w:t xml:space="preserve">Communications </w:t>
      </w:r>
      <w:r w:rsidRPr="00C7200D">
        <w:t>Act</w:t>
      </w:r>
      <w:r>
        <w:t xml:space="preserve"> of 1934</w:t>
      </w:r>
      <w:r w:rsidRPr="00C7200D">
        <w:t xml:space="preserve">, </w:t>
      </w:r>
      <w:r>
        <w:t xml:space="preserve">as amended, </w:t>
      </w:r>
      <w:r w:rsidRPr="00C7200D">
        <w:t xml:space="preserve">47 U.S.C. §§ </w:t>
      </w:r>
      <w:r w:rsidR="00317639">
        <w:t xml:space="preserve">4(i), 4(j), </w:t>
      </w:r>
      <w:r w:rsidRPr="00C7200D">
        <w:t>214(a), 214(c)</w:t>
      </w:r>
      <w:r>
        <w:t xml:space="preserve">, </w:t>
      </w:r>
      <w:r w:rsidRPr="00C7200D">
        <w:t xml:space="preserve">and </w:t>
      </w:r>
      <w:r>
        <w:t>s</w:t>
      </w:r>
      <w:r w:rsidRPr="00B73C0C">
        <w:t>ection</w:t>
      </w:r>
      <w:r>
        <w:t>s</w:t>
      </w:r>
      <w:r w:rsidRPr="00B73C0C">
        <w:t xml:space="preserve"> </w:t>
      </w:r>
      <w:r w:rsidR="009A43DF">
        <w:t xml:space="preserve">1.3, </w:t>
      </w:r>
      <w:r w:rsidR="00D85231">
        <w:t xml:space="preserve">63.03, </w:t>
      </w:r>
      <w:r>
        <w:t xml:space="preserve">63.04, 63.18, and 63.24 </w:t>
      </w:r>
      <w:r w:rsidRPr="00B73C0C">
        <w:t>of the Commission’s rules, 47 C.F.R. §§</w:t>
      </w:r>
      <w:r>
        <w:t xml:space="preserve"> </w:t>
      </w:r>
      <w:r w:rsidR="009A43DF">
        <w:t xml:space="preserve">1.3, </w:t>
      </w:r>
      <w:r w:rsidR="00D85231">
        <w:t xml:space="preserve">63.03, </w:t>
      </w:r>
      <w:r w:rsidRPr="00B73C0C">
        <w:t xml:space="preserve">63.04, </w:t>
      </w:r>
      <w:r>
        <w:t xml:space="preserve">63.18, </w:t>
      </w:r>
      <w:r w:rsidRPr="00B73C0C">
        <w:t xml:space="preserve">63.24, and pursuant to the authority delegated under </w:t>
      </w:r>
      <w:r>
        <w:t>s</w:t>
      </w:r>
      <w:r w:rsidRPr="00C7200D">
        <w:t>ections</w:t>
      </w:r>
      <w:r>
        <w:t xml:space="preserve"> </w:t>
      </w:r>
      <w:r w:rsidRPr="00C7200D">
        <w:t xml:space="preserve">0.51, 0.91, 0.261, </w:t>
      </w:r>
      <w:r w:rsidR="00110F17">
        <w:t xml:space="preserve">and </w:t>
      </w:r>
      <w:r w:rsidRPr="00C7200D">
        <w:t xml:space="preserve">0.291, of the Commission’s rules, 47 CFR §§ 0.51, 0.91, 0.261, </w:t>
      </w:r>
      <w:r w:rsidR="00110F17">
        <w:t xml:space="preserve">and </w:t>
      </w:r>
      <w:r w:rsidRPr="00C7200D">
        <w:t xml:space="preserve">0.291, </w:t>
      </w:r>
      <w:r>
        <w:t>we</w:t>
      </w:r>
      <w:r w:rsidRPr="00C7200D">
        <w:t xml:space="preserve"> </w:t>
      </w:r>
      <w:r>
        <w:t xml:space="preserve">grant the </w:t>
      </w:r>
      <w:r w:rsidR="00BA14DC">
        <w:t>a</w:t>
      </w:r>
      <w:r w:rsidRPr="00C7200D">
        <w:t xml:space="preserve">pplications </w:t>
      </w:r>
      <w:r w:rsidR="009A43DF">
        <w:t xml:space="preserve">and </w:t>
      </w:r>
      <w:r w:rsidR="00955279">
        <w:t>requests for w</w:t>
      </w:r>
      <w:r w:rsidR="009A43DF">
        <w:t xml:space="preserve">aiver </w:t>
      </w:r>
      <w:r w:rsidRPr="00C7200D">
        <w:t>listed in A</w:t>
      </w:r>
      <w:r>
        <w:t>ttachment</w:t>
      </w:r>
      <w:r w:rsidRPr="00C7200D">
        <w:t xml:space="preserve"> A </w:t>
      </w:r>
      <w:r>
        <w:t>to this Public Notice</w:t>
      </w:r>
      <w:r w:rsidR="00C01CD4">
        <w:t xml:space="preserve"> subject to the conditions herein</w:t>
      </w:r>
      <w:r w:rsidRPr="00C7200D">
        <w:t>.</w:t>
      </w:r>
      <w:r>
        <w:rPr>
          <w:rStyle w:val="FootnoteReference"/>
        </w:rPr>
        <w:footnoteReference w:id="37"/>
      </w:r>
      <w:r w:rsidRPr="00C7200D">
        <w:t xml:space="preserve"> </w:t>
      </w:r>
    </w:p>
    <w:p w:rsidR="00470A81" w:rsidP="00470A81" w14:paraId="7F711B10" w14:textId="77777777">
      <w:pPr>
        <w:widowControl/>
        <w:ind w:firstLine="720"/>
        <w:rPr>
          <w:rFonts w:ascii="Arial" w:hAnsi="Arial" w:cs="Arial"/>
          <w:color w:val="212121"/>
          <w:sz w:val="21"/>
          <w:szCs w:val="21"/>
        </w:rPr>
      </w:pPr>
    </w:p>
    <w:p w:rsidR="00470A81" w:rsidP="00470A81" w14:paraId="31282D60" w14:textId="77777777">
      <w:pPr>
        <w:widowControl/>
        <w:ind w:firstLine="720"/>
        <w:rPr>
          <w:color w:val="000000"/>
        </w:rPr>
      </w:pP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470A81" w:rsidP="00470A81" w14:paraId="6D617964" w14:textId="77777777">
      <w:pPr>
        <w:widowControl/>
        <w:ind w:firstLine="720"/>
        <w:rPr>
          <w:color w:val="000000"/>
        </w:rPr>
      </w:pPr>
    </w:p>
    <w:p w:rsidR="00470A81" w:rsidP="00470A81" w14:paraId="4F7AD009" w14:textId="54BFF2DD">
      <w:pPr>
        <w:widowControl/>
        <w:spacing w:after="240"/>
        <w:ind w:firstLine="720"/>
        <w:rPr>
          <w:szCs w:val="22"/>
        </w:rPr>
      </w:pPr>
      <w:r>
        <w:rPr>
          <w:szCs w:val="22"/>
        </w:rPr>
        <w:t xml:space="preserve">For further information, please contact </w:t>
      </w:r>
      <w:r w:rsidR="00E07C39">
        <w:rPr>
          <w:szCs w:val="22"/>
        </w:rPr>
        <w:t>Jodie May</w:t>
      </w:r>
      <w:r>
        <w:rPr>
          <w:szCs w:val="22"/>
        </w:rPr>
        <w:t>, Wireline Competition Bureau, (202) 418-0</w:t>
      </w:r>
      <w:r w:rsidR="00E07C39">
        <w:rPr>
          <w:szCs w:val="22"/>
        </w:rPr>
        <w:t>913</w:t>
      </w:r>
      <w:r w:rsidR="006A6777">
        <w:rPr>
          <w:szCs w:val="22"/>
        </w:rPr>
        <w:t>,</w:t>
      </w:r>
      <w:r>
        <w:rPr>
          <w:szCs w:val="22"/>
        </w:rPr>
        <w:t xml:space="preserve"> </w:t>
      </w:r>
      <w:r w:rsidR="00110F17">
        <w:rPr>
          <w:szCs w:val="22"/>
        </w:rPr>
        <w:t xml:space="preserve">or </w:t>
      </w:r>
      <w:r w:rsidR="00077582">
        <w:rPr>
          <w:szCs w:val="22"/>
        </w:rPr>
        <w:t>Kimberly Cook</w:t>
      </w:r>
      <w:r>
        <w:rPr>
          <w:szCs w:val="22"/>
        </w:rPr>
        <w:t>, International Bureau, (202) 418-7</w:t>
      </w:r>
      <w:r w:rsidR="007F7D51">
        <w:rPr>
          <w:szCs w:val="22"/>
        </w:rPr>
        <w:t>532</w:t>
      </w:r>
      <w:r>
        <w:rPr>
          <w:szCs w:val="22"/>
        </w:rPr>
        <w:t>.</w:t>
      </w:r>
    </w:p>
    <w:p w:rsidR="00470A81" w:rsidP="00291643" w14:paraId="5132B387" w14:textId="0B5FD54A">
      <w:pPr>
        <w:widowControl/>
        <w:spacing w:after="240"/>
        <w:jc w:val="center"/>
        <w:rPr>
          <w:b/>
          <w:snapToGrid/>
          <w:color w:val="000000"/>
          <w:kern w:val="0"/>
          <w:szCs w:val="22"/>
          <w:u w:val="single"/>
        </w:rPr>
      </w:pPr>
      <w:r>
        <w:rPr>
          <w:szCs w:val="22"/>
        </w:rPr>
        <w:br w:type="page"/>
      </w:r>
      <w:r>
        <w:rPr>
          <w:b/>
          <w:color w:val="000000"/>
          <w:szCs w:val="22"/>
          <w:u w:val="single"/>
        </w:rPr>
        <w:t>ATTACHMENT A</w:t>
      </w:r>
    </w:p>
    <w:p w:rsidR="00470A81" w:rsidP="00470A81" w14:paraId="211E289F" w14:textId="77777777">
      <w:pPr>
        <w:rPr>
          <w:b/>
          <w:color w:val="000000"/>
          <w:szCs w:val="22"/>
        </w:rPr>
      </w:pPr>
    </w:p>
    <w:p w:rsidR="00470A81" w:rsidP="00470A81" w14:paraId="1D0928CA" w14:textId="77777777">
      <w:pPr>
        <w:rPr>
          <w:b/>
          <w:color w:val="000000"/>
          <w:szCs w:val="22"/>
        </w:rPr>
      </w:pPr>
    </w:p>
    <w:p w:rsidR="00470A81" w:rsidP="00470A81" w14:paraId="036E9CBC" w14:textId="77777777">
      <w:pPr>
        <w:rPr>
          <w:color w:val="000000"/>
          <w:szCs w:val="22"/>
        </w:rPr>
      </w:pPr>
      <w:r>
        <w:rPr>
          <w:b/>
          <w:color w:val="000000"/>
          <w:szCs w:val="22"/>
        </w:rPr>
        <w:t>SECTION 214 AUTHORIZATIONS</w:t>
      </w:r>
    </w:p>
    <w:p w:rsidR="00470A81" w:rsidP="00470A81" w14:paraId="457F997C" w14:textId="77777777">
      <w:pPr>
        <w:rPr>
          <w:color w:val="000000"/>
          <w:szCs w:val="22"/>
        </w:rPr>
      </w:pPr>
    </w:p>
    <w:p w:rsidR="00470A81" w:rsidP="00470A81" w14:paraId="4B3004EF" w14:textId="77777777">
      <w:pPr>
        <w:rPr>
          <w:b/>
          <w:color w:val="000000"/>
          <w:szCs w:val="22"/>
        </w:rPr>
      </w:pPr>
      <w:r>
        <w:rPr>
          <w:b/>
          <w:color w:val="000000"/>
          <w:szCs w:val="22"/>
        </w:rPr>
        <w:t>A.</w:t>
      </w:r>
      <w:r>
        <w:rPr>
          <w:b/>
          <w:color w:val="000000"/>
          <w:szCs w:val="22"/>
        </w:rPr>
        <w:tab/>
        <w:t>International</w:t>
      </w:r>
    </w:p>
    <w:p w:rsidR="00470A81" w:rsidP="00470A81" w14:paraId="0C3A2B54" w14:textId="77777777">
      <w:pPr>
        <w:rPr>
          <w:color w:val="000000"/>
          <w:szCs w:val="22"/>
        </w:rPr>
      </w:pPr>
    </w:p>
    <w:p w:rsidR="00470A81" w:rsidP="00470A81" w14:paraId="2E9CFB93" w14:textId="5033C247">
      <w:pPr>
        <w:rPr>
          <w:color w:val="000000"/>
          <w:szCs w:val="22"/>
        </w:rPr>
      </w:pPr>
      <w:bookmarkStart w:id="17" w:name="_Hlk1664737"/>
      <w:r>
        <w:rPr>
          <w:color w:val="000000"/>
          <w:szCs w:val="22"/>
        </w:rPr>
        <w:t xml:space="preserve">The </w:t>
      </w:r>
      <w:r w:rsidR="00DB773E">
        <w:rPr>
          <w:color w:val="000000"/>
          <w:szCs w:val="22"/>
        </w:rPr>
        <w:t xml:space="preserve">International Bureau grants the </w:t>
      </w:r>
      <w:r>
        <w:rPr>
          <w:color w:val="000000"/>
          <w:szCs w:val="22"/>
        </w:rPr>
        <w:t xml:space="preserve">application for consent to the transfer of control of </w:t>
      </w:r>
      <w:r w:rsidR="00DB773E">
        <w:rPr>
          <w:color w:val="000000"/>
          <w:szCs w:val="22"/>
        </w:rPr>
        <w:t xml:space="preserve">the </w:t>
      </w:r>
      <w:r>
        <w:rPr>
          <w:color w:val="000000"/>
          <w:szCs w:val="22"/>
        </w:rPr>
        <w:t xml:space="preserve">international section 214 authorization </w:t>
      </w:r>
      <w:r w:rsidR="00DB773E">
        <w:rPr>
          <w:color w:val="000000"/>
          <w:szCs w:val="22"/>
        </w:rPr>
        <w:t>held by Fusion Connect, Inc., Debtor-in-Possession</w:t>
      </w:r>
      <w:r>
        <w:rPr>
          <w:color w:val="000000"/>
          <w:szCs w:val="22"/>
        </w:rPr>
        <w:t>.</w:t>
      </w:r>
    </w:p>
    <w:bookmarkEnd w:id="17"/>
    <w:p w:rsidR="00470A81" w:rsidP="00470A81" w14:paraId="576C09DF" w14:textId="77777777">
      <w:pPr>
        <w:rPr>
          <w:color w:val="000000"/>
          <w:szCs w:val="22"/>
        </w:rPr>
      </w:pPr>
    </w:p>
    <w:tbl>
      <w:tblPr>
        <w:tblW w:w="9738" w:type="dxa"/>
        <w:tblLook w:val="01E0"/>
      </w:tblPr>
      <w:tblGrid>
        <w:gridCol w:w="2880"/>
        <w:gridCol w:w="3888"/>
        <w:gridCol w:w="2970"/>
      </w:tblGrid>
      <w:tr w14:paraId="66872F39" w14:textId="77777777" w:rsidTr="00A92EEB">
        <w:tblPrEx>
          <w:tblW w:w="9738" w:type="dxa"/>
          <w:tblLook w:val="01E0"/>
        </w:tblPrEx>
        <w:tc>
          <w:tcPr>
            <w:tcW w:w="2880" w:type="dxa"/>
            <w:hideMark/>
          </w:tcPr>
          <w:p w:rsidR="00470A81" w:rsidP="00A92EEB" w14:paraId="66C39730" w14:textId="77777777">
            <w:pPr>
              <w:rPr>
                <w:color w:val="000000"/>
                <w:szCs w:val="22"/>
              </w:rPr>
            </w:pPr>
            <w:r>
              <w:rPr>
                <w:color w:val="000000"/>
                <w:szCs w:val="22"/>
                <w:u w:val="single"/>
              </w:rPr>
              <w:t>File Number</w:t>
            </w:r>
          </w:p>
        </w:tc>
        <w:tc>
          <w:tcPr>
            <w:tcW w:w="3888" w:type="dxa"/>
            <w:hideMark/>
          </w:tcPr>
          <w:p w:rsidR="00470A81" w:rsidP="00A92EEB" w14:paraId="788BEAD8" w14:textId="77777777">
            <w:pPr>
              <w:rPr>
                <w:color w:val="000000"/>
                <w:szCs w:val="22"/>
              </w:rPr>
            </w:pPr>
            <w:r>
              <w:rPr>
                <w:color w:val="000000"/>
                <w:szCs w:val="22"/>
                <w:u w:val="single"/>
              </w:rPr>
              <w:t>Authorization Holder</w:t>
            </w:r>
          </w:p>
        </w:tc>
        <w:tc>
          <w:tcPr>
            <w:tcW w:w="2970" w:type="dxa"/>
          </w:tcPr>
          <w:p w:rsidR="00470A81" w:rsidP="00A92EEB" w14:paraId="2ABD5B94" w14:textId="77777777">
            <w:pPr>
              <w:rPr>
                <w:color w:val="000000"/>
                <w:szCs w:val="22"/>
                <w:u w:val="single"/>
              </w:rPr>
            </w:pPr>
            <w:r>
              <w:rPr>
                <w:color w:val="000000"/>
                <w:szCs w:val="22"/>
                <w:u w:val="single"/>
              </w:rPr>
              <w:t>Authorization Number</w:t>
            </w:r>
          </w:p>
          <w:p w:rsidR="00470A81" w:rsidP="00A92EEB" w14:paraId="3D6F0107" w14:textId="77777777">
            <w:pPr>
              <w:rPr>
                <w:color w:val="000000"/>
                <w:szCs w:val="22"/>
                <w:u w:val="single"/>
              </w:rPr>
            </w:pPr>
          </w:p>
        </w:tc>
      </w:tr>
      <w:tr w14:paraId="171C7173" w14:textId="77777777" w:rsidTr="00A92EEB">
        <w:tblPrEx>
          <w:tblW w:w="9738" w:type="dxa"/>
          <w:tblLook w:val="01E0"/>
        </w:tblPrEx>
        <w:tc>
          <w:tcPr>
            <w:tcW w:w="2880" w:type="dxa"/>
          </w:tcPr>
          <w:p w:rsidR="00470A81" w:rsidP="00A92EEB" w14:paraId="6B2B9B0F" w14:textId="77777777">
            <w:pPr>
              <w:rPr>
                <w:color w:val="000000"/>
                <w:szCs w:val="22"/>
                <w:highlight w:val="yellow"/>
              </w:rPr>
            </w:pPr>
          </w:p>
        </w:tc>
        <w:tc>
          <w:tcPr>
            <w:tcW w:w="3888" w:type="dxa"/>
          </w:tcPr>
          <w:p w:rsidR="00470A81" w:rsidP="00A92EEB" w14:paraId="02E88A3C" w14:textId="77777777">
            <w:pPr>
              <w:rPr>
                <w:color w:val="000000"/>
                <w:szCs w:val="22"/>
              </w:rPr>
            </w:pPr>
          </w:p>
        </w:tc>
        <w:tc>
          <w:tcPr>
            <w:tcW w:w="2970" w:type="dxa"/>
          </w:tcPr>
          <w:p w:rsidR="00470A81" w:rsidP="00A92EEB" w14:paraId="2E0BD5F9" w14:textId="77777777">
            <w:pPr>
              <w:rPr>
                <w:color w:val="000000"/>
                <w:szCs w:val="22"/>
                <w:highlight w:val="yellow"/>
              </w:rPr>
            </w:pPr>
          </w:p>
        </w:tc>
      </w:tr>
      <w:tr w14:paraId="2FEF8BB1" w14:textId="77777777" w:rsidTr="00A92EEB">
        <w:tblPrEx>
          <w:tblW w:w="9738" w:type="dxa"/>
          <w:tblLook w:val="01E0"/>
        </w:tblPrEx>
        <w:tc>
          <w:tcPr>
            <w:tcW w:w="2880" w:type="dxa"/>
            <w:hideMark/>
          </w:tcPr>
          <w:p w:rsidR="00470A81" w:rsidP="00A92EEB" w14:paraId="393917E7" w14:textId="77777777">
            <w:pPr>
              <w:rPr>
                <w:color w:val="000000"/>
                <w:szCs w:val="22"/>
                <w:highlight w:val="yellow"/>
              </w:rPr>
            </w:pPr>
            <w:r>
              <w:rPr>
                <w:color w:val="000000"/>
                <w:szCs w:val="22"/>
              </w:rPr>
              <w:t>ITC-ASG-20190724-00136</w:t>
            </w:r>
          </w:p>
        </w:tc>
        <w:tc>
          <w:tcPr>
            <w:tcW w:w="3888" w:type="dxa"/>
            <w:hideMark/>
          </w:tcPr>
          <w:p w:rsidR="00470A81" w:rsidP="00A92EEB" w14:paraId="5E56CB90" w14:textId="77777777">
            <w:pPr>
              <w:rPr>
                <w:color w:val="000000"/>
                <w:szCs w:val="22"/>
              </w:rPr>
            </w:pPr>
            <w:r>
              <w:rPr>
                <w:color w:val="000000"/>
                <w:szCs w:val="22"/>
              </w:rPr>
              <w:t>Fusion Connect, Inc., Debtor-in-Possession</w:t>
            </w:r>
          </w:p>
        </w:tc>
        <w:tc>
          <w:tcPr>
            <w:tcW w:w="2970" w:type="dxa"/>
            <w:hideMark/>
          </w:tcPr>
          <w:p w:rsidR="00470A81" w:rsidP="00A92EEB" w14:paraId="42CC3A90" w14:textId="77777777">
            <w:pPr>
              <w:rPr>
                <w:color w:val="000000"/>
                <w:szCs w:val="22"/>
                <w:highlight w:val="yellow"/>
              </w:rPr>
            </w:pPr>
            <w:r>
              <w:rPr>
                <w:color w:val="000000"/>
                <w:szCs w:val="22"/>
              </w:rPr>
              <w:t>ITC-214-19971001-00592</w:t>
            </w:r>
          </w:p>
        </w:tc>
      </w:tr>
      <w:tr w14:paraId="5C8D2E5D" w14:textId="77777777" w:rsidTr="00A92EEB">
        <w:tblPrEx>
          <w:tblW w:w="9738" w:type="dxa"/>
          <w:tblLook w:val="01E0"/>
        </w:tblPrEx>
        <w:tc>
          <w:tcPr>
            <w:tcW w:w="2880" w:type="dxa"/>
          </w:tcPr>
          <w:p w:rsidR="00470A81" w:rsidP="00A92EEB" w14:paraId="13CED5ED" w14:textId="77777777">
            <w:pPr>
              <w:rPr>
                <w:color w:val="000000"/>
                <w:szCs w:val="22"/>
                <w:highlight w:val="yellow"/>
              </w:rPr>
            </w:pPr>
          </w:p>
        </w:tc>
        <w:tc>
          <w:tcPr>
            <w:tcW w:w="3888" w:type="dxa"/>
          </w:tcPr>
          <w:p w:rsidR="00470A81" w:rsidP="00A92EEB" w14:paraId="00F1A9A9" w14:textId="77777777">
            <w:pPr>
              <w:rPr>
                <w:color w:val="000000"/>
                <w:szCs w:val="22"/>
              </w:rPr>
            </w:pPr>
          </w:p>
        </w:tc>
        <w:tc>
          <w:tcPr>
            <w:tcW w:w="2970" w:type="dxa"/>
          </w:tcPr>
          <w:p w:rsidR="00470A81" w:rsidP="00A92EEB" w14:paraId="52067396" w14:textId="77777777">
            <w:pPr>
              <w:rPr>
                <w:color w:val="000000"/>
                <w:szCs w:val="22"/>
                <w:highlight w:val="yellow"/>
              </w:rPr>
            </w:pPr>
          </w:p>
        </w:tc>
      </w:tr>
      <w:tr w14:paraId="0ED870D8" w14:textId="77777777" w:rsidTr="00A92EEB">
        <w:tblPrEx>
          <w:tblW w:w="9738" w:type="dxa"/>
          <w:tblLook w:val="01E0"/>
        </w:tblPrEx>
        <w:tc>
          <w:tcPr>
            <w:tcW w:w="2880" w:type="dxa"/>
          </w:tcPr>
          <w:p w:rsidR="00470A81" w:rsidP="00A92EEB" w14:paraId="2F38882B" w14:textId="77777777">
            <w:pPr>
              <w:rPr>
                <w:color w:val="000000"/>
                <w:szCs w:val="22"/>
                <w:highlight w:val="yellow"/>
              </w:rPr>
            </w:pPr>
          </w:p>
        </w:tc>
        <w:tc>
          <w:tcPr>
            <w:tcW w:w="3888" w:type="dxa"/>
          </w:tcPr>
          <w:p w:rsidR="00470A81" w:rsidP="00A92EEB" w14:paraId="26CCA00E" w14:textId="77777777">
            <w:pPr>
              <w:rPr>
                <w:color w:val="000000"/>
                <w:szCs w:val="22"/>
              </w:rPr>
            </w:pPr>
          </w:p>
        </w:tc>
        <w:tc>
          <w:tcPr>
            <w:tcW w:w="2970" w:type="dxa"/>
          </w:tcPr>
          <w:p w:rsidR="00470A81" w:rsidP="00A92EEB" w14:paraId="1325090A" w14:textId="77777777">
            <w:pPr>
              <w:rPr>
                <w:color w:val="000000"/>
                <w:szCs w:val="22"/>
                <w:highlight w:val="yellow"/>
              </w:rPr>
            </w:pPr>
          </w:p>
        </w:tc>
      </w:tr>
    </w:tbl>
    <w:p w:rsidR="00470A81" w:rsidP="00470A81" w14:paraId="206DC864" w14:textId="77777777">
      <w:pPr>
        <w:rPr>
          <w:b/>
          <w:color w:val="000000"/>
          <w:szCs w:val="22"/>
        </w:rPr>
      </w:pPr>
      <w:r>
        <w:rPr>
          <w:b/>
          <w:color w:val="000000"/>
          <w:szCs w:val="22"/>
        </w:rPr>
        <w:t>B.</w:t>
      </w:r>
      <w:r>
        <w:rPr>
          <w:b/>
          <w:color w:val="000000"/>
          <w:szCs w:val="22"/>
        </w:rPr>
        <w:tab/>
        <w:t>Domestic</w:t>
      </w:r>
    </w:p>
    <w:p w:rsidR="00470A81" w:rsidP="00470A81" w14:paraId="2EAD6777" w14:textId="77777777">
      <w:pPr>
        <w:rPr>
          <w:color w:val="000000"/>
          <w:szCs w:val="22"/>
        </w:rPr>
      </w:pPr>
    </w:p>
    <w:p w:rsidR="00470A81" w:rsidP="00470A81" w14:paraId="4D67107A" w14:textId="77777777">
      <w:pPr>
        <w:rPr>
          <w:color w:val="000000"/>
          <w:szCs w:val="22"/>
        </w:rPr>
      </w:pPr>
      <w:r w:rsidRPr="00FC565D">
        <w:rPr>
          <w:color w:val="000000"/>
          <w:szCs w:val="22"/>
        </w:rPr>
        <w:t xml:space="preserve">The </w:t>
      </w:r>
      <w:r>
        <w:rPr>
          <w:color w:val="000000"/>
          <w:szCs w:val="22"/>
        </w:rPr>
        <w:t xml:space="preserve">Wireline Competition Bureau grants the </w:t>
      </w:r>
      <w:r w:rsidRPr="00FC565D">
        <w:rPr>
          <w:color w:val="000000"/>
          <w:szCs w:val="22"/>
        </w:rPr>
        <w:t>application to transfer control of do</w:t>
      </w:r>
      <w:r>
        <w:rPr>
          <w:color w:val="000000"/>
          <w:szCs w:val="22"/>
        </w:rPr>
        <w:t>mestic s</w:t>
      </w:r>
      <w:r w:rsidRPr="00FC565D">
        <w:rPr>
          <w:color w:val="000000"/>
          <w:szCs w:val="22"/>
        </w:rPr>
        <w:t>ection 214 authority in connection with</w:t>
      </w:r>
      <w:r>
        <w:rPr>
          <w:color w:val="000000"/>
          <w:szCs w:val="22"/>
        </w:rPr>
        <w:t xml:space="preserve"> the proposed transaction – WC Docket No. </w:t>
      </w:r>
      <w:r>
        <w:rPr>
          <w:szCs w:val="22"/>
        </w:rPr>
        <w:t>19-262</w:t>
      </w:r>
      <w:bookmarkStart w:id="18" w:name="sp_999_4"/>
      <w:bookmarkStart w:id="19" w:name="SDU_4"/>
      <w:bookmarkStart w:id="20" w:name="citeas((Cite_as:_26_F.C.C.R._13372,_*133"/>
      <w:bookmarkEnd w:id="18"/>
      <w:bookmarkEnd w:id="19"/>
      <w:bookmarkEnd w:id="20"/>
      <w:r>
        <w:rPr>
          <w:color w:val="000000"/>
          <w:szCs w:val="22"/>
        </w:rPr>
        <w:t>.</w:t>
      </w:r>
      <w:r>
        <w:rPr>
          <w:color w:val="000000"/>
          <w:szCs w:val="22"/>
          <w:vertAlign w:val="superscript"/>
        </w:rPr>
        <w:footnoteReference w:id="38"/>
      </w:r>
      <w:r>
        <w:rPr>
          <w:color w:val="000000"/>
          <w:szCs w:val="22"/>
        </w:rPr>
        <w:t xml:space="preserve"> </w:t>
      </w:r>
    </w:p>
    <w:p w:rsidR="00470A81" w:rsidP="00470A81" w14:paraId="19B0C8B5" w14:textId="77777777">
      <w:pPr>
        <w:rPr>
          <w:b/>
          <w:color w:val="000000"/>
          <w:szCs w:val="22"/>
        </w:rPr>
      </w:pPr>
    </w:p>
    <w:p w:rsidR="00470A81" w:rsidP="00470A81" w14:paraId="2E108C2A" w14:textId="77777777">
      <w:pPr>
        <w:rPr>
          <w:b/>
          <w:color w:val="000000"/>
          <w:szCs w:val="22"/>
        </w:rPr>
      </w:pPr>
    </w:p>
    <w:p w:rsidR="00470A81" w:rsidP="00470A81" w14:paraId="4BDDFAE1" w14:textId="28DF6DC5">
      <w:pPr>
        <w:rPr>
          <w:color w:val="000000"/>
          <w:szCs w:val="22"/>
        </w:rPr>
      </w:pPr>
      <w:bookmarkStart w:id="21" w:name="_Hlk29213298"/>
      <w:r>
        <w:rPr>
          <w:b/>
          <w:color w:val="000000"/>
          <w:szCs w:val="22"/>
        </w:rPr>
        <w:t>WAIVER REQUEST</w:t>
      </w:r>
      <w:r w:rsidR="00006298">
        <w:rPr>
          <w:b/>
          <w:color w:val="000000"/>
          <w:szCs w:val="22"/>
        </w:rPr>
        <w:t>S</w:t>
      </w:r>
    </w:p>
    <w:p w:rsidR="00470A81" w:rsidP="00470A81" w14:paraId="1DEE587E" w14:textId="77777777">
      <w:pPr>
        <w:rPr>
          <w:color w:val="000000"/>
          <w:szCs w:val="22"/>
        </w:rPr>
      </w:pPr>
    </w:p>
    <w:p w:rsidR="00470A81" w:rsidP="00470A81" w14:paraId="5BC58994" w14:textId="3D40B854">
      <w:pPr>
        <w:rPr>
          <w:szCs w:val="22"/>
        </w:rPr>
      </w:pPr>
      <w:r>
        <w:rPr>
          <w:color w:val="000000"/>
          <w:szCs w:val="22"/>
        </w:rPr>
        <w:t xml:space="preserve">The </w:t>
      </w:r>
      <w:r w:rsidR="00DB773E">
        <w:rPr>
          <w:color w:val="000000"/>
          <w:szCs w:val="22"/>
        </w:rPr>
        <w:t xml:space="preserve">International Bureau and Wireline Competition Bureau grant the </w:t>
      </w:r>
      <w:r w:rsidR="006E7854">
        <w:rPr>
          <w:color w:val="000000"/>
          <w:szCs w:val="22"/>
        </w:rPr>
        <w:t xml:space="preserve">waiver of </w:t>
      </w:r>
      <w:r w:rsidR="00063C94">
        <w:rPr>
          <w:color w:val="000000"/>
          <w:szCs w:val="22"/>
        </w:rPr>
        <w:t>s</w:t>
      </w:r>
      <w:r w:rsidR="006E7854">
        <w:rPr>
          <w:szCs w:val="22"/>
        </w:rPr>
        <w:t xml:space="preserve">ections 1.5000(a)(1), 63.03, 63.04, 63.18, and 63.24 of the Commission’s Rules as requested in the </w:t>
      </w:r>
      <w:r>
        <w:rPr>
          <w:szCs w:val="22"/>
        </w:rPr>
        <w:t xml:space="preserve">Petition for Temporary and Limited Waiver of Sections 1.5000(a)(1), </w:t>
      </w:r>
      <w:r w:rsidR="00063C94">
        <w:rPr>
          <w:szCs w:val="22"/>
        </w:rPr>
        <w:t xml:space="preserve">1.948, </w:t>
      </w:r>
      <w:r w:rsidR="00DB773E">
        <w:rPr>
          <w:szCs w:val="22"/>
        </w:rPr>
        <w:t xml:space="preserve">1.2112, </w:t>
      </w:r>
      <w:r w:rsidR="00D00426">
        <w:rPr>
          <w:szCs w:val="22"/>
        </w:rPr>
        <w:t xml:space="preserve">63.03, </w:t>
      </w:r>
      <w:r>
        <w:rPr>
          <w:szCs w:val="22"/>
        </w:rPr>
        <w:t>63.04, 63.18</w:t>
      </w:r>
      <w:r w:rsidR="00D00426">
        <w:rPr>
          <w:szCs w:val="22"/>
        </w:rPr>
        <w:t xml:space="preserve">, </w:t>
      </w:r>
      <w:r w:rsidR="00110F17">
        <w:rPr>
          <w:szCs w:val="22"/>
        </w:rPr>
        <w:t xml:space="preserve">and </w:t>
      </w:r>
      <w:r w:rsidR="00D00426">
        <w:rPr>
          <w:szCs w:val="22"/>
        </w:rPr>
        <w:t>63.24</w:t>
      </w:r>
      <w:r>
        <w:rPr>
          <w:szCs w:val="22"/>
        </w:rPr>
        <w:t xml:space="preserve"> of the Commission’s Rules, WC Docket No. 19-262, </w:t>
      </w:r>
      <w:r w:rsidR="00DB773E">
        <w:rPr>
          <w:szCs w:val="22"/>
        </w:rPr>
        <w:t>ITC-ASG-20190724-00136</w:t>
      </w:r>
      <w:r w:rsidR="00C31830">
        <w:rPr>
          <w:szCs w:val="22"/>
        </w:rPr>
        <w:t>.</w:t>
      </w:r>
      <w:r>
        <w:rPr>
          <w:rStyle w:val="FootnoteReference"/>
          <w:szCs w:val="22"/>
        </w:rPr>
        <w:footnoteReference w:id="39"/>
      </w:r>
      <w:r w:rsidR="00006298">
        <w:rPr>
          <w:szCs w:val="22"/>
        </w:rPr>
        <w:t xml:space="preserve">  </w:t>
      </w:r>
    </w:p>
    <w:p w:rsidR="00470A81" w:rsidP="00470A81" w14:paraId="443BC842" w14:textId="77777777">
      <w:pPr>
        <w:rPr>
          <w:szCs w:val="22"/>
        </w:rPr>
      </w:pPr>
    </w:p>
    <w:p w:rsidR="002D7947" w:rsidP="00470A81" w14:paraId="69B7F7B2" w14:textId="7070D3C0">
      <w:pPr>
        <w:rPr>
          <w:szCs w:val="22"/>
        </w:rPr>
      </w:pPr>
      <w:r>
        <w:rPr>
          <w:szCs w:val="22"/>
        </w:rPr>
        <w:t>ISP-WAV-20191009-00007</w:t>
      </w:r>
      <w:r w:rsidR="00444AD9">
        <w:rPr>
          <w:szCs w:val="22"/>
        </w:rPr>
        <w:t xml:space="preserve"> </w:t>
      </w:r>
    </w:p>
    <w:p w:rsidR="00444AD9" w:rsidP="00470A81" w14:paraId="4DCB3D10" w14:textId="2972326F">
      <w:pPr>
        <w:rPr>
          <w:szCs w:val="22"/>
        </w:rPr>
      </w:pPr>
      <w:r>
        <w:rPr>
          <w:szCs w:val="22"/>
        </w:rPr>
        <w:t>ITC-WAV-20191009-00165</w:t>
      </w:r>
    </w:p>
    <w:p w:rsidR="00470A81" w:rsidP="00470A81" w14:paraId="4187A3EA" w14:textId="77777777">
      <w:pPr>
        <w:rPr>
          <w:szCs w:val="22"/>
        </w:rPr>
      </w:pPr>
    </w:p>
    <w:bookmarkEnd w:id="21"/>
    <w:p w:rsidR="00930ECF" w:rsidRPr="00930ECF" w:rsidP="00F96F63" w14:paraId="0BA826DF"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D21E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E2AD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73A99D" w14:textId="77777777">
    <w:pPr>
      <w:pStyle w:val="Footer"/>
      <w:jc w:val="center"/>
    </w:pPr>
    <w:r>
      <w:fldChar w:fldCharType="begin"/>
    </w:r>
    <w:r>
      <w:instrText xml:space="preserve"> PAGE   \* MERGEFORMAT </w:instrText>
    </w:r>
    <w:r>
      <w:fldChar w:fldCharType="separate"/>
    </w:r>
    <w:r w:rsidR="00584263">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BB4F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763" w14:paraId="486A0DA6" w14:textId="77777777">
      <w:r>
        <w:separator/>
      </w:r>
    </w:p>
  </w:footnote>
  <w:footnote w:type="continuationSeparator" w:id="1">
    <w:p w:rsidR="00425763" w14:paraId="6A8B0C42" w14:textId="77777777">
      <w:pPr>
        <w:rPr>
          <w:sz w:val="20"/>
        </w:rPr>
      </w:pPr>
      <w:r>
        <w:rPr>
          <w:sz w:val="20"/>
        </w:rPr>
        <w:t xml:space="preserve">(Continued from previous page)  </w:t>
      </w:r>
      <w:r>
        <w:rPr>
          <w:sz w:val="20"/>
        </w:rPr>
        <w:separator/>
      </w:r>
    </w:p>
  </w:footnote>
  <w:footnote w:type="continuationNotice" w:id="2">
    <w:p w:rsidR="00425763" w:rsidP="00910F12" w14:paraId="19DDA68D" w14:textId="77777777">
      <w:pPr>
        <w:jc w:val="right"/>
        <w:rPr>
          <w:sz w:val="20"/>
        </w:rPr>
      </w:pPr>
      <w:r>
        <w:rPr>
          <w:sz w:val="20"/>
        </w:rPr>
        <w:t>(continued….)</w:t>
      </w:r>
    </w:p>
  </w:footnote>
  <w:footnote w:id="3">
    <w:p w:rsidR="00470A81" w:rsidRPr="00983593" w:rsidP="00470A81" w14:paraId="4CE7EAD7" w14:textId="7CB8AF99">
      <w:pPr>
        <w:pStyle w:val="FootnoteText"/>
      </w:pPr>
      <w:r w:rsidRPr="00983593">
        <w:rPr>
          <w:rStyle w:val="FootnoteReference"/>
          <w:sz w:val="20"/>
        </w:rPr>
        <w:footnoteRef/>
      </w:r>
      <w:r w:rsidRPr="00983593">
        <w:t xml:space="preserve"> 47 U.S.C. § 214; 47 CFR §§ 63.03-04, 63.18, 63.24.  Joint Application of Fusion Connect, Inc., Debtor-in-Possession, and Telecom Holdings, LLC for Consent to a Transaction that Will Result in a Change of Control of Companies Holding Domestic and International Authority Pursuant to Section 214 of the Communications Act of 1934, as Amended, WC Docket No. 19-262, IB File No. ITC-ASG-20190724-00136 (filed July 24, 2019) (Application).  Applicants have also filed an application for the transfer of control of wireless licenses</w:t>
      </w:r>
      <w:r w:rsidR="00C55481">
        <w:t xml:space="preserve"> pursuant to section 310(d) of the Act</w:t>
      </w:r>
      <w:r w:rsidR="00D77A76">
        <w:t xml:space="preserve">, </w:t>
      </w:r>
      <w:r w:rsidR="00316B6F">
        <w:t xml:space="preserve">47 U.S.C. </w:t>
      </w:r>
      <w:r w:rsidRPr="00983593" w:rsidR="00316B6F">
        <w:t xml:space="preserve">§ </w:t>
      </w:r>
      <w:r w:rsidR="00316B6F">
        <w:t xml:space="preserve">310(d), </w:t>
      </w:r>
      <w:r w:rsidR="00D77A76">
        <w:t>which the Wireless Telecommunications Bureau will act on separately</w:t>
      </w:r>
      <w:r w:rsidRPr="00983593">
        <w:t xml:space="preserve">.  </w:t>
      </w:r>
      <w:r w:rsidRPr="00983593">
        <w:rPr>
          <w:i/>
        </w:rPr>
        <w:t>See</w:t>
      </w:r>
      <w:r w:rsidRPr="00983593">
        <w:t xml:space="preserve"> ULS File No. </w:t>
      </w:r>
      <w:bookmarkStart w:id="1" w:name="_Hlk24532996"/>
      <w:r w:rsidRPr="00983593">
        <w:t>0008738034</w:t>
      </w:r>
      <w:bookmarkEnd w:id="1"/>
      <w:r w:rsidRPr="00983593">
        <w:t>.</w:t>
      </w:r>
      <w:r w:rsidR="00D77A76">
        <w:t xml:space="preserve">  </w:t>
      </w:r>
      <w:r w:rsidRPr="00983593">
        <w:t xml:space="preserve"> </w:t>
      </w:r>
    </w:p>
  </w:footnote>
  <w:footnote w:id="4">
    <w:p w:rsidR="00470A81" w:rsidRPr="00983593" w:rsidP="00470A81" w14:paraId="78290BED" w14:textId="7B512917">
      <w:pPr>
        <w:pStyle w:val="FootnoteText"/>
      </w:pPr>
      <w:r w:rsidRPr="00983593">
        <w:rPr>
          <w:rStyle w:val="FootnoteReference"/>
          <w:sz w:val="20"/>
        </w:rPr>
        <w:footnoteRef/>
      </w:r>
      <w:r w:rsidRPr="00983593">
        <w:t xml:space="preserve"> Petition for Temporary and Limited Waiver</w:t>
      </w:r>
      <w:r w:rsidRPr="00720E04" w:rsidR="00720E04">
        <w:rPr>
          <w:szCs w:val="22"/>
        </w:rPr>
        <w:t xml:space="preserve"> </w:t>
      </w:r>
      <w:r w:rsidR="00720E04">
        <w:rPr>
          <w:szCs w:val="22"/>
        </w:rPr>
        <w:t xml:space="preserve">of Sections </w:t>
      </w:r>
      <w:r w:rsidR="00785EE9">
        <w:rPr>
          <w:szCs w:val="22"/>
        </w:rPr>
        <w:t xml:space="preserve">1.948, </w:t>
      </w:r>
      <w:r w:rsidR="00720E04">
        <w:rPr>
          <w:szCs w:val="22"/>
        </w:rPr>
        <w:t xml:space="preserve">1.5000(a)(1), 1.2112, 63.04, </w:t>
      </w:r>
      <w:r w:rsidR="00C46044">
        <w:rPr>
          <w:szCs w:val="22"/>
        </w:rPr>
        <w:t xml:space="preserve">and </w:t>
      </w:r>
      <w:r w:rsidR="00720E04">
        <w:rPr>
          <w:szCs w:val="22"/>
        </w:rPr>
        <w:t>63.18</w:t>
      </w:r>
      <w:r w:rsidR="00C46044">
        <w:rPr>
          <w:szCs w:val="22"/>
        </w:rPr>
        <w:t xml:space="preserve"> </w:t>
      </w:r>
      <w:r w:rsidR="00720E04">
        <w:rPr>
          <w:szCs w:val="22"/>
        </w:rPr>
        <w:t xml:space="preserve">of the Commission’s Rules, </w:t>
      </w:r>
      <w:r w:rsidRPr="00983593">
        <w:t xml:space="preserve">WC Docket No. 19-262, ITC-ASG-20190724-00136, </w:t>
      </w:r>
      <w:r w:rsidR="00944B12">
        <w:t xml:space="preserve">ULS </w:t>
      </w:r>
      <w:r w:rsidRPr="00983593">
        <w:t>File No. 0008738034, ISP-WAV-20191009-00007, ITC-WAV-20191009-00165, at 3-4 (Oct. 8, 2019) (Waiver Request).</w:t>
      </w:r>
      <w:r w:rsidR="00D77A76">
        <w:t xml:space="preserve">  Applicants’</w:t>
      </w:r>
      <w:r w:rsidR="00006298">
        <w:t xml:space="preserve"> request for </w:t>
      </w:r>
      <w:r w:rsidRPr="00316418" w:rsidR="002D7947">
        <w:rPr>
          <w:szCs w:val="22"/>
        </w:rPr>
        <w:t xml:space="preserve">a temporary and limited </w:t>
      </w:r>
      <w:r w:rsidR="00006298">
        <w:t>waiver of s</w:t>
      </w:r>
      <w:r w:rsidR="00D77A76">
        <w:t>ections 1.948 and 1.2112 of the Commission’s rules</w:t>
      </w:r>
      <w:r w:rsidR="00944B12">
        <w:t xml:space="preserve">, 47 CFR </w:t>
      </w:r>
      <w:r w:rsidRPr="00983593" w:rsidR="00944B12">
        <w:t>§§</w:t>
      </w:r>
      <w:r w:rsidR="00D77A76">
        <w:t xml:space="preserve"> </w:t>
      </w:r>
      <w:r w:rsidR="00944B12">
        <w:t xml:space="preserve">1.948, 1.2112, </w:t>
      </w:r>
      <w:r w:rsidR="00D77A76">
        <w:t xml:space="preserve">will be acted on separately </w:t>
      </w:r>
      <w:r w:rsidR="00C55481">
        <w:t xml:space="preserve">with the application for the transfer of control </w:t>
      </w:r>
      <w:r w:rsidRPr="00983593" w:rsidR="00C55481">
        <w:t>of wireless licenses</w:t>
      </w:r>
      <w:r w:rsidR="00C55481">
        <w:t xml:space="preserve"> in ULS File No. </w:t>
      </w:r>
      <w:r w:rsidRPr="00983593" w:rsidR="00C55481">
        <w:t>0008738034</w:t>
      </w:r>
      <w:r w:rsidR="00C55481">
        <w:t>.</w:t>
      </w:r>
    </w:p>
  </w:footnote>
  <w:footnote w:id="5">
    <w:p w:rsidR="00470A81" w:rsidRPr="00983593" w:rsidP="00470A81" w14:paraId="59BB6A6C" w14:textId="4EA4FFC2">
      <w:pPr>
        <w:pStyle w:val="FootnoteText"/>
      </w:pPr>
      <w:r w:rsidRPr="00983593">
        <w:rPr>
          <w:rStyle w:val="FootnoteReference"/>
          <w:sz w:val="20"/>
        </w:rPr>
        <w:footnoteRef/>
      </w:r>
      <w:r w:rsidRPr="00983593">
        <w:t xml:space="preserve"> 47 CFR §§ 1.5000(a)(1), 63.03, 63.04, 63.18, 63.24. </w:t>
      </w:r>
    </w:p>
  </w:footnote>
  <w:footnote w:id="6">
    <w:p w:rsidR="00D85231" w:rsidRPr="00983593" w:rsidP="00D85231" w14:paraId="6531571B" w14:textId="41E50374">
      <w:pPr>
        <w:pStyle w:val="FootnoteText"/>
      </w:pPr>
      <w:r w:rsidRPr="00983593">
        <w:rPr>
          <w:rStyle w:val="FootnoteReference"/>
          <w:sz w:val="20"/>
        </w:rPr>
        <w:footnoteRef/>
      </w:r>
      <w:r w:rsidRPr="00983593">
        <w:t xml:space="preserve"> </w:t>
      </w:r>
      <w:r w:rsidRPr="00D77A76">
        <w:t xml:space="preserve">Application at 4-5.  On June 3, 2019, the Fusion Companies commenced with the United States Bankruptcy Court for the Southern District of New York (Bankruptcy Court) a voluntary case under chapter 11 of the United States Code.  </w:t>
      </w:r>
      <w:r w:rsidRPr="00D77A76">
        <w:rPr>
          <w:i/>
        </w:rPr>
        <w:t>Id</w:t>
      </w:r>
      <w:r w:rsidRPr="00D77A76">
        <w:t>. at 1-2 (citing</w:t>
      </w:r>
      <w:r w:rsidRPr="00D77A76">
        <w:rPr>
          <w:i/>
        </w:rPr>
        <w:t xml:space="preserve"> Fusion Connect, Inc., et al., Debtors</w:t>
      </w:r>
      <w:r w:rsidRPr="00D77A76">
        <w:t xml:space="preserve">, Case No. 19-11811 (Bankr. S.D.N.Y. June 3, 2019)).  On August 29, September 5, September 17, September 20, October 11, </w:t>
      </w:r>
      <w:r w:rsidRPr="00D77A76" w:rsidR="006078BD">
        <w:t xml:space="preserve">December 23, </w:t>
      </w:r>
      <w:r w:rsidRPr="00D77A76">
        <w:t xml:space="preserve">2019, </w:t>
      </w:r>
      <w:r w:rsidR="00EE153A">
        <w:t xml:space="preserve">January 6, </w:t>
      </w:r>
      <w:r w:rsidR="00852A3F">
        <w:t xml:space="preserve">and January 9, </w:t>
      </w:r>
      <w:r w:rsidR="00EE153A">
        <w:t xml:space="preserve">2020, </w:t>
      </w:r>
      <w:r w:rsidRPr="00D77A76">
        <w:t xml:space="preserve">Applicants filed with the Commission supplements to the Application explaining that the proposed transaction, as described in the Application, </w:t>
      </w:r>
      <w:r w:rsidRPr="00D77A76" w:rsidR="006078BD">
        <w:t>was</w:t>
      </w:r>
      <w:r w:rsidRPr="00D77A76">
        <w:t xml:space="preserve"> under review </w:t>
      </w:r>
      <w:r w:rsidRPr="00D77A76" w:rsidR="006078BD">
        <w:t xml:space="preserve">and ultimately approved </w:t>
      </w:r>
      <w:r w:rsidRPr="00D77A76">
        <w:t xml:space="preserve">by the Bankruptcy Court, and also submitted an Amended Chapter 11 Plan of Reorganization and Disclosure Statement.  Letter from Edward A. Yorkgitis, Jr. and Winafred R. Brantl, Counsel for Fusion Connect, Inc., and Wayne D. Johnsen, Counsel for Telecom Holdings LLC, to Marlene H. Dortch, Secretary, FCC, WC Docket No. 19-262 (filed Aug. 29, 2019); </w:t>
      </w:r>
      <w:bookmarkStart w:id="2" w:name="_Hlk19709155"/>
      <w:r w:rsidRPr="00D77A76">
        <w:t>Letter from Edward A. Yorkgitis, Jr. and Winafred R. Brantl, Counsel for Fusion Connect, Inc., and Wayne D. Johnsen, Counsel for Telecom Holdings LLC, to Marlene H. Dortch, Secretary, FCC, WC Docket No. 19-262 (filed Sept. 5, 2019)</w:t>
      </w:r>
      <w:bookmarkEnd w:id="2"/>
      <w:r w:rsidRPr="00D77A76">
        <w:t>; Letter from Edward A. Yorkgitis, Jr. and Winafred R. Brantl, Counsel for Fusion Connect, Inc., and Wayne D. Johnsen, Counsel for Telecom Holdings LLC, to Marlene H. Dortch, Secretary, FCC, WC Docket No. 19-262 (filed Sept. 17, 2019); Letter from Edward A. Yorkgitis, Jr. and Winafred R. Brantl, Counsel for Fusion Connect, Inc., and Wayne D. Johnsen, Counsel for Telecom Holdings LLC, to Marlene H. Dortch, Secretary, FCC, WC Docket No. 19-262 (filed Sept. 20, 2019); Letter from Edward A. Yorkgitis, Jr. and Winafred R. Brantl, Counsel for Fusion Connect, Inc., and Wayne D. Johnsen, Counsel for Telecom Holdings LLC, to Marlene H. Dortch, Secretary, FCC, WC Docket No. 19-262 (filed Oct. 11, 2019)</w:t>
      </w:r>
      <w:r w:rsidRPr="00D77A76" w:rsidR="006078BD">
        <w:t xml:space="preserve">; Letter from Edward A. Yorkgitis, Jr. and Winafred R. Brantl, Counsel for Fusion Connect, Inc., and Wayne D. Johnsen, Counsel for Telecom Holdings LLC, to Marlene H. Dortch, Secretary, FCC, WC Docket No. 19-262 (filed </w:t>
      </w:r>
      <w:r w:rsidRPr="00D77A76" w:rsidR="00DE19D4">
        <w:t>Dec. 23</w:t>
      </w:r>
      <w:r w:rsidRPr="00D77A76" w:rsidR="006078BD">
        <w:t>, 2019)</w:t>
      </w:r>
      <w:r w:rsidRPr="00D77A76" w:rsidR="009275F3">
        <w:t xml:space="preserve"> (December 23 </w:t>
      </w:r>
      <w:r w:rsidRPr="00D77A76" w:rsidR="009275F3">
        <w:rPr>
          <w:i/>
        </w:rPr>
        <w:t>Ex Parte</w:t>
      </w:r>
      <w:r w:rsidRPr="00D77A76" w:rsidR="009275F3">
        <w:t xml:space="preserve"> Letter)</w:t>
      </w:r>
      <w:r w:rsidRPr="00D77A76" w:rsidR="00EE153A">
        <w:t>; Letter from Edward A. Yorkgitis, Jr. and Winafred R. Brantl, Counsel for Fusion Connect, Inc., and Wayne D. Johnsen, Counsel for Telecom Holdings LLC, to Marlene H. Dortch, Secretary, FCC, WC Docket No. 19-262 (filed Jan. 6, 2020)</w:t>
      </w:r>
      <w:r w:rsidR="00C141E3">
        <w:t>;</w:t>
      </w:r>
      <w:r w:rsidRPr="00852A3F" w:rsidR="00852A3F">
        <w:t xml:space="preserve"> </w:t>
      </w:r>
      <w:r w:rsidRPr="00D77A76" w:rsidR="00852A3F">
        <w:t xml:space="preserve">Letter from Edward A. Yorkgitis, Jr. and Winafred R. Brantl, Counsel for Fusion Connect, Inc., and Wayne D. Johnsen, Counsel for Telecom Holdings LLC, to Marlene H. Dortch, Secretary, FCC, WC Docket No. 19-262 (filed Jan. </w:t>
      </w:r>
      <w:r w:rsidR="00852A3F">
        <w:t>9</w:t>
      </w:r>
      <w:r w:rsidRPr="00D77A76" w:rsidR="00852A3F">
        <w:t>, 2020).</w:t>
      </w:r>
    </w:p>
  </w:footnote>
  <w:footnote w:id="7">
    <w:p w:rsidR="00A87A4A" w14:paraId="10986180" w14:textId="2AEF06D4">
      <w:pPr>
        <w:pStyle w:val="FootnoteText"/>
      </w:pPr>
      <w:r>
        <w:rPr>
          <w:rStyle w:val="FootnoteReference"/>
        </w:rPr>
        <w:footnoteRef/>
      </w:r>
      <w:r>
        <w:t xml:space="preserve"> Application at 6, 12.</w:t>
      </w:r>
    </w:p>
  </w:footnote>
  <w:footnote w:id="8">
    <w:p w:rsidR="00470A81" w:rsidRPr="00983593" w:rsidP="00470A81" w14:paraId="2E230981" w14:textId="655F6D0F">
      <w:pPr>
        <w:pStyle w:val="FootnoteText"/>
      </w:pPr>
      <w:r w:rsidRPr="00983593">
        <w:rPr>
          <w:rStyle w:val="FootnoteReference"/>
          <w:sz w:val="20"/>
        </w:rPr>
        <w:footnoteRef/>
      </w:r>
      <w:r w:rsidRPr="00983593">
        <w:t xml:space="preserve"> </w:t>
      </w:r>
      <w:r w:rsidRPr="00A87A4A" w:rsidR="00A87A4A">
        <w:rPr>
          <w:i/>
        </w:rPr>
        <w:t>Id</w:t>
      </w:r>
      <w:r w:rsidR="00A87A4A">
        <w:t>. at</w:t>
      </w:r>
      <w:r w:rsidRPr="00983593">
        <w:t xml:space="preserve"> 2, 6-7.  Telecom Holdings has “no other operations than to hold debt interests and, ultimately, common stock” in Reorganized FCI.  </w:t>
      </w:r>
      <w:r w:rsidRPr="00983593">
        <w:rPr>
          <w:i/>
        </w:rPr>
        <w:t>Id</w:t>
      </w:r>
      <w:r w:rsidRPr="00983593">
        <w:t xml:space="preserve">. at 7.  </w:t>
      </w:r>
    </w:p>
  </w:footnote>
  <w:footnote w:id="9">
    <w:p w:rsidR="00470A81" w:rsidRPr="00983593" w:rsidP="00470A81" w14:paraId="11305AAE" w14:textId="77777777">
      <w:pPr>
        <w:pStyle w:val="FootnoteText"/>
      </w:pPr>
      <w:r w:rsidRPr="00983593">
        <w:rPr>
          <w:rStyle w:val="FootnoteReference"/>
          <w:sz w:val="20"/>
        </w:rPr>
        <w:footnoteRef/>
      </w:r>
      <w:r w:rsidRPr="00983593">
        <w:t xml:space="preserve"> </w:t>
      </w:r>
      <w:bookmarkStart w:id="4" w:name="_Hlk24463468"/>
      <w:r w:rsidRPr="00983593">
        <w:rPr>
          <w:i/>
        </w:rPr>
        <w:t>Id</w:t>
      </w:r>
      <w:r w:rsidRPr="00983593">
        <w:t>. at 7</w:t>
      </w:r>
      <w:bookmarkEnd w:id="4"/>
      <w:r w:rsidRPr="00983593">
        <w:t>.</w:t>
      </w:r>
      <w:r w:rsidRPr="00983593">
        <w:rPr>
          <w:b/>
        </w:rPr>
        <w:t xml:space="preserve"> </w:t>
      </w:r>
      <w:r w:rsidRPr="00983593">
        <w:t xml:space="preserve"> </w:t>
      </w:r>
    </w:p>
  </w:footnote>
  <w:footnote w:id="10">
    <w:p w:rsidR="00470A81" w:rsidRPr="00983593" w:rsidP="00470A81" w14:paraId="07137D43" w14:textId="77777777">
      <w:pPr>
        <w:pStyle w:val="FootnoteText"/>
      </w:pPr>
      <w:r w:rsidRPr="00983593">
        <w:rPr>
          <w:rStyle w:val="FootnoteReference"/>
          <w:sz w:val="20"/>
        </w:rPr>
        <w:footnoteRef/>
      </w:r>
      <w:r w:rsidRPr="00983593">
        <w:t xml:space="preserve"> </w:t>
      </w:r>
      <w:bookmarkStart w:id="6" w:name="_Hlk24463616"/>
      <w:r w:rsidRPr="00983593">
        <w:rPr>
          <w:i/>
        </w:rPr>
        <w:t>Id</w:t>
      </w:r>
      <w:r w:rsidRPr="00983593">
        <w:t>. at 2.</w:t>
      </w:r>
      <w:bookmarkEnd w:id="6"/>
      <w:r w:rsidRPr="00983593" w:rsidR="001E6C42">
        <w:t xml:space="preserve">  Section 1.103 of the Fusion Companies’ Chapter 11 Plan of Reorganization (Plan) defin</w:t>
      </w:r>
      <w:r w:rsidRPr="00983593" w:rsidR="00351202">
        <w:t>es</w:t>
      </w:r>
      <w:r w:rsidRPr="00983593" w:rsidR="001E6C42">
        <w:t xml:space="preserve"> the term “New Equity Interests”</w:t>
      </w:r>
      <w:r w:rsidRPr="00983593" w:rsidR="00351202">
        <w:t xml:space="preserve"> more broadly to include </w:t>
      </w:r>
      <w:r w:rsidRPr="00983593" w:rsidR="00DD317B">
        <w:t xml:space="preserve">the </w:t>
      </w:r>
      <w:r w:rsidRPr="00983593" w:rsidR="00351202">
        <w:t xml:space="preserve">new common stock that would </w:t>
      </w:r>
      <w:r w:rsidRPr="00983593" w:rsidR="00DD317B">
        <w:t xml:space="preserve">subsequently </w:t>
      </w:r>
      <w:r w:rsidRPr="00983593" w:rsidR="00351202">
        <w:t>be issued by Reorganized FCI upon the exercise of</w:t>
      </w:r>
      <w:r w:rsidRPr="00983593" w:rsidR="001E0DB3">
        <w:t xml:space="preserve"> the </w:t>
      </w:r>
      <w:r w:rsidRPr="00983593" w:rsidR="00351202">
        <w:t xml:space="preserve">“Special Warrants” </w:t>
      </w:r>
      <w:r w:rsidRPr="00983593" w:rsidR="00DD317B">
        <w:t xml:space="preserve">that would be issued to certain Lenders upon emergence, as </w:t>
      </w:r>
      <w:r w:rsidRPr="00983593" w:rsidR="00351202">
        <w:t xml:space="preserve">discussed </w:t>
      </w:r>
      <w:r w:rsidRPr="00983593" w:rsidR="00595FA9">
        <w:t>elsewhere</w:t>
      </w:r>
      <w:r w:rsidRPr="00983593" w:rsidR="001E6C42">
        <w:t>.</w:t>
      </w:r>
      <w:r w:rsidRPr="00983593" w:rsidR="009275F3">
        <w:t xml:space="preserve">  December 23 </w:t>
      </w:r>
      <w:r w:rsidRPr="00983593" w:rsidR="009275F3">
        <w:rPr>
          <w:i/>
        </w:rPr>
        <w:t>Ex Parte</w:t>
      </w:r>
      <w:r w:rsidRPr="00983593" w:rsidR="009275F3">
        <w:t xml:space="preserve"> Letter at Attach</w:t>
      </w:r>
      <w:r w:rsidR="001359B6">
        <w:t>.</w:t>
      </w:r>
      <w:r w:rsidRPr="00983593" w:rsidR="009275F3">
        <w:t xml:space="preserve"> 1 (Approved Plan of Reorganization).</w:t>
      </w:r>
    </w:p>
  </w:footnote>
  <w:footnote w:id="11">
    <w:p w:rsidR="00470A81" w:rsidRPr="00983593" w:rsidP="00470A81" w14:paraId="11B921B9" w14:textId="77777777">
      <w:pPr>
        <w:pStyle w:val="FootnoteText"/>
      </w:pPr>
      <w:r w:rsidRPr="00983593">
        <w:rPr>
          <w:rStyle w:val="FootnoteReference"/>
          <w:sz w:val="20"/>
        </w:rPr>
        <w:footnoteRef/>
      </w:r>
      <w:r w:rsidRPr="00983593">
        <w:t xml:space="preserve"> At emergence, Fusion Connect will have only one class of voting common stock.  Waiver Request at 5</w:t>
      </w:r>
      <w:r w:rsidRPr="00983593" w:rsidR="00DE19D4">
        <w:t>,</w:t>
      </w:r>
      <w:r w:rsidRPr="00983593">
        <w:t xml:space="preserve"> n.8.</w:t>
      </w:r>
    </w:p>
  </w:footnote>
  <w:footnote w:id="12">
    <w:p w:rsidR="00470A81" w:rsidRPr="00983593" w:rsidP="00470A81" w14:paraId="064F7A65" w14:textId="01CA391F">
      <w:pPr>
        <w:pStyle w:val="FootnoteText"/>
      </w:pPr>
      <w:r w:rsidRPr="00983593">
        <w:rPr>
          <w:rStyle w:val="FootnoteReference"/>
          <w:sz w:val="20"/>
        </w:rPr>
        <w:footnoteRef/>
      </w:r>
      <w:r w:rsidRPr="00983593">
        <w:t xml:space="preserve"> </w:t>
      </w:r>
      <w:r w:rsidRPr="00983593" w:rsidR="009275F3">
        <w:t>Application</w:t>
      </w:r>
      <w:r w:rsidRPr="00983593">
        <w:t xml:space="preserve"> at 7.</w:t>
      </w:r>
    </w:p>
  </w:footnote>
  <w:footnote w:id="13">
    <w:p w:rsidR="00470A81" w:rsidRPr="00983593" w:rsidP="00470A81" w14:paraId="32173368" w14:textId="77777777">
      <w:pPr>
        <w:pStyle w:val="FootnoteText"/>
      </w:pPr>
      <w:r w:rsidRPr="00983593">
        <w:rPr>
          <w:rStyle w:val="FootnoteReference"/>
          <w:sz w:val="20"/>
        </w:rPr>
        <w:footnoteRef/>
      </w:r>
      <w:r w:rsidRPr="00983593">
        <w:t xml:space="preserve"> </w:t>
      </w:r>
      <w:r w:rsidRPr="00983593">
        <w:rPr>
          <w:i/>
        </w:rPr>
        <w:t>Id</w:t>
      </w:r>
      <w:r w:rsidRPr="00983593">
        <w:t xml:space="preserve">. at 2, 7.  The remaining common stock in Reorganized FCI will be held in varying amounts by the Lenders, none of which, according to the Applicants, will hold common stock representing an equity or voting interest of 10% or more of Reorganized FCI when it emerges from bankruptcy.  </w:t>
      </w:r>
      <w:r w:rsidRPr="00983593">
        <w:rPr>
          <w:i/>
        </w:rPr>
        <w:t>Id.</w:t>
      </w:r>
      <w:r w:rsidRPr="00983593">
        <w:t xml:space="preserve"> at 2, 6-7.  </w:t>
      </w:r>
    </w:p>
  </w:footnote>
  <w:footnote w:id="14">
    <w:p w:rsidR="009275F3" w:rsidRPr="00983593" w14:paraId="3F1BF7E5" w14:textId="77777777">
      <w:pPr>
        <w:pStyle w:val="FootnoteText"/>
      </w:pPr>
      <w:r w:rsidRPr="00983593">
        <w:rPr>
          <w:rStyle w:val="FootnoteReference"/>
        </w:rPr>
        <w:footnoteRef/>
      </w:r>
      <w:r w:rsidRPr="00983593">
        <w:t xml:space="preserve"> Waiver Request at 5.</w:t>
      </w:r>
    </w:p>
  </w:footnote>
  <w:footnote w:id="15">
    <w:p w:rsidR="00470A81" w:rsidRPr="00983593" w:rsidP="00470A81" w14:paraId="2F01E13D" w14:textId="77777777">
      <w:pPr>
        <w:pStyle w:val="FootnoteText"/>
      </w:pPr>
      <w:r w:rsidRPr="00983593">
        <w:rPr>
          <w:rStyle w:val="FootnoteReference"/>
          <w:sz w:val="20"/>
        </w:rPr>
        <w:footnoteRef/>
      </w:r>
      <w:r w:rsidRPr="00983593">
        <w:t xml:space="preserve"> Applicants explain that the second </w:t>
      </w:r>
      <w:r w:rsidRPr="00983593" w:rsidR="00944AC6">
        <w:t>lien</w:t>
      </w:r>
      <w:r w:rsidRPr="00983593">
        <w:t xml:space="preserve"> lenders will only receive special warrants at emergence for reasons unrelated to the waiver request.  </w:t>
      </w:r>
      <w:r w:rsidRPr="00983593" w:rsidR="001D5CB6">
        <w:rPr>
          <w:i/>
        </w:rPr>
        <w:t>Id</w:t>
      </w:r>
      <w:r w:rsidRPr="00983593" w:rsidR="001D5CB6">
        <w:t>. at 5, n.9.</w:t>
      </w:r>
    </w:p>
  </w:footnote>
  <w:footnote w:id="16">
    <w:p w:rsidR="001E0DB3" w:rsidRPr="00983593" w:rsidP="001E0DB3" w14:paraId="762A9ADA" w14:textId="45718904">
      <w:pPr>
        <w:pStyle w:val="FootnoteText"/>
      </w:pPr>
      <w:r w:rsidRPr="00983593">
        <w:rPr>
          <w:rStyle w:val="FootnoteReference"/>
          <w:sz w:val="20"/>
        </w:rPr>
        <w:footnoteRef/>
      </w:r>
      <w:r w:rsidRPr="00983593">
        <w:t xml:space="preserve"> </w:t>
      </w:r>
      <w:r w:rsidRPr="00983593" w:rsidR="001D5CB6">
        <w:rPr>
          <w:i/>
        </w:rPr>
        <w:t>Id</w:t>
      </w:r>
      <w:r w:rsidRPr="00983593" w:rsidR="001D5CB6">
        <w:t>. at</w:t>
      </w:r>
      <w:r w:rsidRPr="00983593">
        <w:t xml:space="preserve"> 5.  It is currently expected that the exercise, in full, of the Special Warrants would result in aggregate foreign equity interests and aggregate foreign voting interests in Reorganized FCI that exceed the 25% foreign ownership benchmark in section 310(b)(4) of the Act and that require</w:t>
      </w:r>
      <w:r w:rsidR="002809D2">
        <w:t>s</w:t>
      </w:r>
      <w:r w:rsidRPr="00983593">
        <w:t xml:space="preserve"> prior Commission review and approval because one of the Fusion Companies, Fusion Cloud Services, LLC, holds common carrier wireless authorizations. </w:t>
      </w:r>
      <w:r w:rsidR="00761C09">
        <w:t xml:space="preserve"> </w:t>
      </w:r>
      <w:r w:rsidRPr="00983593" w:rsidR="001D5CB6">
        <w:rPr>
          <w:i/>
        </w:rPr>
        <w:t>Id</w:t>
      </w:r>
      <w:r w:rsidRPr="00983593" w:rsidR="001D5CB6">
        <w:t>. at 6-7.</w:t>
      </w:r>
      <w:r w:rsidRPr="00983593">
        <w:t xml:space="preserve">     </w:t>
      </w:r>
    </w:p>
  </w:footnote>
  <w:footnote w:id="17">
    <w:p w:rsidR="00A17E28" w:rsidRPr="00983593" w14:paraId="5B839827" w14:textId="77777777">
      <w:pPr>
        <w:pStyle w:val="FootnoteText"/>
      </w:pPr>
      <w:r w:rsidRPr="00983593">
        <w:rPr>
          <w:rStyle w:val="FootnoteReference"/>
        </w:rPr>
        <w:footnoteRef/>
      </w:r>
      <w:r w:rsidRPr="00983593">
        <w:t xml:space="preserve"> 47 U.S.C. §§ 214, 310(b)(4) and (d).</w:t>
      </w:r>
    </w:p>
  </w:footnote>
  <w:footnote w:id="18">
    <w:p w:rsidR="00291643" w14:paraId="76629F55" w14:textId="104B397D">
      <w:pPr>
        <w:pStyle w:val="FootnoteText"/>
      </w:pPr>
      <w:r>
        <w:rPr>
          <w:rStyle w:val="FootnoteReference"/>
        </w:rPr>
        <w:footnoteRef/>
      </w:r>
      <w:r>
        <w:t xml:space="preserve"> Application at 8.</w:t>
      </w:r>
    </w:p>
  </w:footnote>
  <w:footnote w:id="19">
    <w:p w:rsidR="00470A81" w:rsidRPr="00983593" w:rsidP="00470A81" w14:paraId="6270ECDA" w14:textId="03AF45C9">
      <w:pPr>
        <w:pStyle w:val="FootnoteText"/>
      </w:pPr>
      <w:r w:rsidRPr="00983593">
        <w:rPr>
          <w:rStyle w:val="FootnoteReference"/>
          <w:sz w:val="20"/>
        </w:rPr>
        <w:footnoteRef/>
      </w:r>
      <w:r w:rsidRPr="00983593">
        <w:t xml:space="preserve"> </w:t>
      </w:r>
      <w:r w:rsidRPr="00291643" w:rsidR="00291643">
        <w:rPr>
          <w:i/>
        </w:rPr>
        <w:t>Id</w:t>
      </w:r>
      <w:r w:rsidR="00291643">
        <w:t>.</w:t>
      </w:r>
      <w:r w:rsidRPr="00983593">
        <w:t xml:space="preserve"> at 8.</w:t>
      </w:r>
    </w:p>
  </w:footnote>
  <w:footnote w:id="20">
    <w:p w:rsidR="00470A81" w:rsidRPr="00983593" w:rsidP="00470A81" w14:paraId="213B5B7C" w14:textId="77777777">
      <w:pPr>
        <w:pStyle w:val="FootnoteText"/>
      </w:pPr>
      <w:r w:rsidRPr="00983593">
        <w:rPr>
          <w:rStyle w:val="FootnoteReference"/>
          <w:sz w:val="20"/>
        </w:rPr>
        <w:footnoteRef/>
      </w:r>
      <w:r w:rsidRPr="00983593">
        <w:t xml:space="preserve"> </w:t>
      </w:r>
      <w:r w:rsidRPr="00983593">
        <w:rPr>
          <w:i/>
        </w:rPr>
        <w:t>Id</w:t>
      </w:r>
      <w:r w:rsidRPr="00983593">
        <w:t>.</w:t>
      </w:r>
    </w:p>
  </w:footnote>
  <w:footnote w:id="21">
    <w:p w:rsidR="00470A81" w:rsidRPr="00983593" w:rsidP="00470A81" w14:paraId="7D317A49" w14:textId="00A0606B">
      <w:pPr>
        <w:pStyle w:val="FootnoteText"/>
      </w:pPr>
      <w:r w:rsidRPr="00983593">
        <w:rPr>
          <w:rStyle w:val="FootnoteReference"/>
          <w:sz w:val="20"/>
        </w:rPr>
        <w:footnoteRef/>
      </w:r>
      <w:r w:rsidRPr="00983593">
        <w:t xml:space="preserve"> Applicants anticipate that exercise of the Special Warrants, in full, would result in additional entities</w:t>
      </w:r>
      <w:r w:rsidRPr="00983593">
        <w:rPr>
          <w:b/>
        </w:rPr>
        <w:t xml:space="preserve"> </w:t>
      </w:r>
      <w:r w:rsidRPr="00983593">
        <w:t xml:space="preserve">holding interests in Reorganized FCI of 10% or more, which would require disclosure in applications for consent to transfer control of the Fusion Companies in the second transaction contemplated by the Plan of Reorganization.  These ownership disclosure requirements are set forth in sections </w:t>
      </w:r>
      <w:r w:rsidR="00E72974">
        <w:t xml:space="preserve">1.2112, </w:t>
      </w:r>
      <w:r w:rsidR="0072601C">
        <w:t xml:space="preserve">1.5001, </w:t>
      </w:r>
      <w:r w:rsidRPr="00983593">
        <w:t>63.03, 63.04, 63.18, and 63.24 of the Commission’s rules.</w:t>
      </w:r>
      <w:r w:rsidRPr="00983593" w:rsidR="001E0DB3">
        <w:t xml:space="preserve">  These rules generally require, </w:t>
      </w:r>
      <w:r w:rsidRPr="00983593" w:rsidR="001E0DB3">
        <w:rPr>
          <w:i/>
        </w:rPr>
        <w:t>inter</w:t>
      </w:r>
      <w:r w:rsidRPr="00983593" w:rsidR="001E0DB3">
        <w:t xml:space="preserve"> </w:t>
      </w:r>
      <w:r w:rsidRPr="00983593" w:rsidR="001E0DB3">
        <w:rPr>
          <w:i/>
        </w:rPr>
        <w:t>alia</w:t>
      </w:r>
      <w:r w:rsidRPr="00983593" w:rsidR="001E0DB3">
        <w:t xml:space="preserve">, that applications to </w:t>
      </w:r>
      <w:r w:rsidRPr="00983593" w:rsidR="00164040">
        <w:t xml:space="preserve">assign or </w:t>
      </w:r>
      <w:r w:rsidRPr="00983593" w:rsidR="001E0DB3">
        <w:t>transf</w:t>
      </w:r>
      <w:r w:rsidRPr="00983593" w:rsidR="00164040">
        <w:t>er control of a wireless license, or of a domestic or international section 214 authorization, and petitions for declaratory ruling under section 310(b)(4)</w:t>
      </w:r>
      <w:r w:rsidRPr="00983593" w:rsidR="00282DBA">
        <w:t xml:space="preserve"> of the Act</w:t>
      </w:r>
      <w:r w:rsidRPr="00983593" w:rsidR="00164040">
        <w:t xml:space="preserve">, shall disclose the name, address, and citizenship of any party holding 10% or more of the </w:t>
      </w:r>
      <w:r w:rsidRPr="00983593" w:rsidR="00282DBA">
        <w:t>applicant’s capital stock, whether voting or non-voting, common or preferred, including the specific amount of the interest or percentage held.</w:t>
      </w:r>
      <w:r w:rsidRPr="00983593" w:rsidR="001D5CB6">
        <w:t xml:space="preserve">  47 CFR §§ </w:t>
      </w:r>
      <w:r w:rsidR="00483840">
        <w:t xml:space="preserve">1.2112, </w:t>
      </w:r>
      <w:r w:rsidRPr="00983593" w:rsidR="001D5CB6">
        <w:t>1.500</w:t>
      </w:r>
      <w:r w:rsidR="0072601C">
        <w:t>1</w:t>
      </w:r>
      <w:r w:rsidRPr="00983593" w:rsidR="001D5CB6">
        <w:t>, 63.03, 63.04, 63.18, 63.24</w:t>
      </w:r>
      <w:r w:rsidR="001338A9">
        <w:t>.</w:t>
      </w:r>
    </w:p>
  </w:footnote>
  <w:footnote w:id="22">
    <w:p w:rsidR="00470A81" w:rsidRPr="00983593" w:rsidP="00470A81" w14:paraId="6E2D4558" w14:textId="77777777">
      <w:pPr>
        <w:pStyle w:val="FootnoteText"/>
      </w:pPr>
      <w:r w:rsidRPr="00983593">
        <w:rPr>
          <w:rStyle w:val="FootnoteReference"/>
          <w:sz w:val="20"/>
        </w:rPr>
        <w:footnoteRef/>
      </w:r>
      <w:r w:rsidRPr="00983593">
        <w:t xml:space="preserve"> Application at 8</w:t>
      </w:r>
      <w:r w:rsidRPr="00983593" w:rsidR="001D5CB6">
        <w:t>,</w:t>
      </w:r>
      <w:r w:rsidRPr="00983593">
        <w:t xml:space="preserve"> n.15; Waiver Request at 4</w:t>
      </w:r>
      <w:r w:rsidRPr="00983593" w:rsidR="001D5CB6">
        <w:t>,</w:t>
      </w:r>
      <w:r w:rsidRPr="00983593">
        <w:t xml:space="preserve"> n.6.      </w:t>
      </w:r>
    </w:p>
  </w:footnote>
  <w:footnote w:id="23">
    <w:p w:rsidR="00470A81" w:rsidRPr="00983593" w:rsidP="00470A81" w14:paraId="59CA2080" w14:textId="10437E1A">
      <w:pPr>
        <w:pStyle w:val="FootnoteText"/>
      </w:pPr>
      <w:r w:rsidRPr="00983593">
        <w:rPr>
          <w:rStyle w:val="FootnoteReference"/>
          <w:sz w:val="20"/>
        </w:rPr>
        <w:footnoteRef/>
      </w:r>
      <w:r w:rsidRPr="00983593">
        <w:t xml:space="preserve"> </w:t>
      </w:r>
      <w:r w:rsidRPr="00983593" w:rsidR="001D5CB6">
        <w:t>Application</w:t>
      </w:r>
      <w:r w:rsidRPr="00983593">
        <w:t xml:space="preserve"> at 8</w:t>
      </w:r>
      <w:r w:rsidRPr="00983593" w:rsidR="001D5CB6">
        <w:t>,</w:t>
      </w:r>
      <w:r w:rsidRPr="00983593">
        <w:t xml:space="preserve"> n.15; Waiver Request at 2-</w:t>
      </w:r>
      <w:r w:rsidRPr="00983593" w:rsidR="00A17E28">
        <w:t>4</w:t>
      </w:r>
      <w:r w:rsidRPr="00983593">
        <w:t>.  The Applicants state that they are not seeking approval of the second transaction at this time.  Application at 8</w:t>
      </w:r>
      <w:r w:rsidR="002809D2">
        <w:t xml:space="preserve">; </w:t>
      </w:r>
      <w:r w:rsidRPr="00983593" w:rsidR="001D5CB6">
        <w:t>Waiver Request at 5-6.</w:t>
      </w:r>
    </w:p>
  </w:footnote>
  <w:footnote w:id="24">
    <w:p w:rsidR="00470A81" w:rsidRPr="00983593" w:rsidP="00470A81" w14:paraId="3A4DBF1E" w14:textId="77777777">
      <w:pPr>
        <w:pStyle w:val="FootnoteText"/>
      </w:pPr>
      <w:r w:rsidRPr="00983593">
        <w:rPr>
          <w:rStyle w:val="FootnoteReference"/>
          <w:sz w:val="20"/>
        </w:rPr>
        <w:footnoteRef/>
      </w:r>
      <w:r w:rsidRPr="00983593">
        <w:t xml:space="preserve"> Waiver Request at 4 (emphasis in original).      </w:t>
      </w:r>
    </w:p>
  </w:footnote>
  <w:footnote w:id="25">
    <w:p w:rsidR="00470A81" w:rsidRPr="00983593" w:rsidP="00470A81" w14:paraId="53A9BBF6" w14:textId="61D290BA">
      <w:pPr>
        <w:pStyle w:val="FootnoteText"/>
      </w:pPr>
      <w:r w:rsidRPr="00983593">
        <w:rPr>
          <w:rStyle w:val="FootnoteReference"/>
          <w:sz w:val="20"/>
        </w:rPr>
        <w:footnoteRef/>
      </w:r>
      <w:r w:rsidRPr="00983593">
        <w:t xml:space="preserve"> </w:t>
      </w:r>
      <w:r w:rsidRPr="00983593">
        <w:rPr>
          <w:i/>
        </w:rPr>
        <w:t>Id</w:t>
      </w:r>
      <w:r w:rsidRPr="00983593">
        <w:t xml:space="preserve">. at 4, n.7.  </w:t>
      </w:r>
      <w:r w:rsidRPr="00983593">
        <w:rPr>
          <w:i/>
        </w:rPr>
        <w:t>See also</w:t>
      </w:r>
      <w:r w:rsidRPr="00983593">
        <w:t xml:space="preserve"> Application at 8, n.15.  Applicants request that, to the extent waivers of the Commission’s rules are necessary, grant of the </w:t>
      </w:r>
      <w:r w:rsidRPr="006B134F">
        <w:t>Waiver Request</w:t>
      </w:r>
      <w:r w:rsidRPr="00983593">
        <w:t xml:space="preserve"> include a requirement that they make the necessary filings within 30 days following emergence from chapter 11 protection to reflect the exercise of the Special Warrants.</w:t>
      </w:r>
      <w:r w:rsidR="00AE4151">
        <w:t xml:space="preserve">  Waiver Request at 11-12.</w:t>
      </w:r>
    </w:p>
  </w:footnote>
  <w:footnote w:id="26">
    <w:p w:rsidR="00CF6EDB" w:rsidRPr="00983593" w14:paraId="319CB2F2" w14:textId="77777777">
      <w:pPr>
        <w:pStyle w:val="FootnoteText"/>
      </w:pPr>
      <w:r w:rsidRPr="00983593">
        <w:rPr>
          <w:rStyle w:val="FootnoteReference"/>
        </w:rPr>
        <w:footnoteRef/>
      </w:r>
      <w:r w:rsidRPr="00983593">
        <w:t xml:space="preserve"> Waiver Request at 3</w:t>
      </w:r>
      <w:r w:rsidRPr="00983593" w:rsidR="003F0252">
        <w:t>, 6</w:t>
      </w:r>
      <w:r w:rsidRPr="00983593">
        <w:t>.</w:t>
      </w:r>
    </w:p>
  </w:footnote>
  <w:footnote w:id="27">
    <w:p w:rsidR="003F0252" w:rsidRPr="00983593" w14:paraId="6389BAF0" w14:textId="77777777">
      <w:pPr>
        <w:pStyle w:val="FootnoteText"/>
      </w:pPr>
      <w:r w:rsidRPr="00983593">
        <w:rPr>
          <w:rStyle w:val="FootnoteReference"/>
        </w:rPr>
        <w:footnoteRef/>
      </w:r>
      <w:r w:rsidRPr="00983593">
        <w:t xml:space="preserve"> </w:t>
      </w:r>
      <w:r w:rsidRPr="00983593">
        <w:rPr>
          <w:i/>
        </w:rPr>
        <w:t>Id</w:t>
      </w:r>
      <w:r w:rsidRPr="00983593">
        <w:t>. at 6.</w:t>
      </w:r>
    </w:p>
  </w:footnote>
  <w:footnote w:id="28">
    <w:p w:rsidR="00ED4A6D" w:rsidRPr="00983593" w:rsidP="00ED4A6D" w14:paraId="35D57EE7" w14:textId="6442E76D">
      <w:pPr>
        <w:pStyle w:val="FootnoteText"/>
      </w:pPr>
      <w:r w:rsidRPr="00983593">
        <w:rPr>
          <w:rStyle w:val="FootnoteReference"/>
        </w:rPr>
        <w:footnoteRef/>
      </w:r>
      <w:r w:rsidRPr="00983593">
        <w:t xml:space="preserve"> </w:t>
      </w:r>
      <w:r w:rsidRPr="00983593" w:rsidR="0028102D">
        <w:t>47 CFR §</w:t>
      </w:r>
      <w:r w:rsidR="00215055">
        <w:t>§</w:t>
      </w:r>
      <w:r w:rsidRPr="00983593" w:rsidR="0028102D">
        <w:t xml:space="preserve"> </w:t>
      </w:r>
      <w:r w:rsidRPr="00983593" w:rsidR="000D60FE">
        <w:t xml:space="preserve">1.5000(a)(1), </w:t>
      </w:r>
      <w:r w:rsidRPr="00983593" w:rsidR="0028102D">
        <w:t>63.03, 63.04, 63.18, and 63.24</w:t>
      </w:r>
      <w:r w:rsidRPr="00983593">
        <w:t>.</w:t>
      </w:r>
      <w:r w:rsidR="007537F7">
        <w:t xml:space="preserve">  Applicants’ </w:t>
      </w:r>
      <w:r w:rsidRPr="002B69BF" w:rsidR="007537F7">
        <w:t>request</w:t>
      </w:r>
      <w:r w:rsidR="007537F7">
        <w:t xml:space="preserve"> for waiver of sections 1.948 and 1.2112 of the Commission’s rules, 47 CFR </w:t>
      </w:r>
      <w:r w:rsidRPr="00983593" w:rsidR="007537F7">
        <w:t>§§</w:t>
      </w:r>
      <w:r w:rsidR="007537F7">
        <w:t xml:space="preserve"> 1.948, 1.2112, will be acted on separately with the application for the transfer of control </w:t>
      </w:r>
      <w:r w:rsidRPr="00983593" w:rsidR="007537F7">
        <w:t>of wireless licenses</w:t>
      </w:r>
      <w:r w:rsidR="007537F7">
        <w:t xml:space="preserve"> in ULS File No. </w:t>
      </w:r>
      <w:r w:rsidRPr="00983593" w:rsidR="007537F7">
        <w:t>0008738034</w:t>
      </w:r>
      <w:r w:rsidR="007537F7">
        <w:t>.</w:t>
      </w:r>
      <w:r w:rsidR="006F6EAD">
        <w:t xml:space="preserve">  </w:t>
      </w:r>
      <w:r w:rsidRPr="00596C6B" w:rsidR="006F6EAD">
        <w:rPr>
          <w:i/>
        </w:rPr>
        <w:t>See</w:t>
      </w:r>
      <w:r w:rsidR="006F6EAD">
        <w:t xml:space="preserve"> </w:t>
      </w:r>
      <w:r w:rsidRPr="00596C6B" w:rsidR="006F6EAD">
        <w:rPr>
          <w:i/>
        </w:rPr>
        <w:t>supra</w:t>
      </w:r>
      <w:r w:rsidR="006F6EAD">
        <w:t xml:space="preserve"> note 2.</w:t>
      </w:r>
      <w:r w:rsidR="007537F7">
        <w:t xml:space="preserve">  </w:t>
      </w:r>
    </w:p>
  </w:footnote>
  <w:footnote w:id="29">
    <w:p w:rsidR="00470A81" w:rsidRPr="00983593" w:rsidP="00470A81" w14:paraId="5A72251B" w14:textId="77777777">
      <w:pPr>
        <w:pStyle w:val="FootnoteText"/>
      </w:pPr>
      <w:r w:rsidRPr="00983593">
        <w:rPr>
          <w:rStyle w:val="FootnoteReference"/>
          <w:sz w:val="20"/>
        </w:rPr>
        <w:footnoteRef/>
      </w:r>
      <w:r w:rsidRPr="00983593">
        <w:t xml:space="preserve"> 47 CFR § 1.3.</w:t>
      </w:r>
    </w:p>
  </w:footnote>
  <w:footnote w:id="30">
    <w:p w:rsidR="00470A81" w:rsidRPr="00983593" w:rsidP="00470A81" w14:paraId="680657B2" w14:textId="77777777">
      <w:pPr>
        <w:pStyle w:val="FootnoteText"/>
      </w:pPr>
      <w:r w:rsidRPr="00983593">
        <w:rPr>
          <w:rStyle w:val="FootnoteReference"/>
          <w:sz w:val="20"/>
        </w:rPr>
        <w:footnoteRef/>
      </w:r>
      <w:r w:rsidRPr="00983593">
        <w:t xml:space="preserve"> </w:t>
      </w:r>
      <w:r w:rsidRPr="00983593">
        <w:rPr>
          <w:i/>
        </w:rPr>
        <w:t>WAIT Radio v. FCC</w:t>
      </w:r>
      <w:r w:rsidRPr="00983593">
        <w:t>, 418 F.2d 1153, 1159 (D.C. Cir. 1969) (</w:t>
      </w:r>
      <w:r w:rsidRPr="00983593">
        <w:rPr>
          <w:i/>
        </w:rPr>
        <w:t>WAIT Radio</w:t>
      </w:r>
      <w:r w:rsidRPr="00983593">
        <w:t xml:space="preserve">); </w:t>
      </w:r>
      <w:r w:rsidRPr="00983593">
        <w:rPr>
          <w:bCs/>
          <w:i/>
          <w:iCs/>
        </w:rPr>
        <w:t>Network</w:t>
      </w:r>
      <w:r w:rsidRPr="00983593">
        <w:rPr>
          <w:i/>
          <w:iCs/>
        </w:rPr>
        <w:t xml:space="preserve"> </w:t>
      </w:r>
      <w:r w:rsidRPr="00983593">
        <w:rPr>
          <w:bCs/>
          <w:i/>
          <w:iCs/>
        </w:rPr>
        <w:t>IP</w:t>
      </w:r>
      <w:r w:rsidRPr="00983593">
        <w:rPr>
          <w:i/>
          <w:iCs/>
        </w:rPr>
        <w:t>, LLC v. FCC</w:t>
      </w:r>
      <w:r w:rsidRPr="00983593">
        <w:t>, 548 F.3d 116, 125-128 (D.C. Cir. 2008).</w:t>
      </w:r>
    </w:p>
  </w:footnote>
  <w:footnote w:id="31">
    <w:p w:rsidR="00470A81" w:rsidRPr="00983593" w:rsidP="00470A81" w14:paraId="565F2E2A" w14:textId="77777777">
      <w:pPr>
        <w:pStyle w:val="FootnoteText"/>
      </w:pPr>
      <w:r w:rsidRPr="00983593">
        <w:rPr>
          <w:rStyle w:val="FootnoteReference"/>
          <w:sz w:val="20"/>
        </w:rPr>
        <w:footnoteRef/>
      </w:r>
      <w:r w:rsidRPr="00983593">
        <w:t xml:space="preserve"> </w:t>
      </w:r>
      <w:r w:rsidRPr="00983593">
        <w:rPr>
          <w:i/>
        </w:rPr>
        <w:t>Northeast Cellular Telephone Co. v. FCC</w:t>
      </w:r>
      <w:r w:rsidRPr="00983593">
        <w:t>, 897 F.2d 1164, 1166 (D.C. Cir. 1990).</w:t>
      </w:r>
    </w:p>
  </w:footnote>
  <w:footnote w:id="32">
    <w:p w:rsidR="00470A81" w:rsidRPr="00983593" w:rsidP="00470A81" w14:paraId="1C7AEDAE" w14:textId="77777777">
      <w:pPr>
        <w:pStyle w:val="FootnoteText"/>
      </w:pPr>
      <w:r w:rsidRPr="00983593">
        <w:rPr>
          <w:rStyle w:val="FootnoteReference"/>
          <w:sz w:val="20"/>
        </w:rPr>
        <w:footnoteRef/>
      </w:r>
      <w:r w:rsidRPr="00983593">
        <w:t xml:space="preserve"> </w:t>
      </w:r>
      <w:r w:rsidRPr="00983593">
        <w:rPr>
          <w:i/>
        </w:rPr>
        <w:t>WAIT Radio</w:t>
      </w:r>
      <w:r w:rsidRPr="00983593">
        <w:t>, 418 F.2d</w:t>
      </w:r>
      <w:r w:rsidRPr="00983593">
        <w:rPr>
          <w:i/>
        </w:rPr>
        <w:t xml:space="preserve"> </w:t>
      </w:r>
      <w:r w:rsidRPr="00983593">
        <w:t>at 1157.</w:t>
      </w:r>
    </w:p>
  </w:footnote>
  <w:footnote w:id="33">
    <w:p w:rsidR="00205634" w:rsidRPr="00983593" w:rsidP="00205634" w14:paraId="32FCFFAF" w14:textId="38A5AF42">
      <w:pPr>
        <w:pStyle w:val="FootnoteText"/>
      </w:pPr>
      <w:r w:rsidRPr="00983593">
        <w:rPr>
          <w:rStyle w:val="FootnoteReference"/>
          <w:sz w:val="20"/>
        </w:rPr>
        <w:footnoteRef/>
      </w:r>
      <w:r w:rsidRPr="00983593">
        <w:t xml:space="preserve"> </w:t>
      </w:r>
      <w:r w:rsidRPr="00983593">
        <w:rPr>
          <w:i/>
        </w:rPr>
        <w:t>Liberman Television of Dallas License LLC</w:t>
      </w:r>
      <w:r w:rsidRPr="00983593">
        <w:t xml:space="preserve">, </w:t>
      </w:r>
      <w:r w:rsidRPr="00291643">
        <w:rPr>
          <w:i/>
        </w:rPr>
        <w:t>Debtor-in-Possession</w:t>
      </w:r>
      <w:r w:rsidRPr="00983593">
        <w:t>, Order, DA 19-1012 (MB 2019) (</w:t>
      </w:r>
      <w:r w:rsidRPr="00983593">
        <w:rPr>
          <w:i/>
        </w:rPr>
        <w:t>Liberman Order</w:t>
      </w:r>
      <w:r w:rsidRPr="00983593">
        <w:t>) (reviewing</w:t>
      </w:r>
      <w:r w:rsidRPr="006F68A7">
        <w:rPr>
          <w:kern w:val="28"/>
          <w:shd w:val="clear" w:color="auto" w:fill="FFFFFF"/>
        </w:rPr>
        <w:t xml:space="preserve"> the assignment of broadcast licenses in several markets</w:t>
      </w:r>
      <w:r w:rsidRPr="006F68A7">
        <w:rPr>
          <w:kern w:val="28"/>
          <w:bdr w:val="none" w:sz="0" w:space="0" w:color="auto" w:frame="1"/>
          <w:shd w:val="clear" w:color="auto" w:fill="FFFFFF"/>
          <w:vertAlign w:val="superscript"/>
        </w:rPr>
        <w:t xml:space="preserve"> </w:t>
      </w:r>
      <w:r w:rsidRPr="006F68A7">
        <w:rPr>
          <w:kern w:val="28"/>
          <w:shd w:val="clear" w:color="auto" w:fill="FFFFFF"/>
        </w:rPr>
        <w:t>held by indirect, wholly-owned subsidiaries of </w:t>
      </w:r>
      <w:r w:rsidRPr="006F68A7">
        <w:rPr>
          <w:kern w:val="28"/>
          <w:bdr w:val="none" w:sz="0" w:space="0" w:color="auto" w:frame="1"/>
        </w:rPr>
        <w:t>Liberman</w:t>
      </w:r>
      <w:r w:rsidRPr="006F68A7">
        <w:rPr>
          <w:kern w:val="28"/>
          <w:shd w:val="clear" w:color="auto" w:fill="FFFFFF"/>
        </w:rPr>
        <w:t> Broadcasting, Inc., Debtor-in-Possession (LBI, and, together with affiliated entities, the LBI Debtors), from the licensees, as debtors</w:t>
      </w:r>
      <w:r w:rsidR="00291643">
        <w:rPr>
          <w:kern w:val="28"/>
          <w:shd w:val="clear" w:color="auto" w:fill="FFFFFF"/>
        </w:rPr>
        <w:t>-</w:t>
      </w:r>
      <w:r w:rsidRPr="006F68A7">
        <w:rPr>
          <w:kern w:val="28"/>
          <w:shd w:val="clear" w:color="auto" w:fill="FFFFFF"/>
        </w:rPr>
        <w:t>in</w:t>
      </w:r>
      <w:r w:rsidR="00291643">
        <w:rPr>
          <w:kern w:val="28"/>
          <w:shd w:val="clear" w:color="auto" w:fill="FFFFFF"/>
        </w:rPr>
        <w:t>-</w:t>
      </w:r>
      <w:r w:rsidRPr="006F68A7">
        <w:rPr>
          <w:kern w:val="28"/>
          <w:shd w:val="clear" w:color="auto" w:fill="FFFFFF"/>
        </w:rPr>
        <w:t>possession, to the same licensees, as non-debtors in possession, following the emergence of the LBI Debtors from bankruptcy, granting a temporary and limited waiver of section 1.5000(a)(1) of the Commission's rules</w:t>
      </w:r>
      <w:r w:rsidRPr="006F68A7">
        <w:rPr>
          <w:kern w:val="28"/>
          <w:bdr w:val="none" w:sz="0" w:space="0" w:color="auto" w:frame="1"/>
          <w:shd w:val="clear" w:color="auto" w:fill="FFFFFF"/>
          <w:vertAlign w:val="superscript"/>
        </w:rPr>
        <w:t xml:space="preserve"> </w:t>
      </w:r>
      <w:r w:rsidRPr="006F68A7">
        <w:rPr>
          <w:kern w:val="28"/>
          <w:shd w:val="clear" w:color="auto" w:fill="FFFFFF"/>
        </w:rPr>
        <w:t>to permit the LBI Debtors to emerge from bankruptcy before filing any petition for declaratory ruling that may be required to allow aggregate foreign ownership in excess of the 25% benchmark set forth in section 310(b)(4) of the Act, and conditionally granting the applications on the filing of a petition for declaratory ruling concerning foreign ownership within 30 days of the closing of the transaction).</w:t>
      </w:r>
    </w:p>
  </w:footnote>
  <w:footnote w:id="34">
    <w:p w:rsidR="00470A81" w:rsidRPr="00983593" w:rsidP="00470A81" w14:paraId="2EE99D63" w14:textId="3031F1F8">
      <w:pPr>
        <w:pStyle w:val="FootnoteText"/>
      </w:pPr>
      <w:r w:rsidRPr="00983593">
        <w:rPr>
          <w:rStyle w:val="FootnoteReference"/>
          <w:sz w:val="20"/>
        </w:rPr>
        <w:footnoteRef/>
      </w:r>
      <w:r w:rsidRPr="00983593">
        <w:t xml:space="preserve"> </w:t>
      </w:r>
      <w:r w:rsidRPr="00983593" w:rsidR="00127B50">
        <w:rPr>
          <w:i/>
        </w:rPr>
        <w:t xml:space="preserve">See </w:t>
      </w:r>
      <w:r w:rsidRPr="00983593">
        <w:rPr>
          <w:i/>
        </w:rPr>
        <w:t>Maritime Communications/</w:t>
      </w:r>
      <w:r w:rsidR="00761C09">
        <w:rPr>
          <w:i/>
        </w:rPr>
        <w:t>L</w:t>
      </w:r>
      <w:r w:rsidRPr="00983593">
        <w:rPr>
          <w:i/>
        </w:rPr>
        <w:t>and Mobile, LLC</w:t>
      </w:r>
      <w:r w:rsidRPr="00983593">
        <w:t xml:space="preserve">, 31 FCC Rcd 13729, 13737-38 (2016); </w:t>
      </w:r>
      <w:r w:rsidRPr="00983593">
        <w:rPr>
          <w:i/>
        </w:rPr>
        <w:t>LaRose v. FCC</w:t>
      </w:r>
      <w:r w:rsidRPr="00983593">
        <w:t>, 494 F.2d 1145, 1146-48 &amp; n.2 (D.C. Cir. 1974)</w:t>
      </w:r>
      <w:r w:rsidRPr="00983593" w:rsidR="00127B50">
        <w:t xml:space="preserve"> (</w:t>
      </w:r>
      <w:r w:rsidRPr="00983593" w:rsidR="00127B50">
        <w:rPr>
          <w:i/>
        </w:rPr>
        <w:t>LaRose v. FCC</w:t>
      </w:r>
      <w:r w:rsidRPr="00983593" w:rsidR="00127B50">
        <w:t>)</w:t>
      </w:r>
      <w:r w:rsidRPr="00983593">
        <w:t xml:space="preserve">; </w:t>
      </w:r>
      <w:r w:rsidRPr="00983593">
        <w:rPr>
          <w:i/>
        </w:rPr>
        <w:t>Liberman Order</w:t>
      </w:r>
      <w:r w:rsidRPr="00983593">
        <w:t xml:space="preserve"> at para. 14.</w:t>
      </w:r>
    </w:p>
  </w:footnote>
  <w:footnote w:id="35">
    <w:p w:rsidR="00470A81" w:rsidRPr="00983593" w:rsidP="00470A81" w14:paraId="5347BD60" w14:textId="3BF7E4A3">
      <w:pPr>
        <w:shd w:val="clear" w:color="auto" w:fill="FFFFFF"/>
        <w:rPr>
          <w:sz w:val="20"/>
        </w:rPr>
      </w:pPr>
      <w:r w:rsidRPr="00983593">
        <w:rPr>
          <w:rStyle w:val="FootnoteReference"/>
          <w:sz w:val="20"/>
        </w:rPr>
        <w:footnoteRef/>
      </w:r>
      <w:r w:rsidRPr="006F68A7">
        <w:rPr>
          <w:i/>
          <w:sz w:val="20"/>
        </w:rPr>
        <w:t xml:space="preserve"> </w:t>
      </w:r>
      <w:r w:rsidRPr="006F68A7" w:rsidR="00127B50">
        <w:rPr>
          <w:sz w:val="20"/>
        </w:rPr>
        <w:t xml:space="preserve"> Waiver Request at 8 (citing </w:t>
      </w:r>
      <w:r w:rsidRPr="00983593">
        <w:rPr>
          <w:i/>
          <w:iCs/>
          <w:sz w:val="20"/>
        </w:rPr>
        <w:t>World</w:t>
      </w:r>
      <w:r w:rsidRPr="00983593" w:rsidR="00631502">
        <w:rPr>
          <w:i/>
          <w:iCs/>
          <w:sz w:val="20"/>
        </w:rPr>
        <w:t>C</w:t>
      </w:r>
      <w:r w:rsidRPr="00983593">
        <w:rPr>
          <w:i/>
          <w:iCs/>
          <w:sz w:val="20"/>
        </w:rPr>
        <w:t>om</w:t>
      </w:r>
      <w:r w:rsidRPr="006F68A7">
        <w:rPr>
          <w:i/>
          <w:sz w:val="20"/>
        </w:rPr>
        <w:t>, Inc</w:t>
      </w:r>
      <w:r w:rsidR="009859FA">
        <w:rPr>
          <w:i/>
          <w:iCs/>
          <w:sz w:val="20"/>
        </w:rPr>
        <w:t>.</w:t>
      </w:r>
      <w:r w:rsidRPr="00983593">
        <w:rPr>
          <w:sz w:val="20"/>
        </w:rPr>
        <w:t>,</w:t>
      </w:r>
      <w:r w:rsidRPr="006F68A7">
        <w:rPr>
          <w:sz w:val="20"/>
        </w:rPr>
        <w:t xml:space="preserve"> 18 FCC Rcd 26484, 26503, para. 29 (2003)</w:t>
      </w:r>
      <w:r w:rsidRPr="006F68A7" w:rsidR="00127B50">
        <w:rPr>
          <w:sz w:val="20"/>
        </w:rPr>
        <w:t>)</w:t>
      </w:r>
      <w:r w:rsidRPr="006F68A7">
        <w:rPr>
          <w:sz w:val="20"/>
        </w:rPr>
        <w:t xml:space="preserve">.  </w:t>
      </w:r>
      <w:r w:rsidRPr="00983593">
        <w:rPr>
          <w:i/>
          <w:sz w:val="20"/>
        </w:rPr>
        <w:t>See also</w:t>
      </w:r>
      <w:r w:rsidRPr="00983593">
        <w:rPr>
          <w:sz w:val="20"/>
        </w:rPr>
        <w:t xml:space="preserve"> </w:t>
      </w:r>
      <w:r w:rsidRPr="00983593">
        <w:rPr>
          <w:i/>
          <w:sz w:val="20"/>
        </w:rPr>
        <w:t>LaRose v. FCC</w:t>
      </w:r>
      <w:r w:rsidRPr="00983593">
        <w:rPr>
          <w:sz w:val="20"/>
        </w:rPr>
        <w:t xml:space="preserve">, 494 F.2d </w:t>
      </w:r>
      <w:r w:rsidRPr="00983593" w:rsidR="00127B50">
        <w:rPr>
          <w:sz w:val="20"/>
        </w:rPr>
        <w:t>at</w:t>
      </w:r>
      <w:r w:rsidRPr="00983593">
        <w:rPr>
          <w:sz w:val="20"/>
        </w:rPr>
        <w:t xml:space="preserve"> 1146</w:t>
      </w:r>
      <w:r w:rsidRPr="00983593" w:rsidR="00127B50">
        <w:rPr>
          <w:sz w:val="20"/>
        </w:rPr>
        <w:t>,</w:t>
      </w:r>
      <w:r w:rsidRPr="00983593">
        <w:rPr>
          <w:sz w:val="20"/>
        </w:rPr>
        <w:t xml:space="preserve"> n.2 (</w:t>
      </w:r>
      <w:r w:rsidRPr="00983593" w:rsidR="00127B50">
        <w:rPr>
          <w:sz w:val="20"/>
        </w:rPr>
        <w:t xml:space="preserve">stating that </w:t>
      </w:r>
      <w:r w:rsidRPr="00983593">
        <w:rPr>
          <w:sz w:val="20"/>
        </w:rPr>
        <w:t>in applying its policies where an application arises from bankruptcy, the Commission should consider “the public interest in the protection of innocent creditors”).</w:t>
      </w:r>
    </w:p>
    <w:p w:rsidR="00470A81" w:rsidRPr="00983593" w:rsidP="00470A81" w14:paraId="0238E09F" w14:textId="77777777">
      <w:pPr>
        <w:shd w:val="clear" w:color="auto" w:fill="FFFFFF"/>
        <w:rPr>
          <w:sz w:val="20"/>
        </w:rPr>
      </w:pPr>
    </w:p>
  </w:footnote>
  <w:footnote w:id="36">
    <w:p w:rsidR="00470A81" w:rsidRPr="00983593" w:rsidP="00CE323A" w14:paraId="5B0DF7F2" w14:textId="54AC3351">
      <w:pPr>
        <w:widowControl/>
        <w:autoSpaceDE w:val="0"/>
        <w:autoSpaceDN w:val="0"/>
        <w:adjustRightInd w:val="0"/>
        <w:rPr>
          <w:rFonts w:ascii="TimesNewRoman" w:hAnsi="TimesNewRoman" w:cs="TimesNewRoman"/>
          <w:snapToGrid/>
          <w:kern w:val="0"/>
          <w:sz w:val="20"/>
        </w:rPr>
      </w:pPr>
      <w:r w:rsidRPr="00983593">
        <w:rPr>
          <w:rStyle w:val="FootnoteReference"/>
          <w:sz w:val="20"/>
        </w:rPr>
        <w:footnoteRef/>
      </w:r>
      <w:r w:rsidRPr="00983593">
        <w:rPr>
          <w:sz w:val="20"/>
        </w:rPr>
        <w:t xml:space="preserve"> </w:t>
      </w:r>
      <w:bookmarkStart w:id="15" w:name="_Hlk29213051"/>
      <w:r w:rsidRPr="006F68A7">
        <w:rPr>
          <w:rStyle w:val="Emphasis"/>
          <w:rFonts w:eastAsia="Calibri"/>
          <w:sz w:val="20"/>
        </w:rPr>
        <w:t>Mobile Satellite Ventures Subsidiary LLC and SkyTerra Communications Inc.</w:t>
      </w:r>
      <w:r w:rsidRPr="006F68A7">
        <w:rPr>
          <w:rFonts w:eastAsia="Calibri"/>
          <w:sz w:val="20"/>
        </w:rPr>
        <w:t xml:space="preserve">, </w:t>
      </w:r>
      <w:r w:rsidRPr="006F68A7">
        <w:rPr>
          <w:rFonts w:eastAsia="Calibri"/>
          <w:i/>
          <w:sz w:val="20"/>
        </w:rPr>
        <w:t>Petition for Declaratory Ruling Under Section 310(b)(4) of the Communications Act, as Amended</w:t>
      </w:r>
      <w:r w:rsidRPr="006F68A7">
        <w:rPr>
          <w:rFonts w:eastAsia="Calibri"/>
          <w:sz w:val="20"/>
        </w:rPr>
        <w:t xml:space="preserve">, Order and Declaratory Ruling, 23 FCC Rcd 4436, 4444, para. 18 (2008) (granting the petitioners authority to hold on an interim basis up to a non-controlling 49.99% equity and voting interest in SkyTerra Communications subject to and without prejudice to any action the Commission may take on the associated request for permanent authority).  </w:t>
      </w:r>
      <w:r w:rsidRPr="00983593">
        <w:rPr>
          <w:sz w:val="20"/>
        </w:rPr>
        <w:t xml:space="preserve">We note that the Commission staff frequently works with applicants and licensees to address and resolve impediments to identifying ownership interests.  </w:t>
      </w:r>
      <w:r w:rsidRPr="00983593">
        <w:rPr>
          <w:i/>
          <w:sz w:val="20"/>
        </w:rPr>
        <w:t>See</w:t>
      </w:r>
      <w:r w:rsidRPr="00983593">
        <w:rPr>
          <w:sz w:val="20"/>
        </w:rPr>
        <w:t xml:space="preserve"> </w:t>
      </w:r>
      <w:r w:rsidRPr="00983593" w:rsidR="004D6DF4">
        <w:rPr>
          <w:rFonts w:ascii="TimesNewRoman" w:hAnsi="TimesNewRoman" w:cs="TimesNewRoman"/>
          <w:i/>
          <w:snapToGrid/>
          <w:kern w:val="0"/>
          <w:sz w:val="20"/>
        </w:rPr>
        <w:t>Review of Foreign Ownership Policies for Broadcast, Common Carrier and Aeronautical</w:t>
      </w:r>
      <w:r w:rsidRPr="00983593" w:rsidR="009D3311">
        <w:rPr>
          <w:rFonts w:ascii="TimesNewRoman" w:hAnsi="TimesNewRoman" w:cs="TimesNewRoman"/>
          <w:i/>
          <w:snapToGrid/>
          <w:kern w:val="0"/>
          <w:sz w:val="20"/>
        </w:rPr>
        <w:t xml:space="preserve"> </w:t>
      </w:r>
      <w:r w:rsidRPr="00983593" w:rsidR="004D6DF4">
        <w:rPr>
          <w:rFonts w:ascii="TimesNewRoman" w:hAnsi="TimesNewRoman" w:cs="TimesNewRoman"/>
          <w:i/>
          <w:snapToGrid/>
          <w:kern w:val="0"/>
          <w:sz w:val="20"/>
        </w:rPr>
        <w:t>Radio Licensees under Section 310(b)(4) of the Communications Act of 1934, as Amended</w:t>
      </w:r>
      <w:r w:rsidRPr="00983593">
        <w:rPr>
          <w:sz w:val="20"/>
        </w:rPr>
        <w:t>, 31 FCC Rcd 11272, 11312, para. 88, n.224</w:t>
      </w:r>
      <w:r w:rsidR="002C1B60">
        <w:rPr>
          <w:sz w:val="20"/>
        </w:rPr>
        <w:t xml:space="preserve"> (2016)</w:t>
      </w:r>
      <w:r w:rsidRPr="00983593">
        <w:rPr>
          <w:sz w:val="20"/>
        </w:rPr>
        <w:t xml:space="preserve">; </w:t>
      </w:r>
      <w:r w:rsidRPr="00983593">
        <w:rPr>
          <w:i/>
          <w:sz w:val="20"/>
        </w:rPr>
        <w:t>cf</w:t>
      </w:r>
      <w:r w:rsidRPr="00983593">
        <w:rPr>
          <w:sz w:val="20"/>
        </w:rPr>
        <w:t xml:space="preserve">. 47 CFR § 1.5004(f)(1) (providing that a licensee that learns of an investment that renders the licensee non-compliant with its foreign ownership ruling or the Commission's rules relating to foreign ownership must file a petition for declaratory ruling or take other remedial action within 30 days of the date it learned of the non-compliant foreign interest(s)).  As is the case with petitions for declaratory ruling filed pursuant to 1.5004(f)(1), the Commission ultimately may require Reorganized FCI to divest certain foreign investments.  </w:t>
      </w:r>
      <w:r w:rsidR="002809D2">
        <w:rPr>
          <w:sz w:val="20"/>
        </w:rPr>
        <w:t>47 CFR § 1.5004(f)(1).</w:t>
      </w:r>
    </w:p>
    <w:bookmarkEnd w:id="15"/>
  </w:footnote>
  <w:footnote w:id="37">
    <w:p w:rsidR="00A262DE" w:rsidRPr="00A262DE" w:rsidP="00A262DE" w14:paraId="2FFA2232" w14:textId="77777777">
      <w:pPr>
        <w:rPr>
          <w:snapToGrid/>
          <w:kern w:val="0"/>
          <w:sz w:val="20"/>
        </w:rPr>
      </w:pPr>
      <w:r>
        <w:rPr>
          <w:rStyle w:val="FootnoteReference"/>
        </w:rPr>
        <w:footnoteRef/>
      </w:r>
      <w:r>
        <w:t xml:space="preserve"> </w:t>
      </w:r>
      <w:r w:rsidRPr="00A262DE">
        <w:rPr>
          <w:sz w:val="20"/>
        </w:rPr>
        <w:t>This authorization is without prejudice to the Commission’s action in any other related pending proceedings.</w:t>
      </w:r>
    </w:p>
    <w:p w:rsidR="00A262DE" w14:paraId="37009515" w14:textId="163064EF">
      <w:pPr>
        <w:pStyle w:val="FootnoteText"/>
      </w:pPr>
    </w:p>
  </w:footnote>
  <w:footnote w:id="38">
    <w:p w:rsidR="00470A81" w:rsidRPr="006F68A7" w:rsidP="00470A81" w14:paraId="41EDE3FF" w14:textId="77777777">
      <w:pPr>
        <w:pStyle w:val="FootnoteText"/>
      </w:pPr>
      <w:r w:rsidRPr="006F68A7">
        <w:rPr>
          <w:rStyle w:val="FootnoteReference"/>
          <w:sz w:val="20"/>
        </w:rPr>
        <w:footnoteRef/>
      </w:r>
      <w:r w:rsidRPr="006F68A7">
        <w:t xml:space="preserve"> 47 CFR § 63.03.</w:t>
      </w:r>
    </w:p>
  </w:footnote>
  <w:footnote w:id="39">
    <w:p w:rsidR="006E7854" w14:paraId="6BAF1033" w14:textId="7A4CBAF9">
      <w:pPr>
        <w:pStyle w:val="FootnoteText"/>
      </w:pPr>
      <w:r>
        <w:rPr>
          <w:rStyle w:val="FootnoteReference"/>
        </w:rPr>
        <w:footnoteRef/>
      </w:r>
      <w:r>
        <w:t xml:space="preserve"> </w:t>
      </w:r>
      <w:r>
        <w:rPr>
          <w:szCs w:val="22"/>
        </w:rPr>
        <w:t xml:space="preserve">The request </w:t>
      </w:r>
      <w:r w:rsidRPr="00944B12">
        <w:rPr>
          <w:szCs w:val="22"/>
        </w:rPr>
        <w:t>for waiver of sections 1.948 and 1.2112 of the Commission’s rules will be acted on separately with the application for the transfer of control of wireless licenses in ULS File No. 0008738034.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CE323A" w14:paraId="2C302629" w14:textId="77777777">
    <w:pPr>
      <w:tabs>
        <w:tab w:val="center" w:pos="4680"/>
        <w:tab w:val="right" w:pos="9360"/>
      </w:tabs>
      <w:rPr>
        <w:spacing w:val="-2"/>
      </w:rPr>
    </w:pPr>
  </w:p>
  <w:p w:rsidR="009838BC" w:rsidRPr="009838BC" w:rsidP="009838BC" w14:paraId="4E34C1D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920AF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14:paraId="5E507963" w14:textId="77777777">
                <w:pPr>
                  <w:rPr>
                    <w:rFonts w:ascii="Arial" w:hAnsi="Arial"/>
                    <w:b/>
                  </w:rPr>
                </w:pPr>
                <w:r>
                  <w:rPr>
                    <w:rFonts w:ascii="Arial" w:hAnsi="Arial"/>
                    <w:b/>
                  </w:rPr>
                  <w:t>Federal Communications Commission</w:t>
                </w:r>
              </w:p>
              <w:p w:rsidR="009838BC" w:rsidP="009838BC" w14:paraId="504DBD4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1643A3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EBBFDF9" w14:textId="77777777">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10014.4pt,56.7pt" to="10482.4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14:paraId="44B6D5EE" w14:textId="77777777">
                <w:pPr>
                  <w:spacing w:before="40"/>
                  <w:jc w:val="right"/>
                  <w:rPr>
                    <w:rFonts w:ascii="Arial" w:hAnsi="Arial"/>
                    <w:b/>
                    <w:sz w:val="16"/>
                  </w:rPr>
                </w:pPr>
                <w:r>
                  <w:rPr>
                    <w:rFonts w:ascii="Arial" w:hAnsi="Arial"/>
                    <w:b/>
                    <w:sz w:val="16"/>
                  </w:rPr>
                  <w:t>News Media Information 202 / 418-0500</w:t>
                </w:r>
              </w:p>
              <w:p w:rsidR="009838BC" w:rsidP="009838BC" w14:paraId="3539D68A" w14:textId="77777777">
                <w:pPr>
                  <w:jc w:val="right"/>
                  <w:rPr>
                    <w:rFonts w:ascii="Arial" w:hAnsi="Arial"/>
                    <w:b/>
                    <w:sz w:val="16"/>
                  </w:rPr>
                </w:pPr>
                <w:r>
                  <w:rPr>
                    <w:rFonts w:ascii="Arial" w:hAnsi="Arial"/>
                    <w:b/>
                    <w:sz w:val="16"/>
                  </w:rPr>
                  <w:t xml:space="preserve">Internet: </w:t>
                </w:r>
                <w:bookmarkStart w:id="22" w:name="_Hlt233824"/>
                <w:hyperlink r:id="rId2" w:history="1">
                  <w:r w:rsidRPr="00D216CD">
                    <w:rPr>
                      <w:rStyle w:val="Hyperlink"/>
                      <w:rFonts w:ascii="Arial" w:hAnsi="Arial"/>
                      <w:b/>
                      <w:sz w:val="16"/>
                    </w:rPr>
                    <w:t>h</w:t>
                  </w:r>
                  <w:bookmarkEnd w:id="22"/>
                  <w:r w:rsidRPr="00D216CD">
                    <w:rPr>
                      <w:rStyle w:val="Hyperlink"/>
                      <w:rFonts w:ascii="Arial" w:hAnsi="Arial"/>
                      <w:b/>
                      <w:sz w:val="16"/>
                    </w:rPr>
                    <w:t>ttps://www.fcc.gov</w:t>
                  </w:r>
                </w:hyperlink>
              </w:p>
              <w:p w:rsidR="009838BC" w:rsidP="009838BC" w14:paraId="06E84620" w14:textId="77777777">
                <w:pPr>
                  <w:jc w:val="right"/>
                </w:pPr>
                <w:r>
                  <w:rPr>
                    <w:rFonts w:ascii="Arial" w:hAnsi="Arial"/>
                    <w:b/>
                    <w:sz w:val="16"/>
                  </w:rPr>
                  <w:t>TTY: 1-888-835-5322</w:t>
                </w:r>
              </w:p>
            </w:txbxContent>
          </v:textbox>
        </v:shape>
      </w:pict>
    </w:r>
  </w:p>
  <w:p w:rsidR="006F7393" w:rsidRPr="009838BC" w:rsidP="009838BC" w14:paraId="1D0B1B8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81"/>
    <w:rsid w:val="00006298"/>
    <w:rsid w:val="000072CE"/>
    <w:rsid w:val="00013A8B"/>
    <w:rsid w:val="00015F2F"/>
    <w:rsid w:val="00021445"/>
    <w:rsid w:val="00036039"/>
    <w:rsid w:val="00037F90"/>
    <w:rsid w:val="000557A1"/>
    <w:rsid w:val="0006231E"/>
    <w:rsid w:val="00063C94"/>
    <w:rsid w:val="0006630B"/>
    <w:rsid w:val="00077582"/>
    <w:rsid w:val="000875BF"/>
    <w:rsid w:val="00092E26"/>
    <w:rsid w:val="00096D8C"/>
    <w:rsid w:val="000C0B65"/>
    <w:rsid w:val="000C58DC"/>
    <w:rsid w:val="000D60FE"/>
    <w:rsid w:val="000E3D42"/>
    <w:rsid w:val="000E5884"/>
    <w:rsid w:val="00110F17"/>
    <w:rsid w:val="00122BD5"/>
    <w:rsid w:val="00127B50"/>
    <w:rsid w:val="001338A9"/>
    <w:rsid w:val="001359B6"/>
    <w:rsid w:val="00142B17"/>
    <w:rsid w:val="00164040"/>
    <w:rsid w:val="001648B5"/>
    <w:rsid w:val="00192F9F"/>
    <w:rsid w:val="001979D9"/>
    <w:rsid w:val="001B0530"/>
    <w:rsid w:val="001B1CCA"/>
    <w:rsid w:val="001C17CC"/>
    <w:rsid w:val="001D5CB6"/>
    <w:rsid w:val="001D6BCF"/>
    <w:rsid w:val="001D7C7D"/>
    <w:rsid w:val="001E01CA"/>
    <w:rsid w:val="001E0DB3"/>
    <w:rsid w:val="001E2CEC"/>
    <w:rsid w:val="001E6C42"/>
    <w:rsid w:val="002046F8"/>
    <w:rsid w:val="00205634"/>
    <w:rsid w:val="002060D9"/>
    <w:rsid w:val="00215055"/>
    <w:rsid w:val="002231B3"/>
    <w:rsid w:val="00224DA4"/>
    <w:rsid w:val="00226822"/>
    <w:rsid w:val="0022766C"/>
    <w:rsid w:val="00260594"/>
    <w:rsid w:val="0026744D"/>
    <w:rsid w:val="002802C9"/>
    <w:rsid w:val="002809D2"/>
    <w:rsid w:val="0028102D"/>
    <w:rsid w:val="00282DBA"/>
    <w:rsid w:val="00285017"/>
    <w:rsid w:val="00291643"/>
    <w:rsid w:val="002A2D2E"/>
    <w:rsid w:val="002B69BF"/>
    <w:rsid w:val="002C1B60"/>
    <w:rsid w:val="002D7947"/>
    <w:rsid w:val="002F79FA"/>
    <w:rsid w:val="00307030"/>
    <w:rsid w:val="0031237C"/>
    <w:rsid w:val="00316418"/>
    <w:rsid w:val="00316B6F"/>
    <w:rsid w:val="00317639"/>
    <w:rsid w:val="00343749"/>
    <w:rsid w:val="00344A21"/>
    <w:rsid w:val="0034693B"/>
    <w:rsid w:val="0034765A"/>
    <w:rsid w:val="00351202"/>
    <w:rsid w:val="00357D50"/>
    <w:rsid w:val="0036014D"/>
    <w:rsid w:val="00385F1C"/>
    <w:rsid w:val="003925DC"/>
    <w:rsid w:val="003A1CE5"/>
    <w:rsid w:val="003A3461"/>
    <w:rsid w:val="003A558B"/>
    <w:rsid w:val="003B0550"/>
    <w:rsid w:val="003B694F"/>
    <w:rsid w:val="003C48D5"/>
    <w:rsid w:val="003F0252"/>
    <w:rsid w:val="003F0683"/>
    <w:rsid w:val="003F171C"/>
    <w:rsid w:val="003F62FC"/>
    <w:rsid w:val="00412FC5"/>
    <w:rsid w:val="00421378"/>
    <w:rsid w:val="00422276"/>
    <w:rsid w:val="004242F1"/>
    <w:rsid w:val="00425763"/>
    <w:rsid w:val="0043438C"/>
    <w:rsid w:val="004367A0"/>
    <w:rsid w:val="00441561"/>
    <w:rsid w:val="00444AD9"/>
    <w:rsid w:val="00445A00"/>
    <w:rsid w:val="00451B0F"/>
    <w:rsid w:val="0046125F"/>
    <w:rsid w:val="00470A81"/>
    <w:rsid w:val="00483840"/>
    <w:rsid w:val="00487524"/>
    <w:rsid w:val="00496106"/>
    <w:rsid w:val="004A0AE0"/>
    <w:rsid w:val="004A6365"/>
    <w:rsid w:val="004C12D0"/>
    <w:rsid w:val="004C2EE3"/>
    <w:rsid w:val="004C44BF"/>
    <w:rsid w:val="004D3DAA"/>
    <w:rsid w:val="004D6DF4"/>
    <w:rsid w:val="004E0BB2"/>
    <w:rsid w:val="004E4A22"/>
    <w:rsid w:val="004E626F"/>
    <w:rsid w:val="004F7368"/>
    <w:rsid w:val="005062E0"/>
    <w:rsid w:val="00511968"/>
    <w:rsid w:val="00541981"/>
    <w:rsid w:val="005547A4"/>
    <w:rsid w:val="0055614C"/>
    <w:rsid w:val="0056396A"/>
    <w:rsid w:val="00584263"/>
    <w:rsid w:val="00595FA9"/>
    <w:rsid w:val="00596C6B"/>
    <w:rsid w:val="0059779E"/>
    <w:rsid w:val="005A37DB"/>
    <w:rsid w:val="005C210A"/>
    <w:rsid w:val="005D4ADB"/>
    <w:rsid w:val="005D6D67"/>
    <w:rsid w:val="005E28B1"/>
    <w:rsid w:val="005F3F4E"/>
    <w:rsid w:val="006078BD"/>
    <w:rsid w:val="00607BA5"/>
    <w:rsid w:val="00626EB6"/>
    <w:rsid w:val="00631502"/>
    <w:rsid w:val="006353A3"/>
    <w:rsid w:val="00644060"/>
    <w:rsid w:val="00655D03"/>
    <w:rsid w:val="00683F84"/>
    <w:rsid w:val="00684DFE"/>
    <w:rsid w:val="006A6777"/>
    <w:rsid w:val="006A6A81"/>
    <w:rsid w:val="006B134F"/>
    <w:rsid w:val="006B7178"/>
    <w:rsid w:val="006E26AF"/>
    <w:rsid w:val="006E7854"/>
    <w:rsid w:val="006F68A7"/>
    <w:rsid w:val="006F6EAD"/>
    <w:rsid w:val="006F7393"/>
    <w:rsid w:val="0070224F"/>
    <w:rsid w:val="007040C6"/>
    <w:rsid w:val="007115F7"/>
    <w:rsid w:val="00720E04"/>
    <w:rsid w:val="0072601C"/>
    <w:rsid w:val="00726D41"/>
    <w:rsid w:val="007344C5"/>
    <w:rsid w:val="007537F7"/>
    <w:rsid w:val="00761C09"/>
    <w:rsid w:val="00773B8C"/>
    <w:rsid w:val="00777FCD"/>
    <w:rsid w:val="00785689"/>
    <w:rsid w:val="00785EE9"/>
    <w:rsid w:val="0079754B"/>
    <w:rsid w:val="007A1E6D"/>
    <w:rsid w:val="007B0E3B"/>
    <w:rsid w:val="007B61AE"/>
    <w:rsid w:val="007D3846"/>
    <w:rsid w:val="007D66F4"/>
    <w:rsid w:val="007F7D51"/>
    <w:rsid w:val="00822CE0"/>
    <w:rsid w:val="00837C62"/>
    <w:rsid w:val="00841AB1"/>
    <w:rsid w:val="0084567A"/>
    <w:rsid w:val="00852A3F"/>
    <w:rsid w:val="0087263C"/>
    <w:rsid w:val="00894143"/>
    <w:rsid w:val="008C22FD"/>
    <w:rsid w:val="008D3067"/>
    <w:rsid w:val="008D7588"/>
    <w:rsid w:val="008E40C6"/>
    <w:rsid w:val="009028FD"/>
    <w:rsid w:val="00910F12"/>
    <w:rsid w:val="009200E7"/>
    <w:rsid w:val="00926503"/>
    <w:rsid w:val="009275F3"/>
    <w:rsid w:val="00930ECF"/>
    <w:rsid w:val="00944AC6"/>
    <w:rsid w:val="00944B12"/>
    <w:rsid w:val="009463B9"/>
    <w:rsid w:val="009519D9"/>
    <w:rsid w:val="00954CA0"/>
    <w:rsid w:val="00955279"/>
    <w:rsid w:val="009732EE"/>
    <w:rsid w:val="00983593"/>
    <w:rsid w:val="009838BC"/>
    <w:rsid w:val="00985408"/>
    <w:rsid w:val="009859FA"/>
    <w:rsid w:val="009A43DF"/>
    <w:rsid w:val="009B6F75"/>
    <w:rsid w:val="009C4F22"/>
    <w:rsid w:val="009D3311"/>
    <w:rsid w:val="009F2D4C"/>
    <w:rsid w:val="00A17E28"/>
    <w:rsid w:val="00A24083"/>
    <w:rsid w:val="00A262DE"/>
    <w:rsid w:val="00A45F4F"/>
    <w:rsid w:val="00A600A9"/>
    <w:rsid w:val="00A76574"/>
    <w:rsid w:val="00A866AC"/>
    <w:rsid w:val="00A87A4A"/>
    <w:rsid w:val="00A92CE0"/>
    <w:rsid w:val="00A92EEB"/>
    <w:rsid w:val="00AA55B7"/>
    <w:rsid w:val="00AA5B9E"/>
    <w:rsid w:val="00AB2407"/>
    <w:rsid w:val="00AB53DF"/>
    <w:rsid w:val="00AD51FA"/>
    <w:rsid w:val="00AE4151"/>
    <w:rsid w:val="00AE50BE"/>
    <w:rsid w:val="00AF0373"/>
    <w:rsid w:val="00B07E5C"/>
    <w:rsid w:val="00B20363"/>
    <w:rsid w:val="00B326E3"/>
    <w:rsid w:val="00B417AD"/>
    <w:rsid w:val="00B6081D"/>
    <w:rsid w:val="00B73C0C"/>
    <w:rsid w:val="00B758DE"/>
    <w:rsid w:val="00B80486"/>
    <w:rsid w:val="00B811F7"/>
    <w:rsid w:val="00BA14DC"/>
    <w:rsid w:val="00BA5DC6"/>
    <w:rsid w:val="00BA6196"/>
    <w:rsid w:val="00BC1188"/>
    <w:rsid w:val="00BC6D8C"/>
    <w:rsid w:val="00BD6A37"/>
    <w:rsid w:val="00BD7DB3"/>
    <w:rsid w:val="00BF153D"/>
    <w:rsid w:val="00C01CD4"/>
    <w:rsid w:val="00C07140"/>
    <w:rsid w:val="00C07E70"/>
    <w:rsid w:val="00C141E3"/>
    <w:rsid w:val="00C16AF2"/>
    <w:rsid w:val="00C25CE8"/>
    <w:rsid w:val="00C31830"/>
    <w:rsid w:val="00C34006"/>
    <w:rsid w:val="00C426B1"/>
    <w:rsid w:val="00C46044"/>
    <w:rsid w:val="00C520C2"/>
    <w:rsid w:val="00C55481"/>
    <w:rsid w:val="00C7200D"/>
    <w:rsid w:val="00C82B6B"/>
    <w:rsid w:val="00C90D6A"/>
    <w:rsid w:val="00C93C3E"/>
    <w:rsid w:val="00CA3F4E"/>
    <w:rsid w:val="00CA55DF"/>
    <w:rsid w:val="00CB0B1D"/>
    <w:rsid w:val="00CB37E3"/>
    <w:rsid w:val="00CC0080"/>
    <w:rsid w:val="00CC72B6"/>
    <w:rsid w:val="00CD4B1B"/>
    <w:rsid w:val="00CE323A"/>
    <w:rsid w:val="00CF6E7F"/>
    <w:rsid w:val="00CF6EDB"/>
    <w:rsid w:val="00D00426"/>
    <w:rsid w:val="00D0218D"/>
    <w:rsid w:val="00D159EC"/>
    <w:rsid w:val="00D216CD"/>
    <w:rsid w:val="00D4352D"/>
    <w:rsid w:val="00D50180"/>
    <w:rsid w:val="00D506C4"/>
    <w:rsid w:val="00D52CB3"/>
    <w:rsid w:val="00D64369"/>
    <w:rsid w:val="00D77A76"/>
    <w:rsid w:val="00D85231"/>
    <w:rsid w:val="00DA2529"/>
    <w:rsid w:val="00DB130A"/>
    <w:rsid w:val="00DB3AEA"/>
    <w:rsid w:val="00DB54CA"/>
    <w:rsid w:val="00DB773E"/>
    <w:rsid w:val="00DC10A1"/>
    <w:rsid w:val="00DC655F"/>
    <w:rsid w:val="00DD2D47"/>
    <w:rsid w:val="00DD317B"/>
    <w:rsid w:val="00DD78C4"/>
    <w:rsid w:val="00DD7EBD"/>
    <w:rsid w:val="00DE19D4"/>
    <w:rsid w:val="00DE2BD2"/>
    <w:rsid w:val="00DF1B24"/>
    <w:rsid w:val="00DF62B6"/>
    <w:rsid w:val="00E07225"/>
    <w:rsid w:val="00E07C39"/>
    <w:rsid w:val="00E155B7"/>
    <w:rsid w:val="00E15B4E"/>
    <w:rsid w:val="00E31B9F"/>
    <w:rsid w:val="00E43630"/>
    <w:rsid w:val="00E5409F"/>
    <w:rsid w:val="00E55AB6"/>
    <w:rsid w:val="00E5793B"/>
    <w:rsid w:val="00E72974"/>
    <w:rsid w:val="00E73330"/>
    <w:rsid w:val="00E7394C"/>
    <w:rsid w:val="00E81C13"/>
    <w:rsid w:val="00EC0185"/>
    <w:rsid w:val="00EC1855"/>
    <w:rsid w:val="00EC2026"/>
    <w:rsid w:val="00EC5845"/>
    <w:rsid w:val="00ED0E2C"/>
    <w:rsid w:val="00ED14C5"/>
    <w:rsid w:val="00ED4A6D"/>
    <w:rsid w:val="00EE153A"/>
    <w:rsid w:val="00F021FA"/>
    <w:rsid w:val="00F04D3A"/>
    <w:rsid w:val="00F155AE"/>
    <w:rsid w:val="00F57ACA"/>
    <w:rsid w:val="00F62E97"/>
    <w:rsid w:val="00F64209"/>
    <w:rsid w:val="00F93BF5"/>
    <w:rsid w:val="00F96F63"/>
    <w:rsid w:val="00FA168C"/>
    <w:rsid w:val="00FA1F0A"/>
    <w:rsid w:val="00FC565D"/>
    <w:rsid w:val="00FE13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3FCA19-670F-4C68-9ACA-B2841D5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470A81"/>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locked/>
    <w:rsid w:val="00470A81"/>
  </w:style>
  <w:style w:type="character" w:styleId="Emphasis">
    <w:name w:val="Emphasis"/>
    <w:uiPriority w:val="20"/>
    <w:qFormat/>
    <w:rsid w:val="00470A81"/>
    <w:rPr>
      <w:i/>
      <w:iCs/>
    </w:rPr>
  </w:style>
  <w:style w:type="paragraph" w:styleId="BalloonText">
    <w:name w:val="Balloon Text"/>
    <w:basedOn w:val="Normal"/>
    <w:link w:val="BalloonTextChar"/>
    <w:uiPriority w:val="99"/>
    <w:semiHidden/>
    <w:unhideWhenUsed/>
    <w:rsid w:val="0043438C"/>
    <w:rPr>
      <w:rFonts w:ascii="Segoe UI" w:hAnsi="Segoe UI" w:cs="Segoe UI"/>
      <w:sz w:val="18"/>
      <w:szCs w:val="18"/>
    </w:rPr>
  </w:style>
  <w:style w:type="character" w:customStyle="1" w:styleId="BalloonTextChar">
    <w:name w:val="Balloon Text Char"/>
    <w:link w:val="BalloonText"/>
    <w:uiPriority w:val="99"/>
    <w:semiHidden/>
    <w:rsid w:val="0043438C"/>
    <w:rPr>
      <w:rFonts w:ascii="Segoe UI" w:hAnsi="Segoe UI" w:cs="Segoe UI"/>
      <w:snapToGrid w:val="0"/>
      <w:kern w:val="28"/>
      <w:sz w:val="18"/>
      <w:szCs w:val="18"/>
    </w:rPr>
  </w:style>
  <w:style w:type="paragraph" w:styleId="Revision">
    <w:name w:val="Revision"/>
    <w:hidden/>
    <w:uiPriority w:val="99"/>
    <w:semiHidden/>
    <w:rsid w:val="00FE1367"/>
    <w:rPr>
      <w:snapToGrid w:val="0"/>
      <w:kern w:val="28"/>
      <w:sz w:val="22"/>
    </w:rPr>
  </w:style>
  <w:style w:type="character" w:styleId="CommentReference">
    <w:name w:val="annotation reference"/>
    <w:basedOn w:val="DefaultParagraphFont"/>
    <w:uiPriority w:val="99"/>
    <w:semiHidden/>
    <w:unhideWhenUsed/>
    <w:rsid w:val="003C48D5"/>
    <w:rPr>
      <w:sz w:val="16"/>
      <w:szCs w:val="16"/>
    </w:rPr>
  </w:style>
  <w:style w:type="paragraph" w:styleId="CommentText">
    <w:name w:val="annotation text"/>
    <w:basedOn w:val="Normal"/>
    <w:link w:val="CommentTextChar"/>
    <w:uiPriority w:val="99"/>
    <w:semiHidden/>
    <w:unhideWhenUsed/>
    <w:rsid w:val="003C48D5"/>
    <w:rPr>
      <w:sz w:val="20"/>
    </w:rPr>
  </w:style>
  <w:style w:type="character" w:customStyle="1" w:styleId="CommentTextChar">
    <w:name w:val="Comment Text Char"/>
    <w:basedOn w:val="DefaultParagraphFont"/>
    <w:link w:val="CommentText"/>
    <w:uiPriority w:val="99"/>
    <w:semiHidden/>
    <w:rsid w:val="003C48D5"/>
    <w:rPr>
      <w:snapToGrid w:val="0"/>
      <w:kern w:val="28"/>
    </w:rPr>
  </w:style>
  <w:style w:type="paragraph" w:styleId="CommentSubject">
    <w:name w:val="annotation subject"/>
    <w:basedOn w:val="CommentText"/>
    <w:next w:val="CommentText"/>
    <w:link w:val="CommentSubjectChar"/>
    <w:uiPriority w:val="99"/>
    <w:semiHidden/>
    <w:unhideWhenUsed/>
    <w:rsid w:val="003C48D5"/>
    <w:rPr>
      <w:b/>
      <w:bCs/>
    </w:rPr>
  </w:style>
  <w:style w:type="character" w:customStyle="1" w:styleId="CommentSubjectChar">
    <w:name w:val="Comment Subject Char"/>
    <w:basedOn w:val="CommentTextChar"/>
    <w:link w:val="CommentSubject"/>
    <w:uiPriority w:val="99"/>
    <w:semiHidden/>
    <w:rsid w:val="003C48D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