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436966" w:rsidRPr="00825127" w:rsidP="00436966" w14:paraId="52FBB741" w14:textId="77777777">
      <w:pPr>
        <w:jc w:val="center"/>
        <w:rPr>
          <w:b/>
          <w:szCs w:val="22"/>
        </w:rPr>
      </w:pPr>
      <w:r w:rsidRPr="00825127">
        <w:rPr>
          <w:b/>
          <w:szCs w:val="22"/>
        </w:rPr>
        <w:t>Before the</w:t>
      </w:r>
    </w:p>
    <w:p w:rsidR="00436966" w:rsidRPr="00825127" w:rsidP="00436966" w14:paraId="1DB22BA1" w14:textId="77777777">
      <w:pPr>
        <w:jc w:val="center"/>
        <w:rPr>
          <w:b/>
          <w:szCs w:val="22"/>
        </w:rPr>
      </w:pPr>
      <w:r w:rsidRPr="00825127">
        <w:rPr>
          <w:b/>
          <w:szCs w:val="22"/>
        </w:rPr>
        <w:t>Federal Communications Commission</w:t>
      </w:r>
    </w:p>
    <w:p w:rsidR="00436966" w:rsidRPr="00825127" w:rsidP="00436966" w14:paraId="5740925C" w14:textId="77777777">
      <w:pPr>
        <w:jc w:val="center"/>
        <w:rPr>
          <w:b/>
          <w:szCs w:val="22"/>
        </w:rPr>
      </w:pPr>
      <w:r w:rsidRPr="00825127">
        <w:rPr>
          <w:b/>
          <w:szCs w:val="22"/>
        </w:rPr>
        <w:t>Washington, D.C. 20554</w:t>
      </w:r>
    </w:p>
    <w:p w:rsidR="00436966" w:rsidRPr="00825127" w:rsidP="00436966" w14:paraId="633BA937" w14:textId="77777777">
      <w:pPr>
        <w:rPr>
          <w:szCs w:val="22"/>
        </w:rPr>
      </w:pPr>
    </w:p>
    <w:p w:rsidR="00436966" w:rsidRPr="00825127" w:rsidP="00436966" w14:paraId="02D77C00" w14:textId="77777777">
      <w:pPr>
        <w:rPr>
          <w:szCs w:val="22"/>
        </w:rPr>
      </w:pPr>
    </w:p>
    <w:tbl>
      <w:tblPr>
        <w:tblW w:w="0" w:type="auto"/>
        <w:tblLayout w:type="fixed"/>
        <w:tblLook w:val="0000"/>
      </w:tblPr>
      <w:tblGrid>
        <w:gridCol w:w="4698"/>
        <w:gridCol w:w="720"/>
        <w:gridCol w:w="4230"/>
      </w:tblGrid>
      <w:tr w14:paraId="688A66C9" w14:textId="77777777" w:rsidTr="009F6872">
        <w:tblPrEx>
          <w:tblW w:w="0" w:type="auto"/>
          <w:tblLayout w:type="fixed"/>
          <w:tblLook w:val="0000"/>
        </w:tblPrEx>
        <w:tc>
          <w:tcPr>
            <w:tcW w:w="4698" w:type="dxa"/>
          </w:tcPr>
          <w:p w:rsidR="00436966" w:rsidRPr="00825127" w:rsidP="009F6872" w14:paraId="1FBCB763" w14:textId="77777777">
            <w:pPr>
              <w:ind w:right="-18"/>
              <w:rPr>
                <w:szCs w:val="22"/>
              </w:rPr>
            </w:pPr>
            <w:r w:rsidRPr="00825127">
              <w:rPr>
                <w:szCs w:val="22"/>
              </w:rPr>
              <w:t>In the Matter of</w:t>
            </w:r>
          </w:p>
          <w:p w:rsidR="00436966" w:rsidRPr="00825127" w:rsidP="009F6872" w14:paraId="25D40AF7" w14:textId="77777777">
            <w:pPr>
              <w:ind w:right="-18"/>
              <w:rPr>
                <w:szCs w:val="22"/>
              </w:rPr>
            </w:pPr>
          </w:p>
          <w:p w:rsidR="00436966" w:rsidRPr="00825127" w:rsidP="009F6872" w14:paraId="52B56079" w14:textId="77777777">
            <w:pPr>
              <w:ind w:right="-18"/>
              <w:rPr>
                <w:szCs w:val="22"/>
              </w:rPr>
            </w:pPr>
            <w:r w:rsidRPr="00825127">
              <w:rPr>
                <w:szCs w:val="22"/>
              </w:rPr>
              <w:t>Numbering Resource Authorization</w:t>
            </w:r>
          </w:p>
          <w:p w:rsidR="00436966" w:rsidRPr="00825127" w:rsidP="009F6872" w14:paraId="1342EB62" w14:textId="77777777">
            <w:pPr>
              <w:ind w:right="-18"/>
              <w:rPr>
                <w:szCs w:val="22"/>
              </w:rPr>
            </w:pPr>
          </w:p>
          <w:p w:rsidR="00436966" w:rsidRPr="00825127" w:rsidP="009F6872" w14:paraId="094CD7E3" w14:textId="77777777">
            <w:pPr>
              <w:ind w:right="-18"/>
              <w:rPr>
                <w:szCs w:val="22"/>
              </w:rPr>
            </w:pPr>
          </w:p>
        </w:tc>
        <w:tc>
          <w:tcPr>
            <w:tcW w:w="720" w:type="dxa"/>
          </w:tcPr>
          <w:p w:rsidR="00436966" w:rsidRPr="00825127" w:rsidP="009F6872" w14:paraId="6402C54D" w14:textId="77777777">
            <w:pPr>
              <w:rPr>
                <w:b/>
                <w:szCs w:val="22"/>
              </w:rPr>
            </w:pPr>
            <w:r w:rsidRPr="00825127">
              <w:rPr>
                <w:b/>
                <w:szCs w:val="22"/>
              </w:rPr>
              <w:t>)</w:t>
            </w:r>
          </w:p>
          <w:p w:rsidR="00436966" w:rsidRPr="00825127" w:rsidP="009F6872" w14:paraId="595810C2" w14:textId="77777777">
            <w:pPr>
              <w:rPr>
                <w:b/>
                <w:szCs w:val="22"/>
              </w:rPr>
            </w:pPr>
            <w:r w:rsidRPr="00825127">
              <w:rPr>
                <w:b/>
                <w:szCs w:val="22"/>
              </w:rPr>
              <w:t>)</w:t>
            </w:r>
          </w:p>
          <w:p w:rsidR="00436966" w:rsidP="009F6872" w14:paraId="322A0868" w14:textId="77777777">
            <w:pPr>
              <w:rPr>
                <w:b/>
                <w:szCs w:val="22"/>
              </w:rPr>
            </w:pPr>
            <w:r w:rsidRPr="00825127">
              <w:rPr>
                <w:b/>
                <w:szCs w:val="22"/>
              </w:rPr>
              <w:t>)</w:t>
            </w:r>
          </w:p>
          <w:p w:rsidR="00CF70DD" w:rsidRPr="00825127" w:rsidP="009F6872" w14:paraId="2287D0FF" w14:textId="11915A8C">
            <w:pPr>
              <w:rPr>
                <w:b/>
                <w:szCs w:val="22"/>
              </w:rPr>
            </w:pPr>
            <w:r>
              <w:rPr>
                <w:b/>
                <w:szCs w:val="22"/>
              </w:rPr>
              <w:t>)</w:t>
            </w:r>
            <w:bookmarkStart w:id="0" w:name="_GoBack"/>
            <w:bookmarkEnd w:id="0"/>
          </w:p>
        </w:tc>
        <w:tc>
          <w:tcPr>
            <w:tcW w:w="4230" w:type="dxa"/>
          </w:tcPr>
          <w:p w:rsidR="00436966" w:rsidRPr="00825127" w:rsidP="009F6872" w14:paraId="4F699D67" w14:textId="77777777">
            <w:pPr>
              <w:rPr>
                <w:szCs w:val="22"/>
              </w:rPr>
            </w:pPr>
          </w:p>
          <w:p w:rsidR="00436966" w:rsidRPr="00825127" w:rsidP="009F6872" w14:paraId="21C85F4C" w14:textId="77777777">
            <w:pPr>
              <w:rPr>
                <w:szCs w:val="22"/>
              </w:rPr>
            </w:pPr>
          </w:p>
          <w:p w:rsidR="00436966" w:rsidRPr="00825127" w:rsidP="009F6872" w14:paraId="1EFCA926" w14:textId="77777777">
            <w:pPr>
              <w:rPr>
                <w:szCs w:val="22"/>
              </w:rPr>
            </w:pPr>
            <w:r w:rsidRPr="00825127">
              <w:rPr>
                <w:spacing w:val="-2"/>
                <w:szCs w:val="22"/>
              </w:rPr>
              <w:t>CC Docket No. 99-200</w:t>
            </w:r>
          </w:p>
          <w:p w:rsidR="00436966" w:rsidRPr="00825127" w:rsidP="009F6872" w14:paraId="5DF1D5AB" w14:textId="77777777">
            <w:pPr>
              <w:rPr>
                <w:szCs w:val="22"/>
              </w:rPr>
            </w:pPr>
          </w:p>
          <w:p w:rsidR="00436966" w:rsidRPr="00825127" w:rsidP="009F6872" w14:paraId="219EEA2C" w14:textId="77777777">
            <w:pPr>
              <w:rPr>
                <w:szCs w:val="22"/>
              </w:rPr>
            </w:pPr>
          </w:p>
        </w:tc>
      </w:tr>
    </w:tbl>
    <w:p w:rsidR="00436966" w:rsidRPr="00825127" w:rsidP="00436966" w14:paraId="20960DD4" w14:textId="77777777">
      <w:pPr>
        <w:rPr>
          <w:szCs w:val="22"/>
        </w:rPr>
      </w:pPr>
    </w:p>
    <w:p w:rsidR="00436966" w:rsidRPr="00825127" w:rsidP="00436966" w14:paraId="379D4B91" w14:textId="77777777">
      <w:pPr>
        <w:spacing w:before="120"/>
        <w:jc w:val="center"/>
        <w:rPr>
          <w:b/>
          <w:szCs w:val="22"/>
        </w:rPr>
      </w:pPr>
      <w:r w:rsidRPr="00825127">
        <w:rPr>
          <w:b/>
          <w:szCs w:val="22"/>
        </w:rPr>
        <w:t>ORDER</w:t>
      </w:r>
    </w:p>
    <w:p w:rsidR="00436966" w:rsidRPr="00825127" w:rsidP="00436966" w14:paraId="2868D371" w14:textId="77777777">
      <w:pPr>
        <w:rPr>
          <w:szCs w:val="22"/>
        </w:rPr>
      </w:pPr>
    </w:p>
    <w:p w:rsidR="00436966" w:rsidRPr="00825127" w:rsidP="00436966" w14:paraId="588460C1" w14:textId="77777777">
      <w:pPr>
        <w:tabs>
          <w:tab w:val="left" w:pos="5760"/>
        </w:tabs>
        <w:rPr>
          <w:b/>
          <w:szCs w:val="22"/>
        </w:rPr>
      </w:pPr>
      <w:r w:rsidRPr="00825127">
        <w:rPr>
          <w:b/>
          <w:szCs w:val="22"/>
        </w:rPr>
        <w:t xml:space="preserve">Adopted:  April </w:t>
      </w:r>
      <w:r>
        <w:rPr>
          <w:b/>
          <w:szCs w:val="22"/>
        </w:rPr>
        <w:t>22</w:t>
      </w:r>
      <w:r w:rsidRPr="00825127">
        <w:rPr>
          <w:b/>
          <w:szCs w:val="22"/>
        </w:rPr>
        <w:t>, 2020</w:t>
      </w:r>
      <w:r w:rsidRPr="00825127">
        <w:rPr>
          <w:b/>
          <w:szCs w:val="22"/>
        </w:rPr>
        <w:tab/>
        <w:t xml:space="preserve">Released:  April </w:t>
      </w:r>
      <w:r>
        <w:rPr>
          <w:b/>
          <w:szCs w:val="22"/>
        </w:rPr>
        <w:t>22</w:t>
      </w:r>
      <w:r w:rsidRPr="00825127">
        <w:rPr>
          <w:b/>
          <w:spacing w:val="-2"/>
          <w:szCs w:val="22"/>
        </w:rPr>
        <w:t>, 2020</w:t>
      </w:r>
    </w:p>
    <w:p w:rsidR="00436966" w:rsidRPr="00825127" w:rsidP="00436966" w14:paraId="6980A99F" w14:textId="77777777">
      <w:pPr>
        <w:tabs>
          <w:tab w:val="left" w:pos="5760"/>
        </w:tabs>
        <w:rPr>
          <w:b/>
          <w:szCs w:val="22"/>
        </w:rPr>
      </w:pPr>
    </w:p>
    <w:p w:rsidR="00436966" w:rsidRPr="00825127" w:rsidP="00436966" w14:paraId="07F82CFB" w14:textId="77777777">
      <w:pPr>
        <w:tabs>
          <w:tab w:val="left" w:pos="5760"/>
        </w:tabs>
        <w:rPr>
          <w:szCs w:val="22"/>
        </w:rPr>
      </w:pPr>
      <w:r w:rsidRPr="00825127">
        <w:rPr>
          <w:szCs w:val="22"/>
        </w:rPr>
        <w:t>By the</w:t>
      </w:r>
      <w:r w:rsidRPr="00825127">
        <w:rPr>
          <w:spacing w:val="-2"/>
          <w:szCs w:val="22"/>
        </w:rPr>
        <w:t xml:space="preserve"> Chief, Wireline Competition Bureau:</w:t>
      </w:r>
    </w:p>
    <w:p w:rsidR="00436966" w:rsidRPr="00825127" w:rsidP="00436966" w14:paraId="56E24218" w14:textId="77777777">
      <w:pPr>
        <w:pStyle w:val="Heading1"/>
        <w:numPr>
          <w:ilvl w:val="0"/>
          <w:numId w:val="0"/>
        </w:numPr>
        <w:rPr>
          <w:szCs w:val="22"/>
        </w:rPr>
      </w:pPr>
    </w:p>
    <w:p w:rsidR="00436966" w:rsidRPr="00825127" w:rsidP="00436966" w14:paraId="410E734D" w14:textId="77777777">
      <w:pPr>
        <w:pStyle w:val="ParaNum"/>
      </w:pPr>
      <w:r>
        <w:t xml:space="preserve">In this Order, the Wireline Competition Bureau (Bureau) temporarily waives one of the Commission’s numbering rules in order to </w:t>
      </w:r>
      <w:r w:rsidRPr="00825127">
        <w:t>assist businesses impacted by the</w:t>
      </w:r>
      <w:r>
        <w:t xml:space="preserve"> COVID-19</w:t>
      </w:r>
      <w:r w:rsidRPr="00825127">
        <w:t xml:space="preserve"> pandemic</w:t>
      </w:r>
      <w:r>
        <w:t>.  Specifically</w:t>
      </w:r>
      <w:r w:rsidRPr="00825127">
        <w:t>, we grant Verizon’s petition for limited waiver of the maximum 180-day period for maintaining wireless telephone numbers in “reserved” status for certain business customers.</w:t>
      </w:r>
      <w:r>
        <w:rPr>
          <w:rStyle w:val="FootnoteReference"/>
          <w:sz w:val="22"/>
          <w:szCs w:val="22"/>
        </w:rPr>
        <w:footnoteReference w:id="3"/>
      </w:r>
      <w:r w:rsidRPr="00825127">
        <w:t xml:space="preserve">  </w:t>
      </w:r>
      <w:r>
        <w:t xml:space="preserve">Under </w:t>
      </w:r>
      <w:r w:rsidRPr="00825127">
        <w:t>section 52.15(f)(1)(vi) of the Commission’s rules</w:t>
      </w:r>
      <w:r>
        <w:t>, reserved numbers “are numbers that are held by service providers at the request of specific end users or customers for their future use” but does not include “[n]umbers held for specific end users or customers for more than 180 days.”</w:t>
      </w:r>
      <w:r>
        <w:rPr>
          <w:rStyle w:val="FootnoteReference"/>
          <w:szCs w:val="22"/>
        </w:rPr>
        <w:footnoteReference w:id="4"/>
      </w:r>
      <w:r>
        <w:t xml:space="preserve"> </w:t>
      </w:r>
      <w:r w:rsidRPr="00825127">
        <w:t xml:space="preserve"> </w:t>
      </w:r>
      <w:r>
        <w:t xml:space="preserve">In light of the circumstances presented by the ongoing COVID-19 pandemic, </w:t>
      </w:r>
      <w:r w:rsidRPr="00825127">
        <w:t xml:space="preserve">we extend the </w:t>
      </w:r>
      <w:r>
        <w:t xml:space="preserve">180-day time </w:t>
      </w:r>
      <w:r w:rsidRPr="00825127">
        <w:t xml:space="preserve">period that numbers may be held </w:t>
      </w:r>
      <w:r>
        <w:t xml:space="preserve">in “reserved status” </w:t>
      </w:r>
      <w:r w:rsidRPr="00825127">
        <w:t>by service providers at the request of business customers for their future use to 360 days</w:t>
      </w:r>
      <w:r>
        <w:t xml:space="preserve"> and we do so for wireless numbers </w:t>
      </w:r>
      <w:r w:rsidRPr="00825127">
        <w:t xml:space="preserve">placed or maintained in reserved status from the date of this </w:t>
      </w:r>
      <w:r>
        <w:t>O</w:t>
      </w:r>
      <w:r w:rsidRPr="00825127">
        <w:t xml:space="preserve">rder to September </w:t>
      </w:r>
      <w:r>
        <w:t>3</w:t>
      </w:r>
      <w:r w:rsidRPr="00825127">
        <w:t xml:space="preserve">0, 2020.  </w:t>
      </w:r>
      <w:r>
        <w:t xml:space="preserve">As a result, </w:t>
      </w:r>
      <w:r w:rsidRPr="00825127">
        <w:t xml:space="preserve">businesses impacted by the pandemic that have suspended operations </w:t>
      </w:r>
      <w:r>
        <w:t xml:space="preserve">will be able </w:t>
      </w:r>
      <w:r w:rsidRPr="00825127">
        <w:t xml:space="preserve">to retain their existing </w:t>
      </w:r>
      <w:r>
        <w:t xml:space="preserve">mobile </w:t>
      </w:r>
      <w:r w:rsidRPr="00825127">
        <w:t xml:space="preserve">wireless telephone numbers until </w:t>
      </w:r>
      <w:r>
        <w:t>their operations</w:t>
      </w:r>
      <w:r w:rsidRPr="00825127">
        <w:t xml:space="preserve"> resume without imposing additional financial disruption due to disconnection or reactivatio</w:t>
      </w:r>
      <w:r>
        <w:t>n</w:t>
      </w:r>
      <w:r w:rsidRPr="00825127">
        <w:t xml:space="preserve"> fees </w:t>
      </w:r>
      <w:r>
        <w:t>or imposing associated billing inconveniences.</w:t>
      </w:r>
    </w:p>
    <w:p w:rsidR="00436966" w:rsidP="00436966" w14:paraId="626A2FFB" w14:textId="77777777">
      <w:pPr>
        <w:pStyle w:val="ParaNum"/>
      </w:pPr>
      <w:r w:rsidRPr="00825127">
        <w:t>Generally, the Commission’s rules may be waived for good cause shown.</w:t>
      </w:r>
      <w:r>
        <w:rPr>
          <w:rStyle w:val="FootnoteReference"/>
          <w:sz w:val="22"/>
          <w:szCs w:val="22"/>
        </w:rPr>
        <w:footnoteReference w:id="5"/>
      </w:r>
      <w:r w:rsidRPr="00825127">
        <w:t xml:space="preserve">  The Commission may exercise its discretion to waive a rule where the particular facts </w:t>
      </w:r>
      <w:r>
        <w:t>would render</w:t>
      </w:r>
      <w:r w:rsidRPr="00825127">
        <w:t xml:space="preserve"> strict compliance inconsistent with the public interest.</w:t>
      </w:r>
      <w:r>
        <w:rPr>
          <w:rStyle w:val="FootnoteReference"/>
          <w:sz w:val="22"/>
          <w:szCs w:val="22"/>
        </w:rPr>
        <w:footnoteReference w:id="6"/>
      </w:r>
      <w:r w:rsidRPr="00825127">
        <w:t xml:space="preserve">  In addition, the Commission may take into account considerations of hardship, equity, or more effective implementation of overall policy on an overall basis.</w:t>
      </w:r>
      <w:r>
        <w:rPr>
          <w:rStyle w:val="FootnoteReference"/>
          <w:sz w:val="22"/>
          <w:szCs w:val="22"/>
        </w:rPr>
        <w:footnoteReference w:id="7"/>
      </w:r>
      <w:r w:rsidRPr="00825127">
        <w:t xml:space="preserve">  As Verizon explains</w:t>
      </w:r>
      <w:r>
        <w:t xml:space="preserve"> in its petition</w:t>
      </w:r>
      <w:r w:rsidRPr="00825127">
        <w:t>, “</w:t>
      </w:r>
      <w:r>
        <w:t>[d]</w:t>
      </w:r>
      <w:r w:rsidRPr="00825127">
        <w:t>ue to COVID-19, many business customers with numbers approaching the 180-day limit that would ordinarily re-activate their reserved numbers in the next few months may have little or no reason to do so.</w:t>
      </w:r>
      <w:r>
        <w:t>”</w:t>
      </w:r>
      <w:r>
        <w:rPr>
          <w:rStyle w:val="FootnoteReference"/>
          <w:szCs w:val="22"/>
        </w:rPr>
        <w:footnoteReference w:id="8"/>
      </w:r>
      <w:r>
        <w:t xml:space="preserve">  In particular, Verizon explains that “</w:t>
      </w:r>
      <w:r w:rsidRPr="00825127">
        <w:t xml:space="preserve">businesses in the service and recreation industries that operate annually from early spring through the fall may be unable to </w:t>
      </w:r>
      <w:r w:rsidRPr="00825127">
        <w:t>open for business in 2020 for weeks or months later than normal—if at all.</w:t>
      </w:r>
      <w:r>
        <w:t>”</w:t>
      </w:r>
      <w:r>
        <w:rPr>
          <w:rStyle w:val="FootnoteReference"/>
          <w:szCs w:val="22"/>
        </w:rPr>
        <w:footnoteReference w:id="9"/>
      </w:r>
      <w:r w:rsidRPr="00825127">
        <w:t xml:space="preserve">  </w:t>
      </w:r>
      <w:r>
        <w:t>Likewise,</w:t>
      </w:r>
      <w:r w:rsidRPr="00825127">
        <w:t xml:space="preserve"> </w:t>
      </w:r>
      <w:r>
        <w:t>“</w:t>
      </w:r>
      <w:r w:rsidRPr="00825127">
        <w:t>a business that has not yet suspended service but now is in economic distress may want to suspend the number but not be ready to reactive service within 180 days given the uncertain duration and impact of the pandemic.”</w:t>
      </w:r>
      <w:r>
        <w:rPr>
          <w:rStyle w:val="FootnoteReference"/>
          <w:sz w:val="22"/>
          <w:szCs w:val="22"/>
        </w:rPr>
        <w:footnoteReference w:id="10"/>
      </w:r>
      <w:r w:rsidRPr="00825127">
        <w:t xml:space="preserve">  </w:t>
      </w:r>
    </w:p>
    <w:p w:rsidR="00436966" w:rsidRPr="00825127" w:rsidP="00436966" w14:paraId="1EBF9650" w14:textId="77777777">
      <w:pPr>
        <w:pStyle w:val="ParaNum"/>
      </w:pPr>
      <w:r>
        <w:t>Under these circumstances, w</w:t>
      </w:r>
      <w:r w:rsidRPr="00825127">
        <w:t>e find good cause to temporarily waive the 180-day limit on maintaining numbers in reserved status</w:t>
      </w:r>
      <w:r>
        <w:t xml:space="preserve">.  </w:t>
      </w:r>
      <w:r w:rsidRPr="00825127">
        <w:t xml:space="preserve">As the </w:t>
      </w:r>
      <w:r>
        <w:t>Bureau</w:t>
      </w:r>
      <w:r w:rsidRPr="00825127">
        <w:t xml:space="preserve"> has stated “[d]uring the coronavirus pandemic, we believe that all communications service providers </w:t>
      </w:r>
      <w:r>
        <w:t xml:space="preserve">. . . </w:t>
      </w:r>
      <w:r w:rsidRPr="00825127">
        <w:t>must prioritize helping their subscribers with getting connected and staying connected to voice and broadband services.”</w:t>
      </w:r>
      <w:r>
        <w:rPr>
          <w:rStyle w:val="FootnoteReference"/>
          <w:sz w:val="22"/>
          <w:szCs w:val="22"/>
        </w:rPr>
        <w:footnoteReference w:id="11"/>
      </w:r>
      <w:r w:rsidRPr="00825127">
        <w:t xml:space="preserve">  </w:t>
      </w:r>
      <w:r>
        <w:t>We</w:t>
      </w:r>
      <w:r w:rsidRPr="00825127">
        <w:t xml:space="preserve"> agree with Verizon that a temporary, limited waiver </w:t>
      </w:r>
      <w:r>
        <w:t xml:space="preserve">of section 52.15(f)(1)(vi) </w:t>
      </w:r>
      <w:r w:rsidRPr="00825127">
        <w:t>will serve the  public interest objective of “minimizing billing, service disconnection, and related burdens on business customers as they plan for and seek to recover from the devastating economic impact of the COVID-19 pandemic</w:t>
      </w:r>
      <w:r>
        <w:t>,</w:t>
      </w:r>
      <w:r w:rsidRPr="00825127">
        <w:t>”</w:t>
      </w:r>
      <w:r>
        <w:rPr>
          <w:rStyle w:val="FootnoteReference"/>
          <w:sz w:val="22"/>
          <w:szCs w:val="22"/>
        </w:rPr>
        <w:footnoteReference w:id="12"/>
      </w:r>
      <w:r>
        <w:t xml:space="preserve"> and is therefore </w:t>
      </w:r>
      <w:r w:rsidRPr="00825127">
        <w:t>warrant</w:t>
      </w:r>
      <w:r>
        <w:t>ed.</w:t>
      </w:r>
      <w:r w:rsidRPr="00825127">
        <w:t xml:space="preserve">  </w:t>
      </w:r>
      <w:r w:rsidRPr="007B497A">
        <w:t>As Verizon explains, the rel</w:t>
      </w:r>
      <w:r w:rsidRPr="00D15C08">
        <w:t>ief granted by this waiver will ensure that business customers are “able to retain the familiar numbers they depend on, even though there may not be a need to use that number for a significant period of time”</w:t>
      </w:r>
      <w:r>
        <w:rPr>
          <w:rStyle w:val="FootnoteReference"/>
          <w:sz w:val="22"/>
          <w:szCs w:val="22"/>
        </w:rPr>
        <w:footnoteReference w:id="13"/>
      </w:r>
      <w:r w:rsidRPr="007B497A">
        <w:t xml:space="preserve"> as a result of the COVID-19 pandemic, whi</w:t>
      </w:r>
      <w:r w:rsidRPr="00D15C08">
        <w:t>ch “</w:t>
      </w:r>
      <w:r w:rsidRPr="00B766AC">
        <w:t>has upended, to an unprecedented degree, consumers’ and businesses’ usage patterns and severely restricted when and where companies are able to do business.”</w:t>
      </w:r>
      <w:r>
        <w:rPr>
          <w:rStyle w:val="FootnoteReference"/>
          <w:sz w:val="22"/>
          <w:szCs w:val="22"/>
        </w:rPr>
        <w:footnoteReference w:id="14"/>
      </w:r>
      <w:r>
        <w:rPr>
          <w:sz w:val="23"/>
          <w:szCs w:val="23"/>
        </w:rPr>
        <w:t xml:space="preserve">  </w:t>
      </w:r>
      <w:r w:rsidRPr="00825127">
        <w:t xml:space="preserve">This waiver </w:t>
      </w:r>
      <w:r>
        <w:t>applies</w:t>
      </w:r>
      <w:r w:rsidRPr="00825127">
        <w:t xml:space="preserve"> to all wireless telephone numbers of business accounts placed or maintained in reserved status between the date of this Order and September </w:t>
      </w:r>
      <w:r>
        <w:t>3</w:t>
      </w:r>
      <w:r w:rsidRPr="00825127">
        <w:t>0, 2020.  For a</w:t>
      </w:r>
      <w:r>
        <w:t>ll</w:t>
      </w:r>
      <w:r w:rsidRPr="00825127">
        <w:t xml:space="preserve"> numbers covered by th</w:t>
      </w:r>
      <w:r>
        <w:t>is</w:t>
      </w:r>
      <w:r w:rsidRPr="00825127">
        <w:t xml:space="preserve"> waiver, the </w:t>
      </w:r>
      <w:r>
        <w:t xml:space="preserve">typical </w:t>
      </w:r>
      <w:r w:rsidRPr="00825127">
        <w:t xml:space="preserve">180-day period that numbers can be held in reserve by service providers at the request of customers for their future use </w:t>
      </w:r>
      <w:r>
        <w:t>is now</w:t>
      </w:r>
      <w:r w:rsidRPr="00825127">
        <w:t xml:space="preserve"> 360 days.</w:t>
      </w:r>
    </w:p>
    <w:p w:rsidR="00436966" w:rsidRPr="00825127" w:rsidP="00436966" w14:paraId="36F644A5" w14:textId="77777777">
      <w:pPr>
        <w:pStyle w:val="ParaNum"/>
      </w:pPr>
      <w:r w:rsidRPr="00825127">
        <w:t xml:space="preserve">Accordingly, IT IS ORDERED, pursuant to sections 4(i)  and 251(e) of the Communications Act of 1934, as amended, 47 U.S.C. §§ 154(i), 251(e), and sections 0.291 and 1.3 of the Commission’s rules, 47 CFR §§ 0.291, 1.3, that </w:t>
      </w:r>
      <w:r>
        <w:t xml:space="preserve">the Verizon Petition IS GRANTED and </w:t>
      </w:r>
      <w:r w:rsidRPr="00825127">
        <w:t xml:space="preserve">section 52.15(f)(1)(vi), 47 CFR § 52.15(f)(1)(vi), </w:t>
      </w:r>
      <w:r>
        <w:rPr>
          <w:color w:val="000000"/>
        </w:rPr>
        <w:t>IS WAIVED</w:t>
      </w:r>
      <w:r w:rsidRPr="00825127">
        <w:rPr>
          <w:color w:val="000000"/>
        </w:rPr>
        <w:t xml:space="preserve"> to the extent herein described herein. </w:t>
      </w:r>
    </w:p>
    <w:p w:rsidR="00436966" w:rsidRPr="00825127" w:rsidP="00436966" w14:paraId="20B42FA8" w14:textId="77777777">
      <w:pPr>
        <w:pStyle w:val="ParaNum"/>
        <w:widowControl/>
        <w:numPr>
          <w:ilvl w:val="0"/>
          <w:numId w:val="0"/>
        </w:numPr>
        <w:tabs>
          <w:tab w:val="left" w:pos="1440"/>
        </w:tabs>
        <w:spacing w:after="240"/>
        <w:ind w:left="630"/>
        <w:rPr>
          <w:szCs w:val="22"/>
        </w:rPr>
      </w:pPr>
    </w:p>
    <w:p w:rsidR="00436966" w:rsidRPr="00825127" w:rsidP="00436966" w14:paraId="3B94FEF9" w14:textId="77777777">
      <w:pPr>
        <w:pStyle w:val="ParaNum"/>
        <w:numPr>
          <w:ilvl w:val="0"/>
          <w:numId w:val="0"/>
        </w:numPr>
        <w:ind w:firstLine="720"/>
        <w:contextualSpacing/>
        <w:rPr>
          <w:szCs w:val="22"/>
        </w:rPr>
      </w:pPr>
      <w:r w:rsidRPr="00825127">
        <w:rPr>
          <w:szCs w:val="22"/>
        </w:rPr>
        <w:tab/>
      </w:r>
      <w:r w:rsidRPr="00825127">
        <w:rPr>
          <w:szCs w:val="22"/>
        </w:rPr>
        <w:tab/>
      </w:r>
      <w:r w:rsidRPr="00825127">
        <w:rPr>
          <w:szCs w:val="22"/>
        </w:rPr>
        <w:tab/>
      </w:r>
      <w:r w:rsidRPr="00825127">
        <w:rPr>
          <w:szCs w:val="22"/>
        </w:rPr>
        <w:tab/>
      </w:r>
      <w:r w:rsidRPr="00825127">
        <w:rPr>
          <w:szCs w:val="22"/>
        </w:rPr>
        <w:tab/>
        <w:t>FEDERAL COMMUNICATIONS COMMISSION</w:t>
      </w:r>
    </w:p>
    <w:p w:rsidR="00436966" w:rsidRPr="00825127" w:rsidP="00436966" w14:paraId="5E06601C" w14:textId="77777777">
      <w:pPr>
        <w:pStyle w:val="ParaNum"/>
        <w:numPr>
          <w:ilvl w:val="0"/>
          <w:numId w:val="0"/>
        </w:numPr>
        <w:ind w:firstLine="720"/>
        <w:contextualSpacing/>
        <w:rPr>
          <w:szCs w:val="22"/>
        </w:rPr>
      </w:pPr>
    </w:p>
    <w:p w:rsidR="00436966" w:rsidRPr="00825127" w:rsidP="00436966" w14:paraId="35A20137" w14:textId="77777777">
      <w:pPr>
        <w:pStyle w:val="ParaNum"/>
        <w:numPr>
          <w:ilvl w:val="0"/>
          <w:numId w:val="0"/>
        </w:numPr>
        <w:ind w:firstLine="720"/>
        <w:contextualSpacing/>
        <w:rPr>
          <w:szCs w:val="22"/>
        </w:rPr>
      </w:pPr>
    </w:p>
    <w:p w:rsidR="00436966" w:rsidRPr="00825127" w:rsidP="00436966" w14:paraId="23157C2A" w14:textId="77777777">
      <w:pPr>
        <w:pStyle w:val="ParaNum"/>
        <w:numPr>
          <w:ilvl w:val="0"/>
          <w:numId w:val="0"/>
        </w:numPr>
        <w:ind w:firstLine="720"/>
        <w:contextualSpacing/>
        <w:rPr>
          <w:szCs w:val="22"/>
        </w:rPr>
      </w:pPr>
    </w:p>
    <w:p w:rsidR="00436966" w:rsidRPr="00825127" w:rsidP="00436966" w14:paraId="0A49214A" w14:textId="77777777">
      <w:pPr>
        <w:pStyle w:val="ParaNum"/>
        <w:numPr>
          <w:ilvl w:val="0"/>
          <w:numId w:val="0"/>
        </w:numPr>
        <w:ind w:firstLine="720"/>
        <w:contextualSpacing/>
        <w:rPr>
          <w:szCs w:val="22"/>
        </w:rPr>
      </w:pPr>
    </w:p>
    <w:p w:rsidR="00436966" w:rsidRPr="00825127" w:rsidP="00436966" w14:paraId="328ED90B" w14:textId="77777777">
      <w:pPr>
        <w:contextualSpacing/>
        <w:rPr>
          <w:szCs w:val="22"/>
        </w:rPr>
      </w:pPr>
      <w:r w:rsidRPr="00825127">
        <w:rPr>
          <w:szCs w:val="22"/>
        </w:rPr>
        <w:tab/>
      </w:r>
      <w:r w:rsidRPr="00825127">
        <w:rPr>
          <w:szCs w:val="22"/>
        </w:rPr>
        <w:tab/>
      </w:r>
      <w:r w:rsidRPr="00825127">
        <w:rPr>
          <w:szCs w:val="22"/>
        </w:rPr>
        <w:tab/>
      </w:r>
      <w:r w:rsidRPr="00825127">
        <w:rPr>
          <w:szCs w:val="22"/>
        </w:rPr>
        <w:tab/>
      </w:r>
      <w:r w:rsidRPr="00825127">
        <w:rPr>
          <w:szCs w:val="22"/>
        </w:rPr>
        <w:tab/>
      </w:r>
      <w:r w:rsidRPr="00825127">
        <w:rPr>
          <w:szCs w:val="22"/>
        </w:rPr>
        <w:tab/>
        <w:t>Kris A. Monteith</w:t>
      </w:r>
    </w:p>
    <w:p w:rsidR="00436966" w:rsidRPr="00825127" w:rsidP="00436966" w14:paraId="2D294793" w14:textId="77777777">
      <w:pPr>
        <w:contextualSpacing/>
        <w:rPr>
          <w:szCs w:val="22"/>
        </w:rPr>
      </w:pPr>
      <w:r w:rsidRPr="00825127">
        <w:rPr>
          <w:szCs w:val="22"/>
        </w:rPr>
        <w:tab/>
      </w:r>
      <w:r w:rsidRPr="00825127">
        <w:rPr>
          <w:szCs w:val="22"/>
        </w:rPr>
        <w:tab/>
      </w:r>
      <w:r w:rsidRPr="00825127">
        <w:rPr>
          <w:szCs w:val="22"/>
        </w:rPr>
        <w:tab/>
      </w:r>
      <w:r w:rsidRPr="00825127">
        <w:rPr>
          <w:szCs w:val="22"/>
        </w:rPr>
        <w:tab/>
      </w:r>
      <w:r w:rsidRPr="00825127">
        <w:rPr>
          <w:szCs w:val="22"/>
        </w:rPr>
        <w:tab/>
      </w:r>
      <w:r w:rsidRPr="00825127">
        <w:rPr>
          <w:szCs w:val="22"/>
        </w:rPr>
        <w:tab/>
        <w:t>Chief</w:t>
      </w:r>
    </w:p>
    <w:p w:rsidR="00436966" w:rsidRPr="00825127" w:rsidP="00436966" w14:paraId="23AB9E4F" w14:textId="77777777">
      <w:pPr>
        <w:ind w:left="3600" w:firstLine="720"/>
        <w:contextualSpacing/>
        <w:rPr>
          <w:szCs w:val="22"/>
        </w:rPr>
      </w:pPr>
      <w:r w:rsidRPr="00825127">
        <w:rPr>
          <w:szCs w:val="22"/>
        </w:rPr>
        <w:t>Wireline Competition Bureau</w:t>
      </w:r>
    </w:p>
    <w:p w:rsidR="00436966" w:rsidRPr="00825127" w:rsidP="00436966" w14:paraId="09E4F041" w14:textId="77777777">
      <w:pPr>
        <w:rPr>
          <w:szCs w:val="22"/>
        </w:rPr>
      </w:pPr>
    </w:p>
    <w:p w:rsidR="00412FC5" w:rsidRPr="00436966" w:rsidP="00436966" w14:paraId="2EE19FE4" w14:textId="77777777"/>
    <w:sectPr w:rsidSect="0055614C">
      <w:headerReference w:type="even" r:id="rId5"/>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2B0A8469"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4D866F4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3E7D48" w14:paraId="6A2F4556" w14:textId="64BCADE1">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32C1CA74"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873F9" w14:paraId="5AC9C673" w14:textId="77777777">
      <w:r>
        <w:separator/>
      </w:r>
    </w:p>
  </w:footnote>
  <w:footnote w:type="continuationSeparator" w:id="1">
    <w:p w:rsidR="00E873F9" w:rsidP="00C721AC" w14:paraId="66B08BB9" w14:textId="77777777">
      <w:pPr>
        <w:spacing w:before="120"/>
        <w:rPr>
          <w:sz w:val="20"/>
        </w:rPr>
      </w:pPr>
      <w:r>
        <w:rPr>
          <w:sz w:val="20"/>
        </w:rPr>
        <w:t xml:space="preserve">(Continued from previous page)  </w:t>
      </w:r>
      <w:r>
        <w:rPr>
          <w:sz w:val="20"/>
        </w:rPr>
        <w:separator/>
      </w:r>
    </w:p>
  </w:footnote>
  <w:footnote w:type="continuationNotice" w:id="2">
    <w:p w:rsidR="00E873F9" w:rsidP="00C721AC" w14:paraId="2D1ECDE9" w14:textId="77777777">
      <w:pPr>
        <w:jc w:val="right"/>
        <w:rPr>
          <w:sz w:val="20"/>
        </w:rPr>
      </w:pPr>
      <w:r>
        <w:rPr>
          <w:sz w:val="20"/>
        </w:rPr>
        <w:t>(continued….)</w:t>
      </w:r>
    </w:p>
  </w:footnote>
  <w:footnote w:id="3">
    <w:p w:rsidR="00436966" w:rsidRPr="00825127" w:rsidP="00436966" w14:paraId="532DB748" w14:textId="77777777">
      <w:pPr>
        <w:pStyle w:val="FootnoteText"/>
      </w:pPr>
      <w:r w:rsidRPr="00825127">
        <w:rPr>
          <w:rStyle w:val="FootnoteReference"/>
        </w:rPr>
        <w:footnoteRef/>
      </w:r>
      <w:r w:rsidRPr="00825127">
        <w:t xml:space="preserve"> Verizon, Petition for Limited Waiver, Numbering Resource Optimization, WC Docket No. 99-200 (filed Apr. 9, 2020) (Verizon Petition).</w:t>
      </w:r>
    </w:p>
  </w:footnote>
  <w:footnote w:id="4">
    <w:p w:rsidR="00436966" w:rsidP="00436966" w14:paraId="1BDD3913" w14:textId="77777777">
      <w:pPr>
        <w:pStyle w:val="FootnoteText"/>
      </w:pPr>
      <w:r>
        <w:rPr>
          <w:rStyle w:val="FootnoteReference"/>
        </w:rPr>
        <w:footnoteRef/>
      </w:r>
      <w:r>
        <w:t xml:space="preserve"> 47 CFR § 52.15(f)(1)(vi).</w:t>
      </w:r>
    </w:p>
  </w:footnote>
  <w:footnote w:id="5">
    <w:p w:rsidR="00436966" w:rsidRPr="00825127" w:rsidP="00436966" w14:paraId="10E3414E" w14:textId="77777777">
      <w:pPr>
        <w:pStyle w:val="FootnoteText"/>
      </w:pPr>
      <w:r w:rsidRPr="00825127">
        <w:rPr>
          <w:rStyle w:val="FootnoteReference"/>
        </w:rPr>
        <w:footnoteRef/>
      </w:r>
      <w:r w:rsidRPr="00825127">
        <w:t xml:space="preserve"> 47 CFR § 1.3</w:t>
      </w:r>
      <w:r>
        <w:t xml:space="preserve"> </w:t>
      </w:r>
      <w:r w:rsidRPr="00825127">
        <w:t xml:space="preserve">(providing that “[a]ny provision of the rules may be waived by the Commission on its own motion or on petition if good cause therefore is shown”).    </w:t>
      </w:r>
    </w:p>
  </w:footnote>
  <w:footnote w:id="6">
    <w:p w:rsidR="00436966" w:rsidRPr="00825127" w:rsidP="00436966" w14:paraId="794D1809" w14:textId="77777777">
      <w:pPr>
        <w:pStyle w:val="FootnoteText"/>
      </w:pPr>
      <w:r w:rsidRPr="00825127">
        <w:rPr>
          <w:rStyle w:val="FootnoteReference"/>
        </w:rPr>
        <w:footnoteRef/>
      </w:r>
      <w:r w:rsidRPr="00825127">
        <w:t xml:space="preserve"> </w:t>
      </w:r>
      <w:r w:rsidRPr="00825127">
        <w:rPr>
          <w:i/>
        </w:rPr>
        <w:t>Northeast Cellular Telephone Co. v. FCC</w:t>
      </w:r>
      <w:r w:rsidRPr="00825127">
        <w:t xml:space="preserve">, 897 F.2d 1164, 1166 (D.C. Cir. 1990).  </w:t>
      </w:r>
    </w:p>
  </w:footnote>
  <w:footnote w:id="7">
    <w:p w:rsidR="00436966" w:rsidRPr="00825127" w:rsidP="00436966" w14:paraId="1DA01525" w14:textId="77777777">
      <w:pPr>
        <w:pStyle w:val="FootnoteText"/>
      </w:pPr>
      <w:r w:rsidRPr="00825127">
        <w:rPr>
          <w:rStyle w:val="FootnoteReference"/>
        </w:rPr>
        <w:footnoteRef/>
      </w:r>
      <w:r w:rsidRPr="00825127">
        <w:t xml:space="preserve"> </w:t>
      </w:r>
      <w:r w:rsidRPr="00825127">
        <w:rPr>
          <w:i/>
        </w:rPr>
        <w:t xml:space="preserve">Id. </w:t>
      </w:r>
    </w:p>
  </w:footnote>
  <w:footnote w:id="8">
    <w:p w:rsidR="00436966" w:rsidP="00436966" w14:paraId="2157FA4B" w14:textId="77777777">
      <w:pPr>
        <w:pStyle w:val="FootnoteText"/>
      </w:pPr>
      <w:r>
        <w:rPr>
          <w:rStyle w:val="FootnoteReference"/>
        </w:rPr>
        <w:footnoteRef/>
      </w:r>
      <w:r>
        <w:t xml:space="preserve"> Verizon Waiver Petition at 2.</w:t>
      </w:r>
    </w:p>
  </w:footnote>
  <w:footnote w:id="9">
    <w:p w:rsidR="00436966" w:rsidRPr="00976E64" w:rsidP="00436966" w14:paraId="4729DE85" w14:textId="77777777">
      <w:pPr>
        <w:pStyle w:val="FootnoteText"/>
        <w:rPr>
          <w:i/>
          <w:iCs/>
        </w:rPr>
      </w:pPr>
      <w:r>
        <w:rPr>
          <w:rStyle w:val="FootnoteReference"/>
        </w:rPr>
        <w:footnoteRef/>
      </w:r>
      <w:r>
        <w:t xml:space="preserve"> </w:t>
      </w:r>
      <w:r>
        <w:rPr>
          <w:i/>
          <w:iCs/>
        </w:rPr>
        <w:t>Id.</w:t>
      </w:r>
    </w:p>
  </w:footnote>
  <w:footnote w:id="10">
    <w:p w:rsidR="00436966" w:rsidRPr="00825127" w:rsidP="00436966" w14:paraId="2C4A74E7" w14:textId="77777777">
      <w:pPr>
        <w:pStyle w:val="FootnoteText"/>
      </w:pPr>
      <w:r w:rsidRPr="00825127">
        <w:rPr>
          <w:rStyle w:val="FootnoteReference"/>
        </w:rPr>
        <w:footnoteRef/>
      </w:r>
      <w:r w:rsidRPr="00825127">
        <w:t xml:space="preserve"> </w:t>
      </w:r>
      <w:r w:rsidRPr="00B766AC">
        <w:rPr>
          <w:i/>
          <w:iCs/>
        </w:rPr>
        <w:t>Id.</w:t>
      </w:r>
      <w:r w:rsidRPr="00825127">
        <w:t xml:space="preserve"> at 2.</w:t>
      </w:r>
    </w:p>
  </w:footnote>
  <w:footnote w:id="11">
    <w:p w:rsidR="00436966" w:rsidRPr="00825127" w:rsidP="00436966" w14:paraId="3F737A90" w14:textId="77777777">
      <w:pPr>
        <w:pStyle w:val="FootnoteText"/>
      </w:pPr>
      <w:r w:rsidRPr="00825127">
        <w:rPr>
          <w:rStyle w:val="FootnoteReference"/>
        </w:rPr>
        <w:footnoteRef/>
      </w:r>
      <w:r w:rsidRPr="00825127">
        <w:t xml:space="preserve"> </w:t>
      </w:r>
      <w:r w:rsidRPr="00825127">
        <w:rPr>
          <w:i/>
          <w:iCs/>
        </w:rPr>
        <w:t>See Lifeline and Link Up Reform and Modernization</w:t>
      </w:r>
      <w:r w:rsidRPr="00825127">
        <w:t xml:space="preserve">, Order, WC Docket No. 11-42, DA 20-285, </w:t>
      </w:r>
      <w:r>
        <w:t>para.</w:t>
      </w:r>
      <w:r w:rsidRPr="00825127">
        <w:t xml:space="preserve"> 8 (WCB 2020).  </w:t>
      </w:r>
    </w:p>
  </w:footnote>
  <w:footnote w:id="12">
    <w:p w:rsidR="00436966" w:rsidRPr="00825127" w:rsidP="00436966" w14:paraId="4C31CC70" w14:textId="77777777">
      <w:pPr>
        <w:pStyle w:val="FootnoteText"/>
      </w:pPr>
      <w:r w:rsidRPr="00825127">
        <w:rPr>
          <w:rStyle w:val="FootnoteReference"/>
        </w:rPr>
        <w:footnoteRef/>
      </w:r>
      <w:r w:rsidRPr="00825127">
        <w:t xml:space="preserve"> Verizon Waiver Petition at 1.</w:t>
      </w:r>
    </w:p>
  </w:footnote>
  <w:footnote w:id="13">
    <w:p w:rsidR="00436966" w:rsidRPr="007B497A" w:rsidP="00436966" w14:paraId="2D7CD4A2" w14:textId="77777777">
      <w:pPr>
        <w:pStyle w:val="FootnoteText"/>
      </w:pPr>
      <w:r>
        <w:rPr>
          <w:rStyle w:val="FootnoteReference"/>
        </w:rPr>
        <w:footnoteRef/>
      </w:r>
      <w:r>
        <w:t xml:space="preserve"> </w:t>
      </w:r>
      <w:r>
        <w:rPr>
          <w:i/>
          <w:iCs/>
        </w:rPr>
        <w:t xml:space="preserve">Id. </w:t>
      </w:r>
      <w:r>
        <w:t>at 5.</w:t>
      </w:r>
    </w:p>
  </w:footnote>
  <w:footnote w:id="14">
    <w:p w:rsidR="00436966" w:rsidRPr="006360D8" w:rsidP="00436966" w14:paraId="28F60C91" w14:textId="77777777">
      <w:pPr>
        <w:pStyle w:val="FootnoteText"/>
      </w:pPr>
      <w:r>
        <w:rPr>
          <w:rStyle w:val="FootnoteReference"/>
        </w:rPr>
        <w:footnoteRef/>
      </w:r>
      <w:r>
        <w:t xml:space="preserve"> </w:t>
      </w:r>
      <w:r>
        <w:rPr>
          <w:i/>
          <w:iCs/>
        </w:rPr>
        <w:t xml:space="preserve">Id. </w:t>
      </w:r>
      <w:r>
        <w:t>at 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E7D48" w14:paraId="0A811EEE"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112A4239" w14:textId="45A15353">
    <w:pPr>
      <w:pStyle w:val="Header"/>
      <w:rPr>
        <w:b w:val="0"/>
      </w:rPr>
    </w:pPr>
    <w:r>
      <w:tab/>
      <w:t>Federal Communications Commission</w:t>
    </w:r>
    <w:r>
      <w:tab/>
    </w:r>
    <w:r w:rsidR="003E7D48">
      <w:t>DA 20-441</w:t>
    </w:r>
  </w:p>
  <w:p w:rsidR="00D25FB5" w:rsidRPr="003E7D48" w:rsidP="003E7D48" w14:paraId="037439EC" w14:textId="590660CE">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0751B89D" w14:textId="725FC70B">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3E7D48">
      <w:rPr>
        <w:spacing w:val="-2"/>
      </w:rPr>
      <w:t>DA 20-441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D0F1B3D"/>
    <w:multiLevelType w:val="singleLevel"/>
    <w:tmpl w:val="4DCCE696"/>
    <w:lvl w:ilvl="0">
      <w:start w:val="1"/>
      <w:numFmt w:val="decimal"/>
      <w:lvlText w:val="%1."/>
      <w:lvlJc w:val="left"/>
      <w:pPr>
        <w:tabs>
          <w:tab w:val="num" w:pos="990"/>
        </w:tabs>
        <w:ind w:left="-90" w:firstLine="720"/>
      </w:pPr>
      <w:rPr>
        <w:rFonts w:ascii="Times New Roman" w:hAnsi="Times New Roman" w:hint="default"/>
        <w:b w:val="0"/>
        <w:i w:val="0"/>
        <w:caps w:val="0"/>
        <w:strike w:val="0"/>
        <w:dstrike w:val="0"/>
        <w:vanish w:val="0"/>
        <w:sz w:val="22"/>
        <w:u w:val="none"/>
        <w:vertAlign w:val="baseline"/>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966"/>
    <w:rsid w:val="00036039"/>
    <w:rsid w:val="00037F90"/>
    <w:rsid w:val="000875BF"/>
    <w:rsid w:val="00096D8C"/>
    <w:rsid w:val="000C0B65"/>
    <w:rsid w:val="000E05FE"/>
    <w:rsid w:val="000E3D42"/>
    <w:rsid w:val="00122BD5"/>
    <w:rsid w:val="00133F79"/>
    <w:rsid w:val="00194A66"/>
    <w:rsid w:val="001D6BCF"/>
    <w:rsid w:val="001E01CA"/>
    <w:rsid w:val="00275CF5"/>
    <w:rsid w:val="0028301F"/>
    <w:rsid w:val="00285017"/>
    <w:rsid w:val="002A2D2E"/>
    <w:rsid w:val="002C00E8"/>
    <w:rsid w:val="00343749"/>
    <w:rsid w:val="003660ED"/>
    <w:rsid w:val="003B0550"/>
    <w:rsid w:val="003B694F"/>
    <w:rsid w:val="003E7D48"/>
    <w:rsid w:val="003F171C"/>
    <w:rsid w:val="00412FC5"/>
    <w:rsid w:val="00422276"/>
    <w:rsid w:val="004242F1"/>
    <w:rsid w:val="00436966"/>
    <w:rsid w:val="00445A00"/>
    <w:rsid w:val="00451B0F"/>
    <w:rsid w:val="004C2EE3"/>
    <w:rsid w:val="004E4A22"/>
    <w:rsid w:val="00511968"/>
    <w:rsid w:val="0055614C"/>
    <w:rsid w:val="00566D06"/>
    <w:rsid w:val="005E14C2"/>
    <w:rsid w:val="00607BA5"/>
    <w:rsid w:val="0061180A"/>
    <w:rsid w:val="00626EB6"/>
    <w:rsid w:val="006360D8"/>
    <w:rsid w:val="00655D03"/>
    <w:rsid w:val="00683388"/>
    <w:rsid w:val="00683F84"/>
    <w:rsid w:val="006A6A81"/>
    <w:rsid w:val="006F7393"/>
    <w:rsid w:val="0070224F"/>
    <w:rsid w:val="007115F7"/>
    <w:rsid w:val="00785689"/>
    <w:rsid w:val="0079754B"/>
    <w:rsid w:val="007A1E6D"/>
    <w:rsid w:val="007B0EB2"/>
    <w:rsid w:val="007B497A"/>
    <w:rsid w:val="00810B6F"/>
    <w:rsid w:val="00822CE0"/>
    <w:rsid w:val="00825127"/>
    <w:rsid w:val="00841AB1"/>
    <w:rsid w:val="008C68F1"/>
    <w:rsid w:val="00921803"/>
    <w:rsid w:val="00926503"/>
    <w:rsid w:val="009726D8"/>
    <w:rsid w:val="00976E64"/>
    <w:rsid w:val="009D7308"/>
    <w:rsid w:val="009F6872"/>
    <w:rsid w:val="009F76DB"/>
    <w:rsid w:val="00A32C3B"/>
    <w:rsid w:val="00A45F4F"/>
    <w:rsid w:val="00A600A9"/>
    <w:rsid w:val="00AA55B7"/>
    <w:rsid w:val="00AA5B9E"/>
    <w:rsid w:val="00AB2407"/>
    <w:rsid w:val="00AB53DF"/>
    <w:rsid w:val="00B07E5C"/>
    <w:rsid w:val="00B57C1A"/>
    <w:rsid w:val="00B766AC"/>
    <w:rsid w:val="00B811F7"/>
    <w:rsid w:val="00BA5DC6"/>
    <w:rsid w:val="00BA6196"/>
    <w:rsid w:val="00BC6D8C"/>
    <w:rsid w:val="00C34006"/>
    <w:rsid w:val="00C36B4C"/>
    <w:rsid w:val="00C426B1"/>
    <w:rsid w:val="00C66160"/>
    <w:rsid w:val="00C721AC"/>
    <w:rsid w:val="00C90D6A"/>
    <w:rsid w:val="00CA247E"/>
    <w:rsid w:val="00CA6D21"/>
    <w:rsid w:val="00CC72B6"/>
    <w:rsid w:val="00CF70DD"/>
    <w:rsid w:val="00D0218D"/>
    <w:rsid w:val="00D15C08"/>
    <w:rsid w:val="00D25FB5"/>
    <w:rsid w:val="00D44223"/>
    <w:rsid w:val="00DA2529"/>
    <w:rsid w:val="00DB130A"/>
    <w:rsid w:val="00DB2EBB"/>
    <w:rsid w:val="00DC10A1"/>
    <w:rsid w:val="00DC655F"/>
    <w:rsid w:val="00DD0B59"/>
    <w:rsid w:val="00DD7EBD"/>
    <w:rsid w:val="00DF62B6"/>
    <w:rsid w:val="00E07225"/>
    <w:rsid w:val="00E5409F"/>
    <w:rsid w:val="00E873F9"/>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570600FE-A48A-441F-A4F3-EA001FAF7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70DD"/>
    <w:pPr>
      <w:widowControl w:val="0"/>
    </w:pPr>
    <w:rPr>
      <w:snapToGrid w:val="0"/>
      <w:kern w:val="28"/>
      <w:sz w:val="22"/>
    </w:rPr>
  </w:style>
  <w:style w:type="paragraph" w:styleId="Heading1">
    <w:name w:val="heading 1"/>
    <w:basedOn w:val="Normal"/>
    <w:next w:val="ParaNum"/>
    <w:qFormat/>
    <w:rsid w:val="00CF70DD"/>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CF70DD"/>
    <w:pPr>
      <w:keepNext/>
      <w:numPr>
        <w:ilvl w:val="1"/>
        <w:numId w:val="3"/>
      </w:numPr>
      <w:spacing w:after="120"/>
      <w:outlineLvl w:val="1"/>
    </w:pPr>
    <w:rPr>
      <w:b/>
    </w:rPr>
  </w:style>
  <w:style w:type="paragraph" w:styleId="Heading3">
    <w:name w:val="heading 3"/>
    <w:basedOn w:val="Normal"/>
    <w:next w:val="ParaNum"/>
    <w:qFormat/>
    <w:rsid w:val="00CF70DD"/>
    <w:pPr>
      <w:keepNext/>
      <w:numPr>
        <w:ilvl w:val="2"/>
        <w:numId w:val="3"/>
      </w:numPr>
      <w:tabs>
        <w:tab w:val="left" w:pos="2160"/>
      </w:tabs>
      <w:spacing w:after="120"/>
      <w:outlineLvl w:val="2"/>
    </w:pPr>
    <w:rPr>
      <w:b/>
    </w:rPr>
  </w:style>
  <w:style w:type="paragraph" w:styleId="Heading4">
    <w:name w:val="heading 4"/>
    <w:basedOn w:val="Normal"/>
    <w:next w:val="ParaNum"/>
    <w:qFormat/>
    <w:rsid w:val="00CF70DD"/>
    <w:pPr>
      <w:keepNext/>
      <w:numPr>
        <w:ilvl w:val="3"/>
        <w:numId w:val="3"/>
      </w:numPr>
      <w:tabs>
        <w:tab w:val="left" w:pos="2880"/>
      </w:tabs>
      <w:spacing w:after="120"/>
      <w:outlineLvl w:val="3"/>
    </w:pPr>
    <w:rPr>
      <w:b/>
    </w:rPr>
  </w:style>
  <w:style w:type="paragraph" w:styleId="Heading5">
    <w:name w:val="heading 5"/>
    <w:basedOn w:val="Normal"/>
    <w:next w:val="ParaNum"/>
    <w:qFormat/>
    <w:rsid w:val="00CF70DD"/>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CF70DD"/>
    <w:pPr>
      <w:numPr>
        <w:ilvl w:val="5"/>
        <w:numId w:val="3"/>
      </w:numPr>
      <w:tabs>
        <w:tab w:val="left" w:pos="4320"/>
      </w:tabs>
      <w:spacing w:after="120"/>
      <w:outlineLvl w:val="5"/>
    </w:pPr>
    <w:rPr>
      <w:b/>
    </w:rPr>
  </w:style>
  <w:style w:type="paragraph" w:styleId="Heading7">
    <w:name w:val="heading 7"/>
    <w:basedOn w:val="Normal"/>
    <w:next w:val="ParaNum"/>
    <w:qFormat/>
    <w:rsid w:val="00CF70DD"/>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CF70DD"/>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CF70DD"/>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CF70D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F70DD"/>
  </w:style>
  <w:style w:type="paragraph" w:customStyle="1" w:styleId="ParaNum">
    <w:name w:val="ParaNum"/>
    <w:basedOn w:val="Normal"/>
    <w:rsid w:val="00CF70DD"/>
    <w:pPr>
      <w:numPr>
        <w:numId w:val="2"/>
      </w:numPr>
      <w:tabs>
        <w:tab w:val="clear" w:pos="1080"/>
        <w:tab w:val="num" w:pos="1440"/>
      </w:tabs>
      <w:spacing w:after="120"/>
    </w:pPr>
  </w:style>
  <w:style w:type="paragraph" w:styleId="EndnoteText">
    <w:name w:val="endnote text"/>
    <w:basedOn w:val="Normal"/>
    <w:semiHidden/>
    <w:rsid w:val="00CF70DD"/>
    <w:rPr>
      <w:sz w:val="20"/>
    </w:rPr>
  </w:style>
  <w:style w:type="character" w:styleId="EndnoteReference">
    <w:name w:val="endnote reference"/>
    <w:semiHidden/>
    <w:rsid w:val="00CF70DD"/>
    <w:rPr>
      <w:vertAlign w:val="superscript"/>
    </w:rPr>
  </w:style>
  <w:style w:type="paragraph" w:styleId="FootnoteText">
    <w:name w:val="footnote text"/>
    <w:aliases w:val="ALTS FOOTNOTE,ALTS FOOTNOTE Char,Footnote Text Char Char Char,Footnote Text Char Char Char Char Char Char,Footnote Text Char1 Char,Footnote Text Char1 Char1 Char Char Char,Footnote Text Char2 Char Char Char,f,fn,fn Char,fn Char1 Char"/>
    <w:link w:val="FootnoteTextChar"/>
    <w:rsid w:val="00CF70DD"/>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CF70DD"/>
    <w:rPr>
      <w:rFonts w:ascii="Times New Roman" w:hAnsi="Times New Roman"/>
      <w:dstrike w:val="0"/>
      <w:color w:val="auto"/>
      <w:sz w:val="20"/>
      <w:vertAlign w:val="superscript"/>
    </w:rPr>
  </w:style>
  <w:style w:type="paragraph" w:styleId="TOC1">
    <w:name w:val="toc 1"/>
    <w:basedOn w:val="Normal"/>
    <w:next w:val="Normal"/>
    <w:semiHidden/>
    <w:rsid w:val="00CF70DD"/>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CF70DD"/>
    <w:pPr>
      <w:tabs>
        <w:tab w:val="left" w:pos="720"/>
        <w:tab w:val="right" w:leader="dot" w:pos="9360"/>
      </w:tabs>
      <w:suppressAutoHyphens/>
      <w:ind w:left="720" w:right="720" w:hanging="360"/>
    </w:pPr>
    <w:rPr>
      <w:noProof/>
    </w:rPr>
  </w:style>
  <w:style w:type="paragraph" w:styleId="TOC3">
    <w:name w:val="toc 3"/>
    <w:basedOn w:val="Normal"/>
    <w:next w:val="Normal"/>
    <w:semiHidden/>
    <w:rsid w:val="00CF70DD"/>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CF70DD"/>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CF70DD"/>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CF70DD"/>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CF70DD"/>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CF70DD"/>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CF70DD"/>
    <w:pPr>
      <w:tabs>
        <w:tab w:val="left" w:pos="3240"/>
        <w:tab w:val="right" w:leader="dot" w:pos="9360"/>
      </w:tabs>
      <w:suppressAutoHyphens/>
      <w:ind w:left="3240" w:hanging="360"/>
    </w:pPr>
    <w:rPr>
      <w:noProof/>
    </w:rPr>
  </w:style>
  <w:style w:type="paragraph" w:styleId="TOAHeading">
    <w:name w:val="toa heading"/>
    <w:basedOn w:val="Normal"/>
    <w:next w:val="Normal"/>
    <w:semiHidden/>
    <w:rsid w:val="00CF70DD"/>
    <w:pPr>
      <w:tabs>
        <w:tab w:val="right" w:pos="9360"/>
      </w:tabs>
      <w:suppressAutoHyphens/>
    </w:pPr>
  </w:style>
  <w:style w:type="character" w:customStyle="1" w:styleId="EquationCaption">
    <w:name w:val="_Equation Caption"/>
    <w:rsid w:val="00CF70DD"/>
  </w:style>
  <w:style w:type="paragraph" w:styleId="Header">
    <w:name w:val="header"/>
    <w:basedOn w:val="Normal"/>
    <w:autoRedefine/>
    <w:rsid w:val="00CF70DD"/>
    <w:pPr>
      <w:tabs>
        <w:tab w:val="center" w:pos="4680"/>
        <w:tab w:val="right" w:pos="9360"/>
      </w:tabs>
    </w:pPr>
    <w:rPr>
      <w:b/>
    </w:rPr>
  </w:style>
  <w:style w:type="paragraph" w:styleId="Footer">
    <w:name w:val="footer"/>
    <w:basedOn w:val="Normal"/>
    <w:link w:val="FooterChar"/>
    <w:uiPriority w:val="99"/>
    <w:rsid w:val="00CF70DD"/>
    <w:pPr>
      <w:tabs>
        <w:tab w:val="center" w:pos="4320"/>
        <w:tab w:val="right" w:pos="8640"/>
      </w:tabs>
    </w:pPr>
  </w:style>
  <w:style w:type="character" w:styleId="PageNumber">
    <w:name w:val="page number"/>
    <w:rsid w:val="00CF70DD"/>
  </w:style>
  <w:style w:type="paragraph" w:styleId="BlockText">
    <w:name w:val="Block Text"/>
    <w:basedOn w:val="Normal"/>
    <w:rsid w:val="00CF70DD"/>
    <w:pPr>
      <w:spacing w:after="240"/>
      <w:ind w:left="1440" w:right="1440"/>
    </w:pPr>
  </w:style>
  <w:style w:type="paragraph" w:customStyle="1" w:styleId="Paratitle">
    <w:name w:val="Para title"/>
    <w:basedOn w:val="Normal"/>
    <w:rsid w:val="00CF70DD"/>
    <w:pPr>
      <w:tabs>
        <w:tab w:val="center" w:pos="9270"/>
      </w:tabs>
      <w:spacing w:after="240"/>
    </w:pPr>
    <w:rPr>
      <w:spacing w:val="-2"/>
    </w:rPr>
  </w:style>
  <w:style w:type="paragraph" w:customStyle="1" w:styleId="Bullet">
    <w:name w:val="Bullet"/>
    <w:basedOn w:val="Normal"/>
    <w:rsid w:val="00CF70DD"/>
    <w:pPr>
      <w:tabs>
        <w:tab w:val="left" w:pos="2160"/>
      </w:tabs>
      <w:spacing w:after="220"/>
      <w:ind w:left="2160" w:hanging="720"/>
    </w:pPr>
  </w:style>
  <w:style w:type="paragraph" w:customStyle="1" w:styleId="TableFormat">
    <w:name w:val="TableFormat"/>
    <w:basedOn w:val="Bullet"/>
    <w:rsid w:val="00CF70DD"/>
    <w:pPr>
      <w:tabs>
        <w:tab w:val="clear" w:pos="2160"/>
        <w:tab w:val="left" w:pos="5040"/>
      </w:tabs>
      <w:ind w:left="5040" w:hanging="3600"/>
    </w:pPr>
  </w:style>
  <w:style w:type="paragraph" w:customStyle="1" w:styleId="TOCTitle">
    <w:name w:val="TOC Title"/>
    <w:basedOn w:val="Normal"/>
    <w:rsid w:val="00CF70DD"/>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CF70DD"/>
    <w:pPr>
      <w:jc w:val="center"/>
    </w:pPr>
    <w:rPr>
      <w:rFonts w:ascii="Times New Roman Bold" w:hAnsi="Times New Roman Bold"/>
      <w:b/>
      <w:bCs/>
      <w:caps/>
      <w:szCs w:val="22"/>
    </w:rPr>
  </w:style>
  <w:style w:type="character" w:styleId="Hyperlink">
    <w:name w:val="Hyperlink"/>
    <w:rsid w:val="00CF70DD"/>
    <w:rPr>
      <w:color w:val="0000FF"/>
      <w:u w:val="single"/>
    </w:rPr>
  </w:style>
  <w:style w:type="character" w:customStyle="1" w:styleId="FooterChar">
    <w:name w:val="Footer Char"/>
    <w:link w:val="Footer"/>
    <w:uiPriority w:val="99"/>
    <w:rsid w:val="00CF70DD"/>
    <w:rPr>
      <w:snapToGrid w:val="0"/>
      <w:kern w:val="28"/>
      <w:sz w:val="22"/>
    </w:rPr>
  </w:style>
  <w:style w:type="character" w:customStyle="1" w:styleId="FootnoteTextChar">
    <w:name w:val="Footnote Text Char"/>
    <w:aliases w:val="ALTS FOOTNOTE Char Char,ALTS FOOTNOTE Char1,Footnote Text Char Char Char Char,Footnote Text Char Char Char Char Char Char Char,Footnote Text Char1 Char Char,Footnote Text Char1 Char1 Char Char Char Char,f Char,fn Char Char,fn Char1"/>
    <w:link w:val="FootnoteText"/>
    <w:rsid w:val="00436966"/>
  </w:style>
  <w:style w:type="paragraph" w:customStyle="1" w:styleId="StyleParaNumAfter12pt">
    <w:name w:val="Style ParaNum + After:  12 pt"/>
    <w:basedOn w:val="ParaNum"/>
    <w:rsid w:val="00436966"/>
    <w:pPr>
      <w:spacing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