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3BB7" w14:paraId="566B84A4" w14:textId="1099C9C6">
      <w:pPr>
        <w:pStyle w:val="Title"/>
      </w:pPr>
      <w:bookmarkStart w:id="0" w:name="_gjdgxs" w:colFirst="0" w:colLast="0"/>
      <w:bookmarkStart w:id="1" w:name="_GoBack"/>
      <w:bookmarkEnd w:id="0"/>
      <w:bookmarkEnd w:id="1"/>
      <w:r>
        <w:t xml:space="preserve">  </w:t>
      </w:r>
    </w:p>
    <w:p w:rsidR="006F3BB7" w14:paraId="75CC6E3A" w14:textId="77777777">
      <w:pPr>
        <w:pStyle w:val="Title"/>
      </w:pPr>
    </w:p>
    <w:p w:rsidR="006F3BB7" w14:paraId="3EADA16E" w14:textId="77777777">
      <w:pPr>
        <w:pStyle w:val="Title"/>
      </w:pPr>
    </w:p>
    <w:p w:rsidR="006F3BB7" w14:paraId="2616C444" w14:textId="1E6E2117">
      <w:pPr>
        <w:pStyle w:val="Title"/>
      </w:pPr>
      <w:r>
        <w:t>ATTACHMENT</w:t>
      </w:r>
    </w:p>
    <w:p w:rsidR="006F3BB7" w14:paraId="52742D3C" w14:textId="559F4BA0">
      <w:pPr>
        <w:jc w:val="center"/>
        <w:rPr>
          <w:b/>
          <w:sz w:val="36"/>
          <w:szCs w:val="36"/>
        </w:rPr>
      </w:pPr>
      <w:r>
        <w:rPr>
          <w:b/>
          <w:sz w:val="36"/>
          <w:szCs w:val="36"/>
        </w:rPr>
        <w:t xml:space="preserve">3.7 GHz TRANSITION </w:t>
      </w:r>
      <w:r w:rsidR="004E7529">
        <w:rPr>
          <w:b/>
          <w:sz w:val="36"/>
          <w:szCs w:val="36"/>
        </w:rPr>
        <w:t xml:space="preserve">PRELIMINARY </w:t>
      </w:r>
      <w:r w:rsidR="00E24271">
        <w:rPr>
          <w:b/>
          <w:sz w:val="36"/>
          <w:szCs w:val="36"/>
        </w:rPr>
        <w:t xml:space="preserve">COST CATEGORY </w:t>
      </w:r>
      <w:r w:rsidR="008B6100">
        <w:rPr>
          <w:b/>
          <w:sz w:val="36"/>
          <w:szCs w:val="36"/>
        </w:rPr>
        <w:t xml:space="preserve">SCHEDULE </w:t>
      </w:r>
      <w:r>
        <w:rPr>
          <w:b/>
          <w:sz w:val="36"/>
          <w:szCs w:val="36"/>
        </w:rPr>
        <w:t>OF POTENTIAL EXPENSES AND ESTIMATED COSTS</w:t>
      </w:r>
    </w:p>
    <w:p w:rsidR="006F3BB7" w14:paraId="4DF82A0B" w14:textId="77777777">
      <w:pPr>
        <w:jc w:val="center"/>
      </w:pPr>
    </w:p>
    <w:p w:rsidR="006F3BB7" w14:paraId="4471BA44" w14:textId="77777777">
      <w:pPr>
        <w:jc w:val="center"/>
      </w:pPr>
    </w:p>
    <w:p w:rsidR="006F3BB7" w14:paraId="5A03AD7A" w14:textId="77777777">
      <w:pPr>
        <w:jc w:val="center"/>
      </w:pPr>
    </w:p>
    <w:p w:rsidR="006F3BB7" w14:paraId="5A22F4F0" w14:textId="01F82A07">
      <w:pPr>
        <w:jc w:val="center"/>
      </w:pPr>
      <w:bookmarkStart w:id="2" w:name="_30j0zll" w:colFirst="0" w:colLast="0"/>
      <w:bookmarkEnd w:id="2"/>
      <w:r>
        <w:t>April 27, 2020</w:t>
      </w:r>
      <w:r w:rsidR="0097557E">
        <w:br w:type="page"/>
      </w:r>
    </w:p>
    <w:p w:rsidR="006F3BB7" w:rsidP="003D0424" w14:paraId="0A1B904E" w14:textId="77777777">
      <w:pPr>
        <w:pStyle w:val="Title"/>
        <w:spacing w:after="120" w:line="240" w:lineRule="auto"/>
        <w:rPr>
          <w:sz w:val="44"/>
          <w:szCs w:val="44"/>
        </w:rPr>
      </w:pPr>
      <w:r>
        <w:rPr>
          <w:sz w:val="44"/>
          <w:szCs w:val="44"/>
        </w:rPr>
        <w:t>Table of Contents</w:t>
      </w:r>
    </w:p>
    <w:p w:rsidR="006F3BB7" w:rsidP="003826C7" w14:paraId="7AFE8811" w14:textId="02EF4644">
      <w:pPr>
        <w:pStyle w:val="Heading1"/>
        <w:numPr>
          <w:ilvl w:val="0"/>
          <w:numId w:val="6"/>
        </w:numPr>
      </w:pPr>
      <w:bookmarkStart w:id="3" w:name="_Toc38633278"/>
      <w:r>
        <w:t>About This Catalog</w:t>
      </w:r>
      <w:bookmarkEnd w:id="3"/>
    </w:p>
    <w:p w:rsidR="003826C7" w:rsidRPr="003826C7" w:rsidP="003826C7" w14:paraId="24343C05" w14:textId="77777777"/>
    <w:p w:rsidR="006F3BB7" w14:paraId="32C9FEFC" w14:textId="5AAD2506">
      <w:r>
        <w:t xml:space="preserve">This cost category schedule (Catalog) contains descriptions of the potential expenses and estimated costs that (1) incumbent space station operators and incumbent earth station operators may incur as a result of the required transition out of the 3700-4000 MHz band into the 4000-4200 MHz </w:t>
      </w:r>
      <w:r w:rsidR="00922A3D">
        <w:t xml:space="preserve">band </w:t>
      </w:r>
      <w:r>
        <w:t>in the contiguous United States</w:t>
      </w:r>
      <w:r>
        <w:rPr>
          <w:vertAlign w:val="superscript"/>
        </w:rPr>
        <w:footnoteReference w:id="3"/>
      </w:r>
      <w:r>
        <w:t xml:space="preserve"> and (2) that Fixed Service operators </w:t>
      </w:r>
      <w:r w:rsidR="00BC6DEE">
        <w:t>may</w:t>
      </w:r>
      <w:r>
        <w:t xml:space="preserve"> incur as a result of transitioning out of the entire 3700-4200 MHz (C-band) into one of the following bands:  5925 – 6425 MHz; 6525 – 6875 MHz; 6875 – 7125 MHz; 10,700 – 11,700 MHz; 17,700 – 18,300 MHz; 19,300 – 19,700 MHz; and 21,200 – 23,600 </w:t>
      </w:r>
      <w:r>
        <w:t>MHz.</w:t>
      </w:r>
      <w:r>
        <w:t xml:space="preserve"> </w:t>
      </w:r>
      <w:r w:rsidR="0017693C">
        <w:t xml:space="preserve"> </w:t>
      </w:r>
      <w:r>
        <w:t>While we believe the Catalog is relatively comprehensive, it does not cover every expense, for every situation, nor is it an exhaustive list of all expenses that may potentially qualify for reimbursement.</w:t>
      </w:r>
      <w:r w:rsidR="00BC6DEE">
        <w:t xml:space="preserve"> </w:t>
      </w:r>
    </w:p>
    <w:p w:rsidR="006F3BB7" w14:paraId="0A47E9E9" w14:textId="77777777"/>
    <w:p w:rsidR="006F3BB7" w:rsidRPr="00BC6DEE" w14:paraId="03E53364" w14:textId="27E52DF3">
      <w:r>
        <w:t xml:space="preserve">RKF Engineering Solutions LLC </w:t>
      </w:r>
      <w:r w:rsidR="00BC6DEE">
        <w:t xml:space="preserve">assisted with </w:t>
      </w:r>
      <w:r>
        <w:t>develop</w:t>
      </w:r>
      <w:r w:rsidR="00BC6DEE">
        <w:t>ing</w:t>
      </w:r>
      <w:r>
        <w:t xml:space="preserve"> this Catalog after the release of the </w:t>
      </w:r>
      <w:r w:rsidRPr="00BC6DEE" w:rsidR="00BC6DEE">
        <w:rPr>
          <w:iCs/>
        </w:rPr>
        <w:t>Commission’s</w:t>
      </w:r>
      <w:r>
        <w:rPr>
          <w:i/>
        </w:rPr>
        <w:t xml:space="preserve"> Order</w:t>
      </w:r>
      <w:r>
        <w:t xml:space="preserve"> in March 2020.</w:t>
      </w:r>
      <w:r w:rsidR="0017693C">
        <w:t xml:space="preserve"> </w:t>
      </w:r>
      <w:r>
        <w:t xml:space="preserve"> </w:t>
      </w:r>
      <w:r w:rsidR="00BC6DEE">
        <w:t xml:space="preserve">This Catalog is subject to the provisions of the </w:t>
      </w:r>
      <w:r w:rsidR="00BC6DEE">
        <w:rPr>
          <w:i/>
          <w:iCs/>
        </w:rPr>
        <w:t xml:space="preserve">Order </w:t>
      </w:r>
      <w:r w:rsidR="00BC6DEE">
        <w:t>and the rules adopted therein.</w:t>
      </w:r>
      <w:r>
        <w:rPr>
          <w:rStyle w:val="FootnoteReference"/>
        </w:rPr>
        <w:footnoteReference w:id="4"/>
      </w:r>
      <w:r w:rsidR="00BC6DEE">
        <w:t xml:space="preserve"> </w:t>
      </w:r>
      <w:r w:rsidR="0017693C">
        <w:t xml:space="preserve"> </w:t>
      </w:r>
      <w:r w:rsidR="00BC6DEE">
        <w:t xml:space="preserve">To the extent there are any discrepancies between the requirements adopted in the </w:t>
      </w:r>
      <w:r w:rsidR="00BC6DEE">
        <w:rPr>
          <w:i/>
          <w:iCs/>
        </w:rPr>
        <w:t xml:space="preserve">Order </w:t>
      </w:r>
      <w:r w:rsidR="00BC6DEE">
        <w:t xml:space="preserve">or the relevant rules and this Catalog, the </w:t>
      </w:r>
      <w:r w:rsidR="00BC6DEE">
        <w:rPr>
          <w:i/>
          <w:iCs/>
        </w:rPr>
        <w:t xml:space="preserve">Order </w:t>
      </w:r>
      <w:r w:rsidR="00BC6DEE">
        <w:t xml:space="preserve">and the rules govern. </w:t>
      </w:r>
      <w:r w:rsidR="0017693C">
        <w:t xml:space="preserve"> </w:t>
      </w:r>
      <w:r>
        <w:t>The categories and costs contained in the Catalog are intended to serve as a reference guide and are not intended to identify the specific reimbursable expenses incurred by individual satellite, earth station, and fixed service operators.</w:t>
      </w:r>
      <w:r w:rsidR="00BC6DEE">
        <w:t xml:space="preserve"> </w:t>
      </w:r>
    </w:p>
    <w:p w:rsidR="006F3BB7" w14:paraId="0AF12918" w14:textId="77777777"/>
    <w:p w:rsidR="006F3BB7" w14:paraId="60C2462C" w14:textId="1E209314">
      <w:r>
        <w:t xml:space="preserve">Individual operators may incur only some of the expenses listed in the Catalog, depending upon the operator’s existing equipment and the </w:t>
      </w:r>
      <w:r>
        <w:t>particular transition</w:t>
      </w:r>
      <w:r>
        <w:t xml:space="preserve"> changes that the entity must make. </w:t>
      </w:r>
      <w:r w:rsidR="0017693C">
        <w:t xml:space="preserve"> </w:t>
      </w:r>
      <w:r>
        <w:t xml:space="preserve">Some of the expenses will apply only in limited situations, such as, for example, satellite operators that </w:t>
      </w:r>
      <w:r w:rsidR="009C5F89">
        <w:t xml:space="preserve">only </w:t>
      </w:r>
      <w:r>
        <w:t>need to move a service from the lower 300 megahertz of the C-band to the upper 200 megahertz.</w:t>
      </w:r>
    </w:p>
    <w:p w:rsidR="006F3BB7" w14:paraId="180AF8A1" w14:textId="77777777"/>
    <w:p w:rsidR="006F3BB7" w14:paraId="77F0E884" w14:textId="77777777">
      <w:r>
        <w:t>Supply and demand constraints may impact future costs.</w:t>
      </w:r>
    </w:p>
    <w:p w:rsidR="006F3BB7" w14:paraId="7014FA59" w14:textId="77777777">
      <w:pPr>
        <w:pBdr>
          <w:top w:val="nil"/>
          <w:left w:val="nil"/>
          <w:bottom w:val="nil"/>
          <w:right w:val="nil"/>
          <w:between w:val="nil"/>
        </w:pBdr>
        <w:spacing w:line="360" w:lineRule="auto"/>
        <w:ind w:left="936" w:hanging="360"/>
        <w:rPr>
          <w:sz w:val="24"/>
          <w:szCs w:val="24"/>
        </w:rPr>
      </w:pPr>
    </w:p>
    <w:p w:rsidR="006F3BB7" w14:paraId="6FD525D6" w14:textId="77777777">
      <w:pPr>
        <w:pBdr>
          <w:top w:val="nil"/>
          <w:left w:val="nil"/>
          <w:bottom w:val="nil"/>
          <w:right w:val="nil"/>
          <w:between w:val="nil"/>
        </w:pBdr>
        <w:spacing w:line="360" w:lineRule="auto"/>
        <w:ind w:left="936" w:hanging="360"/>
      </w:pPr>
      <w:r>
        <w:br w:type="page"/>
      </w:r>
    </w:p>
    <w:p w:rsidR="006F3BB7" w14:paraId="5F19662C" w14:textId="77777777">
      <w:pPr>
        <w:pStyle w:val="Heading1"/>
      </w:pPr>
      <w:bookmarkStart w:id="4" w:name="_Toc38633279"/>
      <w:r>
        <w:t>II. Satellite Operator Costs</w:t>
      </w:r>
      <w:bookmarkEnd w:id="4"/>
    </w:p>
    <w:p w:rsidR="005B4A4E" w:rsidRPr="00ED4F48" w:rsidP="00ED4F48" w14:paraId="7E0DD230" w14:textId="77777777"/>
    <w:p w:rsidR="006F3BB7" w14:paraId="6C718152" w14:textId="3B1E44B1">
      <w:r>
        <w:t xml:space="preserve">The transition will require </w:t>
      </w:r>
      <w:r w:rsidR="00C3125C">
        <w:t xml:space="preserve">eligible </w:t>
      </w:r>
      <w:r>
        <w:t xml:space="preserve">space station operators to incur new capital costs and short-term operating expenditures. </w:t>
      </w:r>
      <w:r w:rsidR="00C3125C">
        <w:t xml:space="preserve"> </w:t>
      </w:r>
      <w:r w:rsidRPr="00311F1E" w:rsidR="009C5F89">
        <w:t>Reimbursable space station operator costs are limited to the actual relocation costs, as long as they are not unreasonable, associated with clearing the lower 300 megahertz of the band while ensuring continued operations for their customers.</w:t>
      </w:r>
      <w:r>
        <w:rPr>
          <w:vertAlign w:val="superscript"/>
        </w:rPr>
        <w:footnoteReference w:id="5"/>
      </w:r>
      <w:r w:rsidRPr="00311F1E" w:rsidR="009C5F89">
        <w:t xml:space="preserve"> </w:t>
      </w:r>
      <w:r w:rsidR="009C5F89">
        <w:t xml:space="preserve"> Thus, r</w:t>
      </w:r>
      <w:r>
        <w:t>eimbursable costs could include all reasonable engineering, equipment, site, and FCC fees, as well as any reasonable, additional costs that eligible space station operators serving earth stations in the contiguous United States may incur as a result of relocation.</w:t>
      </w:r>
      <w:r>
        <w:rPr>
          <w:vertAlign w:val="superscript"/>
        </w:rPr>
        <w:footnoteReference w:id="6"/>
      </w:r>
      <w:r>
        <w:t xml:space="preserve"> </w:t>
      </w:r>
    </w:p>
    <w:p w:rsidR="006F3BB7" w14:paraId="21269685" w14:textId="456DB590">
      <w:r>
        <w:t xml:space="preserve"> </w:t>
      </w:r>
    </w:p>
    <w:p w:rsidR="006F3BB7" w14:paraId="6069361E" w14:textId="77777777">
      <w:pPr>
        <w:pStyle w:val="Heading2"/>
        <w:numPr>
          <w:ilvl w:val="0"/>
          <w:numId w:val="4"/>
        </w:numPr>
      </w:pPr>
      <w:bookmarkStart w:id="5" w:name="_Toc38633280"/>
      <w:r>
        <w:t>Expected Cost to Repack Existing Satellites</w:t>
      </w:r>
      <w:bookmarkEnd w:id="5"/>
    </w:p>
    <w:p w:rsidR="006F3BB7" w14:paraId="3F4E19E1" w14:textId="1174D6EF">
      <w:r>
        <w:t>Clearing</w:t>
      </w:r>
      <w:r w:rsidR="0097557E">
        <w:t xml:space="preserve"> the lower 300 megahertz</w:t>
      </w:r>
      <w:r>
        <w:t xml:space="preserve"> will entail</w:t>
      </w:r>
      <w:r w:rsidR="0097557E">
        <w:t xml:space="preserve"> ensuring that current</w:t>
      </w:r>
      <w:r w:rsidR="001E2DD7">
        <w:t xml:space="preserve"> services</w:t>
      </w:r>
      <w:r w:rsidR="0097557E">
        <w:t xml:space="preserve"> </w:t>
      </w:r>
      <w:r w:rsidR="001E2DD7">
        <w:t xml:space="preserve">offered </w:t>
      </w:r>
      <w:r w:rsidR="0097557E">
        <w:t>across 500 megahertz</w:t>
      </w:r>
      <w:r w:rsidR="009C5F89">
        <w:t xml:space="preserve"> </w:t>
      </w:r>
      <w:r w:rsidRPr="009C5F89" w:rsidR="009C5F89">
        <w:t>of the 3700-4200 MHz band</w:t>
      </w:r>
      <w:r>
        <w:t xml:space="preserve">, which </w:t>
      </w:r>
      <w:r w:rsidR="001E2DD7">
        <w:t>do not utilize the full capacity</w:t>
      </w:r>
      <w:r w:rsidR="0097557E">
        <w:t xml:space="preserve">, </w:t>
      </w:r>
      <w:r w:rsidR="003F6378">
        <w:t>are</w:t>
      </w:r>
      <w:r w:rsidR="009C5F89">
        <w:t xml:space="preserve"> </w:t>
      </w:r>
      <w:r w:rsidR="0097557E">
        <w:t xml:space="preserve">efficiently </w:t>
      </w:r>
      <w:r w:rsidR="009C5F89">
        <w:t>transitioned to</w:t>
      </w:r>
      <w:r w:rsidR="0097557E">
        <w:t xml:space="preserve"> the upper 200 megahertz.</w:t>
      </w:r>
      <w:r>
        <w:t xml:space="preserve"> </w:t>
      </w:r>
      <w:r w:rsidR="0097557E">
        <w:t xml:space="preserve"> Most of this </w:t>
      </w:r>
      <w:r w:rsidR="00922A3D">
        <w:t xml:space="preserve">clearing </w:t>
      </w:r>
      <w:r w:rsidR="0097557E">
        <w:t xml:space="preserve">effort is </w:t>
      </w:r>
      <w:r w:rsidR="00922A3D">
        <w:t xml:space="preserve">operator </w:t>
      </w:r>
      <w:r w:rsidR="0097557E">
        <w:t>labor</w:t>
      </w:r>
      <w:r w:rsidR="00922A3D">
        <w:t>, so</w:t>
      </w:r>
      <w:r w:rsidR="0097557E">
        <w:t xml:space="preserve"> a range of costs for this labor is provided in Table II-A-1 below</w:t>
      </w:r>
      <w:r w:rsidR="004E7529">
        <w:t xml:space="preserve"> on a per satellite basis</w:t>
      </w:r>
      <w:r w:rsidR="0097557E">
        <w:t xml:space="preserve"> inclusive of load balancing.</w:t>
      </w:r>
    </w:p>
    <w:p w:rsidR="006F3BB7" w14:paraId="3243A5AE" w14:textId="77777777">
      <w:r>
        <w:t xml:space="preserve"> </w:t>
      </w:r>
    </w:p>
    <w:tbl>
      <w:tblPr>
        <w:tblW w:w="1006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102"/>
        <w:gridCol w:w="2963"/>
      </w:tblGrid>
      <w:tr w14:paraId="400B5A0F" w14:textId="77777777" w:rsidTr="00C75185">
        <w:tblPrEx>
          <w:tblW w:w="1006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71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6837CEFD" w14:textId="77777777">
            <w:pPr>
              <w:widowControl w:val="0"/>
              <w:pBdr>
                <w:top w:val="nil"/>
                <w:left w:val="nil"/>
                <w:bottom w:val="nil"/>
                <w:right w:val="nil"/>
                <w:between w:val="nil"/>
              </w:pBdr>
              <w:ind w:left="0" w:right="0"/>
              <w:rPr>
                <w:rFonts w:ascii="Calibri" w:eastAsia="Calibri" w:hAnsi="Calibri" w:cs="Calibri"/>
                <w:color w:val="000000"/>
              </w:rPr>
            </w:pPr>
            <w:r>
              <w:rPr>
                <w:color w:val="0072C6"/>
              </w:rPr>
              <w:t>Table II-A-1: Satellite Repacking</w:t>
            </w:r>
          </w:p>
        </w:tc>
        <w:tc>
          <w:tcPr>
            <w:tcW w:w="29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00CA464" w14:textId="62BBD8A0">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p>
        </w:tc>
      </w:tr>
      <w:tr w14:paraId="41B18AD8" w14:textId="77777777" w:rsidTr="00C75185">
        <w:tblPrEx>
          <w:tblW w:w="10065" w:type="dxa"/>
          <w:jc w:val="center"/>
          <w:tblLayout w:type="fixed"/>
          <w:tblCellMar>
            <w:top w:w="100" w:type="dxa"/>
            <w:left w:w="100" w:type="dxa"/>
            <w:bottom w:w="100" w:type="dxa"/>
            <w:right w:w="100" w:type="dxa"/>
          </w:tblCellMar>
          <w:tblLook w:val="0600"/>
        </w:tblPrEx>
        <w:trPr>
          <w:trHeight w:val="300"/>
          <w:jc w:val="center"/>
        </w:trPr>
        <w:tc>
          <w:tcPr>
            <w:tcW w:w="71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E8AC11A" w14:textId="77777777">
            <w:pPr>
              <w:widowControl w:val="0"/>
              <w:ind w:left="0" w:right="0"/>
              <w:rPr>
                <w:rFonts w:ascii="Calibri" w:eastAsia="Calibri" w:hAnsi="Calibri" w:cs="Calibri"/>
                <w:color w:val="000000"/>
              </w:rPr>
            </w:pPr>
            <w:r>
              <w:rPr>
                <w:color w:val="000000"/>
              </w:rPr>
              <w:t>Engineering and Execution Labor</w:t>
            </w:r>
          </w:p>
        </w:tc>
        <w:tc>
          <w:tcPr>
            <w:tcW w:w="29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C1EB924" w14:textId="77777777">
            <w:pPr>
              <w:widowControl w:val="0"/>
              <w:ind w:left="0" w:right="0"/>
              <w:jc w:val="center"/>
              <w:rPr>
                <w:rFonts w:ascii="Calibri" w:eastAsia="Calibri" w:hAnsi="Calibri" w:cs="Calibri"/>
                <w:color w:val="000000"/>
              </w:rPr>
            </w:pPr>
            <w:r>
              <w:rPr>
                <w:color w:val="000000"/>
              </w:rPr>
              <w:t>150,000 – 350,000</w:t>
            </w:r>
          </w:p>
        </w:tc>
      </w:tr>
    </w:tbl>
    <w:p w:rsidR="006F3BB7" w14:paraId="5328688B" w14:textId="77777777">
      <w:pPr>
        <w:ind w:left="0"/>
      </w:pPr>
    </w:p>
    <w:p w:rsidR="006F3BB7" w14:paraId="503F81CC" w14:textId="77777777">
      <w:pPr>
        <w:pStyle w:val="Heading2"/>
        <w:numPr>
          <w:ilvl w:val="0"/>
          <w:numId w:val="4"/>
        </w:numPr>
      </w:pPr>
      <w:r>
        <w:t xml:space="preserve"> </w:t>
      </w:r>
      <w:bookmarkStart w:id="6" w:name="_Toc38633281"/>
      <w:r>
        <w:t>In-orbit Delivery of New Satellite(s)</w:t>
      </w:r>
      <w:bookmarkEnd w:id="6"/>
    </w:p>
    <w:p w:rsidR="006F3BB7" w14:paraId="2F635F21" w14:textId="4A39E8ED">
      <w:r>
        <w:t>While some satellite operators may be able to transition their operations above 4000 MHz with existing satellite capacity, some operators may need to launch additional satellites to complete the transition.  The following table includes the expected</w:t>
      </w:r>
      <w:r w:rsidR="00BD1CFF">
        <w:t xml:space="preserve"> range for</w:t>
      </w:r>
      <w:r>
        <w:t xml:space="preserve"> total sum </w:t>
      </w:r>
      <w:r w:rsidR="00BD1CFF">
        <w:t xml:space="preserve">of </w:t>
      </w:r>
      <w:r>
        <w:t>cost</w:t>
      </w:r>
      <w:r w:rsidR="00BD1CFF">
        <w:t>s</w:t>
      </w:r>
      <w:r>
        <w:t xml:space="preserve"> for the in-orbit operational delivery of satellite(s). </w:t>
      </w:r>
      <w:r w:rsidR="00693240">
        <w:t xml:space="preserve"> </w:t>
      </w:r>
      <w:r>
        <w:t xml:space="preserve">The costs are inclusive of spacecraft, launch, financing, mission operation, spacecraft-specific </w:t>
      </w:r>
      <w:r w:rsidR="00AD61B2">
        <w:t>g</w:t>
      </w:r>
      <w:r>
        <w:t xml:space="preserve">round costs, program management/oversight, and insurance. </w:t>
      </w:r>
      <w:r w:rsidR="00693240">
        <w:t xml:space="preserve"> </w:t>
      </w:r>
      <w:r>
        <w:t xml:space="preserve">Costs are broken out by a single launch or a shared launch. </w:t>
      </w:r>
    </w:p>
    <w:p w:rsidR="006F3BB7" w14:paraId="12453DAC" w14:textId="77777777"/>
    <w:tbl>
      <w:tblPr>
        <w:tblW w:w="9990"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110"/>
        <w:gridCol w:w="2880"/>
      </w:tblGrid>
      <w:tr w14:paraId="4C95A74F" w14:textId="77777777">
        <w:tblPrEx>
          <w:tblW w:w="9990"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70"/>
        </w:trPr>
        <w:tc>
          <w:tcPr>
            <w:tcW w:w="71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055BAA4F" w14:textId="77777777">
            <w:pPr>
              <w:widowControl w:val="0"/>
              <w:ind w:left="0" w:right="0"/>
              <w:jc w:val="center"/>
              <w:rPr>
                <w:rFonts w:ascii="Calibri" w:eastAsia="Calibri" w:hAnsi="Calibri" w:cs="Calibri"/>
                <w:color w:val="000000"/>
              </w:rPr>
            </w:pPr>
            <w:r>
              <w:rPr>
                <w:color w:val="0072C6"/>
              </w:rPr>
              <w:t>Table II-B-1: Expected Total Costs for Satellite(s) delivered in-orbit</w:t>
            </w:r>
          </w:p>
        </w:tc>
        <w:tc>
          <w:tcPr>
            <w:tcW w:w="28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28A13C5E" w14:textId="3ED2B115">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p>
        </w:tc>
      </w:tr>
      <w:tr w14:paraId="0F381795" w14:textId="77777777">
        <w:tblPrEx>
          <w:tblW w:w="9990" w:type="dxa"/>
          <w:tblInd w:w="400" w:type="dxa"/>
          <w:tblLayout w:type="fixed"/>
          <w:tblCellMar>
            <w:top w:w="100" w:type="dxa"/>
            <w:left w:w="100" w:type="dxa"/>
            <w:bottom w:w="100" w:type="dxa"/>
            <w:right w:w="100" w:type="dxa"/>
          </w:tblCellMar>
          <w:tblLook w:val="0600"/>
        </w:tblPrEx>
        <w:trPr>
          <w:trHeight w:val="270"/>
        </w:trPr>
        <w:tc>
          <w:tcPr>
            <w:tcW w:w="71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4404E47" w14:textId="77777777">
            <w:pPr>
              <w:widowControl w:val="0"/>
              <w:ind w:left="0" w:right="0"/>
              <w:rPr>
                <w:rFonts w:ascii="Calibri" w:eastAsia="Calibri" w:hAnsi="Calibri" w:cs="Calibri"/>
                <w:color w:val="000000"/>
              </w:rPr>
            </w:pPr>
            <w:r>
              <w:rPr>
                <w:color w:val="000000"/>
              </w:rPr>
              <w:t>2 tandem launched C-Band space satellites</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5207C5B2" w14:textId="2636A17B">
            <w:pPr>
              <w:widowControl w:val="0"/>
              <w:ind w:left="0" w:right="0"/>
              <w:jc w:val="center"/>
              <w:rPr>
                <w:rFonts w:ascii="Calibri" w:eastAsia="Calibri" w:hAnsi="Calibri" w:cs="Calibri"/>
                <w:color w:val="000000"/>
              </w:rPr>
            </w:pPr>
            <w:r>
              <w:rPr>
                <w:color w:val="000000"/>
              </w:rPr>
              <w:t>2</w:t>
            </w:r>
            <w:r w:rsidR="00FC53A4">
              <w:rPr>
                <w:color w:val="000000"/>
              </w:rPr>
              <w:t>40</w:t>
            </w:r>
            <w:r>
              <w:rPr>
                <w:color w:val="000000"/>
              </w:rPr>
              <w:t>M – 768M</w:t>
            </w:r>
          </w:p>
        </w:tc>
      </w:tr>
      <w:tr w14:paraId="6341C978" w14:textId="77777777">
        <w:tblPrEx>
          <w:tblW w:w="9990" w:type="dxa"/>
          <w:tblInd w:w="400" w:type="dxa"/>
          <w:tblLayout w:type="fixed"/>
          <w:tblCellMar>
            <w:top w:w="100" w:type="dxa"/>
            <w:left w:w="100" w:type="dxa"/>
            <w:bottom w:w="100" w:type="dxa"/>
            <w:right w:w="100" w:type="dxa"/>
          </w:tblCellMar>
          <w:tblLook w:val="0600"/>
        </w:tblPrEx>
        <w:trPr>
          <w:trHeight w:val="300"/>
        </w:trPr>
        <w:tc>
          <w:tcPr>
            <w:tcW w:w="711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75ED6167" w14:textId="77777777">
            <w:pPr>
              <w:widowControl w:val="0"/>
              <w:ind w:left="0" w:right="0"/>
              <w:rPr>
                <w:rFonts w:ascii="Calibri" w:eastAsia="Calibri" w:hAnsi="Calibri" w:cs="Calibri"/>
                <w:color w:val="000000"/>
              </w:rPr>
            </w:pPr>
            <w:r>
              <w:rPr>
                <w:color w:val="000000"/>
              </w:rPr>
              <w:t>1 single launched C-Band satellite</w:t>
            </w:r>
          </w:p>
        </w:tc>
        <w:tc>
          <w:tcPr>
            <w:tcW w:w="28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2EBEA80D" w14:textId="77777777">
            <w:pPr>
              <w:widowControl w:val="0"/>
              <w:ind w:left="0" w:right="0"/>
              <w:jc w:val="center"/>
              <w:rPr>
                <w:rFonts w:ascii="Calibri" w:eastAsia="Calibri" w:hAnsi="Calibri" w:cs="Calibri"/>
                <w:color w:val="000000"/>
              </w:rPr>
            </w:pPr>
            <w:r>
              <w:rPr>
                <w:color w:val="000000"/>
              </w:rPr>
              <w:t>120M – 450M</w:t>
            </w:r>
          </w:p>
        </w:tc>
      </w:tr>
    </w:tbl>
    <w:p w:rsidR="006F3BB7" w14:paraId="6DDAFD1F" w14:textId="77777777">
      <w:pPr>
        <w:pStyle w:val="Heading2"/>
        <w:ind w:firstLine="1440"/>
        <w:rPr>
          <w:sz w:val="2"/>
          <w:szCs w:val="2"/>
        </w:rPr>
      </w:pPr>
      <w:bookmarkStart w:id="7" w:name="_tyjcwt" w:colFirst="0" w:colLast="0"/>
      <w:bookmarkEnd w:id="7"/>
    </w:p>
    <w:p w:rsidR="006F3BB7" w14:paraId="052D8A1F" w14:textId="576BF341">
      <w:bookmarkStart w:id="8" w:name="_Hlk38519436"/>
      <w:r>
        <w:t>In section II-</w:t>
      </w:r>
      <w:r w:rsidR="00E24271">
        <w:t xml:space="preserve">B </w:t>
      </w:r>
      <w:r>
        <w:t>above and in section II-</w:t>
      </w:r>
      <w:r w:rsidR="00E24271">
        <w:t>C below</w:t>
      </w:r>
      <w:r>
        <w:t>, the low estimates are based upon satellite operator procurement of multiple, identical launch vehicles, where spacecraft are assumed to be standard C-band payloads with minimal spacecraft redundancy to satisfy basic mission objectives and an adequate number of amplifiers to clear the 300 megahertz of spectrum per satellite operator requirements</w:t>
      </w:r>
      <w:bookmarkEnd w:id="8"/>
      <w:r>
        <w:t xml:space="preserve">. </w:t>
      </w:r>
      <w:r w:rsidR="006375E3">
        <w:t xml:space="preserve"> </w:t>
      </w:r>
      <w:r>
        <w:t xml:space="preserve">High estimates assume a significantly accelerated build/launch timeline to offer satellite operators the ability to begin testing and verification of ground relocation equipment over the satellite in under 24 months and/or the potential to “backstop” other </w:t>
      </w:r>
      <w:r>
        <w:t xml:space="preserve">satellite builds as a fail-safe to delays. </w:t>
      </w:r>
      <w:r w:rsidR="008E75ED">
        <w:t xml:space="preserve"> </w:t>
      </w:r>
      <w:r>
        <w:t>High estimates also assume additional technical spacecraft margins for reliability and redundancy and propulsion systems that accommodate rapid mission transfers to final orbital positions.</w:t>
      </w:r>
    </w:p>
    <w:p w:rsidR="006F3BB7" w14:paraId="3F18847B" w14:textId="77777777"/>
    <w:p w:rsidR="006F3BB7" w14:paraId="2A9F2585" w14:textId="77777777">
      <w:pPr>
        <w:pStyle w:val="Heading2"/>
        <w:numPr>
          <w:ilvl w:val="0"/>
          <w:numId w:val="4"/>
        </w:numPr>
      </w:pPr>
      <w:bookmarkStart w:id="9" w:name="_Toc38633282"/>
      <w:r>
        <w:t>Space Segment Cost Breakout</w:t>
      </w:r>
      <w:bookmarkEnd w:id="9"/>
      <w:r>
        <w:t xml:space="preserve"> </w:t>
      </w:r>
    </w:p>
    <w:p w:rsidR="006F3BB7" w14:paraId="366F3A0E" w14:textId="7E4F7D6D">
      <w:r>
        <w:t>In this section, the costs from Table II-</w:t>
      </w:r>
      <w:r w:rsidR="00E24271">
        <w:t>B</w:t>
      </w:r>
      <w:r>
        <w:t xml:space="preserve">-1 are broken down further to account for the individual satellite procurement, launch, and financing. </w:t>
      </w:r>
    </w:p>
    <w:p w:rsidR="006F3BB7" w14:paraId="641303A6" w14:textId="77777777"/>
    <w:p w:rsidR="006F3BB7" w14:paraId="487FEBF8" w14:textId="77777777">
      <w:pPr>
        <w:pStyle w:val="Heading3"/>
        <w:numPr>
          <w:ilvl w:val="0"/>
          <w:numId w:val="1"/>
        </w:numPr>
      </w:pPr>
      <w:bookmarkStart w:id="10" w:name="_Toc38633283"/>
      <w:r>
        <w:t>Spacecraft</w:t>
      </w:r>
      <w:bookmarkEnd w:id="10"/>
      <w:r>
        <w:t xml:space="preserve"> </w:t>
      </w:r>
    </w:p>
    <w:p w:rsidR="006F3BB7" w14:paraId="6E8C5BD0" w14:textId="2414E730">
      <w:r>
        <w:t>The table below presents the costs associated with building a new satellite</w:t>
      </w:r>
      <w:r w:rsidR="00E24271">
        <w:t>.</w:t>
      </w:r>
    </w:p>
    <w:p w:rsidR="006F3BB7" w14:paraId="19AB28C9" w14:textId="77777777">
      <w:r>
        <w:t>.</w:t>
      </w:r>
    </w:p>
    <w:tbl>
      <w:tblPr>
        <w:tblW w:w="10005"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600"/>
        <w:gridCol w:w="3405"/>
      </w:tblGrid>
      <w:tr w14:paraId="12B5BAA8" w14:textId="77777777">
        <w:tblPrEx>
          <w:tblW w:w="10005"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70"/>
        </w:trPr>
        <w:tc>
          <w:tcPr>
            <w:tcW w:w="6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564861FD" w14:textId="77777777">
            <w:pPr>
              <w:widowControl w:val="0"/>
              <w:ind w:left="0" w:right="0"/>
              <w:jc w:val="center"/>
              <w:rPr>
                <w:rFonts w:ascii="Calibri" w:eastAsia="Calibri" w:hAnsi="Calibri" w:cs="Calibri"/>
                <w:color w:val="000000"/>
              </w:rPr>
            </w:pPr>
            <w:r>
              <w:rPr>
                <w:color w:val="0072C6"/>
              </w:rPr>
              <w:t>Table II-C-1: Satellite Procurement of 1 satellite</w:t>
            </w:r>
          </w:p>
        </w:tc>
        <w:tc>
          <w:tcPr>
            <w:tcW w:w="34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1E3FEE1" w14:textId="566BC2E7">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p>
        </w:tc>
      </w:tr>
      <w:tr w14:paraId="6A112338" w14:textId="77777777">
        <w:tblPrEx>
          <w:tblW w:w="10005" w:type="dxa"/>
          <w:tblInd w:w="400" w:type="dxa"/>
          <w:tblLayout w:type="fixed"/>
          <w:tblCellMar>
            <w:top w:w="100" w:type="dxa"/>
            <w:left w:w="100" w:type="dxa"/>
            <w:bottom w:w="100" w:type="dxa"/>
            <w:right w:w="100" w:type="dxa"/>
          </w:tblCellMar>
          <w:tblLook w:val="0600"/>
        </w:tblPrEx>
        <w:trPr>
          <w:trHeight w:val="270"/>
        </w:trPr>
        <w:tc>
          <w:tcPr>
            <w:tcW w:w="6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0C68C5B" w14:textId="4A8BB6EF">
            <w:pPr>
              <w:widowControl w:val="0"/>
              <w:ind w:left="0" w:right="0"/>
              <w:rPr>
                <w:rFonts w:ascii="Calibri" w:eastAsia="Calibri" w:hAnsi="Calibri" w:cs="Calibri"/>
                <w:color w:val="000000"/>
              </w:rPr>
            </w:pPr>
            <w:r>
              <w:rPr>
                <w:color w:val="000000"/>
              </w:rPr>
              <w:t>1 C-</w:t>
            </w:r>
            <w:r w:rsidR="00E24271">
              <w:rPr>
                <w:color w:val="000000"/>
              </w:rPr>
              <w:t>b</w:t>
            </w:r>
            <w:r>
              <w:rPr>
                <w:color w:val="000000"/>
              </w:rPr>
              <w:t>and satellite for replacement/diversification</w:t>
            </w:r>
          </w:p>
        </w:tc>
        <w:tc>
          <w:tcPr>
            <w:tcW w:w="34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C036A48" w14:textId="77777777">
            <w:pPr>
              <w:widowControl w:val="0"/>
              <w:ind w:left="0" w:right="0"/>
              <w:jc w:val="center"/>
              <w:rPr>
                <w:rFonts w:ascii="Calibri" w:eastAsia="Calibri" w:hAnsi="Calibri" w:cs="Calibri"/>
                <w:color w:val="000000"/>
              </w:rPr>
            </w:pPr>
            <w:r>
              <w:rPr>
                <w:color w:val="000000"/>
              </w:rPr>
              <w:t>89M – 205M</w:t>
            </w:r>
          </w:p>
        </w:tc>
      </w:tr>
      <w:tr w14:paraId="19579A15" w14:textId="77777777">
        <w:tblPrEx>
          <w:tblW w:w="10005" w:type="dxa"/>
          <w:tblInd w:w="400" w:type="dxa"/>
          <w:tblLayout w:type="fixed"/>
          <w:tblCellMar>
            <w:top w:w="100" w:type="dxa"/>
            <w:left w:w="100" w:type="dxa"/>
            <w:bottom w:w="100" w:type="dxa"/>
            <w:right w:w="100" w:type="dxa"/>
          </w:tblCellMar>
          <w:tblLook w:val="0600"/>
        </w:tblPrEx>
        <w:trPr>
          <w:trHeight w:val="270"/>
        </w:trPr>
        <w:tc>
          <w:tcPr>
            <w:tcW w:w="6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E811E18" w14:textId="77777777">
            <w:pPr>
              <w:widowControl w:val="0"/>
              <w:ind w:left="0" w:right="0"/>
              <w:rPr>
                <w:rFonts w:ascii="Calibri" w:eastAsia="Calibri" w:hAnsi="Calibri" w:cs="Calibri"/>
                <w:color w:val="000000"/>
              </w:rPr>
            </w:pPr>
            <w:r>
              <w:rPr>
                <w:color w:val="000000"/>
              </w:rPr>
              <w:t>Satellite Procurement Program Management (per satellite)</w:t>
            </w:r>
          </w:p>
        </w:tc>
        <w:tc>
          <w:tcPr>
            <w:tcW w:w="34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2A6C5723" w14:textId="77777777">
            <w:pPr>
              <w:widowControl w:val="0"/>
              <w:ind w:left="0" w:right="0"/>
              <w:jc w:val="center"/>
              <w:rPr>
                <w:rFonts w:ascii="Calibri" w:eastAsia="Calibri" w:hAnsi="Calibri" w:cs="Calibri"/>
                <w:color w:val="000000"/>
              </w:rPr>
            </w:pPr>
            <w:r>
              <w:rPr>
                <w:color w:val="000000"/>
              </w:rPr>
              <w:t>5M – 8M</w:t>
            </w:r>
          </w:p>
        </w:tc>
      </w:tr>
    </w:tbl>
    <w:p w:rsidR="006F3BB7" w14:paraId="50BECC3A" w14:textId="77777777">
      <w:pPr>
        <w:pStyle w:val="Heading3"/>
        <w:ind w:left="720" w:firstLine="0"/>
        <w:rPr>
          <w:sz w:val="2"/>
          <w:szCs w:val="2"/>
        </w:rPr>
      </w:pPr>
      <w:bookmarkStart w:id="11" w:name="_4d34og8" w:colFirst="0" w:colLast="0"/>
      <w:bookmarkEnd w:id="11"/>
    </w:p>
    <w:p w:rsidR="006F3BB7" w14:paraId="42ADBA8A" w14:textId="77777777">
      <w:pPr>
        <w:pStyle w:val="Heading3"/>
        <w:numPr>
          <w:ilvl w:val="0"/>
          <w:numId w:val="1"/>
        </w:numPr>
      </w:pPr>
      <w:bookmarkStart w:id="12" w:name="_Toc38633284"/>
      <w:r>
        <w:t>Launch Costs</w:t>
      </w:r>
      <w:bookmarkEnd w:id="12"/>
    </w:p>
    <w:p w:rsidR="006F3BB7" w14:paraId="1DDA286F" w14:textId="77777777">
      <w:r>
        <w:t>Cost of launches for the replacement satellites varies greatly.  Contributions to this range include reusability of the rocket, development of multi-satellite stacks for the rockets, and the launch-on-demand requirements for meeting the timelines.</w:t>
      </w:r>
    </w:p>
    <w:p w:rsidR="006F3BB7" w14:paraId="554DFE2B" w14:textId="77777777"/>
    <w:tbl>
      <w:tblPr>
        <w:tblW w:w="10035" w:type="dxa"/>
        <w:tblInd w:w="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645"/>
        <w:gridCol w:w="3390"/>
      </w:tblGrid>
      <w:tr w14:paraId="52B91033" w14:textId="77777777">
        <w:tblPrEx>
          <w:tblW w:w="10035" w:type="dxa"/>
          <w:tblInd w:w="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70"/>
        </w:trPr>
        <w:tc>
          <w:tcPr>
            <w:tcW w:w="6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2C1C9B47" w14:textId="77777777">
            <w:pPr>
              <w:widowControl w:val="0"/>
              <w:ind w:left="0" w:right="0"/>
              <w:jc w:val="center"/>
              <w:rPr>
                <w:rFonts w:ascii="Calibri" w:eastAsia="Calibri" w:hAnsi="Calibri" w:cs="Calibri"/>
                <w:color w:val="000000"/>
              </w:rPr>
            </w:pPr>
            <w:r>
              <w:rPr>
                <w:color w:val="0072C6"/>
              </w:rPr>
              <w:t>Table II-C-2: Launch Costs</w:t>
            </w:r>
          </w:p>
        </w:tc>
        <w:tc>
          <w:tcPr>
            <w:tcW w:w="33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07DBC98" w14:textId="2B462028">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0F2983FE" w14:textId="77777777">
        <w:tblPrEx>
          <w:tblW w:w="10035" w:type="dxa"/>
          <w:tblInd w:w="355" w:type="dxa"/>
          <w:tblLayout w:type="fixed"/>
          <w:tblCellMar>
            <w:top w:w="100" w:type="dxa"/>
            <w:left w:w="100" w:type="dxa"/>
            <w:bottom w:w="100" w:type="dxa"/>
            <w:right w:w="100" w:type="dxa"/>
          </w:tblCellMar>
          <w:tblLook w:val="0600"/>
        </w:tblPrEx>
        <w:trPr>
          <w:trHeight w:val="270"/>
        </w:trPr>
        <w:tc>
          <w:tcPr>
            <w:tcW w:w="6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0AF4D78" w14:textId="77777777">
            <w:pPr>
              <w:widowControl w:val="0"/>
              <w:ind w:left="0" w:right="0"/>
              <w:rPr>
                <w:rFonts w:ascii="Calibri" w:eastAsia="Calibri" w:hAnsi="Calibri" w:cs="Calibri"/>
                <w:color w:val="000000"/>
              </w:rPr>
            </w:pPr>
            <w:r>
              <w:rPr>
                <w:color w:val="000000"/>
              </w:rPr>
              <w:t>Launch per Satellite (Dual Launch)</w:t>
            </w:r>
          </w:p>
        </w:tc>
        <w:tc>
          <w:tcPr>
            <w:tcW w:w="3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003BBF60" w14:textId="77777777">
            <w:pPr>
              <w:widowControl w:val="0"/>
              <w:ind w:left="0" w:right="0"/>
              <w:jc w:val="center"/>
              <w:rPr>
                <w:rFonts w:ascii="Calibri" w:eastAsia="Calibri" w:hAnsi="Calibri" w:cs="Calibri"/>
                <w:color w:val="000000"/>
              </w:rPr>
            </w:pPr>
            <w:r>
              <w:rPr>
                <w:color w:val="000000"/>
              </w:rPr>
              <w:t>36M – 83M</w:t>
            </w:r>
          </w:p>
        </w:tc>
      </w:tr>
      <w:tr w14:paraId="1C749660" w14:textId="77777777">
        <w:tblPrEx>
          <w:tblW w:w="10035" w:type="dxa"/>
          <w:tblInd w:w="355" w:type="dxa"/>
          <w:tblLayout w:type="fixed"/>
          <w:tblCellMar>
            <w:top w:w="100" w:type="dxa"/>
            <w:left w:w="100" w:type="dxa"/>
            <w:bottom w:w="100" w:type="dxa"/>
            <w:right w:w="100" w:type="dxa"/>
          </w:tblCellMar>
          <w:tblLook w:val="0600"/>
        </w:tblPrEx>
        <w:trPr>
          <w:trHeight w:val="270"/>
        </w:trPr>
        <w:tc>
          <w:tcPr>
            <w:tcW w:w="6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6B97101" w14:textId="144BABD1">
            <w:pPr>
              <w:widowControl w:val="0"/>
              <w:ind w:left="0" w:right="0"/>
              <w:rPr>
                <w:rFonts w:ascii="Calibri" w:eastAsia="Calibri" w:hAnsi="Calibri" w:cs="Calibri"/>
                <w:color w:val="000000"/>
              </w:rPr>
            </w:pPr>
            <w:r>
              <w:rPr>
                <w:color w:val="000000"/>
              </w:rPr>
              <w:t>Launch per Satellite (S</w:t>
            </w:r>
            <w:r w:rsidR="00711618">
              <w:rPr>
                <w:color w:val="000000"/>
              </w:rPr>
              <w:t>i</w:t>
            </w:r>
            <w:r>
              <w:rPr>
                <w:color w:val="000000"/>
              </w:rPr>
              <w:t>ngle Launch)</w:t>
            </w:r>
          </w:p>
        </w:tc>
        <w:tc>
          <w:tcPr>
            <w:tcW w:w="33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3311161" w14:textId="77777777">
            <w:pPr>
              <w:widowControl w:val="0"/>
              <w:ind w:left="0" w:right="0"/>
              <w:jc w:val="center"/>
              <w:rPr>
                <w:rFonts w:ascii="Calibri" w:eastAsia="Calibri" w:hAnsi="Calibri" w:cs="Calibri"/>
                <w:color w:val="000000"/>
              </w:rPr>
            </w:pPr>
            <w:r>
              <w:rPr>
                <w:color w:val="000000"/>
              </w:rPr>
              <w:t>63M – 104M</w:t>
            </w:r>
          </w:p>
        </w:tc>
      </w:tr>
    </w:tbl>
    <w:p w:rsidR="006F3BB7" w14:paraId="3FB99613" w14:textId="77777777">
      <w:pPr>
        <w:pStyle w:val="Heading3"/>
        <w:ind w:left="0" w:firstLine="0"/>
        <w:rPr>
          <w:sz w:val="2"/>
          <w:szCs w:val="2"/>
        </w:rPr>
      </w:pPr>
      <w:bookmarkStart w:id="13" w:name="_e6vsq3hgc9z5" w:colFirst="0" w:colLast="0"/>
      <w:bookmarkEnd w:id="13"/>
      <w:r>
        <w:br w:type="page"/>
      </w:r>
    </w:p>
    <w:p w:rsidR="006F3BB7" w14:paraId="4DBF2F64" w14:textId="77777777">
      <w:pPr>
        <w:pStyle w:val="Heading3"/>
        <w:numPr>
          <w:ilvl w:val="0"/>
          <w:numId w:val="1"/>
        </w:numPr>
      </w:pPr>
      <w:bookmarkStart w:id="14" w:name="_Toc38633285"/>
      <w:r>
        <w:t>Other Potential Costs</w:t>
      </w:r>
      <w:bookmarkEnd w:id="14"/>
    </w:p>
    <w:p w:rsidR="006F3BB7" w14:paraId="3A89FD06" w14:textId="6CF5BDDF">
      <w:r>
        <w:t xml:space="preserve">Other potential costs include financing (spacecraft and/or launch), insurance, legal, and supplemental engineering. </w:t>
      </w:r>
      <w:r w:rsidR="004B4AC9">
        <w:t xml:space="preserve"> </w:t>
      </w:r>
      <w:r>
        <w:t xml:space="preserve">Satellite operators may seek reimbursement for the costs of acquiring financing for clearing costs </w:t>
      </w:r>
      <w:r w:rsidR="00FC143B">
        <w:t>that are</w:t>
      </w:r>
      <w:r>
        <w:t xml:space="preserve"> directly attributable to relocation. </w:t>
      </w:r>
      <w:r w:rsidR="00CD4DDE">
        <w:t xml:space="preserve"> The estimated costs below are on a per satellite basis.</w:t>
      </w:r>
    </w:p>
    <w:p w:rsidR="006F3BB7" w14:paraId="5ABCA605" w14:textId="77777777"/>
    <w:tbl>
      <w:tblPr>
        <w:tblW w:w="1000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000"/>
        <w:gridCol w:w="4005"/>
      </w:tblGrid>
      <w:tr w14:paraId="071AE897" w14:textId="77777777">
        <w:tblPrEx>
          <w:tblW w:w="10005"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60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1239FBAA" w14:textId="77777777">
            <w:pPr>
              <w:widowControl w:val="0"/>
              <w:ind w:left="0" w:right="0"/>
              <w:jc w:val="center"/>
              <w:rPr>
                <w:rFonts w:ascii="Calibri" w:eastAsia="Calibri" w:hAnsi="Calibri" w:cs="Calibri"/>
                <w:color w:val="000000"/>
              </w:rPr>
            </w:pPr>
            <w:r>
              <w:rPr>
                <w:color w:val="0072C6"/>
              </w:rPr>
              <w:t>Table II-C-3: Consulting Fees</w:t>
            </w:r>
          </w:p>
        </w:tc>
        <w:tc>
          <w:tcPr>
            <w:tcW w:w="40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578672C" w14:textId="63647D2E">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61EE938E" w14:textId="77777777">
        <w:tblPrEx>
          <w:tblW w:w="10005" w:type="dxa"/>
          <w:jc w:val="center"/>
          <w:tblLayout w:type="fixed"/>
          <w:tblCellMar>
            <w:top w:w="100" w:type="dxa"/>
            <w:left w:w="100" w:type="dxa"/>
            <w:bottom w:w="100" w:type="dxa"/>
            <w:right w:w="100" w:type="dxa"/>
          </w:tblCellMar>
          <w:tblLook w:val="0600"/>
        </w:tblPrEx>
        <w:trPr>
          <w:trHeight w:val="300"/>
          <w:jc w:val="center"/>
        </w:trPr>
        <w:tc>
          <w:tcPr>
            <w:tcW w:w="60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E59A805" w14:textId="77777777">
            <w:pPr>
              <w:widowControl w:val="0"/>
              <w:ind w:left="0" w:right="0"/>
              <w:rPr>
                <w:rFonts w:ascii="Calibri" w:eastAsia="Calibri" w:hAnsi="Calibri" w:cs="Calibri"/>
                <w:color w:val="000000"/>
              </w:rPr>
            </w:pPr>
            <w:r>
              <w:rPr>
                <w:color w:val="000000"/>
              </w:rPr>
              <w:t>Satellite System Engineering Planning</w:t>
            </w:r>
          </w:p>
        </w:tc>
        <w:tc>
          <w:tcPr>
            <w:tcW w:w="40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408FA660" w14:textId="58C55C3E">
            <w:pPr>
              <w:widowControl w:val="0"/>
              <w:ind w:left="0" w:right="0"/>
              <w:jc w:val="center"/>
              <w:rPr>
                <w:rFonts w:ascii="Calibri" w:eastAsia="Calibri" w:hAnsi="Calibri" w:cs="Calibri"/>
                <w:color w:val="000000"/>
              </w:rPr>
            </w:pPr>
            <w:r>
              <w:rPr>
                <w:color w:val="000000"/>
              </w:rPr>
              <w:t xml:space="preserve">25,000 </w:t>
            </w:r>
            <w:r w:rsidR="00D236CF">
              <w:rPr>
                <w:color w:val="000000"/>
              </w:rPr>
              <w:t xml:space="preserve">– </w:t>
            </w:r>
            <w:r>
              <w:rPr>
                <w:color w:val="000000"/>
              </w:rPr>
              <w:t>75,000</w:t>
            </w:r>
          </w:p>
        </w:tc>
      </w:tr>
      <w:tr w14:paraId="0A36E11B" w14:textId="77777777">
        <w:tblPrEx>
          <w:tblW w:w="10005" w:type="dxa"/>
          <w:jc w:val="center"/>
          <w:tblLayout w:type="fixed"/>
          <w:tblCellMar>
            <w:top w:w="100" w:type="dxa"/>
            <w:left w:w="100" w:type="dxa"/>
            <w:bottom w:w="100" w:type="dxa"/>
            <w:right w:w="100" w:type="dxa"/>
          </w:tblCellMar>
          <w:tblLook w:val="0600"/>
        </w:tblPrEx>
        <w:trPr>
          <w:trHeight w:val="300"/>
          <w:jc w:val="center"/>
        </w:trPr>
        <w:tc>
          <w:tcPr>
            <w:tcW w:w="60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89F90E5" w14:textId="77777777">
            <w:pPr>
              <w:widowControl w:val="0"/>
              <w:ind w:left="0" w:right="0"/>
              <w:rPr>
                <w:rFonts w:ascii="Calibri" w:eastAsia="Calibri" w:hAnsi="Calibri" w:cs="Calibri"/>
                <w:color w:val="000000"/>
              </w:rPr>
            </w:pPr>
            <w:r>
              <w:rPr>
                <w:color w:val="000000"/>
              </w:rPr>
              <w:t>Coordination of new satellite</w:t>
            </w:r>
          </w:p>
        </w:tc>
        <w:tc>
          <w:tcPr>
            <w:tcW w:w="40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3C8660A8" w14:textId="2C84EB01">
            <w:pPr>
              <w:widowControl w:val="0"/>
              <w:ind w:left="0" w:right="0"/>
              <w:jc w:val="center"/>
              <w:rPr>
                <w:rFonts w:ascii="Calibri" w:eastAsia="Calibri" w:hAnsi="Calibri" w:cs="Calibri"/>
                <w:color w:val="000000"/>
              </w:rPr>
            </w:pPr>
            <w:r>
              <w:rPr>
                <w:color w:val="000000"/>
              </w:rPr>
              <w:t xml:space="preserve">35,000 </w:t>
            </w:r>
            <w:r w:rsidR="00D236CF">
              <w:rPr>
                <w:color w:val="000000"/>
              </w:rPr>
              <w:t xml:space="preserve">– </w:t>
            </w:r>
            <w:r>
              <w:rPr>
                <w:color w:val="000000"/>
              </w:rPr>
              <w:t>125,000</w:t>
            </w:r>
          </w:p>
        </w:tc>
      </w:tr>
    </w:tbl>
    <w:p w:rsidR="006F3BB7" w14:paraId="766674A3" w14:textId="77777777">
      <w:pPr>
        <w:ind w:left="0"/>
      </w:pPr>
    </w:p>
    <w:tbl>
      <w:tblPr>
        <w:tblW w:w="996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5970"/>
        <w:gridCol w:w="3990"/>
      </w:tblGrid>
      <w:tr w14:paraId="4309BC58" w14:textId="77777777">
        <w:tblPrEx>
          <w:tblW w:w="996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59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53959B62" w14:textId="77777777">
            <w:pPr>
              <w:widowControl w:val="0"/>
              <w:ind w:left="0" w:right="0"/>
              <w:jc w:val="center"/>
              <w:rPr>
                <w:rFonts w:ascii="Calibri" w:eastAsia="Calibri" w:hAnsi="Calibri" w:cs="Calibri"/>
                <w:color w:val="000000"/>
              </w:rPr>
            </w:pPr>
            <w:r>
              <w:rPr>
                <w:color w:val="0072C6"/>
              </w:rPr>
              <w:t>Table II-C-4: Attorney Fees</w:t>
            </w:r>
          </w:p>
        </w:tc>
        <w:tc>
          <w:tcPr>
            <w:tcW w:w="39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D76D658" w14:textId="166DCC8A">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3478EB9F" w14:textId="77777777">
        <w:tblPrEx>
          <w:tblW w:w="9960" w:type="dxa"/>
          <w:jc w:val="center"/>
          <w:tblLayout w:type="fixed"/>
          <w:tblCellMar>
            <w:top w:w="100" w:type="dxa"/>
            <w:left w:w="100" w:type="dxa"/>
            <w:bottom w:w="100" w:type="dxa"/>
            <w:right w:w="100" w:type="dxa"/>
          </w:tblCellMar>
          <w:tblLook w:val="0600"/>
        </w:tblPrEx>
        <w:trPr>
          <w:trHeight w:val="300"/>
          <w:jc w:val="center"/>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78B55A8" w14:textId="77777777">
            <w:pPr>
              <w:widowControl w:val="0"/>
              <w:ind w:left="0" w:right="0"/>
              <w:rPr>
                <w:rFonts w:ascii="Calibri" w:eastAsia="Calibri" w:hAnsi="Calibri" w:cs="Calibri"/>
                <w:color w:val="000000"/>
              </w:rPr>
            </w:pPr>
            <w:r>
              <w:rPr>
                <w:color w:val="000000"/>
              </w:rPr>
              <w:t>Prepare and File FCC Forms</w:t>
            </w:r>
          </w:p>
        </w:tc>
        <w:tc>
          <w:tcPr>
            <w:tcW w:w="3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6761F821" w14:textId="7E63E140">
            <w:pPr>
              <w:widowControl w:val="0"/>
              <w:ind w:left="0" w:right="0"/>
              <w:jc w:val="center"/>
              <w:rPr>
                <w:rFonts w:ascii="Calibri" w:eastAsia="Calibri" w:hAnsi="Calibri" w:cs="Calibri"/>
                <w:color w:val="000000"/>
              </w:rPr>
            </w:pPr>
            <w:r>
              <w:rPr>
                <w:color w:val="000000"/>
              </w:rPr>
              <w:t xml:space="preserve">1,500 </w:t>
            </w:r>
            <w:r w:rsidR="00D236CF">
              <w:rPr>
                <w:color w:val="000000"/>
              </w:rPr>
              <w:t xml:space="preserve">– </w:t>
            </w:r>
            <w:r>
              <w:rPr>
                <w:color w:val="000000"/>
              </w:rPr>
              <w:t>5,000</w:t>
            </w:r>
          </w:p>
        </w:tc>
      </w:tr>
      <w:tr w14:paraId="5D43E3D4" w14:textId="77777777">
        <w:tblPrEx>
          <w:tblW w:w="9960" w:type="dxa"/>
          <w:jc w:val="center"/>
          <w:tblLayout w:type="fixed"/>
          <w:tblCellMar>
            <w:top w:w="100" w:type="dxa"/>
            <w:left w:w="100" w:type="dxa"/>
            <w:bottom w:w="100" w:type="dxa"/>
            <w:right w:w="100" w:type="dxa"/>
          </w:tblCellMar>
          <w:tblLook w:val="0600"/>
        </w:tblPrEx>
        <w:trPr>
          <w:trHeight w:val="300"/>
          <w:jc w:val="center"/>
        </w:trPr>
        <w:tc>
          <w:tcPr>
            <w:tcW w:w="597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DF4003D" w14:textId="77777777">
            <w:pPr>
              <w:widowControl w:val="0"/>
              <w:ind w:left="0" w:right="0"/>
              <w:rPr>
                <w:rFonts w:ascii="Calibri" w:eastAsia="Calibri" w:hAnsi="Calibri" w:cs="Calibri"/>
                <w:color w:val="000000"/>
              </w:rPr>
            </w:pPr>
            <w:r>
              <w:rPr>
                <w:color w:val="000000"/>
              </w:rPr>
              <w:t>Prepare and File ITU Forms</w:t>
            </w:r>
          </w:p>
        </w:tc>
        <w:tc>
          <w:tcPr>
            <w:tcW w:w="399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34B9F6F5" w14:textId="57C01148">
            <w:pPr>
              <w:widowControl w:val="0"/>
              <w:ind w:left="0" w:right="0"/>
              <w:jc w:val="center"/>
              <w:rPr>
                <w:rFonts w:ascii="Calibri" w:eastAsia="Calibri" w:hAnsi="Calibri" w:cs="Calibri"/>
                <w:color w:val="000000"/>
              </w:rPr>
            </w:pPr>
            <w:r>
              <w:rPr>
                <w:color w:val="000000"/>
              </w:rPr>
              <w:t xml:space="preserve">5,000 </w:t>
            </w:r>
            <w:r w:rsidR="00D236CF">
              <w:rPr>
                <w:color w:val="000000"/>
              </w:rPr>
              <w:t xml:space="preserve">– </w:t>
            </w:r>
            <w:r>
              <w:rPr>
                <w:color w:val="000000"/>
              </w:rPr>
              <w:t>20,000</w:t>
            </w:r>
          </w:p>
        </w:tc>
      </w:tr>
    </w:tbl>
    <w:p w:rsidR="006F3BB7" w14:paraId="10881928" w14:textId="77777777">
      <w:pPr>
        <w:ind w:left="0"/>
      </w:pPr>
    </w:p>
    <w:tbl>
      <w:tblPr>
        <w:tblW w:w="996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5985"/>
        <w:gridCol w:w="3975"/>
      </w:tblGrid>
      <w:tr w14:paraId="528789CC" w14:textId="77777777">
        <w:tblPrEx>
          <w:tblW w:w="996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5039BE8A" w14:textId="5F8D73A0">
            <w:pPr>
              <w:widowControl w:val="0"/>
              <w:ind w:left="0" w:right="0"/>
              <w:jc w:val="center"/>
              <w:rPr>
                <w:rFonts w:ascii="Calibri" w:eastAsia="Calibri" w:hAnsi="Calibri" w:cs="Calibri"/>
                <w:color w:val="000000"/>
              </w:rPr>
            </w:pPr>
            <w:r>
              <w:rPr>
                <w:color w:val="0072C6"/>
              </w:rPr>
              <w:t>Table II-C-5: Filing Fees</w:t>
            </w:r>
            <w:r w:rsidR="00CD4DDE">
              <w:rPr>
                <w:color w:val="0072C6"/>
              </w:rPr>
              <w:t xml:space="preserve"> </w:t>
            </w:r>
          </w:p>
        </w:tc>
        <w:tc>
          <w:tcPr>
            <w:tcW w:w="39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24F9803" w14:textId="2A82060E">
            <w:pPr>
              <w:widowControl w:val="0"/>
              <w:ind w:left="0" w:right="0"/>
              <w:jc w:val="center"/>
              <w:rPr>
                <w:rFonts w:ascii="Calibri" w:eastAsia="Calibri" w:hAnsi="Calibri" w:cs="Calibri"/>
                <w:color w:val="000000"/>
              </w:rPr>
            </w:pPr>
            <w:r>
              <w:rPr>
                <w:color w:val="0072C6"/>
              </w:rPr>
              <w:t>Estimated Cost</w:t>
            </w:r>
            <w:r w:rsidR="00922A3D">
              <w:rPr>
                <w:color w:val="0072C6"/>
              </w:rPr>
              <w:t xml:space="preserve"> </w:t>
            </w:r>
            <w:r w:rsidRPr="00922A3D" w:rsidR="00922A3D">
              <w:rPr>
                <w:color w:val="0072C6"/>
              </w:rPr>
              <w:t>($)</w:t>
            </w:r>
          </w:p>
        </w:tc>
      </w:tr>
      <w:tr w14:paraId="6137216D" w14:textId="77777777">
        <w:tblPrEx>
          <w:tblW w:w="9960" w:type="dxa"/>
          <w:jc w:val="center"/>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34BE47BA" w14:textId="50C584BA">
            <w:pPr>
              <w:widowControl w:val="0"/>
              <w:ind w:left="0" w:right="0"/>
              <w:rPr>
                <w:rFonts w:ascii="Calibri" w:eastAsia="Calibri" w:hAnsi="Calibri" w:cs="Calibri"/>
                <w:color w:val="000000"/>
              </w:rPr>
            </w:pPr>
            <w:r>
              <w:rPr>
                <w:color w:val="000000"/>
              </w:rPr>
              <w:t>FCC Satellite</w:t>
            </w:r>
            <w:r w:rsidR="009C5F89">
              <w:rPr>
                <w:color w:val="000000"/>
              </w:rPr>
              <w:t xml:space="preserve"> Application</w:t>
            </w:r>
            <w:r>
              <w:rPr>
                <w:color w:val="000000"/>
              </w:rPr>
              <w:t xml:space="preserve"> Filing Fee</w:t>
            </w:r>
            <w:r w:rsidR="00CD4DDE">
              <w:rPr>
                <w:color w:val="000000"/>
              </w:rPr>
              <w:t xml:space="preserve"> </w:t>
            </w:r>
          </w:p>
        </w:tc>
        <w:tc>
          <w:tcPr>
            <w:tcW w:w="39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rsidR="006F3BB7" w14:paraId="02D284A3" w14:textId="77777777">
            <w:pPr>
              <w:widowControl w:val="0"/>
              <w:ind w:left="0" w:right="0"/>
              <w:jc w:val="center"/>
              <w:rPr>
                <w:rFonts w:ascii="Calibri" w:eastAsia="Calibri" w:hAnsi="Calibri" w:cs="Calibri"/>
                <w:color w:val="000000"/>
              </w:rPr>
            </w:pPr>
            <w:r>
              <w:rPr>
                <w:color w:val="000000"/>
              </w:rPr>
              <w:t>136,930</w:t>
            </w:r>
          </w:p>
        </w:tc>
      </w:tr>
    </w:tbl>
    <w:p w:rsidR="006F3BB7" w14:paraId="1B0A45FE" w14:textId="77777777">
      <w:pPr>
        <w:ind w:left="0"/>
      </w:pPr>
    </w:p>
    <w:tbl>
      <w:tblPr>
        <w:tblW w:w="993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5985"/>
        <w:gridCol w:w="3945"/>
      </w:tblGrid>
      <w:tr w14:paraId="537F6B70" w14:textId="77777777">
        <w:tblPrEx>
          <w:tblW w:w="9930"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742BE142" w14:textId="77777777">
            <w:pPr>
              <w:widowControl w:val="0"/>
              <w:ind w:left="0" w:right="0"/>
              <w:jc w:val="center"/>
              <w:rPr>
                <w:rFonts w:ascii="Calibri" w:eastAsia="Calibri" w:hAnsi="Calibri" w:cs="Calibri"/>
                <w:color w:val="000000"/>
              </w:rPr>
            </w:pPr>
            <w:r>
              <w:rPr>
                <w:color w:val="0072C6"/>
              </w:rPr>
              <w:t>Table II-C-6: Finance &amp; Insurance</w:t>
            </w:r>
          </w:p>
        </w:tc>
        <w:tc>
          <w:tcPr>
            <w:tcW w:w="39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26DA5D3" w14:textId="4869EA18">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32AEE056" w14:textId="77777777">
        <w:tblPrEx>
          <w:tblW w:w="9930" w:type="dxa"/>
          <w:jc w:val="center"/>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A499515" w14:textId="22572651">
            <w:pPr>
              <w:widowControl w:val="0"/>
              <w:ind w:left="0" w:right="0"/>
              <w:rPr>
                <w:rFonts w:ascii="Calibri" w:eastAsia="Calibri" w:hAnsi="Calibri" w:cs="Calibri"/>
                <w:color w:val="000000"/>
              </w:rPr>
            </w:pPr>
            <w:r>
              <w:rPr>
                <w:color w:val="000000"/>
              </w:rPr>
              <w:t xml:space="preserve">Cost to Finance Satellite </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3E927F6" w14:textId="47CE7DE2">
            <w:pPr>
              <w:widowControl w:val="0"/>
              <w:ind w:left="0" w:right="0"/>
              <w:jc w:val="center"/>
              <w:rPr>
                <w:rFonts w:ascii="Calibri" w:eastAsia="Calibri" w:hAnsi="Calibri" w:cs="Calibri"/>
                <w:color w:val="000000"/>
              </w:rPr>
            </w:pPr>
            <w:r>
              <w:rPr>
                <w:color w:val="000000"/>
              </w:rPr>
              <w:t xml:space="preserve">3.5M </w:t>
            </w:r>
            <w:r w:rsidR="00D236CF">
              <w:rPr>
                <w:color w:val="000000"/>
              </w:rPr>
              <w:t>–</w:t>
            </w:r>
            <w:r>
              <w:rPr>
                <w:color w:val="000000"/>
              </w:rPr>
              <w:t xml:space="preserve"> 11M</w:t>
            </w:r>
          </w:p>
        </w:tc>
      </w:tr>
      <w:tr w14:paraId="0F8C3992" w14:textId="77777777">
        <w:tblPrEx>
          <w:tblW w:w="9930" w:type="dxa"/>
          <w:jc w:val="center"/>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9E10028" w14:textId="0465C473">
            <w:pPr>
              <w:widowControl w:val="0"/>
              <w:ind w:left="0" w:right="0"/>
              <w:rPr>
                <w:rFonts w:ascii="Calibri" w:eastAsia="Calibri" w:hAnsi="Calibri" w:cs="Calibri"/>
                <w:color w:val="000000"/>
              </w:rPr>
            </w:pPr>
            <w:r>
              <w:rPr>
                <w:color w:val="000000"/>
              </w:rPr>
              <w:t xml:space="preserve">Cost to Finance Launch </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7CFF238" w14:textId="13A90F06">
            <w:pPr>
              <w:widowControl w:val="0"/>
              <w:ind w:left="0" w:right="0"/>
              <w:jc w:val="center"/>
              <w:rPr>
                <w:rFonts w:ascii="Calibri" w:eastAsia="Calibri" w:hAnsi="Calibri" w:cs="Calibri"/>
                <w:color w:val="000000"/>
              </w:rPr>
            </w:pPr>
            <w:r>
              <w:rPr>
                <w:color w:val="000000"/>
              </w:rPr>
              <w:t xml:space="preserve">2M </w:t>
            </w:r>
            <w:r w:rsidR="00D236CF">
              <w:rPr>
                <w:color w:val="000000"/>
              </w:rPr>
              <w:t xml:space="preserve">– </w:t>
            </w:r>
            <w:r>
              <w:rPr>
                <w:color w:val="000000"/>
              </w:rPr>
              <w:t>5M</w:t>
            </w:r>
          </w:p>
        </w:tc>
      </w:tr>
      <w:tr w14:paraId="73346B8F" w14:textId="77777777">
        <w:tblPrEx>
          <w:tblW w:w="9930" w:type="dxa"/>
          <w:jc w:val="center"/>
          <w:tblLayout w:type="fixed"/>
          <w:tblCellMar>
            <w:top w:w="100" w:type="dxa"/>
            <w:left w:w="100" w:type="dxa"/>
            <w:bottom w:w="100" w:type="dxa"/>
            <w:right w:w="100" w:type="dxa"/>
          </w:tblCellMar>
          <w:tblLook w:val="0600"/>
        </w:tblPrEx>
        <w:trPr>
          <w:trHeight w:val="300"/>
          <w:jc w:val="center"/>
        </w:trPr>
        <w:tc>
          <w:tcPr>
            <w:tcW w:w="59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18946BF" w14:textId="2B8DDEAB">
            <w:pPr>
              <w:widowControl w:val="0"/>
              <w:ind w:left="0" w:right="0"/>
              <w:rPr>
                <w:rFonts w:ascii="Calibri" w:eastAsia="Calibri" w:hAnsi="Calibri" w:cs="Calibri"/>
                <w:color w:val="000000"/>
              </w:rPr>
            </w:pPr>
            <w:r>
              <w:rPr>
                <w:color w:val="000000"/>
              </w:rPr>
              <w:t>Insurance</w:t>
            </w:r>
            <w:r w:rsidR="00CD4DDE">
              <w:rPr>
                <w:color w:val="000000"/>
              </w:rPr>
              <w:t xml:space="preserve"> </w:t>
            </w:r>
          </w:p>
        </w:tc>
        <w:tc>
          <w:tcPr>
            <w:tcW w:w="39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A6BC369" w14:textId="0238602E">
            <w:pPr>
              <w:widowControl w:val="0"/>
              <w:ind w:left="0" w:right="0"/>
              <w:jc w:val="center"/>
              <w:rPr>
                <w:rFonts w:ascii="Calibri" w:eastAsia="Calibri" w:hAnsi="Calibri" w:cs="Calibri"/>
                <w:color w:val="000000"/>
              </w:rPr>
            </w:pPr>
            <w:r>
              <w:rPr>
                <w:color w:val="000000"/>
              </w:rPr>
              <w:t xml:space="preserve">15M </w:t>
            </w:r>
            <w:r w:rsidR="00D236CF">
              <w:rPr>
                <w:color w:val="000000"/>
              </w:rPr>
              <w:t>–</w:t>
            </w:r>
            <w:r>
              <w:rPr>
                <w:color w:val="000000"/>
              </w:rPr>
              <w:t xml:space="preserve"> 30M</w:t>
            </w:r>
          </w:p>
        </w:tc>
      </w:tr>
    </w:tbl>
    <w:p w:rsidR="006F3BB7" w14:paraId="3D0F33AD" w14:textId="77777777">
      <w:pPr>
        <w:ind w:left="0"/>
      </w:pPr>
    </w:p>
    <w:p w:rsidR="006F3BB7" w:rsidP="00C75185" w14:paraId="0B3E4EE4" w14:textId="77777777">
      <w:pPr>
        <w:pStyle w:val="Heading2"/>
        <w:numPr>
          <w:ilvl w:val="0"/>
          <w:numId w:val="4"/>
        </w:numPr>
      </w:pPr>
      <w:bookmarkStart w:id="15" w:name="_Toc38633286"/>
      <w:r>
        <w:t>Relocation Program Management</w:t>
      </w:r>
      <w:bookmarkEnd w:id="15"/>
    </w:p>
    <w:tbl>
      <w:tblPr>
        <w:tblW w:w="9982"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023"/>
        <w:gridCol w:w="3959"/>
      </w:tblGrid>
      <w:tr w14:paraId="37EB435C" w14:textId="77777777" w:rsidTr="00C75185">
        <w:tblPrEx>
          <w:tblW w:w="9982" w:type="dxa"/>
          <w:jc w:val="center"/>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jc w:val="center"/>
        </w:trPr>
        <w:tc>
          <w:tcPr>
            <w:tcW w:w="602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rsidP="00C75185" w14:paraId="7065288A" w14:textId="77777777">
            <w:pPr>
              <w:widowControl w:val="0"/>
              <w:ind w:left="0" w:right="0"/>
              <w:jc w:val="center"/>
              <w:rPr>
                <w:rFonts w:ascii="Calibri" w:eastAsia="Calibri" w:hAnsi="Calibri" w:cs="Calibri"/>
                <w:color w:val="000000"/>
              </w:rPr>
            </w:pPr>
            <w:r>
              <w:rPr>
                <w:color w:val="0072C6"/>
              </w:rPr>
              <w:t>Table II-D-1: Program Management</w:t>
            </w:r>
          </w:p>
        </w:tc>
        <w:tc>
          <w:tcPr>
            <w:tcW w:w="395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rsidP="00C75185" w14:paraId="73D11A4F" w14:textId="286EE9AC">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23565B00" w14:textId="77777777" w:rsidTr="00C75185">
        <w:tblPrEx>
          <w:tblW w:w="9982" w:type="dxa"/>
          <w:jc w:val="center"/>
          <w:tblLayout w:type="fixed"/>
          <w:tblCellMar>
            <w:top w:w="100" w:type="dxa"/>
            <w:left w:w="100" w:type="dxa"/>
            <w:bottom w:w="100" w:type="dxa"/>
            <w:right w:w="100" w:type="dxa"/>
          </w:tblCellMar>
          <w:tblLook w:val="0600"/>
        </w:tblPrEx>
        <w:trPr>
          <w:trHeight w:val="300"/>
          <w:jc w:val="center"/>
        </w:trPr>
        <w:tc>
          <w:tcPr>
            <w:tcW w:w="602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P="00C75185" w14:paraId="5783E13C" w14:textId="77777777">
            <w:pPr>
              <w:widowControl w:val="0"/>
              <w:ind w:left="0" w:right="0"/>
              <w:rPr>
                <w:rFonts w:ascii="Calibri" w:eastAsia="Calibri" w:hAnsi="Calibri" w:cs="Calibri"/>
                <w:color w:val="000000"/>
              </w:rPr>
            </w:pPr>
            <w:r>
              <w:rPr>
                <w:color w:val="000000"/>
              </w:rPr>
              <w:t>Cost to Manage Satellite Relocation Program</w:t>
            </w:r>
          </w:p>
        </w:tc>
        <w:tc>
          <w:tcPr>
            <w:tcW w:w="395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P="00C75185" w14:paraId="79649934" w14:textId="6BCDE7EA">
            <w:pPr>
              <w:widowControl w:val="0"/>
              <w:ind w:left="0" w:right="0"/>
              <w:jc w:val="center"/>
              <w:rPr>
                <w:rFonts w:ascii="Calibri" w:eastAsia="Calibri" w:hAnsi="Calibri" w:cs="Calibri"/>
                <w:color w:val="000000"/>
              </w:rPr>
            </w:pPr>
            <w:r>
              <w:rPr>
                <w:color w:val="000000"/>
              </w:rPr>
              <w:t xml:space="preserve">200,000 </w:t>
            </w:r>
            <w:r w:rsidR="00D236CF">
              <w:rPr>
                <w:color w:val="000000"/>
              </w:rPr>
              <w:t xml:space="preserve">– </w:t>
            </w:r>
            <w:r>
              <w:rPr>
                <w:color w:val="000000"/>
              </w:rPr>
              <w:t>400,000</w:t>
            </w:r>
          </w:p>
        </w:tc>
      </w:tr>
    </w:tbl>
    <w:p w:rsidR="006F3BB7" w:rsidP="00C75185" w14:paraId="42EDD343" w14:textId="77777777">
      <w:pPr>
        <w:ind w:left="0"/>
        <w:rPr>
          <w:highlight w:val="yellow"/>
        </w:rPr>
      </w:pPr>
    </w:p>
    <w:p w:rsidR="006F3BB7" w14:paraId="38CE7706" w14:textId="77777777"/>
    <w:p w:rsidR="006F3BB7" w14:paraId="63B8F82B" w14:textId="77777777">
      <w:pPr>
        <w:ind w:left="0" w:firstLine="360"/>
      </w:pPr>
      <w:r>
        <w:br w:type="page"/>
      </w:r>
    </w:p>
    <w:p w:rsidR="006F3BB7" w14:paraId="4A158567" w14:textId="77777777">
      <w:pPr>
        <w:pStyle w:val="Heading1"/>
      </w:pPr>
      <w:bookmarkStart w:id="16" w:name="_Toc38633287"/>
      <w:r>
        <w:t>III. Earth Station Migration and Filtering Costs</w:t>
      </w:r>
      <w:bookmarkEnd w:id="16"/>
    </w:p>
    <w:p w:rsidR="006F3BB7" w14:paraId="36AB9CF5" w14:textId="77777777"/>
    <w:p w:rsidR="006F3BB7" w14:paraId="70B122FD" w14:textId="77777777">
      <w:r>
        <w:t xml:space="preserve">Earth station transitions may vary widely depending on the actions of the satellite operator, the age of the earth station, its location and use, and other factors.  Earth station filtering will be a uniform migration task necessary to prevent interference from flexible-use operations below 3980 </w:t>
      </w:r>
      <w:r>
        <w:t>MHz.</w:t>
      </w:r>
      <w:r>
        <w:t xml:space="preserve">  Beyond that, the transition may consist of expenses such as retuning or repointing an earth station, up to and including replacement of equipment that cannot be reasonably transitioned (e.g., replacing receivers, amplifiers, or other equipment that due to age or other factors must be replaced to allow the transition). </w:t>
      </w:r>
    </w:p>
    <w:p w:rsidR="006F3BB7" w14:paraId="569848C2" w14:textId="77777777"/>
    <w:p w:rsidR="006F3BB7" w14:paraId="2B2C1644" w14:textId="194B6ED2">
      <w:r>
        <w:t>The satellite operator is expected to transition</w:t>
      </w:r>
      <w:r w:rsidR="009C5F89">
        <w:t xml:space="preserve"> its</w:t>
      </w:r>
      <w:r>
        <w:t xml:space="preserve"> services in the lower 300 megahertz to the upper 200 megahertz</w:t>
      </w:r>
      <w:r w:rsidR="009C5F89">
        <w:t xml:space="preserve"> of the </w:t>
      </w:r>
      <w:r w:rsidRPr="009C5F89" w:rsidR="009C5F89">
        <w:t>3700-4200 MHz band</w:t>
      </w:r>
      <w:r>
        <w:t xml:space="preserve">. </w:t>
      </w:r>
      <w:r w:rsidR="001631A3">
        <w:t xml:space="preserve"> </w:t>
      </w:r>
      <w:r>
        <w:t xml:space="preserve">This effort would entail frequency planning, coordination with the earth station operators on the move timing and logistics, and the purchase and installation of passband filters in all primary and redundant earth station receive paths. </w:t>
      </w:r>
      <w:r w:rsidR="001631A3">
        <w:t xml:space="preserve"> </w:t>
      </w:r>
      <w:r w:rsidRPr="009C5F89" w:rsidR="009C5F89">
        <w:t xml:space="preserve">Note that although </w:t>
      </w:r>
      <w:r w:rsidR="009C5F89">
        <w:t>t</w:t>
      </w:r>
      <w:r>
        <w:t>he satellite operator would</w:t>
      </w:r>
      <w:r w:rsidR="009C5F89">
        <w:t xml:space="preserve"> also</w:t>
      </w:r>
      <w:r>
        <w:t xml:space="preserve"> perform </w:t>
      </w:r>
      <w:r w:rsidR="009C5F89">
        <w:t xml:space="preserve">analyses </w:t>
      </w:r>
      <w:r>
        <w:t xml:space="preserve">of optimum carrier assignment for the frequency move to include </w:t>
      </w:r>
      <w:r w:rsidR="009C5F89">
        <w:t>carrier-to-interference ratio (</w:t>
      </w:r>
      <w:r>
        <w:t>C/I</w:t>
      </w:r>
      <w:r w:rsidR="009C5F89">
        <w:t>)</w:t>
      </w:r>
      <w:r>
        <w:t xml:space="preserve"> analysis, potential increases in</w:t>
      </w:r>
      <w:r w:rsidR="009C5F89">
        <w:t xml:space="preserve"> </w:t>
      </w:r>
      <w:r w:rsidR="00CC4FD8">
        <w:t>e</w:t>
      </w:r>
      <w:r w:rsidRPr="009C5F89" w:rsidR="009C5F89">
        <w:t xml:space="preserve">ffective </w:t>
      </w:r>
      <w:r w:rsidR="00CC4FD8">
        <w:t>i</w:t>
      </w:r>
      <w:r w:rsidRPr="009C5F89" w:rsidR="009C5F89">
        <w:t xml:space="preserve">sotropic </w:t>
      </w:r>
      <w:r w:rsidR="00CC4FD8">
        <w:t>r</w:t>
      </w:r>
      <w:r w:rsidRPr="009C5F89" w:rsidR="009C5F89">
        <w:t xml:space="preserve">adiated </w:t>
      </w:r>
      <w:r w:rsidR="00CC4FD8">
        <w:t>p</w:t>
      </w:r>
      <w:r w:rsidRPr="009C5F89" w:rsidR="009C5F89">
        <w:t>ower</w:t>
      </w:r>
      <w:r>
        <w:t xml:space="preserve"> </w:t>
      </w:r>
      <w:r w:rsidR="009C5F89">
        <w:t>(</w:t>
      </w:r>
      <w:r>
        <w:t>EIRP</w:t>
      </w:r>
      <w:r w:rsidR="009C5F89">
        <w:t>)</w:t>
      </w:r>
      <w:r>
        <w:t xml:space="preserve">, satellite power availability, and other </w:t>
      </w:r>
      <w:r w:rsidR="00CC4FD8">
        <w:t>radio frequency (</w:t>
      </w:r>
      <w:r>
        <w:t>RF</w:t>
      </w:r>
      <w:r w:rsidR="00CC4FD8">
        <w:t>)</w:t>
      </w:r>
      <w:r>
        <w:t xml:space="preserve"> performance factors</w:t>
      </w:r>
      <w:r w:rsidR="00CC4FD8">
        <w:t>, t</w:t>
      </w:r>
      <w:r>
        <w:t xml:space="preserve">hese analyses are included in the repacking modification costs detailed in Table II-A-1.  </w:t>
      </w:r>
      <w:r w:rsidRPr="00CC4FD8" w:rsidR="00CC4FD8">
        <w:t>This section details expenses satellite operators might incur from c</w:t>
      </w:r>
      <w:r>
        <w:t>oordination with earth station operators.</w:t>
      </w:r>
    </w:p>
    <w:p w:rsidR="006F3BB7" w14:paraId="555EF5BC" w14:textId="77777777"/>
    <w:p w:rsidR="006F3BB7" w14:paraId="37060EA1" w14:textId="2EF4EDEB">
      <w:r>
        <w:t xml:space="preserve">Earth station migration includes any necessary changes that will allow the earth stations to receive C-band services throughout the transition period and after the applicable relocation deadline </w:t>
      </w:r>
      <w:r w:rsidR="006E7DB4">
        <w:t>when</w:t>
      </w:r>
      <w:r>
        <w:t xml:space="preserve"> satellite operators </w:t>
      </w:r>
      <w:r w:rsidR="00CC4FD8">
        <w:t xml:space="preserve">will </w:t>
      </w:r>
      <w:r>
        <w:t xml:space="preserve">have relocated their services into the upper portion of the band. </w:t>
      </w:r>
    </w:p>
    <w:p w:rsidR="006F3BB7" w14:paraId="7E6C0E73" w14:textId="77777777"/>
    <w:p w:rsidR="006F3BB7" w14:paraId="23B5D021" w14:textId="4D85C0E5">
      <w:pPr>
        <w:pStyle w:val="Heading2"/>
        <w:numPr>
          <w:ilvl w:val="0"/>
          <w:numId w:val="3"/>
        </w:numPr>
      </w:pPr>
      <w:bookmarkStart w:id="17" w:name="_Toc38633288"/>
      <w:r>
        <w:t>Filtering/</w:t>
      </w:r>
      <w:r w:rsidR="0097557E">
        <w:t>Retuning/Repointing</w:t>
      </w:r>
      <w:bookmarkEnd w:id="17"/>
    </w:p>
    <w:p w:rsidR="006F3BB7" w14:paraId="10FE3877" w14:textId="379E36E2">
      <w:r>
        <w:t xml:space="preserve">First, we address the costs associated with a simple </w:t>
      </w:r>
      <w:r w:rsidR="00667873">
        <w:t xml:space="preserve">filtering, </w:t>
      </w:r>
      <w:r>
        <w:t>retuning</w:t>
      </w:r>
      <w:r w:rsidR="00667873">
        <w:t>,</w:t>
      </w:r>
      <w:r>
        <w:t xml:space="preserve"> or repointing of various earth stations because we believe </w:t>
      </w:r>
      <w:r>
        <w:t>the majority of</w:t>
      </w:r>
      <w:r>
        <w:t xml:space="preserve"> earth stations can be migrated through </w:t>
      </w:r>
      <w:r w:rsidR="00E25D71">
        <w:t xml:space="preserve">these </w:t>
      </w:r>
      <w:r>
        <w:t>simple mechanism</w:t>
      </w:r>
      <w:r w:rsidR="00E25D71">
        <w:t>s</w:t>
      </w:r>
      <w:r>
        <w:t xml:space="preserve">.  However, below </w:t>
      </w:r>
      <w:r w:rsidR="00C82883">
        <w:t>in section B,</w:t>
      </w:r>
      <w:r>
        <w:t xml:space="preserve"> we address the costs for more complex and expensive migrations that will involve replacing equipment or migrating complex gateway facilities.</w:t>
      </w:r>
    </w:p>
    <w:p w:rsidR="412F3CBE" w14:paraId="5F049EA6" w14:textId="5852946D">
      <w:r>
        <w:br w:type="page"/>
      </w:r>
    </w:p>
    <w:p w:rsidR="0079425C" w14:paraId="4B683B9B" w14:textId="10534EF6">
      <w:r>
        <w:t xml:space="preserve">Tables III-A-1 and III-A-2 </w:t>
      </w:r>
      <w:r w:rsidR="0097557E">
        <w:t>outline costs for filtering, retuning, and repointing earth stations.</w:t>
      </w:r>
    </w:p>
    <w:p w:rsidR="412F3CBE" w:rsidP="412F3CBE" w14:paraId="758E3AAA" w14:textId="6F87169C"/>
    <w:tbl>
      <w:tblPr>
        <w:tblW w:w="10203" w:type="dxa"/>
        <w:tblInd w:w="26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888"/>
        <w:gridCol w:w="3315"/>
      </w:tblGrid>
      <w:tr w14:paraId="362AD6EB" w14:textId="77777777" w:rsidTr="00C75185">
        <w:tblPrEx>
          <w:tblW w:w="10203" w:type="dxa"/>
          <w:tblInd w:w="26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88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62E27C9C" w14:textId="77777777">
            <w:pPr>
              <w:widowControl w:val="0"/>
              <w:ind w:left="0" w:right="0"/>
              <w:jc w:val="center"/>
              <w:rPr>
                <w:rFonts w:ascii="Calibri" w:eastAsia="Calibri" w:hAnsi="Calibri" w:cs="Calibri"/>
                <w:color w:val="000000"/>
              </w:rPr>
            </w:pPr>
            <w:r>
              <w:rPr>
                <w:color w:val="0072C6"/>
              </w:rPr>
              <w:t>Table III-A-1: Retuning to Frequency in 4.0-4.2 GHz</w:t>
            </w:r>
          </w:p>
        </w:tc>
        <w:tc>
          <w:tcPr>
            <w:tcW w:w="33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25D34C82" w14:textId="77777777">
            <w:pPr>
              <w:widowControl w:val="0"/>
              <w:ind w:left="0" w:right="0"/>
              <w:jc w:val="center"/>
              <w:rPr>
                <w:rFonts w:ascii="Calibri" w:eastAsia="Calibri" w:hAnsi="Calibri" w:cs="Calibri"/>
                <w:color w:val="000000"/>
              </w:rPr>
            </w:pPr>
            <w:r>
              <w:rPr>
                <w:color w:val="0072C6"/>
              </w:rPr>
              <w:t>Range of Estimated Cost ($)</w:t>
            </w:r>
          </w:p>
        </w:tc>
      </w:tr>
      <w:tr w14:paraId="6F52E22A"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483B7FC" w14:textId="77777777">
            <w:pPr>
              <w:widowControl w:val="0"/>
              <w:ind w:left="0" w:right="0"/>
              <w:rPr>
                <w:rFonts w:ascii="Calibri" w:eastAsia="Calibri" w:hAnsi="Calibri" w:cs="Calibri"/>
                <w:color w:val="000000"/>
              </w:rPr>
            </w:pPr>
            <w:r>
              <w:rPr>
                <w:color w:val="000000"/>
              </w:rPr>
              <w:t>Replace Passband Filter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C360461" w14:textId="2E2CDCF7">
            <w:pPr>
              <w:widowControl w:val="0"/>
              <w:ind w:left="0" w:right="0"/>
              <w:jc w:val="center"/>
              <w:rPr>
                <w:rFonts w:ascii="Calibri" w:eastAsia="Calibri" w:hAnsi="Calibri" w:cs="Calibri"/>
                <w:color w:val="000000"/>
              </w:rPr>
            </w:pPr>
            <w:r>
              <w:rPr>
                <w:color w:val="000000"/>
              </w:rPr>
              <w:t xml:space="preserve">400 </w:t>
            </w:r>
            <w:r w:rsidR="00922A3D">
              <w:rPr>
                <w:color w:val="000000"/>
              </w:rPr>
              <w:t>–</w:t>
            </w:r>
            <w:r>
              <w:rPr>
                <w:color w:val="000000"/>
              </w:rPr>
              <w:t xml:space="preserve"> 900</w:t>
            </w:r>
          </w:p>
        </w:tc>
      </w:tr>
      <w:tr w14:paraId="46B6B6C3"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59BB58DF" w14:textId="77777777">
            <w:pPr>
              <w:widowControl w:val="0"/>
              <w:ind w:left="0" w:right="0"/>
              <w:rPr>
                <w:rFonts w:ascii="Calibri" w:eastAsia="Calibri" w:hAnsi="Calibri" w:cs="Calibri"/>
                <w:color w:val="000000"/>
              </w:rPr>
            </w:pPr>
            <w:r>
              <w:rPr>
                <w:color w:val="000000"/>
              </w:rPr>
              <w:t>Passband Filter Installation (for two low-noise block converters [LNBs])</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34D4758" w14:textId="64B3A43B">
            <w:pPr>
              <w:widowControl w:val="0"/>
              <w:ind w:left="0" w:right="0"/>
              <w:jc w:val="center"/>
              <w:rPr>
                <w:rFonts w:ascii="Calibri" w:eastAsia="Calibri" w:hAnsi="Calibri" w:cs="Calibri"/>
                <w:color w:val="000000"/>
              </w:rPr>
            </w:pPr>
            <w:r>
              <w:rPr>
                <w:color w:val="000000"/>
              </w:rPr>
              <w:t xml:space="preserve">300 </w:t>
            </w:r>
            <w:r w:rsidR="00D236CF">
              <w:rPr>
                <w:color w:val="000000"/>
              </w:rPr>
              <w:t>–</w:t>
            </w:r>
            <w:r>
              <w:rPr>
                <w:color w:val="000000"/>
              </w:rPr>
              <w:t xml:space="preserve"> 1,100</w:t>
            </w:r>
          </w:p>
        </w:tc>
      </w:tr>
      <w:tr w14:paraId="0186F2A3"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6A8E2EBB" w14:textId="0A25CD3F">
            <w:pPr>
              <w:widowControl w:val="0"/>
              <w:ind w:left="0" w:right="0"/>
              <w:rPr>
                <w:rFonts w:ascii="Calibri" w:eastAsia="Calibri" w:hAnsi="Calibri" w:cs="Calibri"/>
                <w:color w:val="000000"/>
              </w:rPr>
            </w:pPr>
            <w:r>
              <w:rPr>
                <w:color w:val="000000"/>
              </w:rPr>
              <w:t>C-band Phase Locked Loop (P</w:t>
            </w:r>
            <w:r w:rsidR="00FC53A4">
              <w:rPr>
                <w:color w:val="000000"/>
              </w:rPr>
              <w:t>L</w:t>
            </w:r>
            <w:r>
              <w:rPr>
                <w:color w:val="000000"/>
              </w:rPr>
              <w:t>L) LNB</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BA3AF3F" w14:textId="0500960F">
            <w:pPr>
              <w:widowControl w:val="0"/>
              <w:ind w:left="0" w:right="0"/>
              <w:jc w:val="center"/>
              <w:rPr>
                <w:rFonts w:ascii="Calibri" w:eastAsia="Calibri" w:hAnsi="Calibri" w:cs="Calibri"/>
                <w:color w:val="000000"/>
              </w:rPr>
            </w:pPr>
            <w:r>
              <w:rPr>
                <w:color w:val="000000"/>
              </w:rPr>
              <w:t xml:space="preserve">500 </w:t>
            </w:r>
            <w:r w:rsidR="00D236CF">
              <w:rPr>
                <w:color w:val="000000"/>
              </w:rPr>
              <w:t>–</w:t>
            </w:r>
            <w:r>
              <w:rPr>
                <w:color w:val="000000"/>
              </w:rPr>
              <w:t xml:space="preserve"> 1,100</w:t>
            </w:r>
          </w:p>
        </w:tc>
      </w:tr>
      <w:tr w14:paraId="280F2817"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116F650" w14:textId="77777777">
            <w:pPr>
              <w:widowControl w:val="0"/>
              <w:ind w:left="0" w:right="0"/>
              <w:rPr>
                <w:rFonts w:ascii="Calibri" w:eastAsia="Calibri" w:hAnsi="Calibri" w:cs="Calibri"/>
                <w:color w:val="000000"/>
              </w:rPr>
            </w:pPr>
            <w:r>
              <w:rPr>
                <w:color w:val="000000"/>
              </w:rPr>
              <w:t>Perform Retuning</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8F41D26" w14:textId="673F915F">
            <w:pPr>
              <w:widowControl w:val="0"/>
              <w:ind w:left="0" w:right="0"/>
              <w:jc w:val="center"/>
              <w:rPr>
                <w:rFonts w:ascii="Calibri" w:eastAsia="Calibri" w:hAnsi="Calibri" w:cs="Calibri"/>
                <w:color w:val="000000"/>
              </w:rPr>
            </w:pPr>
            <w:r>
              <w:rPr>
                <w:color w:val="000000"/>
              </w:rPr>
              <w:t xml:space="preserve">400 </w:t>
            </w:r>
            <w:r w:rsidR="00922A3D">
              <w:rPr>
                <w:color w:val="000000"/>
              </w:rPr>
              <w:t>–</w:t>
            </w:r>
            <w:r>
              <w:rPr>
                <w:color w:val="000000"/>
              </w:rPr>
              <w:t xml:space="preserve"> 700</w:t>
            </w:r>
          </w:p>
        </w:tc>
      </w:tr>
      <w:tr w14:paraId="75970C62"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881BE17" w14:textId="77777777">
            <w:pPr>
              <w:widowControl w:val="0"/>
              <w:ind w:left="0" w:right="0"/>
              <w:rPr>
                <w:rFonts w:ascii="Calibri" w:eastAsia="Calibri" w:hAnsi="Calibri" w:cs="Calibri"/>
                <w:color w:val="000000"/>
              </w:rPr>
            </w:pPr>
            <w:r>
              <w:rPr>
                <w:color w:val="000000"/>
              </w:rPr>
              <w:t>Acquisition of Ladder or Bucket Truck</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46659FC" w14:textId="77777777">
            <w:pPr>
              <w:widowControl w:val="0"/>
              <w:ind w:left="0" w:right="0"/>
              <w:jc w:val="center"/>
              <w:rPr>
                <w:rFonts w:ascii="Calibri" w:eastAsia="Calibri" w:hAnsi="Calibri" w:cs="Calibri"/>
                <w:color w:val="000000"/>
              </w:rPr>
            </w:pPr>
            <w:r>
              <w:rPr>
                <w:color w:val="000000"/>
              </w:rPr>
              <w:t>500 – 5,500</w:t>
            </w:r>
          </w:p>
        </w:tc>
      </w:tr>
      <w:tr w14:paraId="7389E5C3"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EC304C3" w14:textId="77777777">
            <w:pPr>
              <w:widowControl w:val="0"/>
              <w:ind w:left="0" w:right="0"/>
              <w:rPr>
                <w:rFonts w:ascii="Calibri" w:eastAsia="Calibri" w:hAnsi="Calibri" w:cs="Calibri"/>
                <w:color w:val="000000"/>
              </w:rPr>
            </w:pPr>
            <w:r>
              <w:rPr>
                <w:color w:val="000000"/>
              </w:rPr>
              <w:t>Retrofit a Dual-feed onto a Single-feed Antenna</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A9A7BBD" w14:textId="77777777">
            <w:pPr>
              <w:widowControl w:val="0"/>
              <w:ind w:left="0" w:right="0"/>
              <w:jc w:val="center"/>
              <w:rPr>
                <w:rFonts w:ascii="Calibri" w:eastAsia="Calibri" w:hAnsi="Calibri" w:cs="Calibri"/>
                <w:color w:val="000000"/>
              </w:rPr>
            </w:pPr>
            <w:r>
              <w:rPr>
                <w:color w:val="000000"/>
              </w:rPr>
              <w:t>1,000 – 2,200</w:t>
            </w:r>
          </w:p>
        </w:tc>
      </w:tr>
      <w:tr w14:paraId="79B450BF"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C405D75" w14:textId="77777777">
            <w:pPr>
              <w:widowControl w:val="0"/>
              <w:ind w:left="0" w:right="0"/>
              <w:rPr>
                <w:rFonts w:ascii="Calibri" w:eastAsia="Calibri" w:hAnsi="Calibri" w:cs="Calibri"/>
                <w:color w:val="000000"/>
              </w:rPr>
            </w:pPr>
            <w:r>
              <w:rPr>
                <w:color w:val="000000"/>
              </w:rPr>
              <w:t>Retrofit a Triple-feed onto a Single-feed Antenna</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C4E0F79" w14:textId="77777777">
            <w:pPr>
              <w:widowControl w:val="0"/>
              <w:ind w:left="0" w:right="0"/>
              <w:jc w:val="center"/>
              <w:rPr>
                <w:rFonts w:ascii="Calibri" w:eastAsia="Calibri" w:hAnsi="Calibri" w:cs="Calibri"/>
                <w:color w:val="000000"/>
              </w:rPr>
            </w:pPr>
            <w:r>
              <w:rPr>
                <w:color w:val="000000"/>
              </w:rPr>
              <w:t>1,500 – 3,300</w:t>
            </w:r>
          </w:p>
        </w:tc>
      </w:tr>
      <w:tr w14:paraId="64E00425"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58AADA5" w14:textId="77777777">
            <w:pPr>
              <w:widowControl w:val="0"/>
              <w:ind w:left="0" w:right="0"/>
              <w:rPr>
                <w:rFonts w:ascii="Calibri" w:eastAsia="Calibri" w:hAnsi="Calibri" w:cs="Calibri"/>
                <w:color w:val="000000"/>
              </w:rPr>
            </w:pPr>
            <w:r>
              <w:rPr>
                <w:color w:val="000000"/>
              </w:rPr>
              <w:t>Fiber Transmitter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43448F8" w14:textId="77777777">
            <w:pPr>
              <w:widowControl w:val="0"/>
              <w:ind w:left="0" w:right="0"/>
              <w:jc w:val="center"/>
              <w:rPr>
                <w:rFonts w:ascii="Calibri" w:eastAsia="Calibri" w:hAnsi="Calibri" w:cs="Calibri"/>
                <w:color w:val="000000"/>
              </w:rPr>
            </w:pPr>
            <w:r>
              <w:rPr>
                <w:color w:val="000000"/>
              </w:rPr>
              <w:t>1,500 – 2,800</w:t>
            </w:r>
          </w:p>
        </w:tc>
      </w:tr>
      <w:tr w14:paraId="0393739B"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10BE62C" w14:textId="77777777">
            <w:pPr>
              <w:widowControl w:val="0"/>
              <w:ind w:left="0" w:right="0"/>
              <w:rPr>
                <w:rFonts w:ascii="Calibri" w:eastAsia="Calibri" w:hAnsi="Calibri" w:cs="Calibri"/>
                <w:color w:val="000000"/>
              </w:rPr>
            </w:pPr>
            <w:r>
              <w:rPr>
                <w:color w:val="000000"/>
              </w:rPr>
              <w:t>Fiber Receiver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089DA96" w14:textId="77777777">
            <w:pPr>
              <w:widowControl w:val="0"/>
              <w:ind w:left="0" w:right="0"/>
              <w:jc w:val="center"/>
              <w:rPr>
                <w:rFonts w:ascii="Calibri" w:eastAsia="Calibri" w:hAnsi="Calibri" w:cs="Calibri"/>
                <w:color w:val="000000"/>
              </w:rPr>
            </w:pPr>
            <w:r>
              <w:rPr>
                <w:color w:val="000000"/>
              </w:rPr>
              <w:t>1,500 – 2,800</w:t>
            </w:r>
          </w:p>
        </w:tc>
      </w:tr>
      <w:tr w14:paraId="0C9F39D8"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AC6A859" w14:textId="77777777">
            <w:pPr>
              <w:widowControl w:val="0"/>
              <w:ind w:left="0" w:right="0"/>
              <w:rPr>
                <w:rFonts w:ascii="Calibri" w:eastAsia="Calibri" w:hAnsi="Calibri" w:cs="Calibri"/>
                <w:color w:val="000000"/>
              </w:rPr>
            </w:pPr>
            <w:r>
              <w:rPr>
                <w:color w:val="000000"/>
              </w:rPr>
              <w:t>Fiber Optic Chassis</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2352A29" w14:textId="77777777">
            <w:pPr>
              <w:widowControl w:val="0"/>
              <w:ind w:left="0" w:right="0"/>
              <w:jc w:val="center"/>
              <w:rPr>
                <w:rFonts w:ascii="Calibri" w:eastAsia="Calibri" w:hAnsi="Calibri" w:cs="Calibri"/>
                <w:color w:val="000000"/>
              </w:rPr>
            </w:pPr>
            <w:r>
              <w:rPr>
                <w:color w:val="000000"/>
              </w:rPr>
              <w:t>1,500 – 3,300</w:t>
            </w:r>
          </w:p>
        </w:tc>
      </w:tr>
      <w:tr w14:paraId="7B638C9D" w14:textId="77777777" w:rsidTr="00C75185">
        <w:tblPrEx>
          <w:tblW w:w="10203" w:type="dxa"/>
          <w:tblInd w:w="262" w:type="dxa"/>
          <w:tblLayout w:type="fixed"/>
          <w:tblCellMar>
            <w:top w:w="100" w:type="dxa"/>
            <w:left w:w="100" w:type="dxa"/>
            <w:bottom w:w="100" w:type="dxa"/>
            <w:right w:w="100" w:type="dxa"/>
          </w:tblCellMar>
          <w:tblLook w:val="0600"/>
        </w:tblPrEx>
        <w:trPr>
          <w:trHeight w:val="300"/>
        </w:trPr>
        <w:tc>
          <w:tcPr>
            <w:tcW w:w="688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37AC9DE" w14:textId="77777777">
            <w:pPr>
              <w:widowControl w:val="0"/>
              <w:ind w:left="0" w:right="0"/>
              <w:rPr>
                <w:rFonts w:ascii="Calibri" w:eastAsia="Calibri" w:hAnsi="Calibri" w:cs="Calibri"/>
                <w:color w:val="000000"/>
              </w:rPr>
            </w:pPr>
            <w:r>
              <w:rPr>
                <w:color w:val="000000"/>
              </w:rPr>
              <w:t>Chassis Frame Controller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89F1E8B" w14:textId="77777777">
            <w:pPr>
              <w:widowControl w:val="0"/>
              <w:ind w:left="0" w:right="0"/>
              <w:jc w:val="center"/>
              <w:rPr>
                <w:rFonts w:ascii="Calibri" w:eastAsia="Calibri" w:hAnsi="Calibri" w:cs="Calibri"/>
                <w:color w:val="000000"/>
              </w:rPr>
            </w:pPr>
            <w:r>
              <w:rPr>
                <w:color w:val="000000"/>
              </w:rPr>
              <w:t>1,000 – 2,200</w:t>
            </w:r>
          </w:p>
        </w:tc>
      </w:tr>
    </w:tbl>
    <w:p w:rsidR="004A5C9B" w14:paraId="3516663C" w14:textId="5C79D47A">
      <w:pPr>
        <w:ind w:left="0"/>
      </w:pPr>
    </w:p>
    <w:tbl>
      <w:tblPr>
        <w:tblW w:w="10188" w:type="dxa"/>
        <w:tblInd w:w="26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873"/>
        <w:gridCol w:w="3315"/>
      </w:tblGrid>
      <w:tr w14:paraId="769EC5CA" w14:textId="77777777" w:rsidTr="00C75185">
        <w:tblPrEx>
          <w:tblW w:w="10188" w:type="dxa"/>
          <w:tblInd w:w="26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87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75CE7BC" w14:textId="78C39667">
            <w:pPr>
              <w:widowControl w:val="0"/>
              <w:ind w:left="0" w:right="0"/>
              <w:jc w:val="center"/>
              <w:rPr>
                <w:rFonts w:ascii="Calibri" w:eastAsia="Calibri" w:hAnsi="Calibri" w:cs="Calibri"/>
                <w:color w:val="000000"/>
              </w:rPr>
            </w:pPr>
            <w:r>
              <w:br w:type="page"/>
            </w:r>
            <w:r w:rsidR="0097557E">
              <w:rPr>
                <w:color w:val="0072C6"/>
              </w:rPr>
              <w:t>Table III-A-2: Repointing to a Different Satellite</w:t>
            </w:r>
          </w:p>
        </w:tc>
        <w:tc>
          <w:tcPr>
            <w:tcW w:w="33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0232EC45" w14:textId="77777777">
            <w:pPr>
              <w:widowControl w:val="0"/>
              <w:ind w:left="0" w:right="0"/>
              <w:jc w:val="center"/>
              <w:rPr>
                <w:rFonts w:ascii="Calibri" w:eastAsia="Calibri" w:hAnsi="Calibri" w:cs="Calibri"/>
                <w:color w:val="000000"/>
              </w:rPr>
            </w:pPr>
            <w:r>
              <w:rPr>
                <w:color w:val="0072C6"/>
              </w:rPr>
              <w:t>Range of Estimated Cost ($)</w:t>
            </w:r>
          </w:p>
        </w:tc>
      </w:tr>
      <w:tr w14:paraId="3D6EEA75"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4416D577" w14:textId="77777777">
            <w:pPr>
              <w:widowControl w:val="0"/>
              <w:ind w:left="0" w:right="0"/>
              <w:rPr>
                <w:rFonts w:ascii="Calibri" w:eastAsia="Calibri" w:hAnsi="Calibri" w:cs="Calibri"/>
                <w:color w:val="000000"/>
              </w:rPr>
            </w:pPr>
            <w:r>
              <w:rPr>
                <w:color w:val="000000"/>
              </w:rPr>
              <w:t>Perform Repointing</w:t>
            </w:r>
          </w:p>
        </w:tc>
        <w:tc>
          <w:tcPr>
            <w:tcW w:w="33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6F3BB7" w14:paraId="3B08032F" w14:textId="77777777">
            <w:pPr>
              <w:widowControl w:val="0"/>
              <w:ind w:left="0" w:right="0"/>
              <w:jc w:val="center"/>
              <w:rPr>
                <w:rFonts w:ascii="Calibri" w:eastAsia="Calibri" w:hAnsi="Calibri" w:cs="Calibri"/>
                <w:color w:val="000000"/>
              </w:rPr>
            </w:pPr>
            <w:r>
              <w:rPr>
                <w:color w:val="000000"/>
              </w:rPr>
              <w:t>400 – 1,000</w:t>
            </w:r>
          </w:p>
        </w:tc>
      </w:tr>
      <w:tr w14:paraId="578FF7ED"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63254FD0" w14:textId="77777777">
            <w:pPr>
              <w:widowControl w:val="0"/>
              <w:ind w:left="0" w:right="0"/>
              <w:rPr>
                <w:rFonts w:ascii="Calibri" w:eastAsia="Calibri" w:hAnsi="Calibri" w:cs="Calibri"/>
                <w:color w:val="000000"/>
              </w:rPr>
            </w:pPr>
            <w:r>
              <w:rPr>
                <w:color w:val="000000"/>
              </w:rPr>
              <w:t>Uplink Filter</w:t>
            </w:r>
          </w:p>
        </w:tc>
        <w:tc>
          <w:tcPr>
            <w:tcW w:w="33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2973B914" w14:textId="77777777">
            <w:pPr>
              <w:widowControl w:val="0"/>
              <w:ind w:left="0" w:right="0"/>
              <w:jc w:val="center"/>
              <w:rPr>
                <w:rFonts w:ascii="Calibri" w:eastAsia="Calibri" w:hAnsi="Calibri" w:cs="Calibri"/>
                <w:color w:val="000000"/>
              </w:rPr>
            </w:pPr>
            <w:r>
              <w:rPr>
                <w:color w:val="000000"/>
              </w:rPr>
              <w:t>500 – 1,500</w:t>
            </w:r>
          </w:p>
        </w:tc>
      </w:tr>
      <w:tr w14:paraId="2B06DE1C"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492719C3" w14:textId="77777777">
            <w:pPr>
              <w:widowControl w:val="0"/>
              <w:ind w:left="0" w:right="0"/>
              <w:rPr>
                <w:rFonts w:ascii="Calibri" w:eastAsia="Calibri" w:hAnsi="Calibri" w:cs="Calibri"/>
                <w:color w:val="000000"/>
              </w:rPr>
            </w:pPr>
            <w:r>
              <w:rPr>
                <w:color w:val="000000"/>
              </w:rPr>
              <w:t>Low Noise Amplifier/Block Downconverter</w:t>
            </w:r>
          </w:p>
        </w:tc>
        <w:tc>
          <w:tcPr>
            <w:tcW w:w="33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7C141F6F" w14:textId="77777777">
            <w:pPr>
              <w:widowControl w:val="0"/>
              <w:ind w:left="0" w:right="0"/>
              <w:jc w:val="center"/>
              <w:rPr>
                <w:rFonts w:ascii="Calibri" w:eastAsia="Calibri" w:hAnsi="Calibri" w:cs="Calibri"/>
                <w:color w:val="000000"/>
              </w:rPr>
            </w:pPr>
            <w:r>
              <w:rPr>
                <w:color w:val="000000"/>
              </w:rPr>
              <w:t>250 – 600</w:t>
            </w:r>
          </w:p>
        </w:tc>
      </w:tr>
      <w:tr w14:paraId="4C632B2A"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183AA85" w14:textId="77777777">
            <w:pPr>
              <w:widowControl w:val="0"/>
              <w:ind w:left="0" w:right="0"/>
              <w:rPr>
                <w:rFonts w:ascii="Calibri" w:eastAsia="Calibri" w:hAnsi="Calibri" w:cs="Calibri"/>
                <w:color w:val="000000"/>
              </w:rPr>
            </w:pPr>
            <w:r>
              <w:rPr>
                <w:color w:val="000000"/>
              </w:rPr>
              <w:t>Upgrade/Change Polarization</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3317BB1" w14:textId="77777777">
            <w:pPr>
              <w:widowControl w:val="0"/>
              <w:ind w:left="0" w:right="0"/>
              <w:jc w:val="center"/>
              <w:rPr>
                <w:rFonts w:ascii="Calibri" w:eastAsia="Calibri" w:hAnsi="Calibri" w:cs="Calibri"/>
                <w:color w:val="000000"/>
              </w:rPr>
            </w:pPr>
            <w:r>
              <w:rPr>
                <w:color w:val="000000"/>
              </w:rPr>
              <w:t>300 – 600</w:t>
            </w:r>
          </w:p>
        </w:tc>
      </w:tr>
      <w:tr w14:paraId="22603D08"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37BB976" w14:textId="77777777">
            <w:pPr>
              <w:widowControl w:val="0"/>
              <w:ind w:left="0" w:right="0"/>
              <w:rPr>
                <w:rFonts w:ascii="Calibri" w:eastAsia="Calibri" w:hAnsi="Calibri" w:cs="Calibri"/>
                <w:color w:val="000000"/>
              </w:rPr>
            </w:pPr>
            <w:r>
              <w:rPr>
                <w:color w:val="000000"/>
              </w:rPr>
              <w:t>Install a portable or trailer-mounted antenna</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C86971F" w14:textId="77777777">
            <w:pPr>
              <w:widowControl w:val="0"/>
              <w:ind w:left="0" w:right="0"/>
              <w:jc w:val="center"/>
              <w:rPr>
                <w:rFonts w:ascii="Calibri" w:eastAsia="Calibri" w:hAnsi="Calibri" w:cs="Calibri"/>
                <w:color w:val="000000"/>
              </w:rPr>
            </w:pPr>
            <w:r>
              <w:rPr>
                <w:color w:val="000000"/>
              </w:rPr>
              <w:t>2,000 – 3,300</w:t>
            </w:r>
          </w:p>
        </w:tc>
      </w:tr>
      <w:tr w14:paraId="4437BF6F"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1121B4B" w14:textId="77777777">
            <w:pPr>
              <w:widowControl w:val="0"/>
              <w:ind w:left="0" w:right="0"/>
              <w:rPr>
                <w:rFonts w:ascii="Calibri" w:eastAsia="Calibri" w:hAnsi="Calibri" w:cs="Calibri"/>
                <w:color w:val="000000"/>
              </w:rPr>
            </w:pPr>
            <w:r>
              <w:rPr>
                <w:color w:val="000000"/>
              </w:rPr>
              <w:t>Filter for Seeded Antenna</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EADFFB7" w14:textId="77777777">
            <w:pPr>
              <w:widowControl w:val="0"/>
              <w:ind w:left="0" w:right="0"/>
              <w:jc w:val="center"/>
              <w:rPr>
                <w:rFonts w:ascii="Calibri" w:eastAsia="Calibri" w:hAnsi="Calibri" w:cs="Calibri"/>
                <w:color w:val="000000"/>
              </w:rPr>
            </w:pPr>
            <w:r>
              <w:rPr>
                <w:color w:val="000000"/>
              </w:rPr>
              <w:t>400 – 900</w:t>
            </w:r>
          </w:p>
        </w:tc>
      </w:tr>
      <w:tr w14:paraId="4C7FB8DB"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9B7E8C1" w14:textId="77777777">
            <w:pPr>
              <w:widowControl w:val="0"/>
              <w:ind w:left="0" w:right="0"/>
              <w:rPr>
                <w:rFonts w:ascii="Calibri" w:eastAsia="Calibri" w:hAnsi="Calibri" w:cs="Calibri"/>
                <w:color w:val="000000"/>
              </w:rPr>
            </w:pPr>
            <w:r>
              <w:rPr>
                <w:color w:val="000000"/>
              </w:rPr>
              <w:t>Filter Installation in Seeded Antenna</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F690F61" w14:textId="77777777">
            <w:pPr>
              <w:widowControl w:val="0"/>
              <w:ind w:left="0" w:right="0"/>
              <w:jc w:val="center"/>
              <w:rPr>
                <w:rFonts w:ascii="Calibri" w:eastAsia="Calibri" w:hAnsi="Calibri" w:cs="Calibri"/>
                <w:color w:val="000000"/>
              </w:rPr>
            </w:pPr>
            <w:r>
              <w:rPr>
                <w:color w:val="000000"/>
              </w:rPr>
              <w:t>600 – 1,100</w:t>
            </w:r>
          </w:p>
        </w:tc>
      </w:tr>
      <w:tr w14:paraId="1025DAEA"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AE38160" w14:textId="77777777">
            <w:pPr>
              <w:widowControl w:val="0"/>
              <w:ind w:left="0" w:right="0"/>
              <w:rPr>
                <w:rFonts w:ascii="Calibri" w:eastAsia="Calibri" w:hAnsi="Calibri" w:cs="Calibri"/>
                <w:color w:val="000000"/>
              </w:rPr>
            </w:pPr>
            <w:r>
              <w:rPr>
                <w:color w:val="000000"/>
              </w:rPr>
              <w:t>Filter Installation in Spare Antenna (if seeding antenna is not needed)</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4E71537" w14:textId="77777777">
            <w:pPr>
              <w:widowControl w:val="0"/>
              <w:ind w:left="0" w:right="0"/>
              <w:jc w:val="center"/>
              <w:rPr>
                <w:rFonts w:ascii="Calibri" w:eastAsia="Calibri" w:hAnsi="Calibri" w:cs="Calibri"/>
                <w:color w:val="000000"/>
              </w:rPr>
            </w:pPr>
            <w:r>
              <w:rPr>
                <w:color w:val="000000"/>
              </w:rPr>
              <w:t>600 – 1,100</w:t>
            </w:r>
          </w:p>
        </w:tc>
      </w:tr>
      <w:tr w14:paraId="290673F6"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174C071F" w14:textId="77777777">
            <w:pPr>
              <w:widowControl w:val="0"/>
              <w:ind w:left="0" w:right="0"/>
              <w:rPr>
                <w:rFonts w:ascii="Calibri" w:eastAsia="Calibri" w:hAnsi="Calibri" w:cs="Calibri"/>
                <w:color w:val="000000"/>
              </w:rPr>
            </w:pPr>
            <w:r>
              <w:rPr>
                <w:color w:val="000000"/>
              </w:rPr>
              <w:t>Initiate operations via dual illumination (with seeded and spare antenna)</w:t>
            </w:r>
          </w:p>
        </w:tc>
        <w:tc>
          <w:tcPr>
            <w:tcW w:w="331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5AB9E802" w14:textId="77777777">
            <w:pPr>
              <w:widowControl w:val="0"/>
              <w:ind w:left="0" w:right="0"/>
              <w:jc w:val="center"/>
              <w:rPr>
                <w:rFonts w:ascii="Calibri" w:eastAsia="Calibri" w:hAnsi="Calibri" w:cs="Calibri"/>
                <w:color w:val="000000"/>
              </w:rPr>
            </w:pPr>
            <w:r>
              <w:rPr>
                <w:color w:val="000000"/>
              </w:rPr>
              <w:t>500 – 12,000</w:t>
            </w:r>
          </w:p>
        </w:tc>
      </w:tr>
      <w:tr w14:paraId="04A83B1C"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79B7908" w14:textId="77777777">
            <w:pPr>
              <w:widowControl w:val="0"/>
              <w:ind w:left="0" w:right="0"/>
              <w:rPr>
                <w:rFonts w:ascii="Calibri" w:eastAsia="Calibri" w:hAnsi="Calibri" w:cs="Calibri"/>
                <w:color w:val="000000"/>
              </w:rPr>
            </w:pPr>
            <w:r>
              <w:rPr>
                <w:color w:val="000000"/>
              </w:rPr>
              <w:t>Replace Cabling from Antenna to Headend</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27F31DA" w14:textId="77777777">
            <w:pPr>
              <w:widowControl w:val="0"/>
              <w:ind w:left="0" w:right="0"/>
              <w:jc w:val="center"/>
              <w:rPr>
                <w:rFonts w:ascii="Calibri" w:eastAsia="Calibri" w:hAnsi="Calibri" w:cs="Calibri"/>
                <w:color w:val="000000"/>
              </w:rPr>
            </w:pPr>
            <w:r>
              <w:rPr>
                <w:color w:val="000000"/>
              </w:rPr>
              <w:t>1,000 – 2,200</w:t>
            </w:r>
          </w:p>
        </w:tc>
      </w:tr>
      <w:tr w14:paraId="05C0FFBC"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4F05C84" w14:textId="2479B924">
            <w:pPr>
              <w:widowControl w:val="0"/>
              <w:ind w:left="0" w:right="0"/>
              <w:rPr>
                <w:rFonts w:ascii="Calibri" w:eastAsia="Calibri" w:hAnsi="Calibri" w:cs="Calibri"/>
                <w:color w:val="000000"/>
              </w:rPr>
            </w:pPr>
            <w:r>
              <w:rPr>
                <w:color w:val="000000"/>
              </w:rPr>
              <w:t>Travel Costs for Rural, Mountainous, Hard-to-Reach Areas</w:t>
            </w:r>
            <w:r w:rsidR="00FC53A4">
              <w:rPr>
                <w:color w:val="000000"/>
              </w:rPr>
              <w:t xml:space="preserve"> (per trip)</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41A0865" w14:textId="1A96E36D">
            <w:pPr>
              <w:widowControl w:val="0"/>
              <w:ind w:left="0" w:right="0"/>
              <w:jc w:val="center"/>
              <w:rPr>
                <w:rFonts w:ascii="Calibri" w:eastAsia="Calibri" w:hAnsi="Calibri" w:cs="Calibri"/>
                <w:color w:val="000000"/>
              </w:rPr>
            </w:pPr>
            <w:r>
              <w:rPr>
                <w:color w:val="000000"/>
              </w:rPr>
              <w:t>150</w:t>
            </w:r>
            <w:r w:rsidR="00D236CF">
              <w:rPr>
                <w:color w:val="000000"/>
              </w:rPr>
              <w:t xml:space="preserve"> – </w:t>
            </w:r>
            <w:r>
              <w:rPr>
                <w:color w:val="000000"/>
              </w:rPr>
              <w:t>1,500</w:t>
            </w:r>
          </w:p>
        </w:tc>
      </w:tr>
      <w:tr w14:paraId="0EC9ABDD"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81F7822" w14:textId="77777777">
            <w:pPr>
              <w:widowControl w:val="0"/>
              <w:ind w:left="0" w:right="0"/>
              <w:rPr>
                <w:rFonts w:ascii="Calibri" w:eastAsia="Calibri" w:hAnsi="Calibri" w:cs="Calibri"/>
                <w:color w:val="000000"/>
              </w:rPr>
            </w:pPr>
            <w:r>
              <w:rPr>
                <w:color w:val="000000"/>
              </w:rPr>
              <w:t>Labor Fee for Installations or Emergency Situations (per hour)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A5089F7" w14:textId="77777777">
            <w:pPr>
              <w:widowControl w:val="0"/>
              <w:ind w:left="0" w:right="0"/>
              <w:jc w:val="center"/>
              <w:rPr>
                <w:rFonts w:ascii="Calibri" w:eastAsia="Calibri" w:hAnsi="Calibri" w:cs="Calibri"/>
                <w:color w:val="000000"/>
              </w:rPr>
            </w:pPr>
            <w:r>
              <w:rPr>
                <w:color w:val="000000"/>
              </w:rPr>
              <w:t>300 – 800</w:t>
            </w:r>
          </w:p>
        </w:tc>
      </w:tr>
      <w:tr w14:paraId="166C5199"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9D2FCAC" w14:textId="77777777">
            <w:pPr>
              <w:widowControl w:val="0"/>
              <w:ind w:left="0" w:right="0"/>
              <w:rPr>
                <w:rFonts w:ascii="Calibri" w:eastAsia="Calibri" w:hAnsi="Calibri" w:cs="Calibri"/>
                <w:color w:val="000000"/>
              </w:rPr>
            </w:pPr>
            <w:r>
              <w:rPr>
                <w:color w:val="000000"/>
              </w:rPr>
              <w:t>Planning for Dual Illumination</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E3445F3" w14:textId="77777777">
            <w:pPr>
              <w:widowControl w:val="0"/>
              <w:ind w:left="0" w:right="0"/>
              <w:jc w:val="center"/>
              <w:rPr>
                <w:rFonts w:ascii="Calibri" w:eastAsia="Calibri" w:hAnsi="Calibri" w:cs="Calibri"/>
                <w:color w:val="000000"/>
              </w:rPr>
            </w:pPr>
            <w:r>
              <w:rPr>
                <w:color w:val="000000"/>
              </w:rPr>
              <w:t>10,000 – 30,000</w:t>
            </w:r>
          </w:p>
        </w:tc>
      </w:tr>
      <w:tr w14:paraId="5D819BA8" w14:textId="77777777" w:rsidTr="00C75185">
        <w:tblPrEx>
          <w:tblW w:w="10188" w:type="dxa"/>
          <w:tblInd w:w="262" w:type="dxa"/>
          <w:tblLayout w:type="fixed"/>
          <w:tblCellMar>
            <w:top w:w="100" w:type="dxa"/>
            <w:left w:w="100" w:type="dxa"/>
            <w:bottom w:w="100" w:type="dxa"/>
            <w:right w:w="100" w:type="dxa"/>
          </w:tblCellMar>
          <w:tblLook w:val="0600"/>
        </w:tblPrEx>
        <w:trPr>
          <w:trHeight w:val="300"/>
        </w:trPr>
        <w:tc>
          <w:tcPr>
            <w:tcW w:w="687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48317A6" w14:textId="77777777">
            <w:pPr>
              <w:widowControl w:val="0"/>
              <w:ind w:left="0" w:right="0"/>
              <w:rPr>
                <w:rFonts w:ascii="Calibri" w:eastAsia="Calibri" w:hAnsi="Calibri" w:cs="Calibri"/>
                <w:color w:val="000000"/>
              </w:rPr>
            </w:pPr>
            <w:r>
              <w:rPr>
                <w:color w:val="000000"/>
              </w:rPr>
              <w:t>Dual Illumination of Transponder</w:t>
            </w:r>
          </w:p>
        </w:tc>
        <w:tc>
          <w:tcPr>
            <w:tcW w:w="33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42F1691" w14:textId="77777777">
            <w:pPr>
              <w:widowControl w:val="0"/>
              <w:ind w:left="0" w:right="0"/>
              <w:jc w:val="center"/>
              <w:rPr>
                <w:rFonts w:ascii="Calibri" w:eastAsia="Calibri" w:hAnsi="Calibri" w:cs="Calibri"/>
                <w:color w:val="000000"/>
              </w:rPr>
            </w:pPr>
            <w:r>
              <w:rPr>
                <w:color w:val="000000"/>
              </w:rPr>
              <w:t>10,000 – 24,000</w:t>
            </w:r>
          </w:p>
        </w:tc>
      </w:tr>
    </w:tbl>
    <w:p w:rsidR="0079425C" w14:paraId="503D53D9" w14:textId="2065DF54">
      <w:pPr>
        <w:ind w:left="0"/>
      </w:pPr>
    </w:p>
    <w:p w:rsidR="0079425C" w14:paraId="7F356171" w14:textId="77777777">
      <w:r>
        <w:br w:type="page"/>
      </w:r>
    </w:p>
    <w:tbl>
      <w:tblPr>
        <w:tblW w:w="9900" w:type="dxa"/>
        <w:tblInd w:w="34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750"/>
        <w:gridCol w:w="3150"/>
      </w:tblGrid>
      <w:tr w14:paraId="3436AB7B" w14:textId="77777777">
        <w:tblPrEx>
          <w:tblW w:w="9900" w:type="dxa"/>
          <w:tblInd w:w="34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5BC6812D" w14:textId="77777777">
            <w:pPr>
              <w:widowControl w:val="0"/>
              <w:ind w:left="0" w:right="0"/>
              <w:jc w:val="center"/>
              <w:rPr>
                <w:rFonts w:ascii="Calibri" w:eastAsia="Calibri" w:hAnsi="Calibri" w:cs="Calibri"/>
                <w:color w:val="000000"/>
              </w:rPr>
            </w:pPr>
            <w:r>
              <w:rPr>
                <w:color w:val="0072C6"/>
              </w:rPr>
              <w:t>Table III-A-3: Gateway - RF Uplink Chain</w:t>
            </w:r>
          </w:p>
        </w:tc>
        <w:tc>
          <w:tcPr>
            <w:tcW w:w="31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95670EA" w14:textId="77777777">
            <w:pPr>
              <w:widowControl w:val="0"/>
              <w:ind w:left="0" w:right="0"/>
              <w:jc w:val="center"/>
              <w:rPr>
                <w:rFonts w:ascii="Calibri" w:eastAsia="Calibri" w:hAnsi="Calibri" w:cs="Calibri"/>
                <w:color w:val="000000"/>
              </w:rPr>
            </w:pPr>
            <w:r>
              <w:rPr>
                <w:color w:val="0072C6"/>
              </w:rPr>
              <w:t>Range of Estimated Cost ($)</w:t>
            </w:r>
          </w:p>
        </w:tc>
      </w:tr>
      <w:tr w14:paraId="2D4056DB"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305D6BCB" w14:textId="77777777">
            <w:pPr>
              <w:widowControl w:val="0"/>
              <w:ind w:left="0" w:right="0"/>
              <w:rPr>
                <w:rFonts w:ascii="Calibri" w:eastAsia="Calibri" w:hAnsi="Calibri" w:cs="Calibri"/>
                <w:color w:val="000000"/>
              </w:rPr>
            </w:pPr>
            <w:r>
              <w:rPr>
                <w:i/>
                <w:color w:val="000000"/>
              </w:rPr>
              <w:t>RF Uplink Chain for Limited Motion Antenna Configuration</w:t>
            </w:r>
          </w:p>
        </w:tc>
        <w:tc>
          <w:tcPr>
            <w:tcW w:w="315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0AFD29FC" w14:textId="77777777">
            <w:pPr>
              <w:widowControl w:val="0"/>
              <w:ind w:left="0" w:right="0"/>
              <w:rPr>
                <w:rFonts w:ascii="Calibri" w:eastAsia="Calibri" w:hAnsi="Calibri" w:cs="Calibri"/>
                <w:color w:val="000000"/>
              </w:rPr>
            </w:pPr>
          </w:p>
        </w:tc>
      </w:tr>
      <w:tr w14:paraId="414BCD36" w14:textId="77777777">
        <w:tblPrEx>
          <w:tblW w:w="9900" w:type="dxa"/>
          <w:tblInd w:w="340" w:type="dxa"/>
          <w:tblLayout w:type="fixed"/>
          <w:tblCellMar>
            <w:top w:w="100" w:type="dxa"/>
            <w:left w:w="100" w:type="dxa"/>
            <w:bottom w:w="100" w:type="dxa"/>
            <w:right w:w="100" w:type="dxa"/>
          </w:tblCellMar>
          <w:tblLook w:val="0600"/>
        </w:tblPrEx>
        <w:trPr>
          <w:trHeight w:val="510"/>
        </w:trPr>
        <w:tc>
          <w:tcPr>
            <w:tcW w:w="6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1850CCC7" w14:textId="77777777">
            <w:pPr>
              <w:widowControl w:val="0"/>
              <w:ind w:left="0" w:right="0"/>
              <w:rPr>
                <w:color w:val="000000"/>
              </w:rPr>
            </w:pPr>
            <w:r>
              <w:rPr>
                <w:color w:val="000000"/>
              </w:rPr>
              <w:t>Solid State Power Amplifier</w:t>
            </w:r>
          </w:p>
          <w:p w:rsidR="006F3BB7" w14:paraId="6ECCB120" w14:textId="77777777">
            <w:pPr>
              <w:widowControl w:val="0"/>
              <w:ind w:left="0" w:right="0"/>
              <w:rPr>
                <w:rFonts w:ascii="Calibri" w:eastAsia="Calibri" w:hAnsi="Calibri" w:cs="Calibri"/>
                <w:color w:val="000000"/>
              </w:rPr>
            </w:pPr>
            <w:r>
              <w:rPr>
                <w:color w:val="000000"/>
              </w:rPr>
              <w:t>Note: 2 polarizations required</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DB419BA" w14:textId="77777777">
            <w:pPr>
              <w:widowControl w:val="0"/>
              <w:ind w:left="0" w:right="0"/>
              <w:jc w:val="center"/>
              <w:rPr>
                <w:rFonts w:ascii="Calibri" w:eastAsia="Calibri" w:hAnsi="Calibri" w:cs="Calibri"/>
                <w:color w:val="000000"/>
              </w:rPr>
            </w:pPr>
            <w:r>
              <w:rPr>
                <w:color w:val="000000"/>
              </w:rPr>
              <w:t>75,000 – 340,000</w:t>
            </w:r>
          </w:p>
        </w:tc>
      </w:tr>
      <w:tr w14:paraId="2DB04868"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140C65E3" w14:textId="77777777">
            <w:pPr>
              <w:widowControl w:val="0"/>
              <w:ind w:left="0" w:right="0"/>
              <w:rPr>
                <w:rFonts w:ascii="Calibri" w:eastAsia="Calibri" w:hAnsi="Calibri" w:cs="Calibri"/>
                <w:color w:val="000000"/>
              </w:rPr>
            </w:pPr>
            <w:r>
              <w:rPr>
                <w:color w:val="000000"/>
              </w:rPr>
              <w:t>Block Upconverter (BUC)</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AAD8411" w14:textId="77777777">
            <w:pPr>
              <w:widowControl w:val="0"/>
              <w:ind w:left="0" w:right="0"/>
              <w:jc w:val="center"/>
              <w:rPr>
                <w:rFonts w:ascii="Calibri" w:eastAsia="Calibri" w:hAnsi="Calibri" w:cs="Calibri"/>
                <w:color w:val="000000"/>
              </w:rPr>
            </w:pPr>
            <w:r>
              <w:rPr>
                <w:color w:val="000000"/>
              </w:rPr>
              <w:t>35,000 – 45,000</w:t>
            </w:r>
          </w:p>
        </w:tc>
      </w:tr>
      <w:tr w14:paraId="5B307E07"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ED69B84" w14:textId="77777777">
            <w:pPr>
              <w:widowControl w:val="0"/>
              <w:ind w:left="0" w:right="0"/>
              <w:rPr>
                <w:rFonts w:ascii="Calibri" w:eastAsia="Calibri" w:hAnsi="Calibri" w:cs="Calibri"/>
                <w:color w:val="000000"/>
              </w:rPr>
            </w:pPr>
            <w:r>
              <w:rPr>
                <w:color w:val="000000"/>
              </w:rPr>
              <w:t>Fiber System</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A18F9B5" w14:textId="77777777">
            <w:pPr>
              <w:widowControl w:val="0"/>
              <w:ind w:left="0" w:right="0"/>
              <w:jc w:val="center"/>
              <w:rPr>
                <w:rFonts w:ascii="Calibri" w:eastAsia="Calibri" w:hAnsi="Calibri" w:cs="Calibri"/>
                <w:color w:val="000000"/>
              </w:rPr>
            </w:pPr>
            <w:r>
              <w:rPr>
                <w:color w:val="000000"/>
              </w:rPr>
              <w:t>45,000 – 55,000</w:t>
            </w:r>
          </w:p>
        </w:tc>
      </w:tr>
      <w:tr w14:paraId="6336AE69"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6F3BB7" w14:paraId="6E5FB43F" w14:textId="77777777">
            <w:pPr>
              <w:widowControl w:val="0"/>
              <w:ind w:left="0" w:right="0"/>
              <w:rPr>
                <w:rFonts w:ascii="Calibri" w:eastAsia="Calibri" w:hAnsi="Calibri" w:cs="Calibri"/>
                <w:color w:val="000000"/>
              </w:rPr>
            </w:pPr>
            <w:r>
              <w:rPr>
                <w:color w:val="000000"/>
              </w:rPr>
              <w:t>RF Distribution</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892CFB1" w14:textId="77777777">
            <w:pPr>
              <w:widowControl w:val="0"/>
              <w:ind w:left="0" w:right="0"/>
              <w:jc w:val="center"/>
              <w:rPr>
                <w:rFonts w:ascii="Calibri" w:eastAsia="Calibri" w:hAnsi="Calibri" w:cs="Calibri"/>
                <w:color w:val="000000"/>
              </w:rPr>
            </w:pPr>
            <w:r>
              <w:rPr>
                <w:color w:val="000000"/>
              </w:rPr>
              <w:t>25,000 – 35,000</w:t>
            </w:r>
          </w:p>
        </w:tc>
      </w:tr>
      <w:tr w14:paraId="1060451D"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43CDEEAD" w14:textId="77777777">
            <w:pPr>
              <w:widowControl w:val="0"/>
              <w:ind w:left="0" w:right="0"/>
              <w:rPr>
                <w:rFonts w:ascii="Calibri" w:eastAsia="Calibri" w:hAnsi="Calibri" w:cs="Calibri"/>
                <w:color w:val="000000"/>
              </w:rPr>
            </w:pPr>
            <w:r>
              <w:rPr>
                <w:i/>
                <w:color w:val="000000"/>
              </w:rPr>
              <w:t>RF Uplink for Extended/Full Performance Antenna Configuration</w:t>
            </w:r>
          </w:p>
        </w:tc>
        <w:tc>
          <w:tcPr>
            <w:tcW w:w="315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4E4A3857" w14:textId="77777777">
            <w:pPr>
              <w:widowControl w:val="0"/>
              <w:ind w:left="0" w:right="0"/>
              <w:rPr>
                <w:rFonts w:ascii="Calibri" w:eastAsia="Calibri" w:hAnsi="Calibri" w:cs="Calibri"/>
                <w:color w:val="000000"/>
              </w:rPr>
            </w:pPr>
          </w:p>
        </w:tc>
      </w:tr>
      <w:tr w14:paraId="56E9DEFC"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F3BB7" w14:paraId="58482567" w14:textId="77777777">
            <w:pPr>
              <w:widowControl w:val="0"/>
              <w:ind w:left="0" w:right="0"/>
              <w:rPr>
                <w:rFonts w:ascii="Calibri" w:eastAsia="Calibri" w:hAnsi="Calibri" w:cs="Calibri"/>
                <w:color w:val="000000"/>
              </w:rPr>
            </w:pPr>
            <w:r>
              <w:rPr>
                <w:color w:val="000000"/>
              </w:rPr>
              <w:t>Travelling Wave Tube Amplifier</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2CFBF46" w14:textId="77777777">
            <w:pPr>
              <w:widowControl w:val="0"/>
              <w:ind w:left="0" w:right="0"/>
              <w:jc w:val="center"/>
              <w:rPr>
                <w:rFonts w:ascii="Calibri" w:eastAsia="Calibri" w:hAnsi="Calibri" w:cs="Calibri"/>
                <w:color w:val="000000"/>
              </w:rPr>
            </w:pPr>
            <w:r>
              <w:rPr>
                <w:color w:val="000000"/>
              </w:rPr>
              <w:t>75,000 – 260,000</w:t>
            </w:r>
          </w:p>
        </w:tc>
      </w:tr>
      <w:tr w14:paraId="35344A4E"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F3BB7" w14:paraId="651C3B5E" w14:textId="77777777">
            <w:pPr>
              <w:widowControl w:val="0"/>
              <w:ind w:left="0" w:right="0"/>
              <w:rPr>
                <w:rFonts w:ascii="Calibri" w:eastAsia="Calibri" w:hAnsi="Calibri" w:cs="Calibri"/>
                <w:color w:val="000000"/>
              </w:rPr>
            </w:pPr>
            <w:r>
              <w:rPr>
                <w:color w:val="000000"/>
              </w:rPr>
              <w:t>BUC</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71E6C7A" w14:textId="77777777">
            <w:pPr>
              <w:widowControl w:val="0"/>
              <w:ind w:left="0" w:right="0"/>
              <w:jc w:val="center"/>
              <w:rPr>
                <w:rFonts w:ascii="Calibri" w:eastAsia="Calibri" w:hAnsi="Calibri" w:cs="Calibri"/>
                <w:color w:val="000000"/>
              </w:rPr>
            </w:pPr>
            <w:r>
              <w:rPr>
                <w:color w:val="000000"/>
              </w:rPr>
              <w:t>35,000 – 45,000</w:t>
            </w:r>
          </w:p>
        </w:tc>
      </w:tr>
      <w:tr w14:paraId="678F14AA"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6F3BB7" w14:paraId="32135ED7" w14:textId="77777777">
            <w:pPr>
              <w:widowControl w:val="0"/>
              <w:ind w:left="0" w:right="0"/>
              <w:rPr>
                <w:rFonts w:ascii="Calibri" w:eastAsia="Calibri" w:hAnsi="Calibri" w:cs="Calibri"/>
                <w:color w:val="000000"/>
              </w:rPr>
            </w:pPr>
            <w:r>
              <w:rPr>
                <w:color w:val="000000"/>
              </w:rPr>
              <w:t>Fiber System</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C2A230B" w14:textId="77777777">
            <w:pPr>
              <w:widowControl w:val="0"/>
              <w:ind w:left="0" w:right="0"/>
              <w:jc w:val="center"/>
              <w:rPr>
                <w:rFonts w:ascii="Calibri" w:eastAsia="Calibri" w:hAnsi="Calibri" w:cs="Calibri"/>
                <w:color w:val="000000"/>
              </w:rPr>
            </w:pPr>
            <w:r>
              <w:rPr>
                <w:color w:val="000000"/>
              </w:rPr>
              <w:t>25,000 – 35,000</w:t>
            </w:r>
          </w:p>
        </w:tc>
      </w:tr>
      <w:tr w14:paraId="1943A165" w14:textId="77777777">
        <w:tblPrEx>
          <w:tblW w:w="9900" w:type="dxa"/>
          <w:tblInd w:w="340"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6F3BB7" w14:paraId="7718BC62" w14:textId="77777777">
            <w:pPr>
              <w:widowControl w:val="0"/>
              <w:ind w:left="0" w:right="0"/>
              <w:rPr>
                <w:rFonts w:ascii="Calibri" w:eastAsia="Calibri" w:hAnsi="Calibri" w:cs="Calibri"/>
                <w:color w:val="000000"/>
              </w:rPr>
            </w:pPr>
            <w:r>
              <w:rPr>
                <w:color w:val="000000"/>
              </w:rPr>
              <w:t>RF Distribution</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AFFFAC2" w14:textId="3EF87995">
            <w:pPr>
              <w:widowControl w:val="0"/>
              <w:ind w:left="0" w:right="0"/>
              <w:jc w:val="center"/>
              <w:rPr>
                <w:rFonts w:ascii="Calibri" w:eastAsia="Calibri" w:hAnsi="Calibri" w:cs="Calibri"/>
                <w:color w:val="000000"/>
              </w:rPr>
            </w:pPr>
            <w:r>
              <w:rPr>
                <w:color w:val="000000"/>
              </w:rPr>
              <w:t>25</w:t>
            </w:r>
            <w:r w:rsidR="00CB55DD">
              <w:rPr>
                <w:color w:val="000000"/>
              </w:rPr>
              <w:t>,</w:t>
            </w:r>
            <w:r>
              <w:rPr>
                <w:color w:val="000000"/>
              </w:rPr>
              <w:t>000 – 35,000</w:t>
            </w:r>
          </w:p>
        </w:tc>
      </w:tr>
    </w:tbl>
    <w:p w:rsidR="004A5C9B" w14:paraId="52936D04" w14:textId="0F293E63">
      <w:pPr>
        <w:ind w:left="0"/>
      </w:pPr>
    </w:p>
    <w:tbl>
      <w:tblPr>
        <w:tblW w:w="9900" w:type="dxa"/>
        <w:tblInd w:w="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750"/>
        <w:gridCol w:w="3150"/>
      </w:tblGrid>
      <w:tr w14:paraId="0E50898C" w14:textId="77777777">
        <w:tblPrEx>
          <w:tblW w:w="9900" w:type="dxa"/>
          <w:tblInd w:w="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7CCA1DAC" w14:textId="111E7288">
            <w:pPr>
              <w:widowControl w:val="0"/>
              <w:ind w:left="0" w:right="0"/>
              <w:jc w:val="center"/>
              <w:rPr>
                <w:rFonts w:ascii="Calibri" w:eastAsia="Calibri" w:hAnsi="Calibri" w:cs="Calibri"/>
                <w:color w:val="000000"/>
              </w:rPr>
            </w:pPr>
            <w:r>
              <w:br w:type="page"/>
            </w:r>
            <w:r w:rsidR="0097557E">
              <w:rPr>
                <w:color w:val="0072C6"/>
              </w:rPr>
              <w:t>Table III-A-4: Gateway - RF Downlink Chain</w:t>
            </w:r>
          </w:p>
        </w:tc>
        <w:tc>
          <w:tcPr>
            <w:tcW w:w="31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0E14CE9" w14:textId="77777777">
            <w:pPr>
              <w:widowControl w:val="0"/>
              <w:ind w:left="0" w:right="0"/>
              <w:jc w:val="center"/>
              <w:rPr>
                <w:rFonts w:ascii="Calibri" w:eastAsia="Calibri" w:hAnsi="Calibri" w:cs="Calibri"/>
                <w:color w:val="000000"/>
              </w:rPr>
            </w:pPr>
            <w:r>
              <w:rPr>
                <w:color w:val="0072C6"/>
              </w:rPr>
              <w:t>Range of Estimated Cost ($)</w:t>
            </w:r>
          </w:p>
        </w:tc>
      </w:tr>
      <w:tr w14:paraId="3CF61707"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42B97FEC" w14:textId="77777777">
            <w:pPr>
              <w:widowControl w:val="0"/>
              <w:ind w:left="0" w:right="0"/>
              <w:rPr>
                <w:rFonts w:ascii="Calibri" w:eastAsia="Calibri" w:hAnsi="Calibri" w:cs="Calibri"/>
                <w:color w:val="000000"/>
              </w:rPr>
            </w:pPr>
            <w:r>
              <w:rPr>
                <w:i/>
                <w:color w:val="000000"/>
              </w:rPr>
              <w:t>RF Downlink Chain for Limited Motion Antenna Configuration</w:t>
            </w:r>
          </w:p>
        </w:tc>
        <w:tc>
          <w:tcPr>
            <w:tcW w:w="315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616D6630" w14:textId="77777777">
            <w:pPr>
              <w:widowControl w:val="0"/>
              <w:ind w:left="0" w:right="0"/>
              <w:rPr>
                <w:rFonts w:ascii="Calibri" w:eastAsia="Calibri" w:hAnsi="Calibri" w:cs="Calibri"/>
                <w:color w:val="000000"/>
              </w:rPr>
            </w:pPr>
          </w:p>
        </w:tc>
      </w:tr>
      <w:tr w14:paraId="114ECBE8"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47DE4E58" w14:textId="77777777">
            <w:pPr>
              <w:widowControl w:val="0"/>
              <w:ind w:left="0" w:right="0"/>
              <w:rPr>
                <w:rFonts w:ascii="Calibri" w:eastAsia="Calibri" w:hAnsi="Calibri" w:cs="Calibri"/>
                <w:color w:val="000000"/>
              </w:rPr>
            </w:pPr>
            <w:r>
              <w:rPr>
                <w:color w:val="000000"/>
              </w:rPr>
              <w:t>Block Downconverter (BDC)</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67067E7" w14:textId="77777777">
            <w:pPr>
              <w:widowControl w:val="0"/>
              <w:ind w:left="0" w:right="0"/>
              <w:jc w:val="center"/>
              <w:rPr>
                <w:rFonts w:ascii="Calibri" w:eastAsia="Calibri" w:hAnsi="Calibri" w:cs="Calibri"/>
                <w:color w:val="000000"/>
              </w:rPr>
            </w:pPr>
            <w:r>
              <w:rPr>
                <w:color w:val="000000"/>
              </w:rPr>
              <w:t>35,000 – 45,000</w:t>
            </w:r>
          </w:p>
        </w:tc>
      </w:tr>
      <w:tr w14:paraId="5DD9AB8B"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16F14598" w14:textId="77777777">
            <w:pPr>
              <w:widowControl w:val="0"/>
              <w:ind w:left="0" w:right="0"/>
              <w:rPr>
                <w:rFonts w:ascii="Calibri" w:eastAsia="Calibri" w:hAnsi="Calibri" w:cs="Calibri"/>
                <w:color w:val="000000"/>
              </w:rPr>
            </w:pPr>
            <w:r>
              <w:rPr>
                <w:color w:val="000000"/>
              </w:rPr>
              <w:t>Fiber System</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107A88B" w14:textId="2B559564">
            <w:pPr>
              <w:widowControl w:val="0"/>
              <w:ind w:left="0" w:right="0"/>
              <w:jc w:val="center"/>
              <w:rPr>
                <w:rFonts w:ascii="Calibri" w:eastAsia="Calibri" w:hAnsi="Calibri" w:cs="Calibri"/>
                <w:color w:val="000000"/>
              </w:rPr>
            </w:pPr>
            <w:r>
              <w:rPr>
                <w:color w:val="000000"/>
              </w:rPr>
              <w:t>45,000 – 55,000</w:t>
            </w:r>
          </w:p>
        </w:tc>
      </w:tr>
      <w:tr w14:paraId="37D5DE16"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0296E58B" w14:textId="77777777">
            <w:pPr>
              <w:widowControl w:val="0"/>
              <w:ind w:left="0" w:right="0"/>
              <w:rPr>
                <w:rFonts w:ascii="Calibri" w:eastAsia="Calibri" w:hAnsi="Calibri" w:cs="Calibri"/>
                <w:color w:val="000000"/>
              </w:rPr>
            </w:pPr>
            <w:r>
              <w:rPr>
                <w:color w:val="000000"/>
              </w:rPr>
              <w:t>RF Distribution</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1F0A424" w14:textId="77777777">
            <w:pPr>
              <w:widowControl w:val="0"/>
              <w:ind w:left="0" w:right="0"/>
              <w:jc w:val="center"/>
              <w:rPr>
                <w:rFonts w:ascii="Calibri" w:eastAsia="Calibri" w:hAnsi="Calibri" w:cs="Calibri"/>
                <w:color w:val="000000"/>
              </w:rPr>
            </w:pPr>
            <w:r>
              <w:rPr>
                <w:color w:val="000000"/>
              </w:rPr>
              <w:t>15,000 – 25,000</w:t>
            </w:r>
          </w:p>
        </w:tc>
      </w:tr>
      <w:tr w14:paraId="6DF506B9"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22B5B6DA" w14:textId="77777777">
            <w:pPr>
              <w:widowControl w:val="0"/>
              <w:ind w:left="0" w:right="0"/>
              <w:rPr>
                <w:rFonts w:ascii="Calibri" w:eastAsia="Calibri" w:hAnsi="Calibri" w:cs="Calibri"/>
                <w:color w:val="000000"/>
              </w:rPr>
            </w:pPr>
            <w:r>
              <w:rPr>
                <w:i/>
                <w:color w:val="000000"/>
              </w:rPr>
              <w:t>RF Downlink Chain for Limited Motion Antenna Receive Only Configuration</w:t>
            </w:r>
          </w:p>
        </w:tc>
        <w:tc>
          <w:tcPr>
            <w:tcW w:w="315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034A043" w14:textId="77777777">
            <w:pPr>
              <w:widowControl w:val="0"/>
              <w:ind w:left="0" w:right="0"/>
              <w:rPr>
                <w:rFonts w:ascii="Calibri" w:eastAsia="Calibri" w:hAnsi="Calibri" w:cs="Calibri"/>
                <w:color w:val="000000"/>
              </w:rPr>
            </w:pPr>
          </w:p>
        </w:tc>
      </w:tr>
      <w:tr w14:paraId="7146E777"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6F3BB7" w14:paraId="6C0FE5FC" w14:textId="77777777">
            <w:pPr>
              <w:widowControl w:val="0"/>
              <w:ind w:left="0" w:right="0"/>
              <w:rPr>
                <w:rFonts w:ascii="Calibri" w:eastAsia="Calibri" w:hAnsi="Calibri" w:cs="Calibri"/>
                <w:color w:val="000000"/>
              </w:rPr>
            </w:pPr>
            <w:r>
              <w:rPr>
                <w:color w:val="000000"/>
              </w:rPr>
              <w:t>Fiber System</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8F6DB46" w14:textId="77777777">
            <w:pPr>
              <w:widowControl w:val="0"/>
              <w:ind w:left="0" w:right="0"/>
              <w:jc w:val="center"/>
              <w:rPr>
                <w:rFonts w:ascii="Calibri" w:eastAsia="Calibri" w:hAnsi="Calibri" w:cs="Calibri"/>
                <w:color w:val="000000"/>
              </w:rPr>
            </w:pPr>
            <w:r>
              <w:rPr>
                <w:color w:val="000000"/>
              </w:rPr>
              <w:t>45,000 – 55,000</w:t>
            </w:r>
          </w:p>
        </w:tc>
      </w:tr>
      <w:tr w14:paraId="2C1F65EF"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6F3BB7" w14:paraId="482AB4AB" w14:textId="77777777">
            <w:pPr>
              <w:widowControl w:val="0"/>
              <w:ind w:left="0" w:right="0"/>
              <w:rPr>
                <w:rFonts w:ascii="Calibri" w:eastAsia="Calibri" w:hAnsi="Calibri" w:cs="Calibri"/>
                <w:color w:val="000000"/>
              </w:rPr>
            </w:pPr>
            <w:r>
              <w:rPr>
                <w:color w:val="000000"/>
              </w:rPr>
              <w:t>RF Distribution</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961E874" w14:textId="77777777">
            <w:pPr>
              <w:widowControl w:val="0"/>
              <w:ind w:left="0" w:right="0"/>
              <w:jc w:val="center"/>
              <w:rPr>
                <w:rFonts w:ascii="Calibri" w:eastAsia="Calibri" w:hAnsi="Calibri" w:cs="Calibri"/>
                <w:color w:val="000000"/>
              </w:rPr>
            </w:pPr>
            <w:r>
              <w:rPr>
                <w:color w:val="000000"/>
              </w:rPr>
              <w:t>15,000 – 25,000</w:t>
            </w:r>
          </w:p>
        </w:tc>
      </w:tr>
      <w:tr w14:paraId="333E4632"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rsidR="006F3BB7" w14:paraId="4B9659B7" w14:textId="77777777">
            <w:pPr>
              <w:widowControl w:val="0"/>
              <w:ind w:left="0" w:right="0"/>
              <w:rPr>
                <w:rFonts w:ascii="Calibri" w:eastAsia="Calibri" w:hAnsi="Calibri" w:cs="Calibri"/>
                <w:color w:val="000000"/>
              </w:rPr>
            </w:pPr>
            <w:r>
              <w:rPr>
                <w:i/>
                <w:color w:val="000000"/>
              </w:rPr>
              <w:t>RF Downlink Chain for Extended/Full Performance Antenna Configuration</w:t>
            </w:r>
          </w:p>
        </w:tc>
        <w:tc>
          <w:tcPr>
            <w:tcW w:w="315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61FC9DCA" w14:textId="77777777">
            <w:pPr>
              <w:widowControl w:val="0"/>
              <w:ind w:left="0" w:right="0"/>
              <w:rPr>
                <w:rFonts w:ascii="Calibri" w:eastAsia="Calibri" w:hAnsi="Calibri" w:cs="Calibri"/>
                <w:color w:val="000000"/>
              </w:rPr>
            </w:pPr>
          </w:p>
        </w:tc>
      </w:tr>
      <w:tr w14:paraId="6008DDE5"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717B0A5" w14:textId="77777777">
            <w:pPr>
              <w:widowControl w:val="0"/>
              <w:ind w:left="0" w:right="0"/>
              <w:rPr>
                <w:rFonts w:ascii="Calibri" w:eastAsia="Calibri" w:hAnsi="Calibri" w:cs="Calibri"/>
                <w:color w:val="000000"/>
              </w:rPr>
            </w:pPr>
            <w:r>
              <w:rPr>
                <w:color w:val="000000"/>
              </w:rPr>
              <w:t>BDC</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2E0AAE4" w14:textId="77777777">
            <w:pPr>
              <w:widowControl w:val="0"/>
              <w:ind w:left="0" w:right="0"/>
              <w:jc w:val="center"/>
              <w:rPr>
                <w:rFonts w:ascii="Calibri" w:eastAsia="Calibri" w:hAnsi="Calibri" w:cs="Calibri"/>
                <w:color w:val="000000"/>
              </w:rPr>
            </w:pPr>
            <w:r>
              <w:rPr>
                <w:color w:val="000000"/>
              </w:rPr>
              <w:t>35,000 – 45,000</w:t>
            </w:r>
          </w:p>
        </w:tc>
      </w:tr>
      <w:tr w14:paraId="52E8D3CC"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F3577B4" w14:textId="77777777">
            <w:pPr>
              <w:widowControl w:val="0"/>
              <w:ind w:left="0" w:right="0"/>
              <w:rPr>
                <w:rFonts w:ascii="Calibri" w:eastAsia="Calibri" w:hAnsi="Calibri" w:cs="Calibri"/>
                <w:color w:val="000000"/>
              </w:rPr>
            </w:pPr>
            <w:r>
              <w:rPr>
                <w:color w:val="000000"/>
              </w:rPr>
              <w:t>Fiber System</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13E023E" w14:textId="77777777">
            <w:pPr>
              <w:widowControl w:val="0"/>
              <w:ind w:left="0" w:right="0"/>
              <w:jc w:val="center"/>
              <w:rPr>
                <w:rFonts w:ascii="Calibri" w:eastAsia="Calibri" w:hAnsi="Calibri" w:cs="Calibri"/>
                <w:color w:val="000000"/>
              </w:rPr>
            </w:pPr>
            <w:r>
              <w:rPr>
                <w:color w:val="000000"/>
              </w:rPr>
              <w:t>45,000 – 55,000</w:t>
            </w:r>
          </w:p>
        </w:tc>
      </w:tr>
      <w:tr w14:paraId="34110ED4" w14:textId="77777777">
        <w:tblPrEx>
          <w:tblW w:w="9900" w:type="dxa"/>
          <w:tblInd w:w="355" w:type="dxa"/>
          <w:tblLayout w:type="fixed"/>
          <w:tblCellMar>
            <w:top w:w="100" w:type="dxa"/>
            <w:left w:w="100" w:type="dxa"/>
            <w:bottom w:w="100" w:type="dxa"/>
            <w:right w:w="100" w:type="dxa"/>
          </w:tblCellMar>
          <w:tblLook w:val="0600"/>
        </w:tblPrEx>
        <w:trPr>
          <w:trHeight w:val="300"/>
        </w:trPr>
        <w:tc>
          <w:tcPr>
            <w:tcW w:w="67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91219B1" w14:textId="77777777">
            <w:pPr>
              <w:widowControl w:val="0"/>
              <w:ind w:left="0" w:right="0"/>
              <w:rPr>
                <w:rFonts w:ascii="Calibri" w:eastAsia="Calibri" w:hAnsi="Calibri" w:cs="Calibri"/>
                <w:color w:val="000000"/>
              </w:rPr>
            </w:pPr>
            <w:r>
              <w:rPr>
                <w:color w:val="000000"/>
              </w:rPr>
              <w:t>RF Distribution</w:t>
            </w:r>
          </w:p>
        </w:tc>
        <w:tc>
          <w:tcPr>
            <w:tcW w:w="31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6707A4F" w14:textId="77777777">
            <w:pPr>
              <w:widowControl w:val="0"/>
              <w:ind w:left="0" w:right="0"/>
              <w:jc w:val="center"/>
              <w:rPr>
                <w:rFonts w:ascii="Calibri" w:eastAsia="Calibri" w:hAnsi="Calibri" w:cs="Calibri"/>
                <w:color w:val="000000"/>
              </w:rPr>
            </w:pPr>
            <w:r>
              <w:rPr>
                <w:color w:val="000000"/>
              </w:rPr>
              <w:t>15,000 – 25,000</w:t>
            </w:r>
          </w:p>
        </w:tc>
      </w:tr>
    </w:tbl>
    <w:p w:rsidR="006F3BB7" w14:paraId="0D72A499" w14:textId="77777777">
      <w:pPr>
        <w:ind w:left="0"/>
      </w:pPr>
    </w:p>
    <w:p w:rsidR="006F3BB7" w14:paraId="511F798C" w14:textId="77777777">
      <w:pPr>
        <w:pStyle w:val="Heading2"/>
        <w:numPr>
          <w:ilvl w:val="0"/>
          <w:numId w:val="3"/>
        </w:numPr>
      </w:pPr>
      <w:bookmarkStart w:id="18" w:name="_Toc38633289"/>
      <w:r>
        <w:t>Equipment Costs</w:t>
      </w:r>
      <w:bookmarkEnd w:id="18"/>
    </w:p>
    <w:p w:rsidR="006F3BB7" w14:paraId="3F86DFE1" w14:textId="3E5E15A5">
      <w:r>
        <w:t>The earth station migration and filtering costs vary based on the type of earth station.  The following tables include equipment costs for receive-only earth stations (single feed and multi-feed), bi-directional earth stations</w:t>
      </w:r>
      <w:r w:rsidR="00651180">
        <w:t xml:space="preserve"> </w:t>
      </w:r>
      <w:r w:rsidRPr="00651180" w:rsidR="00651180">
        <w:t>(e.g. transmit-receive)</w:t>
      </w:r>
      <w:r>
        <w:t xml:space="preserve">, and temporary fixed earth stations.  In most instances, the existing equipment will continue to be usable and not eligible for reimbursement if replaced, but in many instances, one or more of these basic components may need to be replaced to facilitate the transition.  </w:t>
      </w:r>
    </w:p>
    <w:p w:rsidR="008B138A" w14:paraId="3A7120C6" w14:textId="210330DC"/>
    <w:p w:rsidR="008B138A" w14:paraId="1276351A" w14:textId="77777777"/>
    <w:p w:rsidR="00E0067C" w14:paraId="34479A6C" w14:textId="6D542E26">
      <w:pPr>
        <w:rPr>
          <w:sz w:val="12"/>
          <w:szCs w:val="12"/>
        </w:rPr>
      </w:pPr>
      <w:r>
        <w:rPr>
          <w:sz w:val="12"/>
          <w:szCs w:val="12"/>
        </w:rPr>
        <w:br w:type="page"/>
      </w:r>
    </w:p>
    <w:p w:rsidR="006F3BB7" w14:paraId="517B6562" w14:textId="77777777">
      <w:pPr>
        <w:ind w:left="0"/>
        <w:rPr>
          <w:sz w:val="12"/>
          <w:szCs w:val="12"/>
        </w:rPr>
      </w:pPr>
    </w:p>
    <w:p w:rsidR="006F3BB7" w:rsidP="004A5C9B" w14:paraId="1299BC8D" w14:textId="77777777">
      <w:pPr>
        <w:pStyle w:val="Heading3"/>
        <w:numPr>
          <w:ilvl w:val="0"/>
          <w:numId w:val="2"/>
        </w:numPr>
        <w:spacing w:after="120"/>
      </w:pPr>
      <w:bookmarkStart w:id="19" w:name="_Toc38633290"/>
      <w:r>
        <w:t>Receive-only Earth Stations</w:t>
      </w:r>
      <w:bookmarkEnd w:id="19"/>
    </w:p>
    <w:tbl>
      <w:tblPr>
        <w:tblW w:w="10308" w:type="dxa"/>
        <w:tblInd w:w="17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653"/>
        <w:gridCol w:w="2655"/>
      </w:tblGrid>
      <w:tr w14:paraId="747D94B8" w14:textId="77777777" w:rsidTr="00C75185">
        <w:tblPrEx>
          <w:tblW w:w="10308" w:type="dxa"/>
          <w:tblInd w:w="17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76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2EE3324F" w14:textId="77777777">
            <w:pPr>
              <w:widowControl w:val="0"/>
              <w:ind w:left="0" w:right="0"/>
              <w:jc w:val="center"/>
              <w:rPr>
                <w:rFonts w:ascii="Calibri" w:eastAsia="Calibri" w:hAnsi="Calibri" w:cs="Calibri"/>
                <w:color w:val="000000"/>
              </w:rPr>
            </w:pPr>
            <w:r>
              <w:rPr>
                <w:color w:val="0072C6"/>
              </w:rPr>
              <w:t>Table III-B-1: Receive Only Earth Station Equipment</w:t>
            </w:r>
          </w:p>
        </w:tc>
        <w:tc>
          <w:tcPr>
            <w:tcW w:w="26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D0DC64E" w14:textId="77777777">
            <w:pPr>
              <w:widowControl w:val="0"/>
              <w:ind w:left="0" w:right="0"/>
              <w:jc w:val="center"/>
              <w:rPr>
                <w:rFonts w:ascii="Calibri" w:eastAsia="Calibri" w:hAnsi="Calibri" w:cs="Calibri"/>
                <w:color w:val="000000"/>
              </w:rPr>
            </w:pPr>
            <w:r>
              <w:rPr>
                <w:color w:val="0072C6"/>
              </w:rPr>
              <w:t>Range of Estimated Cost ($)</w:t>
            </w:r>
          </w:p>
        </w:tc>
      </w:tr>
      <w:tr w14:paraId="3430F99B"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10BF56C0" w14:textId="77777777">
            <w:pPr>
              <w:widowControl w:val="0"/>
              <w:ind w:left="0" w:right="0"/>
              <w:rPr>
                <w:rFonts w:ascii="Calibri" w:eastAsia="Calibri" w:hAnsi="Calibri" w:cs="Calibri"/>
                <w:color w:val="000000"/>
              </w:rPr>
            </w:pPr>
            <w:r>
              <w:rPr>
                <w:i/>
                <w:color w:val="000000"/>
              </w:rPr>
              <w:t>Single-Feed System</w:t>
            </w:r>
          </w:p>
        </w:tc>
        <w:tc>
          <w:tcPr>
            <w:tcW w:w="265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176FB9A0" w14:textId="77777777">
            <w:pPr>
              <w:widowControl w:val="0"/>
              <w:ind w:left="0" w:right="0"/>
              <w:rPr>
                <w:rFonts w:ascii="Calibri" w:eastAsia="Calibri" w:hAnsi="Calibri" w:cs="Calibri"/>
                <w:color w:val="000000"/>
              </w:rPr>
            </w:pPr>
          </w:p>
        </w:tc>
      </w:tr>
      <w:tr w14:paraId="7D9C26DB"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5E477EA" w14:textId="77777777">
            <w:pPr>
              <w:widowControl w:val="0"/>
              <w:ind w:left="0" w:right="0"/>
              <w:rPr>
                <w:rFonts w:ascii="Calibri" w:eastAsia="Calibri" w:hAnsi="Calibri" w:cs="Calibri"/>
                <w:color w:val="000000"/>
              </w:rPr>
            </w:pPr>
            <w:r>
              <w:rPr>
                <w:color w:val="000000"/>
              </w:rPr>
              <w:t>3.7m Antenna with a single-feed system 2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8D92639" w14:textId="77777777">
            <w:pPr>
              <w:widowControl w:val="0"/>
              <w:ind w:left="0" w:right="0"/>
              <w:jc w:val="center"/>
              <w:rPr>
                <w:rFonts w:ascii="Calibri" w:eastAsia="Calibri" w:hAnsi="Calibri" w:cs="Calibri"/>
                <w:color w:val="000000"/>
              </w:rPr>
            </w:pPr>
            <w:r>
              <w:rPr>
                <w:color w:val="000000"/>
              </w:rPr>
              <w:t>4,000 – 6,600</w:t>
            </w:r>
          </w:p>
        </w:tc>
      </w:tr>
      <w:tr w14:paraId="08A07873"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A8B8AB4" w14:textId="77777777">
            <w:pPr>
              <w:widowControl w:val="0"/>
              <w:ind w:left="0" w:right="0"/>
              <w:rPr>
                <w:rFonts w:ascii="Calibri" w:eastAsia="Calibri" w:hAnsi="Calibri" w:cs="Calibri"/>
                <w:color w:val="000000"/>
              </w:rPr>
            </w:pPr>
            <w:r>
              <w:rPr>
                <w:color w:val="000000"/>
              </w:rPr>
              <w:t>4.2m Antenna with a single-feed system 2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6551202" w14:textId="77777777">
            <w:pPr>
              <w:widowControl w:val="0"/>
              <w:ind w:left="0" w:right="0"/>
              <w:jc w:val="center"/>
              <w:rPr>
                <w:rFonts w:ascii="Calibri" w:eastAsia="Calibri" w:hAnsi="Calibri" w:cs="Calibri"/>
                <w:color w:val="000000"/>
              </w:rPr>
            </w:pPr>
            <w:r>
              <w:rPr>
                <w:color w:val="000000"/>
              </w:rPr>
              <w:t>8,000 – 12,000</w:t>
            </w:r>
          </w:p>
        </w:tc>
      </w:tr>
      <w:tr w14:paraId="387E4E90"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F397D37" w14:textId="77777777">
            <w:pPr>
              <w:widowControl w:val="0"/>
              <w:ind w:left="0" w:right="0"/>
              <w:rPr>
                <w:rFonts w:ascii="Calibri" w:eastAsia="Calibri" w:hAnsi="Calibri" w:cs="Calibri"/>
                <w:color w:val="000000"/>
              </w:rPr>
            </w:pPr>
            <w:r>
              <w:rPr>
                <w:color w:val="000000"/>
              </w:rPr>
              <w:t>4.5m Antenna with a single-feed system 2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2B856B9E" w14:textId="77777777">
            <w:pPr>
              <w:widowControl w:val="0"/>
              <w:ind w:left="0" w:right="0"/>
              <w:jc w:val="center"/>
              <w:rPr>
                <w:rFonts w:ascii="Calibri" w:eastAsia="Calibri" w:hAnsi="Calibri" w:cs="Calibri"/>
                <w:color w:val="000000"/>
              </w:rPr>
            </w:pPr>
            <w:r>
              <w:rPr>
                <w:color w:val="000000"/>
              </w:rPr>
              <w:t>9,000 – 16,400</w:t>
            </w:r>
          </w:p>
        </w:tc>
      </w:tr>
      <w:tr w14:paraId="3E98E2B8"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6098ACB3" w14:textId="77777777">
            <w:pPr>
              <w:widowControl w:val="0"/>
              <w:ind w:left="0" w:right="0"/>
              <w:rPr>
                <w:rFonts w:ascii="Calibri" w:eastAsia="Calibri" w:hAnsi="Calibri" w:cs="Calibri"/>
                <w:color w:val="000000"/>
              </w:rPr>
            </w:pPr>
            <w:r>
              <w:rPr>
                <w:i/>
                <w:color w:val="000000"/>
              </w:rPr>
              <w:t>Dual-feed System</w:t>
            </w:r>
          </w:p>
        </w:tc>
        <w:tc>
          <w:tcPr>
            <w:tcW w:w="265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5C262651" w14:textId="77777777">
            <w:pPr>
              <w:widowControl w:val="0"/>
              <w:ind w:left="0" w:right="0"/>
              <w:rPr>
                <w:rFonts w:ascii="Calibri" w:eastAsia="Calibri" w:hAnsi="Calibri" w:cs="Calibri"/>
                <w:color w:val="000000"/>
              </w:rPr>
            </w:pPr>
          </w:p>
        </w:tc>
      </w:tr>
      <w:tr w14:paraId="2F506365"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A3E78E6" w14:textId="77777777">
            <w:pPr>
              <w:widowControl w:val="0"/>
              <w:ind w:left="0" w:right="0"/>
              <w:rPr>
                <w:rFonts w:ascii="Calibri" w:eastAsia="Calibri" w:hAnsi="Calibri" w:cs="Calibri"/>
                <w:color w:val="000000"/>
              </w:rPr>
            </w:pPr>
            <w:r>
              <w:rPr>
                <w:color w:val="000000"/>
              </w:rPr>
              <w:t>3.7m Antenna with a dual-feed system 4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9B0D10B" w14:textId="77777777">
            <w:pPr>
              <w:widowControl w:val="0"/>
              <w:ind w:left="0" w:right="0"/>
              <w:jc w:val="center"/>
              <w:rPr>
                <w:rFonts w:ascii="Calibri" w:eastAsia="Calibri" w:hAnsi="Calibri" w:cs="Calibri"/>
                <w:color w:val="000000"/>
              </w:rPr>
            </w:pPr>
            <w:r>
              <w:rPr>
                <w:color w:val="000000"/>
              </w:rPr>
              <w:t>5,000 – 7,700</w:t>
            </w:r>
          </w:p>
        </w:tc>
      </w:tr>
      <w:tr w14:paraId="3499123B"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A01EFB6" w14:textId="77777777">
            <w:pPr>
              <w:widowControl w:val="0"/>
              <w:ind w:left="0" w:right="0"/>
              <w:rPr>
                <w:rFonts w:ascii="Calibri" w:eastAsia="Calibri" w:hAnsi="Calibri" w:cs="Calibri"/>
                <w:color w:val="000000"/>
              </w:rPr>
            </w:pPr>
            <w:r>
              <w:rPr>
                <w:color w:val="000000"/>
              </w:rPr>
              <w:t>4.2m Antenna with a dual-feed system 4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7755E0AC" w14:textId="77777777">
            <w:pPr>
              <w:widowControl w:val="0"/>
              <w:ind w:left="0" w:right="0"/>
              <w:jc w:val="center"/>
              <w:rPr>
                <w:rFonts w:ascii="Calibri" w:eastAsia="Calibri" w:hAnsi="Calibri" w:cs="Calibri"/>
                <w:color w:val="000000"/>
              </w:rPr>
            </w:pPr>
            <w:r>
              <w:rPr>
                <w:color w:val="000000"/>
              </w:rPr>
              <w:t>9,000 – 13,100</w:t>
            </w:r>
          </w:p>
        </w:tc>
      </w:tr>
      <w:tr w14:paraId="7E9FC99C"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F5D4310" w14:textId="77777777">
            <w:pPr>
              <w:widowControl w:val="0"/>
              <w:ind w:left="0" w:right="0"/>
              <w:rPr>
                <w:rFonts w:ascii="Calibri" w:eastAsia="Calibri" w:hAnsi="Calibri" w:cs="Calibri"/>
                <w:color w:val="000000"/>
              </w:rPr>
            </w:pPr>
            <w:r>
              <w:rPr>
                <w:color w:val="000000"/>
              </w:rPr>
              <w:t>4.5m Antenna with a dual-feed system 4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67E2B0A6" w14:textId="77777777">
            <w:pPr>
              <w:widowControl w:val="0"/>
              <w:ind w:left="0" w:right="0"/>
              <w:jc w:val="center"/>
              <w:rPr>
                <w:rFonts w:ascii="Calibri" w:eastAsia="Calibri" w:hAnsi="Calibri" w:cs="Calibri"/>
                <w:color w:val="000000"/>
              </w:rPr>
            </w:pPr>
            <w:r>
              <w:rPr>
                <w:color w:val="000000"/>
              </w:rPr>
              <w:t>10,000 – 17,500</w:t>
            </w:r>
          </w:p>
        </w:tc>
      </w:tr>
      <w:tr w14:paraId="6DF0CB39"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530668CC" w14:textId="77777777">
            <w:pPr>
              <w:widowControl w:val="0"/>
              <w:ind w:left="0" w:right="0"/>
              <w:rPr>
                <w:rFonts w:ascii="Calibri" w:eastAsia="Calibri" w:hAnsi="Calibri" w:cs="Calibri"/>
                <w:color w:val="000000"/>
              </w:rPr>
            </w:pPr>
            <w:r>
              <w:rPr>
                <w:i/>
                <w:color w:val="000000"/>
              </w:rPr>
              <w:t>Triple-feed System</w:t>
            </w:r>
          </w:p>
        </w:tc>
        <w:tc>
          <w:tcPr>
            <w:tcW w:w="265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7EF2F27" w14:textId="77777777">
            <w:pPr>
              <w:widowControl w:val="0"/>
              <w:ind w:left="0" w:right="0"/>
              <w:rPr>
                <w:rFonts w:ascii="Calibri" w:eastAsia="Calibri" w:hAnsi="Calibri" w:cs="Calibri"/>
                <w:color w:val="000000"/>
              </w:rPr>
            </w:pPr>
          </w:p>
        </w:tc>
      </w:tr>
      <w:tr w14:paraId="20318557"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9B144AA" w14:textId="77777777">
            <w:pPr>
              <w:widowControl w:val="0"/>
              <w:ind w:left="0" w:right="0"/>
              <w:rPr>
                <w:rFonts w:ascii="Calibri" w:eastAsia="Calibri" w:hAnsi="Calibri" w:cs="Calibri"/>
                <w:color w:val="000000"/>
              </w:rPr>
            </w:pPr>
            <w:r>
              <w:rPr>
                <w:color w:val="000000"/>
              </w:rPr>
              <w:t>3.7m Antenna with a triple-feed system 4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0A40A72" w14:textId="77777777">
            <w:pPr>
              <w:widowControl w:val="0"/>
              <w:ind w:left="0" w:right="0"/>
              <w:jc w:val="center"/>
              <w:rPr>
                <w:rFonts w:ascii="Calibri" w:eastAsia="Calibri" w:hAnsi="Calibri" w:cs="Calibri"/>
                <w:color w:val="000000"/>
              </w:rPr>
            </w:pPr>
            <w:r>
              <w:rPr>
                <w:color w:val="000000"/>
              </w:rPr>
              <w:t>5,500 – 8,200</w:t>
            </w:r>
          </w:p>
        </w:tc>
      </w:tr>
      <w:tr w14:paraId="68CD09A1"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6D530DA" w14:textId="77777777">
            <w:pPr>
              <w:widowControl w:val="0"/>
              <w:ind w:left="0" w:right="0"/>
              <w:rPr>
                <w:rFonts w:ascii="Calibri" w:eastAsia="Calibri" w:hAnsi="Calibri" w:cs="Calibri"/>
                <w:color w:val="000000"/>
              </w:rPr>
            </w:pPr>
            <w:r>
              <w:rPr>
                <w:color w:val="000000"/>
              </w:rPr>
              <w:t>4.2m Antenna with a triple-feed system 6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BBFD14B" w14:textId="77777777">
            <w:pPr>
              <w:widowControl w:val="0"/>
              <w:ind w:left="0" w:right="0"/>
              <w:jc w:val="center"/>
              <w:rPr>
                <w:rFonts w:ascii="Calibri" w:eastAsia="Calibri" w:hAnsi="Calibri" w:cs="Calibri"/>
                <w:color w:val="000000"/>
              </w:rPr>
            </w:pPr>
            <w:r>
              <w:rPr>
                <w:color w:val="000000"/>
              </w:rPr>
              <w:t>9,500 – 13,700</w:t>
            </w:r>
          </w:p>
        </w:tc>
      </w:tr>
      <w:tr w14:paraId="6790AF08"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CF74819" w14:textId="77777777">
            <w:pPr>
              <w:widowControl w:val="0"/>
              <w:ind w:left="0" w:right="0"/>
              <w:rPr>
                <w:rFonts w:ascii="Calibri" w:eastAsia="Calibri" w:hAnsi="Calibri" w:cs="Calibri"/>
                <w:color w:val="000000"/>
              </w:rPr>
            </w:pPr>
            <w:r>
              <w:rPr>
                <w:color w:val="000000"/>
              </w:rPr>
              <w:t>4.5m Antenna with a triple-feed system 4 PLL LNBs Pipe mount hardware Installation and Instruction manuals (per unit)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5959C0E" w14:textId="77777777">
            <w:pPr>
              <w:widowControl w:val="0"/>
              <w:ind w:left="0" w:right="0"/>
              <w:jc w:val="center"/>
              <w:rPr>
                <w:rFonts w:ascii="Calibri" w:eastAsia="Calibri" w:hAnsi="Calibri" w:cs="Calibri"/>
                <w:color w:val="000000"/>
              </w:rPr>
            </w:pPr>
            <w:r>
              <w:rPr>
                <w:color w:val="000000"/>
              </w:rPr>
              <w:t>10,500 – 18,000</w:t>
            </w:r>
          </w:p>
        </w:tc>
      </w:tr>
      <w:tr w14:paraId="3697D9D3"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497BFF7" w14:textId="77777777">
            <w:pPr>
              <w:widowControl w:val="0"/>
              <w:ind w:left="0" w:right="0"/>
              <w:rPr>
                <w:rFonts w:ascii="Calibri" w:eastAsia="Calibri" w:hAnsi="Calibri" w:cs="Calibri"/>
                <w:color w:val="000000"/>
              </w:rPr>
            </w:pPr>
            <w:r>
              <w:rPr>
                <w:i/>
                <w:color w:val="000000"/>
              </w:rPr>
              <w:t>Supporting Equipment</w:t>
            </w:r>
          </w:p>
        </w:tc>
        <w:tc>
          <w:tcPr>
            <w:tcW w:w="2655"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CAC3C73" w14:textId="77777777">
            <w:pPr>
              <w:widowControl w:val="0"/>
              <w:ind w:left="0" w:right="0"/>
              <w:rPr>
                <w:rFonts w:ascii="Calibri" w:eastAsia="Calibri" w:hAnsi="Calibri" w:cs="Calibri"/>
                <w:color w:val="000000"/>
              </w:rPr>
            </w:pPr>
          </w:p>
        </w:tc>
      </w:tr>
      <w:tr w14:paraId="15A17EAD" w14:textId="77777777" w:rsidTr="00C75185">
        <w:tblPrEx>
          <w:tblW w:w="10308" w:type="dxa"/>
          <w:tblInd w:w="172" w:type="dxa"/>
          <w:tblLayout w:type="fixed"/>
          <w:tblCellMar>
            <w:top w:w="100" w:type="dxa"/>
            <w:left w:w="100" w:type="dxa"/>
            <w:bottom w:w="100" w:type="dxa"/>
            <w:right w:w="100" w:type="dxa"/>
          </w:tblCellMar>
          <w:tblLook w:val="0600"/>
        </w:tblPrEx>
        <w:trPr>
          <w:trHeight w:val="51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A8C4984" w14:textId="77777777">
            <w:pPr>
              <w:widowControl w:val="0"/>
              <w:ind w:left="0" w:right="0"/>
              <w:rPr>
                <w:rFonts w:ascii="Calibri" w:eastAsia="Calibri" w:hAnsi="Calibri" w:cs="Calibri"/>
                <w:color w:val="000000"/>
              </w:rPr>
            </w:pPr>
            <w:r>
              <w:rPr>
                <w:color w:val="000000"/>
              </w:rPr>
              <w:t>Antenna Installation or Move with Foundation (includes foundation materials, equipment rental and logistics/freight)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2ED534C" w14:textId="77777777">
            <w:pPr>
              <w:widowControl w:val="0"/>
              <w:ind w:left="0" w:right="0"/>
              <w:jc w:val="center"/>
              <w:rPr>
                <w:rFonts w:ascii="Calibri" w:eastAsia="Calibri" w:hAnsi="Calibri" w:cs="Calibri"/>
                <w:color w:val="000000"/>
              </w:rPr>
            </w:pPr>
            <w:r>
              <w:rPr>
                <w:color w:val="000000"/>
              </w:rPr>
              <w:t>5,000 – 17,000</w:t>
            </w:r>
          </w:p>
        </w:tc>
      </w:tr>
      <w:tr w14:paraId="78331AB4"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F857442" w14:textId="77777777">
            <w:pPr>
              <w:widowControl w:val="0"/>
              <w:ind w:left="0" w:right="0"/>
              <w:rPr>
                <w:rFonts w:ascii="Calibri" w:eastAsia="Calibri" w:hAnsi="Calibri" w:cs="Calibri"/>
                <w:color w:val="000000"/>
              </w:rPr>
            </w:pPr>
            <w:r>
              <w:rPr>
                <w:color w:val="000000"/>
              </w:rPr>
              <w:t>C-band Feedhorn Replacement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DC9F7C4" w14:textId="77777777">
            <w:pPr>
              <w:widowControl w:val="0"/>
              <w:ind w:left="0" w:right="0"/>
              <w:jc w:val="center"/>
              <w:rPr>
                <w:rFonts w:ascii="Calibri" w:eastAsia="Calibri" w:hAnsi="Calibri" w:cs="Calibri"/>
                <w:color w:val="000000"/>
              </w:rPr>
            </w:pPr>
            <w:r>
              <w:rPr>
                <w:color w:val="000000"/>
              </w:rPr>
              <w:t>150 – 600</w:t>
            </w:r>
          </w:p>
        </w:tc>
      </w:tr>
      <w:tr w14:paraId="3B008A34"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B945902" w14:textId="77777777">
            <w:pPr>
              <w:widowControl w:val="0"/>
              <w:ind w:left="0" w:right="0"/>
              <w:rPr>
                <w:rFonts w:ascii="Calibri" w:eastAsia="Calibri" w:hAnsi="Calibri" w:cs="Calibri"/>
                <w:color w:val="000000"/>
              </w:rPr>
            </w:pPr>
            <w:r>
              <w:rPr>
                <w:color w:val="000000"/>
              </w:rPr>
              <w:t>C-band Feedhorn Installation (for single, dual, or triple-feed)</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5279809" w14:textId="77777777">
            <w:pPr>
              <w:widowControl w:val="0"/>
              <w:ind w:left="0" w:right="0"/>
              <w:jc w:val="center"/>
              <w:rPr>
                <w:rFonts w:ascii="Calibri" w:eastAsia="Calibri" w:hAnsi="Calibri" w:cs="Calibri"/>
                <w:color w:val="000000"/>
              </w:rPr>
            </w:pPr>
            <w:r>
              <w:rPr>
                <w:color w:val="000000"/>
              </w:rPr>
              <w:t>300 – 600</w:t>
            </w:r>
          </w:p>
        </w:tc>
      </w:tr>
      <w:tr w14:paraId="41A7374C"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EC2CD2D" w14:textId="77777777">
            <w:pPr>
              <w:widowControl w:val="0"/>
              <w:ind w:left="0" w:right="0"/>
              <w:rPr>
                <w:rFonts w:ascii="Calibri" w:eastAsia="Calibri" w:hAnsi="Calibri" w:cs="Calibri"/>
                <w:color w:val="000000"/>
              </w:rPr>
            </w:pPr>
            <w:r>
              <w:rPr>
                <w:color w:val="000000"/>
              </w:rPr>
              <w:t>Additional Cable &amp; Other Spare Equipment for Install (cable length dependent)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245FA7C" w14:textId="77777777">
            <w:pPr>
              <w:widowControl w:val="0"/>
              <w:ind w:left="0" w:right="0"/>
              <w:jc w:val="center"/>
              <w:rPr>
                <w:rFonts w:ascii="Calibri" w:eastAsia="Calibri" w:hAnsi="Calibri" w:cs="Calibri"/>
                <w:color w:val="000000"/>
              </w:rPr>
            </w:pPr>
            <w:r>
              <w:rPr>
                <w:color w:val="000000"/>
              </w:rPr>
              <w:t>500 – 3,300</w:t>
            </w:r>
          </w:p>
        </w:tc>
      </w:tr>
      <w:tr w14:paraId="4213BE14"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70126B1" w14:textId="77777777">
            <w:pPr>
              <w:widowControl w:val="0"/>
              <w:ind w:left="0" w:right="0"/>
              <w:rPr>
                <w:rFonts w:ascii="Calibri" w:eastAsia="Calibri" w:hAnsi="Calibri" w:cs="Calibri"/>
                <w:color w:val="000000"/>
              </w:rPr>
            </w:pPr>
            <w:r>
              <w:rPr>
                <w:color w:val="000000"/>
              </w:rPr>
              <w:t>Shipment of Antenna Equipment (size of antenna and shipping distance dependent)</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236241A" w14:textId="77777777">
            <w:pPr>
              <w:widowControl w:val="0"/>
              <w:ind w:left="0" w:right="0"/>
              <w:jc w:val="center"/>
              <w:rPr>
                <w:rFonts w:ascii="Calibri" w:eastAsia="Calibri" w:hAnsi="Calibri" w:cs="Calibri"/>
                <w:color w:val="000000"/>
              </w:rPr>
            </w:pPr>
            <w:r>
              <w:rPr>
                <w:color w:val="000000"/>
              </w:rPr>
              <w:t>500 – 5,500</w:t>
            </w:r>
          </w:p>
        </w:tc>
      </w:tr>
      <w:tr w14:paraId="096FBAA6"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A6FEDCB" w14:textId="77777777">
            <w:pPr>
              <w:widowControl w:val="0"/>
              <w:ind w:left="0" w:right="0"/>
              <w:rPr>
                <w:rFonts w:ascii="Calibri" w:eastAsia="Calibri" w:hAnsi="Calibri" w:cs="Calibri"/>
                <w:color w:val="000000"/>
              </w:rPr>
            </w:pPr>
            <w:r>
              <w:rPr>
                <w:color w:val="000000"/>
              </w:rPr>
              <w:t>Trenching for Cable for Antenna Installation (if needed)</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3024723" w14:textId="77777777">
            <w:pPr>
              <w:widowControl w:val="0"/>
              <w:ind w:left="0" w:right="0"/>
              <w:jc w:val="center"/>
              <w:rPr>
                <w:rFonts w:ascii="Calibri" w:eastAsia="Calibri" w:hAnsi="Calibri" w:cs="Calibri"/>
                <w:color w:val="000000"/>
              </w:rPr>
            </w:pPr>
            <w:r>
              <w:rPr>
                <w:color w:val="000000"/>
              </w:rPr>
              <w:t>1,000 – 2,200</w:t>
            </w:r>
          </w:p>
        </w:tc>
      </w:tr>
      <w:tr w14:paraId="1FDCAAFD"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E5816E0" w14:textId="77777777">
            <w:pPr>
              <w:widowControl w:val="0"/>
              <w:ind w:left="0" w:right="0"/>
              <w:rPr>
                <w:rFonts w:ascii="Calibri" w:eastAsia="Calibri" w:hAnsi="Calibri" w:cs="Calibri"/>
                <w:color w:val="000000"/>
              </w:rPr>
            </w:pPr>
            <w:r>
              <w:rPr>
                <w:color w:val="000000"/>
              </w:rPr>
              <w:t>Mount Upgrade Options</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4724C0F" w14:textId="77777777">
            <w:pPr>
              <w:widowControl w:val="0"/>
              <w:ind w:left="0" w:right="0"/>
              <w:jc w:val="center"/>
              <w:rPr>
                <w:rFonts w:ascii="Calibri" w:eastAsia="Calibri" w:hAnsi="Calibri" w:cs="Calibri"/>
                <w:color w:val="000000"/>
              </w:rPr>
            </w:pPr>
            <w:r>
              <w:rPr>
                <w:color w:val="000000"/>
              </w:rPr>
              <w:t>1,000 – 1,700</w:t>
            </w:r>
          </w:p>
        </w:tc>
      </w:tr>
      <w:tr w14:paraId="419F8234"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F986B56" w14:textId="77777777">
            <w:pPr>
              <w:widowControl w:val="0"/>
              <w:ind w:left="0" w:right="0"/>
              <w:rPr>
                <w:rFonts w:ascii="Calibri" w:eastAsia="Calibri" w:hAnsi="Calibri" w:cs="Calibri"/>
                <w:color w:val="000000"/>
              </w:rPr>
            </w:pPr>
            <w:r>
              <w:rPr>
                <w:color w:val="000000"/>
              </w:rPr>
              <w:t>Snow Cover (3.7M)</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55AA602" w14:textId="77777777">
            <w:pPr>
              <w:widowControl w:val="0"/>
              <w:ind w:left="0" w:right="0"/>
              <w:jc w:val="center"/>
              <w:rPr>
                <w:rFonts w:ascii="Calibri" w:eastAsia="Calibri" w:hAnsi="Calibri" w:cs="Calibri"/>
                <w:color w:val="000000"/>
              </w:rPr>
            </w:pPr>
            <w:r>
              <w:rPr>
                <w:color w:val="000000"/>
              </w:rPr>
              <w:t>500 – 1,100</w:t>
            </w:r>
          </w:p>
        </w:tc>
      </w:tr>
      <w:tr w14:paraId="691FCF55" w14:textId="77777777" w:rsidTr="00C75185">
        <w:tblPrEx>
          <w:tblW w:w="10308"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F52D8D0" w14:textId="77777777">
            <w:pPr>
              <w:widowControl w:val="0"/>
              <w:ind w:left="0" w:right="0"/>
              <w:rPr>
                <w:rFonts w:ascii="Calibri" w:eastAsia="Calibri" w:hAnsi="Calibri" w:cs="Calibri"/>
                <w:color w:val="000000"/>
              </w:rPr>
            </w:pPr>
            <w:r>
              <w:rPr>
                <w:color w:val="000000"/>
              </w:rPr>
              <w:t>De-Icing System</w:t>
            </w:r>
          </w:p>
        </w:tc>
        <w:tc>
          <w:tcPr>
            <w:tcW w:w="26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85467D2" w14:textId="77777777">
            <w:pPr>
              <w:widowControl w:val="0"/>
              <w:ind w:left="0" w:right="0"/>
              <w:jc w:val="center"/>
              <w:rPr>
                <w:rFonts w:ascii="Calibri" w:eastAsia="Calibri" w:hAnsi="Calibri" w:cs="Calibri"/>
                <w:color w:val="000000"/>
              </w:rPr>
            </w:pPr>
            <w:r>
              <w:rPr>
                <w:color w:val="000000"/>
              </w:rPr>
              <w:t>4,000 – 6,600</w:t>
            </w:r>
          </w:p>
        </w:tc>
      </w:tr>
    </w:tbl>
    <w:p w:rsidR="006F3BB7" w14:paraId="0461ED3D" w14:textId="277F5FBC">
      <w:pPr>
        <w:ind w:left="0" w:firstLine="360"/>
        <w:rPr>
          <w:sz w:val="2"/>
          <w:szCs w:val="2"/>
        </w:rPr>
      </w:pPr>
    </w:p>
    <w:p w:rsidR="008B138A" w14:paraId="5C886685" w14:textId="77D1D122">
      <w:pPr>
        <w:rPr>
          <w:sz w:val="2"/>
          <w:szCs w:val="2"/>
        </w:rPr>
      </w:pPr>
      <w:r>
        <w:rPr>
          <w:sz w:val="2"/>
          <w:szCs w:val="2"/>
        </w:rPr>
        <w:br w:type="page"/>
      </w:r>
    </w:p>
    <w:p w:rsidR="008B138A" w14:paraId="4750F6DE" w14:textId="77777777">
      <w:pPr>
        <w:ind w:left="0" w:firstLine="360"/>
        <w:rPr>
          <w:sz w:val="2"/>
          <w:szCs w:val="2"/>
        </w:rPr>
      </w:pPr>
    </w:p>
    <w:tbl>
      <w:tblPr>
        <w:tblW w:w="10323" w:type="dxa"/>
        <w:tblInd w:w="17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653"/>
        <w:gridCol w:w="2670"/>
      </w:tblGrid>
      <w:tr w14:paraId="5E49046D" w14:textId="77777777" w:rsidTr="00C75185">
        <w:tblPrEx>
          <w:tblW w:w="10323" w:type="dxa"/>
          <w:tblInd w:w="17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76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2521CAD3" w14:textId="77777777">
            <w:pPr>
              <w:widowControl w:val="0"/>
              <w:ind w:left="0" w:right="0"/>
              <w:jc w:val="center"/>
              <w:rPr>
                <w:rFonts w:ascii="Calibri" w:eastAsia="Calibri" w:hAnsi="Calibri" w:cs="Calibri"/>
                <w:color w:val="000000"/>
              </w:rPr>
            </w:pPr>
            <w:r>
              <w:rPr>
                <w:color w:val="0072C6"/>
              </w:rPr>
              <w:t>Table III-B-2: Receive Only - Near Full-arc Multibeam Antenna Equipment</w:t>
            </w:r>
          </w:p>
        </w:tc>
        <w:tc>
          <w:tcPr>
            <w:tcW w:w="26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C6EB601" w14:textId="77777777">
            <w:pPr>
              <w:widowControl w:val="0"/>
              <w:ind w:left="0" w:right="0"/>
              <w:jc w:val="center"/>
              <w:rPr>
                <w:rFonts w:ascii="Calibri" w:eastAsia="Calibri" w:hAnsi="Calibri" w:cs="Calibri"/>
                <w:color w:val="000000"/>
              </w:rPr>
            </w:pPr>
            <w:r>
              <w:rPr>
                <w:color w:val="0072C6"/>
              </w:rPr>
              <w:t>Range of Estimated Cost ($)</w:t>
            </w:r>
          </w:p>
        </w:tc>
      </w:tr>
      <w:tr w14:paraId="3383ACDD"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23BAF0D" w14:textId="77777777">
            <w:pPr>
              <w:widowControl w:val="0"/>
              <w:ind w:left="0" w:right="0"/>
              <w:rPr>
                <w:rFonts w:ascii="Calibri" w:eastAsia="Calibri" w:hAnsi="Calibri" w:cs="Calibri"/>
                <w:color w:val="000000"/>
              </w:rPr>
            </w:pPr>
            <w:r>
              <w:rPr>
                <w:i/>
                <w:color w:val="000000"/>
              </w:rPr>
              <w:t>Small Antenna: Reflector Replacement</w:t>
            </w:r>
          </w:p>
        </w:tc>
        <w:tc>
          <w:tcPr>
            <w:tcW w:w="26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6B75D51" w14:textId="77777777">
            <w:pPr>
              <w:widowControl w:val="0"/>
              <w:ind w:left="0" w:right="0"/>
              <w:rPr>
                <w:rFonts w:ascii="Calibri" w:eastAsia="Calibri" w:hAnsi="Calibri" w:cs="Calibri"/>
                <w:color w:val="000000"/>
              </w:rPr>
            </w:pPr>
          </w:p>
        </w:tc>
      </w:tr>
      <w:tr w14:paraId="06A30632"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D8B7C37" w14:textId="77777777">
            <w:pPr>
              <w:widowControl w:val="0"/>
              <w:ind w:left="0" w:right="0"/>
              <w:rPr>
                <w:rFonts w:ascii="Calibri" w:eastAsia="Calibri" w:hAnsi="Calibri" w:cs="Calibri"/>
                <w:color w:val="000000"/>
              </w:rPr>
            </w:pPr>
            <w:r>
              <w:rPr>
                <w:color w:val="000000"/>
              </w:rPr>
              <w:t>Replace Reflector</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B293354" w14:textId="77777777">
            <w:pPr>
              <w:widowControl w:val="0"/>
              <w:ind w:left="0" w:right="0"/>
              <w:jc w:val="center"/>
              <w:rPr>
                <w:rFonts w:ascii="Calibri" w:eastAsia="Calibri" w:hAnsi="Calibri" w:cs="Calibri"/>
                <w:color w:val="000000"/>
              </w:rPr>
            </w:pPr>
            <w:r>
              <w:rPr>
                <w:color w:val="000000"/>
              </w:rPr>
              <w:t>70,000 – 80,000</w:t>
            </w:r>
          </w:p>
        </w:tc>
      </w:tr>
      <w:tr w14:paraId="79A23086"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7315620" w14:textId="77777777">
            <w:pPr>
              <w:widowControl w:val="0"/>
              <w:ind w:left="0" w:right="0"/>
              <w:rPr>
                <w:rFonts w:ascii="Calibri" w:eastAsia="Calibri" w:hAnsi="Calibri" w:cs="Calibri"/>
                <w:color w:val="000000"/>
              </w:rPr>
            </w:pPr>
            <w:r>
              <w:rPr>
                <w:color w:val="000000"/>
              </w:rPr>
              <w:t>Cable Junction Box</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AC1D8AC" w14:textId="77777777">
            <w:pPr>
              <w:widowControl w:val="0"/>
              <w:ind w:left="0" w:right="0"/>
              <w:jc w:val="center"/>
              <w:rPr>
                <w:rFonts w:ascii="Calibri" w:eastAsia="Calibri" w:hAnsi="Calibri" w:cs="Calibri"/>
                <w:color w:val="000000"/>
              </w:rPr>
            </w:pPr>
            <w:r>
              <w:rPr>
                <w:color w:val="000000"/>
              </w:rPr>
              <w:t>2,000 – 2,500</w:t>
            </w:r>
          </w:p>
        </w:tc>
      </w:tr>
      <w:tr w14:paraId="4F9A725E"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E2C7033" w14:textId="77777777">
            <w:pPr>
              <w:widowControl w:val="0"/>
              <w:ind w:left="0" w:right="0"/>
              <w:rPr>
                <w:rFonts w:ascii="Calibri" w:eastAsia="Calibri" w:hAnsi="Calibri" w:cs="Calibri"/>
                <w:color w:val="000000"/>
              </w:rPr>
            </w:pPr>
            <w:r>
              <w:rPr>
                <w:color w:val="000000"/>
              </w:rPr>
              <w:t>Full Reflector Heating System</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9D9478A" w14:textId="77777777">
            <w:pPr>
              <w:widowControl w:val="0"/>
              <w:ind w:left="0" w:right="0"/>
              <w:jc w:val="center"/>
              <w:rPr>
                <w:rFonts w:ascii="Calibri" w:eastAsia="Calibri" w:hAnsi="Calibri" w:cs="Calibri"/>
                <w:color w:val="000000"/>
              </w:rPr>
            </w:pPr>
            <w:r>
              <w:rPr>
                <w:color w:val="000000"/>
              </w:rPr>
              <w:t>20,000 – 25,000</w:t>
            </w:r>
          </w:p>
        </w:tc>
      </w:tr>
      <w:tr w14:paraId="6A25A76C"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32255F0" w14:textId="77777777">
            <w:pPr>
              <w:widowControl w:val="0"/>
              <w:ind w:left="0" w:right="0"/>
              <w:rPr>
                <w:rFonts w:ascii="Calibri" w:eastAsia="Calibri" w:hAnsi="Calibri" w:cs="Calibri"/>
                <w:color w:val="000000"/>
              </w:rPr>
            </w:pPr>
            <w:r>
              <w:rPr>
                <w:color w:val="000000"/>
              </w:rPr>
              <w:t>Lightning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747D792" w14:textId="77777777">
            <w:pPr>
              <w:widowControl w:val="0"/>
              <w:ind w:left="0" w:right="0"/>
              <w:jc w:val="center"/>
              <w:rPr>
                <w:rFonts w:ascii="Calibri" w:eastAsia="Calibri" w:hAnsi="Calibri" w:cs="Calibri"/>
                <w:color w:val="000000"/>
              </w:rPr>
            </w:pPr>
            <w:r>
              <w:rPr>
                <w:color w:val="000000"/>
              </w:rPr>
              <w:t>1,000 – 1,500</w:t>
            </w:r>
          </w:p>
        </w:tc>
      </w:tr>
      <w:tr w14:paraId="4FA2F347"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194BA98" w14:textId="77777777">
            <w:pPr>
              <w:widowControl w:val="0"/>
              <w:ind w:left="0" w:right="0"/>
              <w:rPr>
                <w:rFonts w:ascii="Calibri" w:eastAsia="Calibri" w:hAnsi="Calibri" w:cs="Calibri"/>
                <w:color w:val="000000"/>
              </w:rPr>
            </w:pPr>
            <w:r>
              <w:rPr>
                <w:color w:val="000000"/>
              </w:rPr>
              <w:t>Reflector Installation</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1C72354" w14:textId="77777777">
            <w:pPr>
              <w:widowControl w:val="0"/>
              <w:ind w:left="0" w:right="0"/>
              <w:jc w:val="center"/>
              <w:rPr>
                <w:rFonts w:ascii="Calibri" w:eastAsia="Calibri" w:hAnsi="Calibri" w:cs="Calibri"/>
                <w:color w:val="000000"/>
              </w:rPr>
            </w:pPr>
            <w:r>
              <w:rPr>
                <w:color w:val="000000"/>
              </w:rPr>
              <w:t>9,000 – 10,500</w:t>
            </w:r>
          </w:p>
        </w:tc>
      </w:tr>
      <w:tr w14:paraId="1E61D3C1"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395BD99D" w14:textId="77777777">
            <w:pPr>
              <w:widowControl w:val="0"/>
              <w:ind w:left="0" w:right="0"/>
              <w:rPr>
                <w:rFonts w:ascii="Calibri" w:eastAsia="Calibri" w:hAnsi="Calibri" w:cs="Calibri"/>
                <w:color w:val="000000"/>
              </w:rPr>
            </w:pPr>
            <w:r>
              <w:rPr>
                <w:i/>
                <w:color w:val="000000"/>
              </w:rPr>
              <w:t>Small Antenna: Complete System</w:t>
            </w:r>
          </w:p>
        </w:tc>
        <w:tc>
          <w:tcPr>
            <w:tcW w:w="26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13B83F51" w14:textId="77777777">
            <w:pPr>
              <w:widowControl w:val="0"/>
              <w:ind w:left="0" w:right="0"/>
              <w:rPr>
                <w:rFonts w:ascii="Calibri" w:eastAsia="Calibri" w:hAnsi="Calibri" w:cs="Calibri"/>
                <w:color w:val="000000"/>
              </w:rPr>
            </w:pPr>
          </w:p>
        </w:tc>
      </w:tr>
      <w:tr w14:paraId="468F6B11"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A0557F9" w14:textId="77777777">
            <w:pPr>
              <w:widowControl w:val="0"/>
              <w:ind w:left="0" w:right="0"/>
              <w:rPr>
                <w:rFonts w:ascii="Calibri" w:eastAsia="Calibri" w:hAnsi="Calibri" w:cs="Calibri"/>
                <w:color w:val="000000"/>
              </w:rPr>
            </w:pPr>
            <w:r>
              <w:rPr>
                <w:color w:val="000000"/>
              </w:rPr>
              <w:t>Small Reflector and Standard Mount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A0CC286" w14:textId="77777777">
            <w:pPr>
              <w:widowControl w:val="0"/>
              <w:ind w:left="0" w:right="0"/>
              <w:jc w:val="center"/>
              <w:rPr>
                <w:rFonts w:ascii="Calibri" w:eastAsia="Calibri" w:hAnsi="Calibri" w:cs="Calibri"/>
                <w:color w:val="000000"/>
              </w:rPr>
            </w:pPr>
            <w:r>
              <w:rPr>
                <w:color w:val="000000"/>
              </w:rPr>
              <w:t>125,000 – 140,000</w:t>
            </w:r>
          </w:p>
        </w:tc>
      </w:tr>
      <w:tr w14:paraId="1263D518"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70B4398" w14:textId="77777777">
            <w:pPr>
              <w:widowControl w:val="0"/>
              <w:ind w:left="0" w:right="0"/>
              <w:rPr>
                <w:rFonts w:ascii="Calibri" w:eastAsia="Calibri" w:hAnsi="Calibri" w:cs="Calibri"/>
                <w:color w:val="000000"/>
              </w:rPr>
            </w:pPr>
            <w:r>
              <w:rPr>
                <w:color w:val="000000"/>
              </w:rPr>
              <w:t>Foundation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62CDE95" w14:textId="77777777">
            <w:pPr>
              <w:widowControl w:val="0"/>
              <w:ind w:left="0" w:right="0"/>
              <w:jc w:val="center"/>
              <w:rPr>
                <w:rFonts w:ascii="Calibri" w:eastAsia="Calibri" w:hAnsi="Calibri" w:cs="Calibri"/>
                <w:color w:val="000000"/>
              </w:rPr>
            </w:pPr>
            <w:r>
              <w:rPr>
                <w:color w:val="000000"/>
              </w:rPr>
              <w:t>2,000 – 2,500</w:t>
            </w:r>
          </w:p>
        </w:tc>
      </w:tr>
      <w:tr w14:paraId="369AD27C"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AF2C0D4" w14:textId="77777777">
            <w:pPr>
              <w:widowControl w:val="0"/>
              <w:ind w:left="0" w:right="0"/>
              <w:rPr>
                <w:rFonts w:ascii="Calibri" w:eastAsia="Calibri" w:hAnsi="Calibri" w:cs="Calibri"/>
                <w:color w:val="000000"/>
              </w:rPr>
            </w:pPr>
            <w:r>
              <w:rPr>
                <w:color w:val="000000"/>
              </w:rPr>
              <w:t>C-band Dual Polarity Feed Assembly (per feed)</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DDC46F3" w14:textId="77777777">
            <w:pPr>
              <w:widowControl w:val="0"/>
              <w:ind w:left="0" w:right="0"/>
              <w:jc w:val="center"/>
              <w:rPr>
                <w:rFonts w:ascii="Calibri" w:eastAsia="Calibri" w:hAnsi="Calibri" w:cs="Calibri"/>
                <w:color w:val="000000"/>
              </w:rPr>
            </w:pPr>
            <w:r>
              <w:rPr>
                <w:color w:val="000000"/>
              </w:rPr>
              <w:t>1,500 – 2,500</w:t>
            </w:r>
          </w:p>
        </w:tc>
      </w:tr>
      <w:tr w14:paraId="7821E7D2"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C89C2C6" w14:textId="4F56583E">
            <w:pPr>
              <w:widowControl w:val="0"/>
              <w:ind w:left="0" w:right="0"/>
              <w:rPr>
                <w:rFonts w:ascii="Calibri" w:eastAsia="Calibri" w:hAnsi="Calibri" w:cs="Calibri"/>
                <w:color w:val="000000"/>
              </w:rPr>
            </w:pPr>
            <w:r>
              <w:rPr>
                <w:color w:val="000000"/>
              </w:rPr>
              <w:t>C-Band PLL LNB (per feed)</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C021D10" w14:textId="77777777">
            <w:pPr>
              <w:widowControl w:val="0"/>
              <w:ind w:left="0" w:right="0"/>
              <w:jc w:val="center"/>
              <w:rPr>
                <w:rFonts w:ascii="Calibri" w:eastAsia="Calibri" w:hAnsi="Calibri" w:cs="Calibri"/>
                <w:color w:val="000000"/>
              </w:rPr>
            </w:pPr>
            <w:r>
              <w:rPr>
                <w:color w:val="000000"/>
              </w:rPr>
              <w:t>500 – 1,100</w:t>
            </w:r>
          </w:p>
        </w:tc>
      </w:tr>
      <w:tr w14:paraId="13893CFA"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7C74A9D" w14:textId="77777777">
            <w:pPr>
              <w:widowControl w:val="0"/>
              <w:ind w:left="0" w:right="0"/>
              <w:rPr>
                <w:rFonts w:ascii="Calibri" w:eastAsia="Calibri" w:hAnsi="Calibri" w:cs="Calibri"/>
                <w:color w:val="000000"/>
              </w:rPr>
            </w:pPr>
            <w:r>
              <w:rPr>
                <w:color w:val="000000"/>
              </w:rPr>
              <w:t>Cable Junction Box</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3865575" w14:textId="77777777">
            <w:pPr>
              <w:widowControl w:val="0"/>
              <w:ind w:left="0" w:right="0"/>
              <w:jc w:val="center"/>
              <w:rPr>
                <w:rFonts w:ascii="Calibri" w:eastAsia="Calibri" w:hAnsi="Calibri" w:cs="Calibri"/>
                <w:color w:val="000000"/>
              </w:rPr>
            </w:pPr>
            <w:r>
              <w:rPr>
                <w:color w:val="000000"/>
              </w:rPr>
              <w:t>2,000 – 2,500</w:t>
            </w:r>
          </w:p>
        </w:tc>
      </w:tr>
      <w:tr w14:paraId="7DA9AB15"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2F503A3" w14:textId="77777777">
            <w:pPr>
              <w:widowControl w:val="0"/>
              <w:ind w:left="0" w:right="0"/>
              <w:rPr>
                <w:rFonts w:ascii="Calibri" w:eastAsia="Calibri" w:hAnsi="Calibri" w:cs="Calibri"/>
                <w:color w:val="000000"/>
              </w:rPr>
            </w:pPr>
            <w:r>
              <w:rPr>
                <w:color w:val="000000"/>
              </w:rPr>
              <w:t>Full Reflector Heating System</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C993C43" w14:textId="77777777">
            <w:pPr>
              <w:widowControl w:val="0"/>
              <w:ind w:left="0" w:right="0"/>
              <w:jc w:val="center"/>
              <w:rPr>
                <w:rFonts w:ascii="Calibri" w:eastAsia="Calibri" w:hAnsi="Calibri" w:cs="Calibri"/>
                <w:color w:val="000000"/>
              </w:rPr>
            </w:pPr>
            <w:r>
              <w:rPr>
                <w:color w:val="000000"/>
              </w:rPr>
              <w:t>20,000 – 25,000</w:t>
            </w:r>
          </w:p>
        </w:tc>
      </w:tr>
      <w:tr w14:paraId="59CC0E87"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1152F2D" w14:textId="77777777">
            <w:pPr>
              <w:widowControl w:val="0"/>
              <w:ind w:left="0" w:right="0"/>
              <w:rPr>
                <w:rFonts w:ascii="Calibri" w:eastAsia="Calibri" w:hAnsi="Calibri" w:cs="Calibri"/>
                <w:color w:val="000000"/>
              </w:rPr>
            </w:pPr>
            <w:r>
              <w:rPr>
                <w:color w:val="000000"/>
              </w:rPr>
              <w:t>Lightning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4BFB693" w14:textId="77777777">
            <w:pPr>
              <w:widowControl w:val="0"/>
              <w:ind w:left="0" w:right="0"/>
              <w:jc w:val="center"/>
              <w:rPr>
                <w:rFonts w:ascii="Calibri" w:eastAsia="Calibri" w:hAnsi="Calibri" w:cs="Calibri"/>
                <w:color w:val="000000"/>
              </w:rPr>
            </w:pPr>
            <w:r>
              <w:rPr>
                <w:color w:val="000000"/>
              </w:rPr>
              <w:t>1,000 – 1,500</w:t>
            </w:r>
          </w:p>
        </w:tc>
      </w:tr>
      <w:tr w14:paraId="5F7B912D"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45624D1" w14:textId="77777777">
            <w:pPr>
              <w:widowControl w:val="0"/>
              <w:ind w:left="0" w:right="0"/>
              <w:rPr>
                <w:rFonts w:ascii="Calibri" w:eastAsia="Calibri" w:hAnsi="Calibri" w:cs="Calibri"/>
                <w:color w:val="000000"/>
              </w:rPr>
            </w:pPr>
            <w:r>
              <w:rPr>
                <w:color w:val="000000"/>
              </w:rPr>
              <w:t>Full System Installation</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7CF1C3F" w14:textId="77777777">
            <w:pPr>
              <w:widowControl w:val="0"/>
              <w:ind w:left="0" w:right="0"/>
              <w:jc w:val="center"/>
              <w:rPr>
                <w:rFonts w:ascii="Calibri" w:eastAsia="Calibri" w:hAnsi="Calibri" w:cs="Calibri"/>
                <w:color w:val="000000"/>
              </w:rPr>
            </w:pPr>
            <w:r>
              <w:rPr>
                <w:color w:val="000000"/>
              </w:rPr>
              <w:t>9,000 – 10,500</w:t>
            </w:r>
          </w:p>
        </w:tc>
      </w:tr>
      <w:tr w14:paraId="47E074CF"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27D4198" w14:textId="77777777">
            <w:pPr>
              <w:widowControl w:val="0"/>
              <w:ind w:left="0" w:right="0"/>
              <w:rPr>
                <w:rFonts w:ascii="Calibri" w:eastAsia="Calibri" w:hAnsi="Calibri" w:cs="Calibri"/>
                <w:color w:val="000000"/>
              </w:rPr>
            </w:pPr>
            <w:r>
              <w:rPr>
                <w:color w:val="000000"/>
              </w:rPr>
              <w:t>Shipping and Handling</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A4A1A51" w14:textId="77777777">
            <w:pPr>
              <w:widowControl w:val="0"/>
              <w:ind w:left="0" w:right="0"/>
              <w:jc w:val="center"/>
              <w:rPr>
                <w:rFonts w:ascii="Calibri" w:eastAsia="Calibri" w:hAnsi="Calibri" w:cs="Calibri"/>
                <w:color w:val="000000"/>
              </w:rPr>
            </w:pPr>
            <w:r>
              <w:rPr>
                <w:color w:val="000000"/>
              </w:rPr>
              <w:t>15,000 – 17,000</w:t>
            </w:r>
          </w:p>
        </w:tc>
      </w:tr>
      <w:tr w14:paraId="6D97B6EE"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08EE0BCF" w14:textId="77777777">
            <w:pPr>
              <w:widowControl w:val="0"/>
              <w:ind w:left="0" w:right="0"/>
              <w:rPr>
                <w:rFonts w:ascii="Calibri" w:eastAsia="Calibri" w:hAnsi="Calibri" w:cs="Calibri"/>
                <w:color w:val="000000"/>
              </w:rPr>
            </w:pPr>
            <w:r>
              <w:rPr>
                <w:i/>
                <w:color w:val="000000"/>
              </w:rPr>
              <w:t>Large Antenna: Complete System</w:t>
            </w:r>
          </w:p>
        </w:tc>
        <w:tc>
          <w:tcPr>
            <w:tcW w:w="26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2F47B92D" w14:textId="77777777">
            <w:pPr>
              <w:widowControl w:val="0"/>
              <w:ind w:left="0" w:right="0"/>
              <w:rPr>
                <w:rFonts w:ascii="Calibri" w:eastAsia="Calibri" w:hAnsi="Calibri" w:cs="Calibri"/>
                <w:color w:val="000000"/>
              </w:rPr>
            </w:pPr>
          </w:p>
        </w:tc>
      </w:tr>
      <w:tr w14:paraId="1D7B9144"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051C284" w14:textId="77777777">
            <w:pPr>
              <w:widowControl w:val="0"/>
              <w:ind w:left="0" w:right="0"/>
              <w:rPr>
                <w:rFonts w:ascii="Calibri" w:eastAsia="Calibri" w:hAnsi="Calibri" w:cs="Calibri"/>
                <w:color w:val="000000"/>
              </w:rPr>
            </w:pPr>
            <w:r>
              <w:rPr>
                <w:color w:val="000000"/>
              </w:rPr>
              <w:t>Large Reflector and Standard Mount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BA03E1D" w14:textId="77777777">
            <w:pPr>
              <w:widowControl w:val="0"/>
              <w:ind w:left="0" w:right="0"/>
              <w:jc w:val="center"/>
              <w:rPr>
                <w:rFonts w:ascii="Calibri" w:eastAsia="Calibri" w:hAnsi="Calibri" w:cs="Calibri"/>
                <w:color w:val="000000"/>
              </w:rPr>
            </w:pPr>
            <w:r>
              <w:rPr>
                <w:color w:val="000000"/>
              </w:rPr>
              <w:t>400,000 – 475,000</w:t>
            </w:r>
          </w:p>
        </w:tc>
      </w:tr>
      <w:tr w14:paraId="4F274BA1"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880900F" w14:textId="77777777">
            <w:pPr>
              <w:widowControl w:val="0"/>
              <w:ind w:left="0" w:right="0"/>
              <w:rPr>
                <w:rFonts w:ascii="Calibri" w:eastAsia="Calibri" w:hAnsi="Calibri" w:cs="Calibri"/>
                <w:color w:val="000000"/>
              </w:rPr>
            </w:pPr>
            <w:r>
              <w:rPr>
                <w:color w:val="000000"/>
              </w:rPr>
              <w:t>Foundation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7234552" w14:textId="77777777">
            <w:pPr>
              <w:widowControl w:val="0"/>
              <w:ind w:left="0" w:right="0"/>
              <w:jc w:val="center"/>
              <w:rPr>
                <w:rFonts w:ascii="Calibri" w:eastAsia="Calibri" w:hAnsi="Calibri" w:cs="Calibri"/>
                <w:color w:val="000000"/>
              </w:rPr>
            </w:pPr>
            <w:r>
              <w:rPr>
                <w:color w:val="000000"/>
              </w:rPr>
              <w:t>3,500 – 4,500</w:t>
            </w:r>
          </w:p>
        </w:tc>
      </w:tr>
      <w:tr w14:paraId="644638FE"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18D4E75" w14:textId="77777777">
            <w:pPr>
              <w:widowControl w:val="0"/>
              <w:ind w:left="0" w:right="0"/>
              <w:rPr>
                <w:rFonts w:ascii="Calibri" w:eastAsia="Calibri" w:hAnsi="Calibri" w:cs="Calibri"/>
                <w:color w:val="000000"/>
              </w:rPr>
            </w:pPr>
            <w:r>
              <w:rPr>
                <w:color w:val="000000"/>
              </w:rPr>
              <w:t>C-band Dual Polarity Feed Assembly (per feed)</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507B8B8" w14:textId="77777777">
            <w:pPr>
              <w:widowControl w:val="0"/>
              <w:ind w:left="0" w:right="0"/>
              <w:jc w:val="center"/>
              <w:rPr>
                <w:rFonts w:ascii="Calibri" w:eastAsia="Calibri" w:hAnsi="Calibri" w:cs="Calibri"/>
                <w:color w:val="000000"/>
              </w:rPr>
            </w:pPr>
            <w:r>
              <w:rPr>
                <w:color w:val="000000"/>
              </w:rPr>
              <w:t>1,500 – 2,500</w:t>
            </w:r>
          </w:p>
        </w:tc>
      </w:tr>
      <w:tr w14:paraId="7EF16B75"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505536B" w14:textId="4707F53C">
            <w:pPr>
              <w:widowControl w:val="0"/>
              <w:ind w:left="0" w:right="0"/>
              <w:rPr>
                <w:rFonts w:ascii="Calibri" w:eastAsia="Calibri" w:hAnsi="Calibri" w:cs="Calibri"/>
                <w:color w:val="000000"/>
              </w:rPr>
            </w:pPr>
            <w:r>
              <w:rPr>
                <w:color w:val="000000"/>
              </w:rPr>
              <w:t>C-Band PLL LNB (per feed)</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85E2655" w14:textId="77777777">
            <w:pPr>
              <w:widowControl w:val="0"/>
              <w:ind w:left="0" w:right="0"/>
              <w:jc w:val="center"/>
              <w:rPr>
                <w:rFonts w:ascii="Calibri" w:eastAsia="Calibri" w:hAnsi="Calibri" w:cs="Calibri"/>
                <w:color w:val="000000"/>
              </w:rPr>
            </w:pPr>
            <w:r>
              <w:rPr>
                <w:color w:val="000000"/>
              </w:rPr>
              <w:t>500 – 1,100</w:t>
            </w:r>
          </w:p>
        </w:tc>
      </w:tr>
      <w:tr w14:paraId="34102572"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EB46CE1" w14:textId="77777777">
            <w:pPr>
              <w:widowControl w:val="0"/>
              <w:ind w:left="0" w:right="0"/>
              <w:rPr>
                <w:rFonts w:ascii="Calibri" w:eastAsia="Calibri" w:hAnsi="Calibri" w:cs="Calibri"/>
                <w:color w:val="000000"/>
              </w:rPr>
            </w:pPr>
            <w:r>
              <w:rPr>
                <w:color w:val="000000"/>
              </w:rPr>
              <w:t>Cable Junction Box</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AC1B381" w14:textId="77777777">
            <w:pPr>
              <w:widowControl w:val="0"/>
              <w:ind w:left="0" w:right="0"/>
              <w:jc w:val="center"/>
              <w:rPr>
                <w:rFonts w:ascii="Calibri" w:eastAsia="Calibri" w:hAnsi="Calibri" w:cs="Calibri"/>
                <w:color w:val="000000"/>
              </w:rPr>
            </w:pPr>
            <w:r>
              <w:rPr>
                <w:color w:val="000000"/>
              </w:rPr>
              <w:t>4,000 – 4,500</w:t>
            </w:r>
          </w:p>
        </w:tc>
      </w:tr>
      <w:tr w14:paraId="6C1EEC1D"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A794820" w14:textId="77777777">
            <w:pPr>
              <w:widowControl w:val="0"/>
              <w:ind w:left="0" w:right="0"/>
              <w:rPr>
                <w:rFonts w:ascii="Calibri" w:eastAsia="Calibri" w:hAnsi="Calibri" w:cs="Calibri"/>
                <w:color w:val="000000"/>
              </w:rPr>
            </w:pPr>
            <w:r>
              <w:rPr>
                <w:color w:val="000000"/>
              </w:rPr>
              <w:t>Full Reflector Heating System</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9D0D8EE" w14:textId="77777777">
            <w:pPr>
              <w:widowControl w:val="0"/>
              <w:ind w:left="0" w:right="0"/>
              <w:jc w:val="center"/>
              <w:rPr>
                <w:rFonts w:ascii="Calibri" w:eastAsia="Calibri" w:hAnsi="Calibri" w:cs="Calibri"/>
                <w:color w:val="000000"/>
              </w:rPr>
            </w:pPr>
            <w:r>
              <w:rPr>
                <w:color w:val="000000"/>
              </w:rPr>
              <w:t>55,000 – 65,000</w:t>
            </w:r>
          </w:p>
        </w:tc>
      </w:tr>
      <w:tr w14:paraId="6EFD651F"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9550393" w14:textId="77777777">
            <w:pPr>
              <w:widowControl w:val="0"/>
              <w:ind w:left="0" w:right="0"/>
              <w:rPr>
                <w:rFonts w:ascii="Calibri" w:eastAsia="Calibri" w:hAnsi="Calibri" w:cs="Calibri"/>
                <w:color w:val="000000"/>
              </w:rPr>
            </w:pPr>
            <w:r>
              <w:rPr>
                <w:color w:val="000000"/>
              </w:rPr>
              <w:t>Lightning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D772619" w14:textId="77777777">
            <w:pPr>
              <w:widowControl w:val="0"/>
              <w:ind w:left="0" w:right="0"/>
              <w:jc w:val="center"/>
              <w:rPr>
                <w:rFonts w:ascii="Calibri" w:eastAsia="Calibri" w:hAnsi="Calibri" w:cs="Calibri"/>
                <w:color w:val="000000"/>
              </w:rPr>
            </w:pPr>
            <w:r>
              <w:rPr>
                <w:color w:val="000000"/>
              </w:rPr>
              <w:t>2,000 – 2,500</w:t>
            </w:r>
          </w:p>
        </w:tc>
      </w:tr>
      <w:tr w14:paraId="0EEAD916"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A1D4083" w14:textId="77777777">
            <w:pPr>
              <w:widowControl w:val="0"/>
              <w:ind w:left="0" w:right="0"/>
              <w:rPr>
                <w:rFonts w:ascii="Calibri" w:eastAsia="Calibri" w:hAnsi="Calibri" w:cs="Calibri"/>
                <w:color w:val="000000"/>
              </w:rPr>
            </w:pPr>
            <w:r>
              <w:rPr>
                <w:color w:val="000000"/>
              </w:rPr>
              <w:t>Full System Installation</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F40AAF2" w14:textId="77777777">
            <w:pPr>
              <w:widowControl w:val="0"/>
              <w:ind w:left="0" w:right="0"/>
              <w:jc w:val="center"/>
              <w:rPr>
                <w:rFonts w:ascii="Calibri" w:eastAsia="Calibri" w:hAnsi="Calibri" w:cs="Calibri"/>
                <w:color w:val="000000"/>
              </w:rPr>
            </w:pPr>
            <w:r>
              <w:rPr>
                <w:color w:val="000000"/>
              </w:rPr>
              <w:t>70,000 – 80,000</w:t>
            </w:r>
          </w:p>
        </w:tc>
      </w:tr>
      <w:tr w14:paraId="721D8052"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296EC4B" w14:textId="77777777">
            <w:pPr>
              <w:widowControl w:val="0"/>
              <w:ind w:left="0" w:right="0"/>
              <w:rPr>
                <w:rFonts w:ascii="Calibri" w:eastAsia="Calibri" w:hAnsi="Calibri" w:cs="Calibri"/>
                <w:color w:val="000000"/>
              </w:rPr>
            </w:pPr>
            <w:r>
              <w:rPr>
                <w:color w:val="000000"/>
              </w:rPr>
              <w:t>Shipping and Handling</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2F3E824" w14:textId="77777777">
            <w:pPr>
              <w:widowControl w:val="0"/>
              <w:ind w:left="0" w:right="0"/>
              <w:jc w:val="center"/>
              <w:rPr>
                <w:rFonts w:ascii="Calibri" w:eastAsia="Calibri" w:hAnsi="Calibri" w:cs="Calibri"/>
                <w:color w:val="000000"/>
              </w:rPr>
            </w:pPr>
            <w:r>
              <w:rPr>
                <w:color w:val="000000"/>
              </w:rPr>
              <w:t>25,000 – 30,000</w:t>
            </w:r>
          </w:p>
        </w:tc>
      </w:tr>
      <w:tr w14:paraId="37A3A42A"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70D0C26C" w14:textId="77777777">
            <w:pPr>
              <w:widowControl w:val="0"/>
              <w:ind w:left="0" w:right="0"/>
              <w:rPr>
                <w:rFonts w:ascii="Calibri" w:eastAsia="Calibri" w:hAnsi="Calibri" w:cs="Calibri"/>
                <w:color w:val="000000"/>
              </w:rPr>
            </w:pPr>
            <w:r>
              <w:rPr>
                <w:i/>
                <w:color w:val="000000"/>
              </w:rPr>
              <w:t>Supporting Equipment</w:t>
            </w:r>
          </w:p>
        </w:tc>
        <w:tc>
          <w:tcPr>
            <w:tcW w:w="2670"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13BF9429" w14:textId="77777777">
            <w:pPr>
              <w:widowControl w:val="0"/>
              <w:ind w:left="0" w:right="0"/>
              <w:rPr>
                <w:rFonts w:ascii="Calibri" w:eastAsia="Calibri" w:hAnsi="Calibri" w:cs="Calibri"/>
                <w:color w:val="000000"/>
              </w:rPr>
            </w:pPr>
          </w:p>
        </w:tc>
      </w:tr>
      <w:tr w14:paraId="6BD7168A"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BDDACBC" w14:textId="77777777">
            <w:pPr>
              <w:widowControl w:val="0"/>
              <w:ind w:left="0" w:right="0"/>
              <w:rPr>
                <w:rFonts w:ascii="Calibri" w:eastAsia="Calibri" w:hAnsi="Calibri" w:cs="Calibri"/>
                <w:color w:val="000000"/>
              </w:rPr>
            </w:pPr>
            <w:r>
              <w:rPr>
                <w:color w:val="000000"/>
              </w:rPr>
              <w:t>Passband Filter</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2387B18" w14:textId="77777777">
            <w:pPr>
              <w:widowControl w:val="0"/>
              <w:ind w:left="0" w:right="0"/>
              <w:jc w:val="center"/>
              <w:rPr>
                <w:rFonts w:ascii="Calibri" w:eastAsia="Calibri" w:hAnsi="Calibri" w:cs="Calibri"/>
                <w:color w:val="000000"/>
              </w:rPr>
            </w:pPr>
            <w:r>
              <w:rPr>
                <w:color w:val="000000"/>
              </w:rPr>
              <w:t>400 – 900</w:t>
            </w:r>
          </w:p>
        </w:tc>
      </w:tr>
      <w:tr w14:paraId="7BA66D74"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588AFA2" w14:textId="77777777">
            <w:pPr>
              <w:widowControl w:val="0"/>
              <w:ind w:left="0" w:right="0"/>
              <w:rPr>
                <w:rFonts w:ascii="Calibri" w:eastAsia="Calibri" w:hAnsi="Calibri" w:cs="Calibri"/>
                <w:color w:val="000000"/>
              </w:rPr>
            </w:pPr>
            <w:r>
              <w:rPr>
                <w:color w:val="000000"/>
              </w:rPr>
              <w:t>Multi-beam Bubble Cover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7C6AB4C" w14:textId="77777777">
            <w:pPr>
              <w:widowControl w:val="0"/>
              <w:ind w:left="0" w:right="0"/>
              <w:jc w:val="center"/>
              <w:rPr>
                <w:rFonts w:ascii="Calibri" w:eastAsia="Calibri" w:hAnsi="Calibri" w:cs="Calibri"/>
                <w:color w:val="000000"/>
              </w:rPr>
            </w:pPr>
            <w:r>
              <w:rPr>
                <w:color w:val="000000"/>
              </w:rPr>
              <w:t>1,000 – 3,300</w:t>
            </w:r>
          </w:p>
        </w:tc>
      </w:tr>
      <w:tr w14:paraId="3C1DDFBF"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AC1FC18" w14:textId="77777777">
            <w:pPr>
              <w:widowControl w:val="0"/>
              <w:ind w:left="0" w:right="0"/>
              <w:rPr>
                <w:rFonts w:ascii="Calibri" w:eastAsia="Calibri" w:hAnsi="Calibri" w:cs="Calibri"/>
                <w:color w:val="000000"/>
              </w:rPr>
            </w:pPr>
            <w:r>
              <w:rPr>
                <w:color w:val="000000"/>
              </w:rPr>
              <w:t>Feed Peaking Kit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EF0EF6C" w14:textId="77777777">
            <w:pPr>
              <w:widowControl w:val="0"/>
              <w:ind w:left="0" w:right="0"/>
              <w:jc w:val="center"/>
              <w:rPr>
                <w:rFonts w:ascii="Calibri" w:eastAsia="Calibri" w:hAnsi="Calibri" w:cs="Calibri"/>
                <w:color w:val="000000"/>
              </w:rPr>
            </w:pPr>
            <w:r>
              <w:rPr>
                <w:color w:val="000000"/>
              </w:rPr>
              <w:t>500 – 1,100</w:t>
            </w:r>
          </w:p>
        </w:tc>
      </w:tr>
      <w:tr w14:paraId="3FF5B9E8"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11D703C" w14:textId="77777777">
            <w:pPr>
              <w:widowControl w:val="0"/>
              <w:ind w:left="0" w:right="0"/>
              <w:rPr>
                <w:rFonts w:ascii="Calibri" w:eastAsia="Calibri" w:hAnsi="Calibri" w:cs="Calibri"/>
                <w:color w:val="000000"/>
              </w:rPr>
            </w:pPr>
            <w:r>
              <w:rPr>
                <w:color w:val="000000"/>
              </w:rPr>
              <w:t>C-band Ortho Mode Transducers</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167A36F" w14:textId="77777777">
            <w:pPr>
              <w:widowControl w:val="0"/>
              <w:ind w:left="0" w:right="0"/>
              <w:jc w:val="center"/>
              <w:rPr>
                <w:rFonts w:ascii="Calibri" w:eastAsia="Calibri" w:hAnsi="Calibri" w:cs="Calibri"/>
                <w:color w:val="000000"/>
              </w:rPr>
            </w:pPr>
            <w:r>
              <w:rPr>
                <w:color w:val="000000"/>
              </w:rPr>
              <w:t>1,000 – 2,200</w:t>
            </w:r>
          </w:p>
        </w:tc>
      </w:tr>
      <w:tr w14:paraId="5664BDAB"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0E9D84A" w14:textId="77777777">
            <w:pPr>
              <w:widowControl w:val="0"/>
              <w:ind w:left="0" w:right="0"/>
              <w:rPr>
                <w:rFonts w:ascii="Calibri" w:eastAsia="Calibri" w:hAnsi="Calibri" w:cs="Calibri"/>
                <w:color w:val="000000"/>
              </w:rPr>
            </w:pPr>
            <w:r>
              <w:rPr>
                <w:color w:val="000000"/>
              </w:rPr>
              <w:t>C-band Antenna Feed Assembly (per feed)</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61B7503" w14:textId="77777777">
            <w:pPr>
              <w:widowControl w:val="0"/>
              <w:ind w:left="0" w:right="0"/>
              <w:jc w:val="center"/>
              <w:rPr>
                <w:rFonts w:ascii="Calibri" w:eastAsia="Calibri" w:hAnsi="Calibri" w:cs="Calibri"/>
                <w:color w:val="000000"/>
              </w:rPr>
            </w:pPr>
            <w:r>
              <w:rPr>
                <w:color w:val="000000"/>
              </w:rPr>
              <w:t>1,500 – 2,200</w:t>
            </w:r>
          </w:p>
        </w:tc>
      </w:tr>
      <w:tr w14:paraId="5E81353F" w14:textId="77777777" w:rsidTr="00C75185">
        <w:tblPrEx>
          <w:tblW w:w="10323" w:type="dxa"/>
          <w:tblInd w:w="172" w:type="dxa"/>
          <w:tblLayout w:type="fixed"/>
          <w:tblCellMar>
            <w:top w:w="100" w:type="dxa"/>
            <w:left w:w="100" w:type="dxa"/>
            <w:bottom w:w="100" w:type="dxa"/>
            <w:right w:w="100" w:type="dxa"/>
          </w:tblCellMar>
          <w:tblLook w:val="0600"/>
        </w:tblPrEx>
        <w:trPr>
          <w:trHeight w:val="300"/>
        </w:trPr>
        <w:tc>
          <w:tcPr>
            <w:tcW w:w="76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1CD3132" w14:textId="77777777">
            <w:pPr>
              <w:widowControl w:val="0"/>
              <w:ind w:left="0" w:right="0"/>
              <w:rPr>
                <w:rFonts w:ascii="Calibri" w:eastAsia="Calibri" w:hAnsi="Calibri" w:cs="Calibri"/>
                <w:color w:val="000000"/>
              </w:rPr>
            </w:pPr>
            <w:r>
              <w:rPr>
                <w:color w:val="000000"/>
              </w:rPr>
              <w:t>2 Cables with 4 Connectors (Cable length dependent)</w:t>
            </w:r>
          </w:p>
        </w:tc>
        <w:tc>
          <w:tcPr>
            <w:tcW w:w="26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7E53077" w14:textId="77777777">
            <w:pPr>
              <w:widowControl w:val="0"/>
              <w:ind w:left="0" w:right="0"/>
              <w:jc w:val="center"/>
              <w:rPr>
                <w:rFonts w:ascii="Calibri" w:eastAsia="Calibri" w:hAnsi="Calibri" w:cs="Calibri"/>
                <w:color w:val="000000"/>
              </w:rPr>
            </w:pPr>
            <w:r>
              <w:rPr>
                <w:color w:val="000000"/>
              </w:rPr>
              <w:t>500 – 3,300</w:t>
            </w:r>
          </w:p>
        </w:tc>
      </w:tr>
    </w:tbl>
    <w:p w:rsidR="005C4115" w14:paraId="1DE4A0EF" w14:textId="1C885BF0">
      <w:pPr>
        <w:ind w:left="0" w:firstLine="360"/>
      </w:pPr>
    </w:p>
    <w:p w:rsidR="005C4115" w14:paraId="363BBF22" w14:textId="77777777">
      <w:r>
        <w:br w:type="page"/>
      </w:r>
    </w:p>
    <w:p w:rsidR="006F3BB7" w14:paraId="296B82DF" w14:textId="77777777">
      <w:pPr>
        <w:ind w:left="0" w:firstLine="360"/>
      </w:pPr>
    </w:p>
    <w:p w:rsidR="006F3BB7" w14:paraId="66FEABA4" w14:textId="77777777">
      <w:pPr>
        <w:pStyle w:val="Heading3"/>
        <w:numPr>
          <w:ilvl w:val="0"/>
          <w:numId w:val="2"/>
        </w:numPr>
      </w:pPr>
      <w:bookmarkStart w:id="20" w:name="_Toc38633291"/>
      <w:r>
        <w:t>Bi-directional Earth Stations</w:t>
      </w:r>
      <w:bookmarkEnd w:id="20"/>
    </w:p>
    <w:tbl>
      <w:tblPr>
        <w:tblW w:w="10335" w:type="dxa"/>
        <w:tblInd w:w="29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485"/>
        <w:gridCol w:w="2850"/>
      </w:tblGrid>
      <w:tr w14:paraId="14304CFA" w14:textId="77777777">
        <w:tblPrEx>
          <w:tblW w:w="10335" w:type="dxa"/>
          <w:tblInd w:w="29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74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530BA2F8" w14:textId="77777777">
            <w:pPr>
              <w:widowControl w:val="0"/>
              <w:ind w:left="0" w:right="0"/>
              <w:jc w:val="center"/>
              <w:rPr>
                <w:rFonts w:ascii="Calibri" w:eastAsia="Calibri" w:hAnsi="Calibri" w:cs="Calibri"/>
                <w:color w:val="000000"/>
              </w:rPr>
            </w:pPr>
            <w:r>
              <w:rPr>
                <w:color w:val="0072C6"/>
              </w:rPr>
              <w:t>Table III-B-3: Bi-directional Earth Station Equipment</w:t>
            </w:r>
          </w:p>
        </w:tc>
        <w:tc>
          <w:tcPr>
            <w:tcW w:w="28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077EF9F" w14:textId="77777777">
            <w:pPr>
              <w:widowControl w:val="0"/>
              <w:ind w:left="0" w:right="0"/>
              <w:jc w:val="center"/>
              <w:rPr>
                <w:rFonts w:ascii="Calibri" w:eastAsia="Calibri" w:hAnsi="Calibri" w:cs="Calibri"/>
                <w:color w:val="000000"/>
              </w:rPr>
            </w:pPr>
            <w:r>
              <w:rPr>
                <w:color w:val="0072C6"/>
              </w:rPr>
              <w:t>Range of Estimated Cost ($)</w:t>
            </w:r>
          </w:p>
        </w:tc>
      </w:tr>
      <w:tr w14:paraId="77DB6F0C"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C05DEBA" w14:textId="77777777">
            <w:pPr>
              <w:widowControl w:val="0"/>
              <w:ind w:left="0" w:right="0"/>
              <w:rPr>
                <w:rFonts w:ascii="Calibri" w:eastAsia="Calibri" w:hAnsi="Calibri" w:cs="Calibri"/>
                <w:color w:val="000000"/>
              </w:rPr>
            </w:pPr>
            <w:r>
              <w:rPr>
                <w:color w:val="000000"/>
              </w:rPr>
              <w:t>Duplication of Hub Platforms for Transition - single site</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83E44A0" w14:textId="77777777">
            <w:pPr>
              <w:widowControl w:val="0"/>
              <w:ind w:left="0" w:right="0"/>
              <w:jc w:val="center"/>
              <w:rPr>
                <w:rFonts w:ascii="Calibri" w:eastAsia="Calibri" w:hAnsi="Calibri" w:cs="Calibri"/>
                <w:color w:val="000000"/>
              </w:rPr>
            </w:pPr>
            <w:r>
              <w:rPr>
                <w:color w:val="000000"/>
              </w:rPr>
              <w:t>200,000 – 1.5M</w:t>
            </w:r>
          </w:p>
        </w:tc>
      </w:tr>
      <w:tr w14:paraId="4BA81FF1"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8401B67" w14:textId="77777777">
            <w:pPr>
              <w:widowControl w:val="0"/>
              <w:ind w:left="0" w:right="0"/>
              <w:rPr>
                <w:rFonts w:ascii="Calibri" w:eastAsia="Calibri" w:hAnsi="Calibri" w:cs="Calibri"/>
                <w:color w:val="000000"/>
              </w:rPr>
            </w:pPr>
            <w:r>
              <w:rPr>
                <w:color w:val="000000"/>
              </w:rPr>
              <w:t>Additional Line Cards for transition</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E682034" w14:textId="77777777">
            <w:pPr>
              <w:widowControl w:val="0"/>
              <w:ind w:left="0" w:right="0"/>
              <w:jc w:val="center"/>
              <w:rPr>
                <w:rFonts w:ascii="Calibri" w:eastAsia="Calibri" w:hAnsi="Calibri" w:cs="Calibri"/>
                <w:color w:val="000000"/>
              </w:rPr>
            </w:pPr>
            <w:r>
              <w:rPr>
                <w:color w:val="000000"/>
              </w:rPr>
              <w:t>6,000 – 10,000</w:t>
            </w:r>
          </w:p>
        </w:tc>
      </w:tr>
      <w:tr w14:paraId="5CEBD7B1"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BDE2B1C" w14:textId="77777777">
            <w:pPr>
              <w:widowControl w:val="0"/>
              <w:ind w:left="0" w:right="0"/>
              <w:rPr>
                <w:rFonts w:ascii="Calibri" w:eastAsia="Calibri" w:hAnsi="Calibri" w:cs="Calibri"/>
                <w:color w:val="000000"/>
              </w:rPr>
            </w:pPr>
            <w:r>
              <w:rPr>
                <w:color w:val="000000"/>
              </w:rPr>
              <w:t>Additional Modems for transition</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5287A61" w14:textId="77777777">
            <w:pPr>
              <w:widowControl w:val="0"/>
              <w:ind w:left="0" w:right="0"/>
              <w:jc w:val="center"/>
              <w:rPr>
                <w:rFonts w:ascii="Calibri" w:eastAsia="Calibri" w:hAnsi="Calibri" w:cs="Calibri"/>
                <w:color w:val="000000"/>
              </w:rPr>
            </w:pPr>
            <w:r>
              <w:rPr>
                <w:color w:val="000000"/>
              </w:rPr>
              <w:t>2,000 – 8,000</w:t>
            </w:r>
          </w:p>
        </w:tc>
      </w:tr>
      <w:tr w14:paraId="6F7422AB"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EBE9630" w14:textId="77777777">
            <w:pPr>
              <w:widowControl w:val="0"/>
              <w:ind w:left="0" w:right="0"/>
              <w:rPr>
                <w:rFonts w:ascii="Calibri" w:eastAsia="Calibri" w:hAnsi="Calibri" w:cs="Calibri"/>
                <w:color w:val="000000"/>
              </w:rPr>
            </w:pPr>
            <w:r>
              <w:rPr>
                <w:color w:val="000000"/>
              </w:rPr>
              <w:t>Additional Chassis</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0949710" w14:textId="77777777">
            <w:pPr>
              <w:widowControl w:val="0"/>
              <w:ind w:left="0" w:right="0"/>
              <w:jc w:val="center"/>
              <w:rPr>
                <w:rFonts w:ascii="Calibri" w:eastAsia="Calibri" w:hAnsi="Calibri" w:cs="Calibri"/>
                <w:color w:val="000000"/>
              </w:rPr>
            </w:pPr>
            <w:r>
              <w:rPr>
                <w:color w:val="000000"/>
              </w:rPr>
              <w:t>3,000 – 10,000</w:t>
            </w:r>
          </w:p>
        </w:tc>
      </w:tr>
      <w:tr w14:paraId="64D19E6D"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562DC80" w14:textId="77777777">
            <w:pPr>
              <w:widowControl w:val="0"/>
              <w:ind w:left="0" w:right="0"/>
              <w:rPr>
                <w:rFonts w:ascii="Calibri" w:eastAsia="Calibri" w:hAnsi="Calibri" w:cs="Calibri"/>
                <w:color w:val="000000"/>
              </w:rPr>
            </w:pPr>
            <w:r>
              <w:rPr>
                <w:color w:val="000000"/>
              </w:rPr>
              <w:t>Core Network Components - Routers, Switches, Server (per component)</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CB2075F" w14:textId="77777777">
            <w:pPr>
              <w:widowControl w:val="0"/>
              <w:ind w:left="0" w:right="0"/>
              <w:jc w:val="center"/>
              <w:rPr>
                <w:rFonts w:ascii="Calibri" w:eastAsia="Calibri" w:hAnsi="Calibri" w:cs="Calibri"/>
                <w:color w:val="000000"/>
              </w:rPr>
            </w:pPr>
            <w:r>
              <w:rPr>
                <w:color w:val="000000"/>
              </w:rPr>
              <w:t>1,000 – 30,000</w:t>
            </w:r>
          </w:p>
        </w:tc>
      </w:tr>
      <w:tr w14:paraId="48E17A73"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58B7B069" w14:textId="77777777">
            <w:pPr>
              <w:widowControl w:val="0"/>
              <w:ind w:left="0" w:right="0"/>
              <w:rPr>
                <w:rFonts w:ascii="Calibri" w:eastAsia="Calibri" w:hAnsi="Calibri" w:cs="Calibri"/>
                <w:color w:val="000000"/>
              </w:rPr>
            </w:pPr>
            <w:r>
              <w:rPr>
                <w:color w:val="000000"/>
              </w:rPr>
              <w:t>Platform and Network Installation/Testing</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9F78CCE" w14:textId="77777777">
            <w:pPr>
              <w:widowControl w:val="0"/>
              <w:ind w:left="0" w:right="0"/>
              <w:jc w:val="center"/>
              <w:rPr>
                <w:rFonts w:ascii="Calibri" w:eastAsia="Calibri" w:hAnsi="Calibri" w:cs="Calibri"/>
                <w:color w:val="000000"/>
              </w:rPr>
            </w:pPr>
            <w:r>
              <w:rPr>
                <w:color w:val="000000"/>
              </w:rPr>
              <w:t>9,000 – 17,000</w:t>
            </w:r>
          </w:p>
        </w:tc>
      </w:tr>
      <w:tr w14:paraId="22FDA403"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D236FC9" w14:textId="77777777">
            <w:pPr>
              <w:widowControl w:val="0"/>
              <w:ind w:left="0" w:right="0"/>
              <w:rPr>
                <w:rFonts w:ascii="Calibri" w:eastAsia="Calibri" w:hAnsi="Calibri" w:cs="Calibri"/>
                <w:color w:val="000000"/>
              </w:rPr>
            </w:pPr>
            <w:r>
              <w:rPr>
                <w:color w:val="000000"/>
              </w:rPr>
              <w:t>2.4-3.0M Tx/Rx Antenna Terminal</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3843BFA" w14:textId="77777777">
            <w:pPr>
              <w:widowControl w:val="0"/>
              <w:ind w:left="0" w:right="0"/>
              <w:jc w:val="center"/>
              <w:rPr>
                <w:rFonts w:ascii="Calibri" w:eastAsia="Calibri" w:hAnsi="Calibri" w:cs="Calibri"/>
                <w:color w:val="000000"/>
              </w:rPr>
            </w:pPr>
            <w:r>
              <w:rPr>
                <w:color w:val="000000"/>
              </w:rPr>
              <w:t>2,500 – 18,000</w:t>
            </w:r>
          </w:p>
        </w:tc>
      </w:tr>
      <w:tr w14:paraId="66296714"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789D7C9" w14:textId="77777777">
            <w:pPr>
              <w:widowControl w:val="0"/>
              <w:ind w:left="0" w:right="0"/>
              <w:rPr>
                <w:rFonts w:ascii="Calibri" w:eastAsia="Calibri" w:hAnsi="Calibri" w:cs="Calibri"/>
                <w:color w:val="000000"/>
              </w:rPr>
            </w:pPr>
            <w:r>
              <w:rPr>
                <w:color w:val="000000"/>
              </w:rPr>
              <w:t>3.7M Tx/Rx Antenna Terminal</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E282BE8" w14:textId="77777777">
            <w:pPr>
              <w:widowControl w:val="0"/>
              <w:ind w:left="0" w:right="0"/>
              <w:jc w:val="center"/>
              <w:rPr>
                <w:rFonts w:ascii="Calibri" w:eastAsia="Calibri" w:hAnsi="Calibri" w:cs="Calibri"/>
                <w:color w:val="000000"/>
              </w:rPr>
            </w:pPr>
            <w:r>
              <w:rPr>
                <w:color w:val="000000"/>
              </w:rPr>
              <w:t>10,000 – 30,000</w:t>
            </w:r>
          </w:p>
        </w:tc>
      </w:tr>
      <w:tr w14:paraId="067E80A6"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D645796" w14:textId="77777777">
            <w:pPr>
              <w:widowControl w:val="0"/>
              <w:ind w:left="0" w:right="0"/>
              <w:rPr>
                <w:rFonts w:ascii="Calibri" w:eastAsia="Calibri" w:hAnsi="Calibri" w:cs="Calibri"/>
                <w:color w:val="000000"/>
              </w:rPr>
            </w:pPr>
            <w:r>
              <w:rPr>
                <w:color w:val="000000"/>
              </w:rPr>
              <w:t>4.5-6M Tx/Rx Antenna Terminal</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D80EFDA" w14:textId="77777777">
            <w:pPr>
              <w:widowControl w:val="0"/>
              <w:ind w:left="0" w:right="0"/>
              <w:jc w:val="center"/>
              <w:rPr>
                <w:rFonts w:ascii="Calibri" w:eastAsia="Calibri" w:hAnsi="Calibri" w:cs="Calibri"/>
                <w:color w:val="000000"/>
              </w:rPr>
            </w:pPr>
            <w:r>
              <w:rPr>
                <w:color w:val="000000"/>
              </w:rPr>
              <w:t>25,000 – 45,000</w:t>
            </w:r>
          </w:p>
        </w:tc>
      </w:tr>
      <w:tr w14:paraId="10AF3392"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3E1A1CEC" w14:textId="77777777">
            <w:pPr>
              <w:widowControl w:val="0"/>
              <w:ind w:left="0" w:right="0"/>
              <w:rPr>
                <w:rFonts w:ascii="Calibri" w:eastAsia="Calibri" w:hAnsi="Calibri" w:cs="Calibri"/>
                <w:color w:val="000000"/>
              </w:rPr>
            </w:pPr>
            <w:r>
              <w:rPr>
                <w:color w:val="000000"/>
              </w:rPr>
              <w:t>6M Tx/Rx Antenna Terminal / non-Pen</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AD4618E" w14:textId="77777777">
            <w:pPr>
              <w:widowControl w:val="0"/>
              <w:ind w:left="0" w:right="0"/>
              <w:jc w:val="center"/>
              <w:rPr>
                <w:rFonts w:ascii="Calibri" w:eastAsia="Calibri" w:hAnsi="Calibri" w:cs="Calibri"/>
                <w:color w:val="000000"/>
              </w:rPr>
            </w:pPr>
            <w:r>
              <w:rPr>
                <w:color w:val="000000"/>
              </w:rPr>
              <w:t>60,000 – 200,000</w:t>
            </w:r>
          </w:p>
        </w:tc>
      </w:tr>
      <w:tr w14:paraId="3CB307BF"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2C5A173F" w14:textId="77777777">
            <w:pPr>
              <w:widowControl w:val="0"/>
              <w:ind w:left="0" w:right="0"/>
              <w:rPr>
                <w:rFonts w:ascii="Calibri" w:eastAsia="Calibri" w:hAnsi="Calibri" w:cs="Calibri"/>
                <w:color w:val="000000"/>
              </w:rPr>
            </w:pPr>
            <w:r>
              <w:rPr>
                <w:color w:val="000000"/>
              </w:rPr>
              <w:t>BUC 2W to 80W (outdoor unit)</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73A9000" w14:textId="77777777">
            <w:pPr>
              <w:widowControl w:val="0"/>
              <w:ind w:left="0" w:right="0"/>
              <w:jc w:val="center"/>
              <w:rPr>
                <w:rFonts w:ascii="Calibri" w:eastAsia="Calibri" w:hAnsi="Calibri" w:cs="Calibri"/>
                <w:color w:val="000000"/>
              </w:rPr>
            </w:pPr>
            <w:r>
              <w:rPr>
                <w:color w:val="000000"/>
              </w:rPr>
              <w:t>2,000 – 20,000</w:t>
            </w:r>
          </w:p>
        </w:tc>
      </w:tr>
      <w:tr w14:paraId="31EF788B" w14:textId="77777777">
        <w:tblPrEx>
          <w:tblW w:w="10335" w:type="dxa"/>
          <w:tblInd w:w="295" w:type="dxa"/>
          <w:tblLayout w:type="fixed"/>
          <w:tblCellMar>
            <w:top w:w="100" w:type="dxa"/>
            <w:left w:w="100" w:type="dxa"/>
            <w:bottom w:w="100" w:type="dxa"/>
            <w:right w:w="100" w:type="dxa"/>
          </w:tblCellMar>
          <w:tblLook w:val="0600"/>
        </w:tblPrEx>
        <w:trPr>
          <w:trHeight w:val="300"/>
        </w:trPr>
        <w:tc>
          <w:tcPr>
            <w:tcW w:w="748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3B3D099F" w14:textId="77777777">
            <w:pPr>
              <w:widowControl w:val="0"/>
              <w:ind w:left="0" w:right="0"/>
              <w:rPr>
                <w:rFonts w:ascii="Calibri" w:eastAsia="Calibri" w:hAnsi="Calibri" w:cs="Calibri"/>
                <w:color w:val="000000"/>
              </w:rPr>
            </w:pPr>
            <w:r>
              <w:rPr>
                <w:color w:val="000000"/>
              </w:rPr>
              <w:t>BUC 100W-300W (outdoor unit)</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FA6ED6F" w14:textId="77777777">
            <w:pPr>
              <w:widowControl w:val="0"/>
              <w:ind w:left="0" w:right="0"/>
              <w:jc w:val="center"/>
              <w:rPr>
                <w:rFonts w:ascii="Calibri" w:eastAsia="Calibri" w:hAnsi="Calibri" w:cs="Calibri"/>
                <w:color w:val="000000"/>
              </w:rPr>
            </w:pPr>
            <w:r>
              <w:rPr>
                <w:color w:val="000000"/>
              </w:rPr>
              <w:t>20,000 – 40,000</w:t>
            </w:r>
          </w:p>
        </w:tc>
      </w:tr>
    </w:tbl>
    <w:p w:rsidR="006F3BB7" w14:paraId="4AF02F55" w14:textId="77777777">
      <w:pPr>
        <w:pStyle w:val="Heading3"/>
        <w:ind w:left="0" w:firstLine="0"/>
        <w:rPr>
          <w:sz w:val="2"/>
          <w:szCs w:val="2"/>
        </w:rPr>
      </w:pPr>
      <w:bookmarkStart w:id="21" w:name="_8khsbt31dbns" w:colFirst="0" w:colLast="0"/>
      <w:bookmarkEnd w:id="21"/>
    </w:p>
    <w:p w:rsidR="006F3BB7" w14:paraId="7B54AA9D" w14:textId="77777777">
      <w:pPr>
        <w:pStyle w:val="Heading3"/>
        <w:numPr>
          <w:ilvl w:val="0"/>
          <w:numId w:val="2"/>
        </w:numPr>
      </w:pPr>
      <w:bookmarkStart w:id="22" w:name="_Toc38633292"/>
      <w:r>
        <w:t>Temporary Fixed Earth Stations</w:t>
      </w:r>
      <w:bookmarkEnd w:id="22"/>
    </w:p>
    <w:tbl>
      <w:tblPr>
        <w:tblW w:w="10380" w:type="dxa"/>
        <w:tblInd w:w="26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530"/>
        <w:gridCol w:w="2850"/>
      </w:tblGrid>
      <w:tr w14:paraId="0DADCE72" w14:textId="77777777">
        <w:tblPrEx>
          <w:tblW w:w="10380" w:type="dxa"/>
          <w:tblInd w:w="26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75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7A2247F6" w14:textId="77777777">
            <w:pPr>
              <w:widowControl w:val="0"/>
              <w:ind w:left="0" w:right="0"/>
              <w:jc w:val="center"/>
              <w:rPr>
                <w:rFonts w:ascii="Calibri" w:eastAsia="Calibri" w:hAnsi="Calibri" w:cs="Calibri"/>
                <w:color w:val="000000"/>
              </w:rPr>
            </w:pPr>
            <w:r>
              <w:rPr>
                <w:color w:val="0072C6"/>
              </w:rPr>
              <w:t>Table III-B-4: Temporary Fixed Earth Station Equipment</w:t>
            </w:r>
          </w:p>
        </w:tc>
        <w:tc>
          <w:tcPr>
            <w:tcW w:w="28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02F9D2F" w14:textId="77777777">
            <w:pPr>
              <w:widowControl w:val="0"/>
              <w:ind w:left="0" w:right="0"/>
              <w:jc w:val="center"/>
              <w:rPr>
                <w:rFonts w:ascii="Calibri" w:eastAsia="Calibri" w:hAnsi="Calibri" w:cs="Calibri"/>
                <w:color w:val="000000"/>
              </w:rPr>
            </w:pPr>
            <w:r>
              <w:rPr>
                <w:color w:val="0072C6"/>
              </w:rPr>
              <w:t>Range of Estimated Cost ($)</w:t>
            </w:r>
          </w:p>
        </w:tc>
      </w:tr>
      <w:tr w14:paraId="231C1C03" w14:textId="77777777">
        <w:tblPrEx>
          <w:tblW w:w="10380" w:type="dxa"/>
          <w:tblInd w:w="265" w:type="dxa"/>
          <w:tblLayout w:type="fixed"/>
          <w:tblCellMar>
            <w:top w:w="100" w:type="dxa"/>
            <w:left w:w="100" w:type="dxa"/>
            <w:bottom w:w="100" w:type="dxa"/>
            <w:right w:w="100" w:type="dxa"/>
          </w:tblCellMar>
          <w:tblLook w:val="0600"/>
        </w:tblPrEx>
        <w:trPr>
          <w:trHeight w:val="300"/>
        </w:trPr>
        <w:tc>
          <w:tcPr>
            <w:tcW w:w="7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FD5B1FF" w14:textId="77777777">
            <w:pPr>
              <w:widowControl w:val="0"/>
              <w:ind w:left="0" w:right="0"/>
              <w:rPr>
                <w:rFonts w:ascii="Calibri" w:eastAsia="Calibri" w:hAnsi="Calibri" w:cs="Calibri"/>
                <w:color w:val="000000"/>
              </w:rPr>
            </w:pPr>
            <w:r>
              <w:rPr>
                <w:color w:val="000000"/>
              </w:rPr>
              <w:t>4.5M Transmit Antenna/Non-Pen</w:t>
            </w:r>
          </w:p>
        </w:tc>
        <w:tc>
          <w:tcPr>
            <w:tcW w:w="28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241A6186" w14:textId="77777777">
            <w:pPr>
              <w:widowControl w:val="0"/>
              <w:ind w:left="0" w:right="0"/>
              <w:jc w:val="center"/>
              <w:rPr>
                <w:rFonts w:ascii="Calibri" w:eastAsia="Calibri" w:hAnsi="Calibri" w:cs="Calibri"/>
                <w:color w:val="000000"/>
              </w:rPr>
            </w:pPr>
            <w:r>
              <w:rPr>
                <w:color w:val="000000"/>
              </w:rPr>
              <w:t>25,000 – 45,000</w:t>
            </w:r>
          </w:p>
        </w:tc>
      </w:tr>
      <w:tr w14:paraId="77A42339" w14:textId="77777777">
        <w:tblPrEx>
          <w:tblW w:w="10380" w:type="dxa"/>
          <w:tblInd w:w="265" w:type="dxa"/>
          <w:tblLayout w:type="fixed"/>
          <w:tblCellMar>
            <w:top w:w="100" w:type="dxa"/>
            <w:left w:w="100" w:type="dxa"/>
            <w:bottom w:w="100" w:type="dxa"/>
            <w:right w:w="100" w:type="dxa"/>
          </w:tblCellMar>
          <w:tblLook w:val="0600"/>
        </w:tblPrEx>
        <w:trPr>
          <w:trHeight w:val="300"/>
        </w:trPr>
        <w:tc>
          <w:tcPr>
            <w:tcW w:w="7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86B59C3" w14:textId="77777777">
            <w:pPr>
              <w:widowControl w:val="0"/>
              <w:ind w:left="0" w:right="0"/>
              <w:rPr>
                <w:rFonts w:ascii="Calibri" w:eastAsia="Calibri" w:hAnsi="Calibri" w:cs="Calibri"/>
                <w:color w:val="000000"/>
              </w:rPr>
            </w:pPr>
            <w:r>
              <w:rPr>
                <w:color w:val="000000"/>
              </w:rPr>
              <w:t>Shipping &amp; Installation</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95F49EF" w14:textId="77777777">
            <w:pPr>
              <w:widowControl w:val="0"/>
              <w:ind w:left="0" w:right="0"/>
              <w:jc w:val="center"/>
              <w:rPr>
                <w:rFonts w:ascii="Calibri" w:eastAsia="Calibri" w:hAnsi="Calibri" w:cs="Calibri"/>
                <w:color w:val="000000"/>
              </w:rPr>
            </w:pPr>
            <w:r>
              <w:rPr>
                <w:color w:val="000000"/>
              </w:rPr>
              <w:t>10,000 – 15,000</w:t>
            </w:r>
          </w:p>
        </w:tc>
      </w:tr>
      <w:tr w14:paraId="0F40F857" w14:textId="77777777">
        <w:tblPrEx>
          <w:tblW w:w="10380" w:type="dxa"/>
          <w:tblInd w:w="265" w:type="dxa"/>
          <w:tblLayout w:type="fixed"/>
          <w:tblCellMar>
            <w:top w:w="100" w:type="dxa"/>
            <w:left w:w="100" w:type="dxa"/>
            <w:bottom w:w="100" w:type="dxa"/>
            <w:right w:w="100" w:type="dxa"/>
          </w:tblCellMar>
          <w:tblLook w:val="0600"/>
        </w:tblPrEx>
        <w:trPr>
          <w:trHeight w:val="300"/>
        </w:trPr>
        <w:tc>
          <w:tcPr>
            <w:tcW w:w="7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EE833E5" w14:textId="77777777">
            <w:pPr>
              <w:widowControl w:val="0"/>
              <w:ind w:left="0" w:right="0"/>
              <w:rPr>
                <w:rFonts w:ascii="Calibri" w:eastAsia="Calibri" w:hAnsi="Calibri" w:cs="Calibri"/>
                <w:color w:val="000000"/>
              </w:rPr>
            </w:pPr>
            <w:r>
              <w:rPr>
                <w:color w:val="000000"/>
              </w:rPr>
              <w:t>Upconverter/Modulator</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D1BD180" w14:textId="77777777">
            <w:pPr>
              <w:widowControl w:val="0"/>
              <w:ind w:left="0" w:right="0"/>
              <w:jc w:val="center"/>
              <w:rPr>
                <w:rFonts w:ascii="Calibri" w:eastAsia="Calibri" w:hAnsi="Calibri" w:cs="Calibri"/>
                <w:color w:val="000000"/>
              </w:rPr>
            </w:pPr>
            <w:r>
              <w:rPr>
                <w:color w:val="000000"/>
              </w:rPr>
              <w:t>50,000 – 75,000</w:t>
            </w:r>
          </w:p>
        </w:tc>
      </w:tr>
      <w:tr w14:paraId="30BF8669" w14:textId="77777777">
        <w:tblPrEx>
          <w:tblW w:w="10380" w:type="dxa"/>
          <w:tblInd w:w="265" w:type="dxa"/>
          <w:tblLayout w:type="fixed"/>
          <w:tblCellMar>
            <w:top w:w="100" w:type="dxa"/>
            <w:left w:w="100" w:type="dxa"/>
            <w:bottom w:w="100" w:type="dxa"/>
            <w:right w:w="100" w:type="dxa"/>
          </w:tblCellMar>
          <w:tblLook w:val="0600"/>
        </w:tblPrEx>
        <w:trPr>
          <w:trHeight w:val="300"/>
        </w:trPr>
        <w:tc>
          <w:tcPr>
            <w:tcW w:w="75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A83D71B" w14:textId="77777777">
            <w:pPr>
              <w:widowControl w:val="0"/>
              <w:ind w:left="0" w:right="0"/>
              <w:rPr>
                <w:rFonts w:ascii="Calibri" w:eastAsia="Calibri" w:hAnsi="Calibri" w:cs="Calibri"/>
                <w:color w:val="000000"/>
              </w:rPr>
            </w:pPr>
            <w:r>
              <w:rPr>
                <w:color w:val="000000"/>
              </w:rPr>
              <w:t>High Power Amplifier</w:t>
            </w:r>
          </w:p>
        </w:tc>
        <w:tc>
          <w:tcPr>
            <w:tcW w:w="2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EDFF4CF" w14:textId="77777777">
            <w:pPr>
              <w:widowControl w:val="0"/>
              <w:ind w:left="0" w:right="0"/>
              <w:jc w:val="center"/>
              <w:rPr>
                <w:rFonts w:ascii="Calibri" w:eastAsia="Calibri" w:hAnsi="Calibri" w:cs="Calibri"/>
                <w:color w:val="000000"/>
              </w:rPr>
            </w:pPr>
            <w:r>
              <w:rPr>
                <w:color w:val="000000"/>
              </w:rPr>
              <w:t>75,000 – 170,000</w:t>
            </w:r>
          </w:p>
        </w:tc>
      </w:tr>
    </w:tbl>
    <w:p w:rsidR="00D2692F" w14:paraId="3E94427C" w14:textId="308E58E7"/>
    <w:p w:rsidR="00D2692F" w14:paraId="5FF56198" w14:textId="77777777">
      <w:r>
        <w:br w:type="page"/>
      </w:r>
    </w:p>
    <w:p w:rsidR="006F3BB7" w:rsidP="004A5C9B" w14:paraId="58C76ECE" w14:textId="19C96BC6">
      <w:pPr>
        <w:pStyle w:val="Heading3"/>
        <w:numPr>
          <w:ilvl w:val="0"/>
          <w:numId w:val="2"/>
        </w:numPr>
        <w:spacing w:after="0" w:line="240" w:lineRule="auto"/>
      </w:pPr>
      <w:bookmarkStart w:id="23" w:name="_Toc38633293"/>
      <w:r>
        <w:t>Gateway and Large Aperture Point to Point Systems</w:t>
      </w:r>
      <w:bookmarkEnd w:id="23"/>
    </w:p>
    <w:p w:rsidR="0079425C" w:rsidRPr="0079425C" w:rsidP="0079425C" w14:paraId="5F383C02" w14:textId="77777777"/>
    <w:p w:rsidR="006F3BB7" w14:paraId="77A9600D" w14:textId="46EBC5B2">
      <w:r>
        <w:t>The following table</w:t>
      </w:r>
      <w:r w:rsidR="00D2692F">
        <w:t>, III-B-5,</w:t>
      </w:r>
      <w:r>
        <w:t xml:space="preserve"> lists items related to gateway or large aperture point</w:t>
      </w:r>
      <w:r w:rsidR="00FC143B">
        <w:t>-</w:t>
      </w:r>
      <w:r>
        <w:t>to</w:t>
      </w:r>
      <w:r w:rsidR="00FC143B">
        <w:t>-</w:t>
      </w:r>
      <w:r>
        <w:t>point systems</w:t>
      </w:r>
      <w:r w:rsidR="00D2692F">
        <w:t xml:space="preserve"> including teleport equipment costs associated with common configurations for antenna sizes, e.g., 7.3m and 13m antennas with limited motion, extended performance, and full performance capability.</w:t>
      </w:r>
      <w:r>
        <w:t xml:space="preserve">  </w:t>
      </w:r>
      <w:r w:rsidRPr="00DC1064">
        <w:t>Telemetry, Tracking, and Control (</w:t>
      </w:r>
      <w:r>
        <w:t>TT&amp;C) consolidation costs are covered in Section C</w:t>
      </w:r>
      <w:r w:rsidR="00D2692F">
        <w:t xml:space="preserve">.  </w:t>
      </w:r>
      <w:r>
        <w:t>7.3m limited motion antennas (LMA) are anticipated to be used for RMS monitoring and also receive</w:t>
      </w:r>
      <w:r w:rsidR="00FC143B">
        <w:t>-</w:t>
      </w:r>
      <w:r>
        <w:t>only configurations, 13m LMAs are anticipated to be used for TT&amp;C and Commercial Traffic, whereas 13m Extended Performance Antennas (EPAs) are anticipated to be used for TT&amp;C Rover and site backup and 13m Full Performance Antennas (FPAs) are anticipated to be used for TT&amp;C Rover and, where applicable, transfer orbit support services.  The antenna is considered to be procured as a package from a single vendor per system, where major components include the antenna pedestal, hub, reflector, sub-reflector, low noise amplifier/block place (LNA/LNB), where LNB is used if the system is used for receive-only, and tracking/drive system.  A vendor contract is assumed for the antenna hardware and installation services.</w:t>
      </w:r>
    </w:p>
    <w:p w:rsidR="0079425C" w14:paraId="14759B9D" w14:textId="77777777"/>
    <w:p w:rsidR="006F3BB7" w14:paraId="37D6BB40" w14:textId="77777777">
      <w:pPr>
        <w:ind w:left="0" w:firstLine="360"/>
        <w:rPr>
          <w:sz w:val="2"/>
          <w:szCs w:val="2"/>
        </w:rPr>
      </w:pPr>
    </w:p>
    <w:p w:rsidR="006F3BB7" w14:paraId="43DA48B6" w14:textId="77777777">
      <w:pPr>
        <w:ind w:left="0" w:firstLine="360"/>
        <w:rPr>
          <w:sz w:val="2"/>
          <w:szCs w:val="2"/>
        </w:rPr>
      </w:pPr>
    </w:p>
    <w:tbl>
      <w:tblPr>
        <w:tblW w:w="9900"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038"/>
        <w:gridCol w:w="2862"/>
      </w:tblGrid>
      <w:tr w14:paraId="067654CA" w14:textId="77777777" w:rsidTr="00C75185">
        <w:tblPrEx>
          <w:tblW w:w="9900"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01"/>
        </w:trPr>
        <w:tc>
          <w:tcPr>
            <w:tcW w:w="703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28244C61" w14:textId="65B490BE">
            <w:pPr>
              <w:widowControl w:val="0"/>
              <w:ind w:left="0" w:right="0"/>
              <w:jc w:val="center"/>
              <w:rPr>
                <w:rFonts w:ascii="Calibri" w:eastAsia="Calibri" w:hAnsi="Calibri" w:cs="Calibri"/>
                <w:color w:val="000000"/>
              </w:rPr>
            </w:pPr>
            <w:r>
              <w:rPr>
                <w:color w:val="0072C6"/>
              </w:rPr>
              <w:t>Table III-B-5: Gateway Equipment</w:t>
            </w:r>
          </w:p>
        </w:tc>
        <w:tc>
          <w:tcPr>
            <w:tcW w:w="286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392EC0C" w14:textId="77777777">
            <w:pPr>
              <w:widowControl w:val="0"/>
              <w:ind w:left="0" w:right="0"/>
              <w:jc w:val="center"/>
              <w:rPr>
                <w:rFonts w:ascii="Calibri" w:eastAsia="Calibri" w:hAnsi="Calibri" w:cs="Calibri"/>
                <w:color w:val="000000"/>
              </w:rPr>
            </w:pPr>
            <w:r>
              <w:rPr>
                <w:color w:val="0072C6"/>
              </w:rPr>
              <w:t>Range of Estimated Cost ($)</w:t>
            </w:r>
          </w:p>
        </w:tc>
      </w:tr>
      <w:tr w14:paraId="78E1EA4C" w14:textId="77777777" w:rsidTr="00C75185">
        <w:tblPrEx>
          <w:tblW w:w="9900" w:type="dxa"/>
          <w:tblInd w:w="352" w:type="dxa"/>
          <w:tblLayout w:type="fixed"/>
          <w:tblCellMar>
            <w:top w:w="100" w:type="dxa"/>
            <w:left w:w="100" w:type="dxa"/>
            <w:bottom w:w="100" w:type="dxa"/>
            <w:right w:w="100" w:type="dxa"/>
          </w:tblCellMar>
          <w:tblLook w:val="0600"/>
        </w:tblPrEx>
        <w:trPr>
          <w:trHeight w:val="228"/>
        </w:trPr>
        <w:tc>
          <w:tcPr>
            <w:tcW w:w="7038"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049F875A" w14:textId="77777777">
            <w:pPr>
              <w:widowControl w:val="0"/>
              <w:ind w:left="0" w:right="0"/>
              <w:rPr>
                <w:rFonts w:ascii="Calibri" w:eastAsia="Calibri" w:hAnsi="Calibri" w:cs="Calibri"/>
                <w:color w:val="000000"/>
              </w:rPr>
            </w:pPr>
            <w:r>
              <w:rPr>
                <w:i/>
                <w:color w:val="000000"/>
              </w:rPr>
              <w:t>7.3m Limited Motion Antenna (LMA)</w:t>
            </w:r>
          </w:p>
        </w:tc>
        <w:tc>
          <w:tcPr>
            <w:tcW w:w="2862"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7718437C" w14:textId="77777777">
            <w:pPr>
              <w:widowControl w:val="0"/>
              <w:ind w:left="0" w:right="0"/>
              <w:rPr>
                <w:rFonts w:ascii="Calibri" w:eastAsia="Calibri" w:hAnsi="Calibri" w:cs="Calibri"/>
                <w:color w:val="000000"/>
              </w:rPr>
            </w:pPr>
          </w:p>
        </w:tc>
      </w:tr>
      <w:tr w14:paraId="0471FD58"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DE6685D" w14:textId="77777777">
            <w:pPr>
              <w:widowControl w:val="0"/>
              <w:ind w:left="0" w:right="0"/>
              <w:rPr>
                <w:rFonts w:ascii="Calibri" w:eastAsia="Calibri" w:hAnsi="Calibri" w:cs="Calibri"/>
                <w:color w:val="000000"/>
              </w:rPr>
            </w:pPr>
            <w:r>
              <w:rPr>
                <w:color w:val="000000"/>
              </w:rPr>
              <w:t>7.3m LMA</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B3E69E9" w14:textId="77777777">
            <w:pPr>
              <w:widowControl w:val="0"/>
              <w:ind w:left="0" w:right="0"/>
              <w:jc w:val="center"/>
              <w:rPr>
                <w:rFonts w:ascii="Calibri" w:eastAsia="Calibri" w:hAnsi="Calibri" w:cs="Calibri"/>
                <w:color w:val="000000"/>
              </w:rPr>
            </w:pPr>
            <w:r>
              <w:rPr>
                <w:color w:val="000000"/>
              </w:rPr>
              <w:t>550,000 – 700,000</w:t>
            </w:r>
          </w:p>
        </w:tc>
      </w:tr>
      <w:tr w14:paraId="1602B0C2"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410C973" w14:textId="77777777">
            <w:pPr>
              <w:widowControl w:val="0"/>
              <w:ind w:left="0" w:right="0"/>
              <w:rPr>
                <w:rFonts w:ascii="Calibri" w:eastAsia="Calibri" w:hAnsi="Calibri" w:cs="Calibri"/>
                <w:color w:val="000000"/>
              </w:rPr>
            </w:pPr>
            <w:r>
              <w:rPr>
                <w:color w:val="000000"/>
              </w:rPr>
              <w:t>7.3m LMA Installation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30D0843" w14:textId="77777777">
            <w:pPr>
              <w:widowControl w:val="0"/>
              <w:ind w:left="0" w:right="0"/>
              <w:jc w:val="center"/>
              <w:rPr>
                <w:rFonts w:ascii="Calibri" w:eastAsia="Calibri" w:hAnsi="Calibri" w:cs="Calibri"/>
                <w:color w:val="000000"/>
              </w:rPr>
            </w:pPr>
            <w:r>
              <w:rPr>
                <w:color w:val="000000"/>
              </w:rPr>
              <w:t>150,000 – 250,000</w:t>
            </w:r>
          </w:p>
        </w:tc>
      </w:tr>
      <w:tr w14:paraId="2E8E7E4A"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043C1B8" w14:textId="77777777">
            <w:pPr>
              <w:widowControl w:val="0"/>
              <w:ind w:left="0" w:right="0"/>
              <w:rPr>
                <w:rFonts w:ascii="Calibri" w:eastAsia="Calibri" w:hAnsi="Calibri" w:cs="Calibri"/>
                <w:color w:val="000000"/>
              </w:rPr>
            </w:pPr>
            <w:r>
              <w:rPr>
                <w:color w:val="000000"/>
              </w:rPr>
              <w:t>7.3m LMA System Integration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26B6F02" w14:textId="77777777">
            <w:pPr>
              <w:widowControl w:val="0"/>
              <w:ind w:left="0" w:right="0"/>
              <w:jc w:val="center"/>
              <w:rPr>
                <w:rFonts w:ascii="Calibri" w:eastAsia="Calibri" w:hAnsi="Calibri" w:cs="Calibri"/>
                <w:color w:val="000000"/>
              </w:rPr>
            </w:pPr>
            <w:r>
              <w:rPr>
                <w:color w:val="000000"/>
              </w:rPr>
              <w:t>250,000 – 300,000</w:t>
            </w:r>
          </w:p>
        </w:tc>
      </w:tr>
      <w:tr w14:paraId="11090B38"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B8FA797" w14:textId="77777777">
            <w:pPr>
              <w:widowControl w:val="0"/>
              <w:ind w:left="0" w:right="0"/>
              <w:rPr>
                <w:rFonts w:ascii="Calibri" w:eastAsia="Calibri" w:hAnsi="Calibri" w:cs="Calibri"/>
                <w:color w:val="000000"/>
              </w:rPr>
            </w:pPr>
            <w:r>
              <w:rPr>
                <w:color w:val="000000"/>
              </w:rPr>
              <w:t>7.3m LMA Receive Only System Integration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11D0301" w14:textId="77777777">
            <w:pPr>
              <w:widowControl w:val="0"/>
              <w:ind w:left="0" w:right="0"/>
              <w:jc w:val="center"/>
              <w:rPr>
                <w:rFonts w:ascii="Calibri" w:eastAsia="Calibri" w:hAnsi="Calibri" w:cs="Calibri"/>
                <w:color w:val="000000"/>
              </w:rPr>
            </w:pPr>
            <w:r>
              <w:rPr>
                <w:color w:val="000000"/>
              </w:rPr>
              <w:t>80,000 – 120,000</w:t>
            </w:r>
          </w:p>
        </w:tc>
      </w:tr>
      <w:tr w14:paraId="45A52F2C" w14:textId="77777777" w:rsidTr="00C75185">
        <w:tblPrEx>
          <w:tblW w:w="9900" w:type="dxa"/>
          <w:tblInd w:w="352" w:type="dxa"/>
          <w:tblLayout w:type="fixed"/>
          <w:tblCellMar>
            <w:top w:w="100" w:type="dxa"/>
            <w:left w:w="100" w:type="dxa"/>
            <w:bottom w:w="100" w:type="dxa"/>
            <w:right w:w="100" w:type="dxa"/>
          </w:tblCellMar>
          <w:tblLook w:val="0600"/>
        </w:tblPrEx>
        <w:trPr>
          <w:trHeight w:val="192"/>
        </w:trPr>
        <w:tc>
          <w:tcPr>
            <w:tcW w:w="7038"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23000C42" w14:textId="77777777">
            <w:pPr>
              <w:widowControl w:val="0"/>
              <w:ind w:left="0" w:right="0"/>
              <w:rPr>
                <w:rFonts w:ascii="Calibri" w:eastAsia="Calibri" w:hAnsi="Calibri" w:cs="Calibri"/>
                <w:color w:val="000000"/>
              </w:rPr>
            </w:pPr>
            <w:r>
              <w:rPr>
                <w:i/>
                <w:color w:val="000000"/>
              </w:rPr>
              <w:t>13m LMA</w:t>
            </w:r>
          </w:p>
        </w:tc>
        <w:tc>
          <w:tcPr>
            <w:tcW w:w="2862"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53E2FA32" w14:textId="77777777">
            <w:pPr>
              <w:widowControl w:val="0"/>
              <w:ind w:left="0" w:right="0"/>
              <w:rPr>
                <w:rFonts w:ascii="Calibri" w:eastAsia="Calibri" w:hAnsi="Calibri" w:cs="Calibri"/>
                <w:color w:val="000000"/>
              </w:rPr>
            </w:pPr>
          </w:p>
        </w:tc>
      </w:tr>
      <w:tr w14:paraId="499C73C3"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D0F911C" w14:textId="77777777">
            <w:pPr>
              <w:widowControl w:val="0"/>
              <w:ind w:left="0" w:right="0"/>
              <w:rPr>
                <w:rFonts w:ascii="Calibri" w:eastAsia="Calibri" w:hAnsi="Calibri" w:cs="Calibri"/>
                <w:color w:val="000000"/>
              </w:rPr>
            </w:pPr>
            <w:r>
              <w:rPr>
                <w:color w:val="000000"/>
              </w:rPr>
              <w:t>13m LMA</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93ECF1E" w14:textId="6DEAF58B">
            <w:pPr>
              <w:widowControl w:val="0"/>
              <w:ind w:left="0" w:right="0"/>
              <w:jc w:val="center"/>
              <w:rPr>
                <w:rFonts w:ascii="Calibri" w:eastAsia="Calibri" w:hAnsi="Calibri" w:cs="Calibri"/>
                <w:color w:val="000000"/>
              </w:rPr>
            </w:pPr>
            <w:r>
              <w:rPr>
                <w:color w:val="000000"/>
              </w:rPr>
              <w:t>950,000 – 1</w:t>
            </w:r>
            <w:r w:rsidR="00F819E0">
              <w:rPr>
                <w:color w:val="000000"/>
              </w:rPr>
              <w:t>.</w:t>
            </w:r>
            <w:r>
              <w:rPr>
                <w:color w:val="000000"/>
              </w:rPr>
              <w:t>1</w:t>
            </w:r>
            <w:r w:rsidR="00F819E0">
              <w:rPr>
                <w:color w:val="000000"/>
              </w:rPr>
              <w:t>M</w:t>
            </w:r>
          </w:p>
        </w:tc>
      </w:tr>
      <w:tr w14:paraId="7CCA5D67"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211CCB8" w14:textId="77777777">
            <w:pPr>
              <w:widowControl w:val="0"/>
              <w:ind w:left="0" w:right="0"/>
              <w:rPr>
                <w:rFonts w:ascii="Calibri" w:eastAsia="Calibri" w:hAnsi="Calibri" w:cs="Calibri"/>
                <w:color w:val="000000"/>
              </w:rPr>
            </w:pPr>
            <w:r>
              <w:rPr>
                <w:color w:val="000000"/>
              </w:rPr>
              <w:t>13m LMA Installation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FE77041" w14:textId="77777777">
            <w:pPr>
              <w:widowControl w:val="0"/>
              <w:ind w:left="0" w:right="0"/>
              <w:jc w:val="center"/>
              <w:rPr>
                <w:rFonts w:ascii="Calibri" w:eastAsia="Calibri" w:hAnsi="Calibri" w:cs="Calibri"/>
                <w:color w:val="000000"/>
              </w:rPr>
            </w:pPr>
            <w:r>
              <w:rPr>
                <w:color w:val="000000"/>
              </w:rPr>
              <w:t>350,000 – 500,000</w:t>
            </w:r>
          </w:p>
        </w:tc>
      </w:tr>
      <w:tr w14:paraId="68E9EC38"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A6E38EB" w14:textId="77777777">
            <w:pPr>
              <w:widowControl w:val="0"/>
              <w:ind w:left="0" w:right="0"/>
              <w:rPr>
                <w:rFonts w:ascii="Calibri" w:eastAsia="Calibri" w:hAnsi="Calibri" w:cs="Calibri"/>
                <w:color w:val="000000"/>
              </w:rPr>
            </w:pPr>
            <w:r>
              <w:rPr>
                <w:color w:val="000000"/>
              </w:rPr>
              <w:t>13m LMA System Integration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18A7CFD" w14:textId="77777777">
            <w:pPr>
              <w:widowControl w:val="0"/>
              <w:ind w:left="0" w:right="0"/>
              <w:jc w:val="center"/>
              <w:rPr>
                <w:rFonts w:ascii="Calibri" w:eastAsia="Calibri" w:hAnsi="Calibri" w:cs="Calibri"/>
                <w:color w:val="000000"/>
              </w:rPr>
            </w:pPr>
            <w:r>
              <w:rPr>
                <w:color w:val="000000"/>
              </w:rPr>
              <w:t>250,000 – 300,000</w:t>
            </w:r>
          </w:p>
        </w:tc>
      </w:tr>
      <w:tr w14:paraId="1BD9C172"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7118195A" w14:textId="77777777">
            <w:pPr>
              <w:widowControl w:val="0"/>
              <w:ind w:left="0" w:right="0"/>
              <w:rPr>
                <w:rFonts w:ascii="Calibri" w:eastAsia="Calibri" w:hAnsi="Calibri" w:cs="Calibri"/>
                <w:color w:val="000000"/>
              </w:rPr>
            </w:pPr>
            <w:r>
              <w:rPr>
                <w:i/>
                <w:color w:val="000000"/>
              </w:rPr>
              <w:t>13m Extended Performance Antenna (EPA)</w:t>
            </w:r>
          </w:p>
        </w:tc>
        <w:tc>
          <w:tcPr>
            <w:tcW w:w="2862"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449178F2" w14:textId="77777777">
            <w:pPr>
              <w:widowControl w:val="0"/>
              <w:ind w:left="0" w:right="0"/>
              <w:rPr>
                <w:rFonts w:ascii="Calibri" w:eastAsia="Calibri" w:hAnsi="Calibri" w:cs="Calibri"/>
                <w:color w:val="000000"/>
              </w:rPr>
            </w:pPr>
          </w:p>
        </w:tc>
      </w:tr>
      <w:tr w14:paraId="54007000"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BDEEA9D" w14:textId="77777777">
            <w:pPr>
              <w:widowControl w:val="0"/>
              <w:ind w:left="0" w:right="0"/>
              <w:rPr>
                <w:rFonts w:ascii="Calibri" w:eastAsia="Calibri" w:hAnsi="Calibri" w:cs="Calibri"/>
                <w:color w:val="000000"/>
              </w:rPr>
            </w:pPr>
            <w:r>
              <w:rPr>
                <w:color w:val="000000"/>
              </w:rPr>
              <w:t>13m EPA</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1DB455B" w14:textId="77777777">
            <w:pPr>
              <w:widowControl w:val="0"/>
              <w:ind w:left="0" w:right="0"/>
              <w:jc w:val="center"/>
              <w:rPr>
                <w:rFonts w:ascii="Calibri" w:eastAsia="Calibri" w:hAnsi="Calibri" w:cs="Calibri"/>
                <w:color w:val="000000"/>
              </w:rPr>
            </w:pPr>
            <w:r>
              <w:rPr>
                <w:color w:val="000000"/>
              </w:rPr>
              <w:t>1,550,000 – 1,950,000</w:t>
            </w:r>
          </w:p>
        </w:tc>
      </w:tr>
      <w:tr w14:paraId="051F287D"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FD595D5" w14:textId="77777777">
            <w:pPr>
              <w:widowControl w:val="0"/>
              <w:ind w:left="0" w:right="0"/>
              <w:rPr>
                <w:rFonts w:ascii="Calibri" w:eastAsia="Calibri" w:hAnsi="Calibri" w:cs="Calibri"/>
                <w:color w:val="000000"/>
              </w:rPr>
            </w:pPr>
            <w:r>
              <w:rPr>
                <w:color w:val="000000"/>
              </w:rPr>
              <w:t>13m EPA Installation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FE1D117" w14:textId="77777777">
            <w:pPr>
              <w:widowControl w:val="0"/>
              <w:ind w:left="0" w:right="0"/>
              <w:jc w:val="center"/>
              <w:rPr>
                <w:rFonts w:ascii="Calibri" w:eastAsia="Calibri" w:hAnsi="Calibri" w:cs="Calibri"/>
                <w:color w:val="000000"/>
              </w:rPr>
            </w:pPr>
            <w:r>
              <w:rPr>
                <w:color w:val="000000"/>
              </w:rPr>
              <w:t>350,000 – 500,000</w:t>
            </w:r>
          </w:p>
        </w:tc>
      </w:tr>
      <w:tr w14:paraId="71348C5B"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76101AE" w14:textId="77777777">
            <w:pPr>
              <w:widowControl w:val="0"/>
              <w:ind w:left="0" w:right="0"/>
              <w:rPr>
                <w:rFonts w:ascii="Calibri" w:eastAsia="Calibri" w:hAnsi="Calibri" w:cs="Calibri"/>
                <w:color w:val="000000"/>
              </w:rPr>
            </w:pPr>
            <w:r>
              <w:rPr>
                <w:color w:val="000000"/>
              </w:rPr>
              <w:t>13m EPA System Integration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F8A2183" w14:textId="77777777">
            <w:pPr>
              <w:widowControl w:val="0"/>
              <w:ind w:left="0" w:right="0"/>
              <w:jc w:val="center"/>
              <w:rPr>
                <w:rFonts w:ascii="Calibri" w:eastAsia="Calibri" w:hAnsi="Calibri" w:cs="Calibri"/>
                <w:color w:val="000000"/>
              </w:rPr>
            </w:pPr>
            <w:r>
              <w:rPr>
                <w:color w:val="000000"/>
              </w:rPr>
              <w:t>250,000 – 300,000</w:t>
            </w:r>
          </w:p>
        </w:tc>
      </w:tr>
      <w:tr w14:paraId="50882572"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07F98350" w14:textId="77777777">
            <w:pPr>
              <w:widowControl w:val="0"/>
              <w:ind w:left="0" w:right="0"/>
              <w:rPr>
                <w:rFonts w:ascii="Calibri" w:eastAsia="Calibri" w:hAnsi="Calibri" w:cs="Calibri"/>
                <w:color w:val="000000"/>
              </w:rPr>
            </w:pPr>
            <w:r>
              <w:rPr>
                <w:i/>
                <w:color w:val="000000"/>
              </w:rPr>
              <w:t>13m Full Performance Antenna (FPA)</w:t>
            </w:r>
          </w:p>
        </w:tc>
        <w:tc>
          <w:tcPr>
            <w:tcW w:w="2862"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0A2F381B" w14:textId="77777777">
            <w:pPr>
              <w:widowControl w:val="0"/>
              <w:ind w:left="0" w:right="0"/>
              <w:rPr>
                <w:rFonts w:ascii="Calibri" w:eastAsia="Calibri" w:hAnsi="Calibri" w:cs="Calibri"/>
                <w:color w:val="000000"/>
              </w:rPr>
            </w:pPr>
          </w:p>
        </w:tc>
      </w:tr>
      <w:tr w14:paraId="4788EE59"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21164C0" w14:textId="77777777">
            <w:pPr>
              <w:widowControl w:val="0"/>
              <w:ind w:left="0" w:right="0"/>
              <w:rPr>
                <w:rFonts w:ascii="Calibri" w:eastAsia="Calibri" w:hAnsi="Calibri" w:cs="Calibri"/>
                <w:color w:val="000000"/>
              </w:rPr>
            </w:pPr>
            <w:r>
              <w:rPr>
                <w:color w:val="000000"/>
              </w:rPr>
              <w:t>13m FPA</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052E787" w14:textId="77777777">
            <w:pPr>
              <w:widowControl w:val="0"/>
              <w:ind w:left="0" w:right="0"/>
              <w:jc w:val="center"/>
              <w:rPr>
                <w:rFonts w:ascii="Calibri" w:eastAsia="Calibri" w:hAnsi="Calibri" w:cs="Calibri"/>
                <w:color w:val="000000"/>
              </w:rPr>
            </w:pPr>
            <w:r>
              <w:rPr>
                <w:color w:val="000000"/>
              </w:rPr>
              <w:t>2,900,000 – 3,100,000</w:t>
            </w:r>
          </w:p>
        </w:tc>
      </w:tr>
      <w:tr w14:paraId="3F477BA4"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B2CB109" w14:textId="77777777">
            <w:pPr>
              <w:widowControl w:val="0"/>
              <w:ind w:left="0" w:right="0"/>
              <w:rPr>
                <w:rFonts w:ascii="Calibri" w:eastAsia="Calibri" w:hAnsi="Calibri" w:cs="Calibri"/>
                <w:color w:val="000000"/>
              </w:rPr>
            </w:pPr>
            <w:r>
              <w:rPr>
                <w:color w:val="000000"/>
              </w:rPr>
              <w:t>13m FPA Installation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C9084E8" w14:textId="77777777">
            <w:pPr>
              <w:widowControl w:val="0"/>
              <w:ind w:left="0" w:right="0"/>
              <w:jc w:val="center"/>
              <w:rPr>
                <w:rFonts w:ascii="Calibri" w:eastAsia="Calibri" w:hAnsi="Calibri" w:cs="Calibri"/>
                <w:color w:val="000000"/>
              </w:rPr>
            </w:pPr>
            <w:r>
              <w:rPr>
                <w:color w:val="000000"/>
              </w:rPr>
              <w:t>450,000 – 600,000</w:t>
            </w:r>
          </w:p>
        </w:tc>
      </w:tr>
      <w:tr w14:paraId="02DA5161"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45F27BB" w14:textId="77777777">
            <w:pPr>
              <w:widowControl w:val="0"/>
              <w:ind w:left="0" w:right="0"/>
              <w:rPr>
                <w:rFonts w:ascii="Calibri" w:eastAsia="Calibri" w:hAnsi="Calibri" w:cs="Calibri"/>
                <w:color w:val="000000"/>
              </w:rPr>
            </w:pPr>
            <w:r>
              <w:rPr>
                <w:color w:val="000000"/>
              </w:rPr>
              <w:t>13m FPA System Integration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1841304" w14:textId="17610BC2">
            <w:pPr>
              <w:widowControl w:val="0"/>
              <w:ind w:left="0" w:right="0"/>
              <w:jc w:val="center"/>
              <w:rPr>
                <w:rFonts w:ascii="Calibri" w:eastAsia="Calibri" w:hAnsi="Calibri" w:cs="Calibri"/>
                <w:color w:val="000000"/>
              </w:rPr>
            </w:pPr>
            <w:r>
              <w:rPr>
                <w:color w:val="000000"/>
              </w:rPr>
              <w:t xml:space="preserve">250,000 </w:t>
            </w:r>
            <w:r w:rsidR="00D07946">
              <w:rPr>
                <w:color w:val="000000"/>
              </w:rPr>
              <w:t>–</w:t>
            </w:r>
            <w:r>
              <w:rPr>
                <w:color w:val="000000"/>
              </w:rPr>
              <w:t xml:space="preserve"> 300,000</w:t>
            </w:r>
          </w:p>
        </w:tc>
      </w:tr>
      <w:tr w14:paraId="625365ED"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0C70B050" w14:textId="77777777">
            <w:pPr>
              <w:widowControl w:val="0"/>
              <w:ind w:left="0" w:right="0"/>
              <w:rPr>
                <w:rFonts w:ascii="Calibri" w:eastAsia="Calibri" w:hAnsi="Calibri" w:cs="Calibri"/>
                <w:color w:val="000000"/>
              </w:rPr>
            </w:pPr>
            <w:r>
              <w:rPr>
                <w:i/>
                <w:color w:val="000000"/>
              </w:rPr>
              <w:t>Supporting Equipment</w:t>
            </w:r>
          </w:p>
        </w:tc>
        <w:tc>
          <w:tcPr>
            <w:tcW w:w="2862" w:type="dxa"/>
            <w:tcBorders>
              <w:top w:val="single" w:sz="6" w:space="0" w:color="CCCCCC"/>
              <w:left w:val="single" w:sz="6" w:space="0" w:color="CCCCCC"/>
              <w:bottom w:val="single" w:sz="6" w:space="0" w:color="000000"/>
              <w:right w:val="single" w:sz="6" w:space="0" w:color="000000"/>
            </w:tcBorders>
            <w:shd w:val="clear" w:color="auto" w:fill="F3F3F3"/>
            <w:tcMar>
              <w:top w:w="0" w:type="dxa"/>
              <w:left w:w="40" w:type="dxa"/>
              <w:bottom w:w="0" w:type="dxa"/>
              <w:right w:w="40" w:type="dxa"/>
            </w:tcMar>
            <w:vAlign w:val="bottom"/>
          </w:tcPr>
          <w:p w:rsidR="006F3BB7" w14:paraId="5A2897C6" w14:textId="77777777">
            <w:pPr>
              <w:widowControl w:val="0"/>
              <w:ind w:left="0" w:right="0"/>
              <w:rPr>
                <w:rFonts w:ascii="Calibri" w:eastAsia="Calibri" w:hAnsi="Calibri" w:cs="Calibri"/>
                <w:color w:val="000000"/>
              </w:rPr>
            </w:pPr>
          </w:p>
        </w:tc>
      </w:tr>
      <w:tr w14:paraId="4D94B3B4"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47A324E" w14:textId="77777777">
            <w:pPr>
              <w:widowControl w:val="0"/>
              <w:ind w:left="0" w:right="0"/>
              <w:rPr>
                <w:rFonts w:ascii="Calibri" w:eastAsia="Calibri" w:hAnsi="Calibri" w:cs="Calibri"/>
                <w:color w:val="000000"/>
              </w:rPr>
            </w:pPr>
            <w:r>
              <w:rPr>
                <w:color w:val="000000"/>
              </w:rPr>
              <w:t>Network Routers</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EE8A1D1" w14:textId="77777777">
            <w:pPr>
              <w:widowControl w:val="0"/>
              <w:ind w:left="0" w:right="0"/>
              <w:jc w:val="center"/>
              <w:rPr>
                <w:rFonts w:ascii="Calibri" w:eastAsia="Calibri" w:hAnsi="Calibri" w:cs="Calibri"/>
                <w:color w:val="000000"/>
              </w:rPr>
            </w:pPr>
            <w:r>
              <w:rPr>
                <w:color w:val="000000"/>
              </w:rPr>
              <w:t>55,000 – 200,000</w:t>
            </w:r>
          </w:p>
        </w:tc>
      </w:tr>
      <w:tr w14:paraId="28FF6509" w14:textId="77777777" w:rsidTr="00C75185">
        <w:tblPrEx>
          <w:tblW w:w="9900" w:type="dxa"/>
          <w:tblInd w:w="352" w:type="dxa"/>
          <w:tblLayout w:type="fixed"/>
          <w:tblCellMar>
            <w:top w:w="100" w:type="dxa"/>
            <w:left w:w="100" w:type="dxa"/>
            <w:bottom w:w="100" w:type="dxa"/>
            <w:right w:w="100" w:type="dxa"/>
          </w:tblCellMar>
          <w:tblLook w:val="0600"/>
        </w:tblPrEx>
        <w:trPr>
          <w:trHeight w:val="300"/>
        </w:trPr>
        <w:tc>
          <w:tcPr>
            <w:tcW w:w="703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CBEE5FE" w14:textId="77777777">
            <w:pPr>
              <w:widowControl w:val="0"/>
              <w:ind w:left="0" w:right="0"/>
              <w:rPr>
                <w:rFonts w:ascii="Calibri" w:eastAsia="Calibri" w:hAnsi="Calibri" w:cs="Calibri"/>
                <w:color w:val="000000"/>
              </w:rPr>
            </w:pPr>
            <w:r>
              <w:rPr>
                <w:color w:val="000000"/>
              </w:rPr>
              <w:t>Program Management for Antenna Installation</w:t>
            </w:r>
          </w:p>
        </w:tc>
        <w:tc>
          <w:tcPr>
            <w:tcW w:w="286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28A26CE" w14:textId="77777777">
            <w:pPr>
              <w:widowControl w:val="0"/>
              <w:ind w:left="0" w:right="0"/>
              <w:jc w:val="center"/>
              <w:rPr>
                <w:rFonts w:ascii="Calibri" w:eastAsia="Calibri" w:hAnsi="Calibri" w:cs="Calibri"/>
                <w:color w:val="000000"/>
              </w:rPr>
            </w:pPr>
            <w:r>
              <w:rPr>
                <w:color w:val="000000"/>
              </w:rPr>
              <w:t>60,000 – 210,000</w:t>
            </w:r>
          </w:p>
        </w:tc>
      </w:tr>
    </w:tbl>
    <w:p w:rsidR="0079425C" w:rsidRPr="0079425C" w:rsidP="0079425C" w14:paraId="39485FA9" w14:textId="77777777"/>
    <w:p w:rsidR="006F3BB7" w14:paraId="1F764ACD" w14:textId="04906A32">
      <w:pPr>
        <w:pStyle w:val="Heading2"/>
        <w:numPr>
          <w:ilvl w:val="0"/>
          <w:numId w:val="3"/>
        </w:numPr>
      </w:pPr>
      <w:bookmarkStart w:id="24" w:name="_Toc38633294"/>
      <w:r>
        <w:t>TT&amp;C Consolidation Costs</w:t>
      </w:r>
      <w:bookmarkEnd w:id="24"/>
      <w:r>
        <w:t xml:space="preserve"> </w:t>
      </w:r>
    </w:p>
    <w:p w:rsidR="006F3BB7" w14:paraId="182059F1" w14:textId="777CF334">
      <w:pPr>
        <w:ind w:left="540"/>
      </w:pPr>
      <w:r>
        <w:t xml:space="preserve">The following table outlines the </w:t>
      </w:r>
      <w:r w:rsidR="00651180">
        <w:t>estimated</w:t>
      </w:r>
      <w:r>
        <w:t xml:space="preserve"> costs associated with consolidating the TT&amp;C sites.</w:t>
      </w:r>
    </w:p>
    <w:p w:rsidR="006F3BB7" w14:paraId="2C272042" w14:textId="77777777">
      <w:pPr>
        <w:ind w:left="0"/>
      </w:pPr>
    </w:p>
    <w:tbl>
      <w:tblPr>
        <w:tblW w:w="10098"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930"/>
        <w:gridCol w:w="3168"/>
      </w:tblGrid>
      <w:tr w14:paraId="7677521F" w14:textId="77777777" w:rsidTr="00C75185">
        <w:tblPrEx>
          <w:tblW w:w="10098"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180"/>
        </w:trPr>
        <w:tc>
          <w:tcPr>
            <w:tcW w:w="6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40D562C" w14:textId="77777777">
            <w:pPr>
              <w:widowControl w:val="0"/>
              <w:ind w:left="0" w:right="0"/>
              <w:jc w:val="center"/>
              <w:rPr>
                <w:rFonts w:ascii="Calibri" w:eastAsia="Calibri" w:hAnsi="Calibri" w:cs="Calibri"/>
                <w:color w:val="000000"/>
              </w:rPr>
            </w:pPr>
            <w:r>
              <w:rPr>
                <w:color w:val="0072C6"/>
              </w:rPr>
              <w:t>Table III-C-1: Consolidation of TT&amp;C</w:t>
            </w:r>
          </w:p>
        </w:tc>
        <w:tc>
          <w:tcPr>
            <w:tcW w:w="316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EAFB9CA" w14:textId="77777777">
            <w:pPr>
              <w:widowControl w:val="0"/>
              <w:ind w:left="0" w:right="0"/>
              <w:jc w:val="center"/>
              <w:rPr>
                <w:rFonts w:ascii="Calibri" w:eastAsia="Calibri" w:hAnsi="Calibri" w:cs="Calibri"/>
                <w:color w:val="000000"/>
              </w:rPr>
            </w:pPr>
            <w:r>
              <w:rPr>
                <w:color w:val="0072C6"/>
              </w:rPr>
              <w:t>Range of Estimated Cost ($)</w:t>
            </w:r>
          </w:p>
        </w:tc>
      </w:tr>
      <w:tr w14:paraId="1AF662C8"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A966400" w14:textId="0CF6E522">
            <w:pPr>
              <w:widowControl w:val="0"/>
              <w:ind w:left="0" w:right="0"/>
              <w:rPr>
                <w:rFonts w:ascii="Calibri" w:eastAsia="Calibri" w:hAnsi="Calibri" w:cs="Calibri"/>
                <w:color w:val="000000"/>
              </w:rPr>
            </w:pPr>
            <w:r>
              <w:rPr>
                <w:color w:val="000000"/>
              </w:rPr>
              <w:t xml:space="preserve">13m </w:t>
            </w:r>
            <w:r w:rsidR="00FC143B">
              <w:rPr>
                <w:color w:val="000000"/>
              </w:rPr>
              <w:t>A</w:t>
            </w:r>
            <w:r>
              <w:rPr>
                <w:color w:val="000000"/>
              </w:rPr>
              <w:t xml:space="preserve">ntenna </w:t>
            </w:r>
            <w:r w:rsidR="00FC143B">
              <w:rPr>
                <w:color w:val="000000"/>
              </w:rPr>
              <w:t>S</w:t>
            </w:r>
            <w:r>
              <w:rPr>
                <w:color w:val="000000"/>
              </w:rPr>
              <w:t xml:space="preserve">ystem (full motion, calibrated) - </w:t>
            </w:r>
            <w:r w:rsidR="00FC143B">
              <w:rPr>
                <w:color w:val="000000"/>
              </w:rPr>
              <w:t>S</w:t>
            </w:r>
            <w:r>
              <w:rPr>
                <w:color w:val="000000"/>
              </w:rPr>
              <w:t xml:space="preserve">ingle </w:t>
            </w:r>
            <w:r w:rsidR="00FC143B">
              <w:rPr>
                <w:color w:val="000000"/>
              </w:rPr>
              <w:t>A</w:t>
            </w:r>
            <w:r>
              <w:rPr>
                <w:color w:val="000000"/>
              </w:rPr>
              <w:t>ntenna</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6872DD7" w14:textId="77777777">
            <w:pPr>
              <w:widowControl w:val="0"/>
              <w:ind w:left="0" w:right="0"/>
              <w:jc w:val="center"/>
              <w:rPr>
                <w:rFonts w:ascii="Calibri" w:eastAsia="Calibri" w:hAnsi="Calibri" w:cs="Calibri"/>
                <w:color w:val="000000"/>
              </w:rPr>
            </w:pPr>
            <w:r>
              <w:rPr>
                <w:color w:val="000000"/>
              </w:rPr>
              <w:t>1.5M – 2M</w:t>
            </w:r>
          </w:p>
        </w:tc>
      </w:tr>
      <w:tr w14:paraId="76823C39"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93845AE" w14:textId="227341CF">
            <w:pPr>
              <w:widowControl w:val="0"/>
              <w:ind w:left="0" w:right="0"/>
              <w:rPr>
                <w:rFonts w:ascii="Calibri" w:eastAsia="Calibri" w:hAnsi="Calibri" w:cs="Calibri"/>
                <w:color w:val="000000"/>
              </w:rPr>
            </w:pPr>
            <w:r>
              <w:rPr>
                <w:color w:val="000000"/>
              </w:rPr>
              <w:t xml:space="preserve">Antenna </w:t>
            </w:r>
            <w:r w:rsidR="00FC143B">
              <w:rPr>
                <w:color w:val="000000"/>
              </w:rPr>
              <w:t>I</w:t>
            </w:r>
            <w:r>
              <w:rPr>
                <w:color w:val="000000"/>
              </w:rPr>
              <w:t xml:space="preserve">nstallation - </w:t>
            </w:r>
            <w:r w:rsidR="00FC143B">
              <w:rPr>
                <w:color w:val="000000"/>
              </w:rPr>
              <w:t>S</w:t>
            </w:r>
            <w:r>
              <w:rPr>
                <w:color w:val="000000"/>
              </w:rPr>
              <w:t xml:space="preserve">ingle </w:t>
            </w:r>
            <w:r w:rsidR="00FC143B">
              <w:rPr>
                <w:color w:val="000000"/>
              </w:rPr>
              <w:t>A</w:t>
            </w:r>
            <w:r>
              <w:rPr>
                <w:color w:val="000000"/>
              </w:rPr>
              <w:t>ntenna</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ED618CC" w14:textId="77777777">
            <w:pPr>
              <w:widowControl w:val="0"/>
              <w:ind w:left="0" w:right="0"/>
              <w:jc w:val="center"/>
              <w:rPr>
                <w:rFonts w:ascii="Calibri" w:eastAsia="Calibri" w:hAnsi="Calibri" w:cs="Calibri"/>
                <w:color w:val="000000"/>
              </w:rPr>
            </w:pPr>
            <w:r>
              <w:rPr>
                <w:color w:val="000000"/>
              </w:rPr>
              <w:t>600,000 – 733,000</w:t>
            </w:r>
          </w:p>
        </w:tc>
      </w:tr>
      <w:tr w14:paraId="72F592E0"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D4D491E" w14:textId="77777777">
            <w:pPr>
              <w:widowControl w:val="0"/>
              <w:ind w:left="0" w:right="0"/>
              <w:rPr>
                <w:rFonts w:ascii="Calibri" w:eastAsia="Calibri" w:hAnsi="Calibri" w:cs="Calibri"/>
                <w:color w:val="000000"/>
              </w:rPr>
            </w:pPr>
            <w:r>
              <w:rPr>
                <w:color w:val="000000"/>
              </w:rPr>
              <w:t>Timing System</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8FB1231" w14:textId="77777777">
            <w:pPr>
              <w:widowControl w:val="0"/>
              <w:ind w:left="0" w:right="0"/>
              <w:jc w:val="center"/>
              <w:rPr>
                <w:rFonts w:ascii="Calibri" w:eastAsia="Calibri" w:hAnsi="Calibri" w:cs="Calibri"/>
                <w:color w:val="000000"/>
              </w:rPr>
            </w:pPr>
            <w:r>
              <w:rPr>
                <w:color w:val="000000"/>
              </w:rPr>
              <w:t>36,000 – 105,000</w:t>
            </w:r>
          </w:p>
        </w:tc>
      </w:tr>
      <w:tr w14:paraId="6599573D"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2109A9A" w14:textId="77777777">
            <w:pPr>
              <w:widowControl w:val="0"/>
              <w:ind w:left="0" w:right="0"/>
              <w:rPr>
                <w:rFonts w:ascii="Calibri" w:eastAsia="Calibri" w:hAnsi="Calibri" w:cs="Calibri"/>
                <w:color w:val="000000"/>
              </w:rPr>
            </w:pPr>
            <w:r>
              <w:rPr>
                <w:color w:val="000000"/>
              </w:rPr>
              <w:t>Baseband Unit</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207F044" w14:textId="77777777">
            <w:pPr>
              <w:widowControl w:val="0"/>
              <w:ind w:left="0" w:right="0"/>
              <w:jc w:val="center"/>
              <w:rPr>
                <w:rFonts w:ascii="Calibri" w:eastAsia="Calibri" w:hAnsi="Calibri" w:cs="Calibri"/>
                <w:color w:val="000000"/>
              </w:rPr>
            </w:pPr>
            <w:r>
              <w:rPr>
                <w:color w:val="000000"/>
              </w:rPr>
              <w:t>100,000 – 600,000</w:t>
            </w:r>
          </w:p>
        </w:tc>
      </w:tr>
      <w:tr w14:paraId="3BA4F5FA"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6B4A6A3" w14:textId="77777777">
            <w:pPr>
              <w:widowControl w:val="0"/>
              <w:ind w:left="0" w:right="0"/>
              <w:rPr>
                <w:rFonts w:ascii="Calibri" w:eastAsia="Calibri" w:hAnsi="Calibri" w:cs="Calibri"/>
                <w:color w:val="000000"/>
              </w:rPr>
            </w:pPr>
            <w:r>
              <w:rPr>
                <w:color w:val="000000"/>
              </w:rPr>
              <w:t>Test Loop Translator</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B698F23" w14:textId="77777777">
            <w:pPr>
              <w:widowControl w:val="0"/>
              <w:ind w:left="0" w:right="0"/>
              <w:jc w:val="center"/>
              <w:rPr>
                <w:rFonts w:ascii="Calibri" w:eastAsia="Calibri" w:hAnsi="Calibri" w:cs="Calibri"/>
                <w:color w:val="000000"/>
              </w:rPr>
            </w:pPr>
            <w:r>
              <w:rPr>
                <w:color w:val="000000"/>
              </w:rPr>
              <w:t>25,000 – 75,000</w:t>
            </w:r>
          </w:p>
        </w:tc>
      </w:tr>
      <w:tr w14:paraId="699D2AFA"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27D3D81" w14:textId="1D00C9A6">
            <w:pPr>
              <w:widowControl w:val="0"/>
              <w:ind w:left="0" w:right="0"/>
              <w:rPr>
                <w:rFonts w:ascii="Calibri" w:eastAsia="Calibri" w:hAnsi="Calibri" w:cs="Calibri"/>
                <w:color w:val="000000"/>
              </w:rPr>
            </w:pPr>
            <w:bookmarkStart w:id="25" w:name="_Hlk38530865"/>
            <w:r>
              <w:rPr>
                <w:color w:val="000000"/>
              </w:rPr>
              <w:t>Digital Interfacility Link to existing teleports for translation to baseband</w:t>
            </w:r>
            <w:bookmarkEnd w:id="25"/>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9AD54DB" w14:textId="77777777">
            <w:pPr>
              <w:widowControl w:val="0"/>
              <w:ind w:left="0" w:right="0"/>
              <w:jc w:val="center"/>
              <w:rPr>
                <w:rFonts w:ascii="Calibri" w:eastAsia="Calibri" w:hAnsi="Calibri" w:cs="Calibri"/>
                <w:color w:val="000000"/>
              </w:rPr>
            </w:pPr>
            <w:r>
              <w:rPr>
                <w:color w:val="000000"/>
              </w:rPr>
              <w:t>700,000 – 800,000</w:t>
            </w:r>
          </w:p>
        </w:tc>
      </w:tr>
      <w:tr w14:paraId="49C25CA1"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D86955B" w14:textId="77777777">
            <w:pPr>
              <w:widowControl w:val="0"/>
              <w:ind w:left="0" w:right="0"/>
              <w:rPr>
                <w:rFonts w:ascii="Calibri" w:eastAsia="Calibri" w:hAnsi="Calibri" w:cs="Calibri"/>
                <w:color w:val="000000"/>
              </w:rPr>
            </w:pPr>
            <w:r>
              <w:rPr>
                <w:color w:val="000000"/>
              </w:rPr>
              <w:t>Land/Facility Acquisition</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F1CAA69" w14:textId="77777777">
            <w:pPr>
              <w:widowControl w:val="0"/>
              <w:ind w:left="0" w:right="0"/>
              <w:jc w:val="center"/>
              <w:rPr>
                <w:rFonts w:ascii="Calibri" w:eastAsia="Calibri" w:hAnsi="Calibri" w:cs="Calibri"/>
                <w:color w:val="000000"/>
              </w:rPr>
            </w:pPr>
            <w:r>
              <w:rPr>
                <w:color w:val="000000"/>
              </w:rPr>
              <w:t>500,000 – 2.5M</w:t>
            </w:r>
          </w:p>
        </w:tc>
      </w:tr>
      <w:tr w14:paraId="3CE54018"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0686833" w14:textId="77777777">
            <w:pPr>
              <w:widowControl w:val="0"/>
              <w:ind w:left="0" w:right="0"/>
              <w:rPr>
                <w:rFonts w:ascii="Calibri" w:eastAsia="Calibri" w:hAnsi="Calibri" w:cs="Calibri"/>
                <w:color w:val="000000"/>
              </w:rPr>
            </w:pPr>
            <w:r>
              <w:rPr>
                <w:color w:val="000000"/>
              </w:rPr>
              <w:t>Site Infrastructure Buildout</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07252F5" w14:textId="77777777">
            <w:pPr>
              <w:widowControl w:val="0"/>
              <w:ind w:left="0" w:right="0"/>
              <w:jc w:val="center"/>
              <w:rPr>
                <w:rFonts w:ascii="Calibri" w:eastAsia="Calibri" w:hAnsi="Calibri" w:cs="Calibri"/>
                <w:color w:val="000000"/>
              </w:rPr>
            </w:pPr>
            <w:r>
              <w:rPr>
                <w:color w:val="000000"/>
              </w:rPr>
              <w:t>75,000 – 250,000</w:t>
            </w:r>
          </w:p>
        </w:tc>
      </w:tr>
    </w:tbl>
    <w:p w:rsidR="006F3BB7" w14:paraId="41D8B050" w14:textId="77777777"/>
    <w:p w:rsidR="006F3BB7" w14:paraId="30F0B8F7" w14:textId="77777777">
      <w:pPr>
        <w:pStyle w:val="Heading2"/>
        <w:numPr>
          <w:ilvl w:val="0"/>
          <w:numId w:val="3"/>
        </w:numPr>
      </w:pPr>
      <w:bookmarkStart w:id="26" w:name="_Toc38633295"/>
      <w:r>
        <w:t>Expected Total Costs - Earth Station</w:t>
      </w:r>
      <w:bookmarkEnd w:id="26"/>
    </w:p>
    <w:p w:rsidR="006F3BB7" w14:paraId="1DF4B5A6" w14:textId="6AB2A9FA">
      <w:pPr>
        <w:spacing w:before="240" w:after="240"/>
        <w:rPr>
          <w:sz w:val="2"/>
          <w:szCs w:val="2"/>
        </w:rPr>
      </w:pPr>
      <w:r>
        <w:t xml:space="preserve">While it is not the case for all entities, some entities may have to replace an entire installation either due to a need to relocate an installation or because the system is too old or incompatible with a simpler upgrade. </w:t>
      </w:r>
      <w:r w:rsidR="002A30FF">
        <w:t xml:space="preserve"> </w:t>
      </w:r>
      <w:r>
        <w:t>Maximum costs are based on like-for-like replacements.  An overall rollup range is provided and supporting information is provided above.</w:t>
      </w:r>
    </w:p>
    <w:tbl>
      <w:tblPr>
        <w:tblW w:w="10065"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882"/>
        <w:gridCol w:w="3183"/>
      </w:tblGrid>
      <w:tr w14:paraId="1C7127A8" w14:textId="77777777" w:rsidTr="00C75185">
        <w:tblPrEx>
          <w:tblW w:w="10065" w:type="dxa"/>
          <w:tblInd w:w="4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27"/>
        </w:trPr>
        <w:tc>
          <w:tcPr>
            <w:tcW w:w="68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4FE95395" w14:textId="77777777">
            <w:pPr>
              <w:widowControl w:val="0"/>
              <w:ind w:left="0" w:right="0"/>
              <w:jc w:val="center"/>
              <w:rPr>
                <w:rFonts w:ascii="Calibri" w:eastAsia="Calibri" w:hAnsi="Calibri" w:cs="Calibri"/>
                <w:color w:val="000000"/>
              </w:rPr>
            </w:pPr>
            <w:r>
              <w:rPr>
                <w:color w:val="0072C6"/>
              </w:rPr>
              <w:t>Table III-D-1: Expected Total Costs for Earth Stations</w:t>
            </w:r>
          </w:p>
        </w:tc>
        <w:tc>
          <w:tcPr>
            <w:tcW w:w="31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5385066" w14:textId="77777777">
            <w:pPr>
              <w:widowControl w:val="0"/>
              <w:ind w:left="0" w:right="0"/>
              <w:jc w:val="center"/>
              <w:rPr>
                <w:rFonts w:ascii="Calibri" w:eastAsia="Calibri" w:hAnsi="Calibri" w:cs="Calibri"/>
                <w:color w:val="000000"/>
              </w:rPr>
            </w:pPr>
            <w:r>
              <w:rPr>
                <w:color w:val="0072C6"/>
              </w:rPr>
              <w:t>Range of Estimated Cost ($)</w:t>
            </w:r>
          </w:p>
        </w:tc>
      </w:tr>
      <w:tr w14:paraId="142E23A9"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rsidRPr="00DC1064" w14:paraId="3C0B2043" w14:textId="77777777">
            <w:pPr>
              <w:widowControl w:val="0"/>
              <w:ind w:left="0" w:right="0"/>
              <w:rPr>
                <w:rFonts w:ascii="Calibri" w:eastAsia="Calibri" w:hAnsi="Calibri" w:cs="Calibri"/>
                <w:color w:val="auto"/>
              </w:rPr>
            </w:pPr>
            <w:r w:rsidRPr="00DC1064">
              <w:rPr>
                <w:color w:val="auto"/>
              </w:rPr>
              <w:t>Receive Only Earth Station Relocation Cost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11E18814" w14:textId="77777777">
            <w:pPr>
              <w:widowControl w:val="0"/>
              <w:ind w:left="0" w:right="0"/>
              <w:jc w:val="center"/>
              <w:rPr>
                <w:rFonts w:ascii="Calibri" w:eastAsia="Calibri" w:hAnsi="Calibri" w:cs="Calibri"/>
                <w:color w:val="000000"/>
              </w:rPr>
            </w:pPr>
            <w:r>
              <w:rPr>
                <w:color w:val="000000"/>
              </w:rPr>
              <w:t>39,000 – 80,000</w:t>
            </w:r>
          </w:p>
        </w:tc>
      </w:tr>
      <w:tr w14:paraId="3B0B7971"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rsidRPr="00DC1064" w14:paraId="491ACD4E" w14:textId="77777777">
            <w:pPr>
              <w:widowControl w:val="0"/>
              <w:ind w:left="0" w:right="0"/>
              <w:rPr>
                <w:rFonts w:ascii="Calibri" w:eastAsia="Calibri" w:hAnsi="Calibri" w:cs="Calibri"/>
                <w:color w:val="auto"/>
              </w:rPr>
            </w:pPr>
            <w:r w:rsidRPr="00DC1064">
              <w:rPr>
                <w:color w:val="auto"/>
              </w:rPr>
              <w:t>Receive Only Multi-beam Earth Station Relocation Cost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24430B0B" w14:textId="77777777">
            <w:pPr>
              <w:widowControl w:val="0"/>
              <w:ind w:left="0" w:right="0"/>
              <w:jc w:val="center"/>
              <w:rPr>
                <w:rFonts w:ascii="Calibri" w:eastAsia="Calibri" w:hAnsi="Calibri" w:cs="Calibri"/>
                <w:color w:val="000000"/>
              </w:rPr>
            </w:pPr>
            <w:r>
              <w:rPr>
                <w:color w:val="000000"/>
              </w:rPr>
              <w:t>180,000 – 590,000</w:t>
            </w:r>
          </w:p>
        </w:tc>
      </w:tr>
      <w:tr w14:paraId="1D69572F"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rsidRPr="00DC1064" w14:paraId="423EB2BA" w14:textId="77777777">
            <w:pPr>
              <w:widowControl w:val="0"/>
              <w:ind w:left="0" w:right="0"/>
              <w:rPr>
                <w:rFonts w:ascii="Calibri" w:eastAsia="Calibri" w:hAnsi="Calibri" w:cs="Calibri"/>
                <w:color w:val="auto"/>
              </w:rPr>
            </w:pPr>
            <w:r w:rsidRPr="00DC1064">
              <w:rPr>
                <w:color w:val="auto"/>
              </w:rPr>
              <w:t>Bi-directional Earth Station Relocation Cost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7A5B58C4" w14:textId="77777777">
            <w:pPr>
              <w:widowControl w:val="0"/>
              <w:ind w:left="0" w:right="0"/>
              <w:jc w:val="center"/>
              <w:rPr>
                <w:rFonts w:ascii="Calibri" w:eastAsia="Calibri" w:hAnsi="Calibri" w:cs="Calibri"/>
                <w:color w:val="000000"/>
              </w:rPr>
            </w:pPr>
            <w:r>
              <w:rPr>
                <w:color w:val="000000"/>
              </w:rPr>
              <w:t>200,000 – 1.6M</w:t>
            </w:r>
          </w:p>
        </w:tc>
      </w:tr>
      <w:tr w14:paraId="1658402D"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rsidRPr="00DC1064" w14:paraId="6D4262D7" w14:textId="77777777">
            <w:pPr>
              <w:widowControl w:val="0"/>
              <w:ind w:left="0" w:right="0"/>
              <w:rPr>
                <w:rFonts w:ascii="Calibri" w:eastAsia="Calibri" w:hAnsi="Calibri" w:cs="Calibri"/>
                <w:color w:val="auto"/>
              </w:rPr>
            </w:pPr>
            <w:r w:rsidRPr="00DC1064">
              <w:rPr>
                <w:color w:val="auto"/>
              </w:rPr>
              <w:t>Temporary Fixed Earth Station Relocation Cost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26D6B7DC" w14:textId="77777777">
            <w:pPr>
              <w:widowControl w:val="0"/>
              <w:ind w:left="0" w:right="0"/>
              <w:jc w:val="center"/>
              <w:rPr>
                <w:rFonts w:ascii="Calibri" w:eastAsia="Calibri" w:hAnsi="Calibri" w:cs="Calibri"/>
                <w:color w:val="000000"/>
              </w:rPr>
            </w:pPr>
            <w:r>
              <w:rPr>
                <w:color w:val="000000"/>
              </w:rPr>
              <w:t>150,000 – 310,000</w:t>
            </w:r>
          </w:p>
        </w:tc>
      </w:tr>
      <w:tr w14:paraId="00837159"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rsidRPr="00DC1064" w14:paraId="52A2BC3D" w14:textId="77777777">
            <w:pPr>
              <w:widowControl w:val="0"/>
              <w:ind w:left="0" w:right="0"/>
              <w:rPr>
                <w:rFonts w:ascii="Calibri" w:eastAsia="Calibri" w:hAnsi="Calibri" w:cs="Calibri"/>
                <w:color w:val="auto"/>
              </w:rPr>
            </w:pPr>
            <w:r w:rsidRPr="00DC1064">
              <w:rPr>
                <w:color w:val="auto"/>
              </w:rPr>
              <w:t>Gateway System Relocation Cost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481C4B59" w14:textId="77777777">
            <w:pPr>
              <w:widowControl w:val="0"/>
              <w:ind w:left="0" w:right="0"/>
              <w:jc w:val="center"/>
              <w:rPr>
                <w:rFonts w:ascii="Calibri" w:eastAsia="Calibri" w:hAnsi="Calibri" w:cs="Calibri"/>
                <w:color w:val="000000"/>
              </w:rPr>
            </w:pPr>
            <w:r w:rsidRPr="00DC1064">
              <w:rPr>
                <w:color w:val="auto"/>
              </w:rPr>
              <w:t>2.1M – 4.5M</w:t>
            </w:r>
          </w:p>
        </w:tc>
      </w:tr>
      <w:tr w14:paraId="1881E8CE"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4DA018E8" w14:textId="77777777">
            <w:pPr>
              <w:widowControl w:val="0"/>
              <w:ind w:left="0" w:right="0"/>
              <w:rPr>
                <w:rFonts w:ascii="Calibri" w:eastAsia="Calibri" w:hAnsi="Calibri" w:cs="Calibri"/>
                <w:color w:val="000000"/>
              </w:rPr>
            </w:pPr>
            <w:r>
              <w:rPr>
                <w:color w:val="000000"/>
              </w:rPr>
              <w:t>New Earth Station License Application and Coordination Report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11E85141" w14:textId="77777777">
            <w:pPr>
              <w:widowControl w:val="0"/>
              <w:ind w:left="0" w:right="0"/>
              <w:jc w:val="center"/>
              <w:rPr>
                <w:rFonts w:ascii="Calibri" w:eastAsia="Calibri" w:hAnsi="Calibri" w:cs="Calibri"/>
                <w:color w:val="000000"/>
              </w:rPr>
            </w:pPr>
            <w:r>
              <w:rPr>
                <w:color w:val="000000"/>
              </w:rPr>
              <w:t>5,000 – 8,000</w:t>
            </w:r>
          </w:p>
        </w:tc>
      </w:tr>
      <w:tr w14:paraId="3ECE570C" w14:textId="77777777" w:rsidTr="00C75185">
        <w:tblPrEx>
          <w:tblW w:w="10065" w:type="dxa"/>
          <w:tblInd w:w="400" w:type="dxa"/>
          <w:tblLayout w:type="fixed"/>
          <w:tblCellMar>
            <w:top w:w="100" w:type="dxa"/>
            <w:left w:w="100" w:type="dxa"/>
            <w:bottom w:w="100" w:type="dxa"/>
            <w:right w:w="100" w:type="dxa"/>
          </w:tblCellMar>
          <w:tblLook w:val="0600"/>
        </w:tblPrEx>
        <w:trPr>
          <w:trHeight w:val="300"/>
        </w:trPr>
        <w:tc>
          <w:tcPr>
            <w:tcW w:w="6882"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4ACCF789" w14:textId="77777777">
            <w:pPr>
              <w:widowControl w:val="0"/>
              <w:ind w:left="0" w:right="0"/>
              <w:rPr>
                <w:rFonts w:ascii="Calibri" w:eastAsia="Calibri" w:hAnsi="Calibri" w:cs="Calibri"/>
                <w:color w:val="000000"/>
              </w:rPr>
            </w:pPr>
            <w:r>
              <w:rPr>
                <w:color w:val="000000"/>
              </w:rPr>
              <w:t>Application to Modify Existing Earth Station License and Coordination Report</w:t>
            </w:r>
          </w:p>
        </w:tc>
        <w:tc>
          <w:tcPr>
            <w:tcW w:w="31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34410E4C" w14:textId="77777777">
            <w:pPr>
              <w:widowControl w:val="0"/>
              <w:ind w:left="0" w:right="0"/>
              <w:jc w:val="center"/>
              <w:rPr>
                <w:rFonts w:ascii="Calibri" w:eastAsia="Calibri" w:hAnsi="Calibri" w:cs="Calibri"/>
                <w:color w:val="000000"/>
              </w:rPr>
            </w:pPr>
            <w:r>
              <w:rPr>
                <w:color w:val="000000"/>
              </w:rPr>
              <w:t>3,000 – 4,000</w:t>
            </w:r>
          </w:p>
        </w:tc>
      </w:tr>
    </w:tbl>
    <w:p w:rsidR="006F3BB7" w14:paraId="0CEE2E3F" w14:textId="77777777">
      <w:pPr>
        <w:pStyle w:val="Heading2"/>
        <w:ind w:left="0" w:firstLine="0"/>
        <w:rPr>
          <w:sz w:val="2"/>
          <w:szCs w:val="2"/>
        </w:rPr>
      </w:pPr>
      <w:bookmarkStart w:id="27" w:name="_xjd64ny70mzt" w:colFirst="0" w:colLast="0"/>
      <w:bookmarkEnd w:id="27"/>
    </w:p>
    <w:p w:rsidR="006F3BB7" w14:paraId="2870D3EC" w14:textId="77777777">
      <w:pPr>
        <w:pStyle w:val="Heading2"/>
        <w:ind w:left="0" w:firstLine="0"/>
        <w:rPr>
          <w:sz w:val="2"/>
          <w:szCs w:val="2"/>
        </w:rPr>
      </w:pPr>
      <w:bookmarkStart w:id="28" w:name="_q2per9ycdte" w:colFirst="0" w:colLast="0"/>
      <w:bookmarkEnd w:id="28"/>
      <w:r>
        <w:br w:type="page"/>
      </w:r>
    </w:p>
    <w:p w:rsidR="006F3BB7" w14:paraId="0B7EBE95" w14:textId="48791A4F">
      <w:pPr>
        <w:pStyle w:val="Heading2"/>
        <w:numPr>
          <w:ilvl w:val="0"/>
          <w:numId w:val="3"/>
        </w:numPr>
      </w:pPr>
      <w:bookmarkStart w:id="29" w:name="_Toc38633296"/>
      <w:r>
        <w:t xml:space="preserve">Lump Sum Payment </w:t>
      </w:r>
      <w:r w:rsidR="00147573">
        <w:t>T</w:t>
      </w:r>
      <w:r>
        <w:t>ransition</w:t>
      </w:r>
      <w:bookmarkEnd w:id="29"/>
    </w:p>
    <w:p w:rsidR="006F3BB7" w14:paraId="1862164D" w14:textId="17DC264D">
      <w:r>
        <w:t>The Commission established the option for earth station operators to accept a lump sum amount “based on the average, estimated costs” of relocating their earth stations.</w:t>
      </w:r>
      <w:r>
        <w:rPr>
          <w:vertAlign w:val="superscript"/>
        </w:rPr>
        <w:footnoteReference w:id="7"/>
      </w:r>
      <w:r>
        <w:t xml:space="preserve">  This option allows operators to transition to the upper 200 megahertz themselves or to move to alternative technologies (e.g., fiber).  For each type of earth station outlined below (e.g., ranging from simple receive-only stations to gateway stations) the lump sum will include the estimated reasonable costs of any upgrades/modifications that the average earth station in that category would need to transition.  The Commission outlined that entities selecting this choice would get the average, estimated costs of relocating </w:t>
      </w:r>
      <w:r>
        <w:t>all of</w:t>
      </w:r>
      <w:r>
        <w:t xml:space="preserve"> the entity’s incumbent earth stations to the 4000-4200 MHz band, and would not be able to seek additional funds if the actual expenses to transition were more.</w:t>
      </w:r>
      <w:r>
        <w:rPr>
          <w:vertAlign w:val="superscript"/>
        </w:rPr>
        <w:footnoteReference w:id="8"/>
      </w:r>
      <w:r>
        <w:t xml:space="preserve">  </w:t>
      </w:r>
    </w:p>
    <w:p w:rsidR="006F3BB7" w14:paraId="05FE35FC" w14:textId="77777777">
      <w:pPr>
        <w:ind w:left="0" w:firstLine="360"/>
      </w:pPr>
      <w:r>
        <w:t xml:space="preserve"> </w:t>
      </w:r>
    </w:p>
    <w:tbl>
      <w:tblPr>
        <w:tblW w:w="10050" w:type="dxa"/>
        <w:tblInd w:w="38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7005"/>
        <w:gridCol w:w="3045"/>
      </w:tblGrid>
      <w:tr w14:paraId="059C5E0C" w14:textId="77777777">
        <w:tblPrEx>
          <w:tblW w:w="10050" w:type="dxa"/>
          <w:tblInd w:w="38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7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469A5E5" w14:textId="77777777">
            <w:pPr>
              <w:widowControl w:val="0"/>
              <w:ind w:left="0" w:right="0"/>
              <w:jc w:val="center"/>
              <w:rPr>
                <w:rFonts w:ascii="Calibri" w:eastAsia="Calibri" w:hAnsi="Calibri" w:cs="Calibri"/>
                <w:color w:val="000000"/>
              </w:rPr>
            </w:pPr>
            <w:r>
              <w:rPr>
                <w:color w:val="0072C6"/>
              </w:rPr>
              <w:t>Table III-E-1: Estimated Lump Sum Payments per Type of Earth Station</w:t>
            </w:r>
          </w:p>
        </w:tc>
        <w:tc>
          <w:tcPr>
            <w:tcW w:w="30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40DEF26" w14:textId="77777777">
            <w:pPr>
              <w:widowControl w:val="0"/>
              <w:ind w:left="0" w:right="0"/>
              <w:jc w:val="center"/>
              <w:rPr>
                <w:rFonts w:ascii="Calibri" w:eastAsia="Calibri" w:hAnsi="Calibri" w:cs="Calibri"/>
                <w:color w:val="000000"/>
              </w:rPr>
            </w:pPr>
            <w:r>
              <w:rPr>
                <w:color w:val="0072C6"/>
              </w:rPr>
              <w:t>Average Estimated Cost ($)</w:t>
            </w:r>
          </w:p>
        </w:tc>
      </w:tr>
      <w:tr w14:paraId="3FC87B33"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5AD0B2A6" w14:textId="77777777">
            <w:pPr>
              <w:widowControl w:val="0"/>
              <w:ind w:left="0" w:right="0"/>
              <w:rPr>
                <w:rFonts w:ascii="Calibri" w:eastAsia="Calibri" w:hAnsi="Calibri" w:cs="Calibri"/>
                <w:color w:val="000000"/>
              </w:rPr>
            </w:pPr>
            <w:r>
              <w:rPr>
                <w:color w:val="000000"/>
              </w:rPr>
              <w:t>Small Receive Only ES 3.7 -4.2 Meter Single-feed</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3625E4D" w14:textId="35CD6B55">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14115520"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092B3B75" w14:textId="77777777">
            <w:pPr>
              <w:widowControl w:val="0"/>
              <w:ind w:left="0" w:right="0"/>
              <w:rPr>
                <w:rFonts w:ascii="Calibri" w:eastAsia="Calibri" w:hAnsi="Calibri" w:cs="Calibri"/>
                <w:color w:val="000000"/>
              </w:rPr>
            </w:pPr>
            <w:r>
              <w:rPr>
                <w:color w:val="000000"/>
              </w:rPr>
              <w:t>Small Receive Only ES 3.7 -4.2 Meter Multi-feed</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A94A881" w14:textId="67C1C138">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6EA31F83"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7FB748E" w14:textId="77777777">
            <w:pPr>
              <w:widowControl w:val="0"/>
              <w:ind w:left="0" w:right="0"/>
              <w:rPr>
                <w:rFonts w:ascii="Calibri" w:eastAsia="Calibri" w:hAnsi="Calibri" w:cs="Calibri"/>
                <w:color w:val="000000"/>
              </w:rPr>
            </w:pPr>
            <w:r>
              <w:rPr>
                <w:color w:val="000000"/>
              </w:rPr>
              <w:t>Large Receive Only ES &gt;4.2 Meter Single-feed</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04B353D1" w14:textId="333DC60A">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2FB26E7B"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2FCD357" w14:textId="77777777">
            <w:pPr>
              <w:widowControl w:val="0"/>
              <w:ind w:left="0" w:right="0"/>
              <w:rPr>
                <w:rFonts w:ascii="Calibri" w:eastAsia="Calibri" w:hAnsi="Calibri" w:cs="Calibri"/>
                <w:color w:val="000000"/>
              </w:rPr>
            </w:pPr>
            <w:r>
              <w:rPr>
                <w:color w:val="000000"/>
              </w:rPr>
              <w:t>Large Receive Only ES &gt;4.2 Meter Multi-feed</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8444FB4" w14:textId="6AF5AB77">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4D1A9EFC"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6B45371A" w14:textId="77777777">
            <w:pPr>
              <w:widowControl w:val="0"/>
              <w:ind w:left="0" w:right="0"/>
              <w:rPr>
                <w:rFonts w:ascii="Calibri" w:eastAsia="Calibri" w:hAnsi="Calibri" w:cs="Calibri"/>
                <w:color w:val="000000"/>
              </w:rPr>
            </w:pPr>
            <w:r>
              <w:rPr>
                <w:color w:val="000000"/>
              </w:rPr>
              <w:t>Small Multi-beam ES</w:t>
            </w:r>
            <w:r>
              <w:rPr>
                <w:color w:val="000000"/>
                <w:vertAlign w:val="superscript"/>
              </w:rPr>
              <w:footnoteReference w:id="9"/>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95FD927" w14:textId="316FDD72">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0F35AF87"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11520004" w14:textId="77777777">
            <w:pPr>
              <w:widowControl w:val="0"/>
              <w:ind w:left="0" w:right="0"/>
              <w:rPr>
                <w:rFonts w:ascii="Calibri" w:eastAsia="Calibri" w:hAnsi="Calibri" w:cs="Calibri"/>
                <w:color w:val="000000"/>
              </w:rPr>
            </w:pPr>
            <w:r>
              <w:rPr>
                <w:color w:val="000000"/>
              </w:rPr>
              <w:t>Large Multi-beam ES</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1D76476" w14:textId="56AFEBD0">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571608DE"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99B8B69" w14:textId="77777777">
            <w:pPr>
              <w:widowControl w:val="0"/>
              <w:ind w:left="0" w:right="0"/>
              <w:rPr>
                <w:rFonts w:ascii="Calibri" w:eastAsia="Calibri" w:hAnsi="Calibri" w:cs="Calibri"/>
                <w:color w:val="000000"/>
              </w:rPr>
            </w:pPr>
            <w:r>
              <w:rPr>
                <w:color w:val="000000"/>
              </w:rPr>
              <w:t>Gateway ES &lt;=10 meter (bi-directional)</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F400BEA" w14:textId="3AF20169">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55D772AC"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35F060B" w14:textId="77777777">
            <w:pPr>
              <w:widowControl w:val="0"/>
              <w:ind w:left="0" w:right="0"/>
              <w:rPr>
                <w:rFonts w:ascii="Calibri" w:eastAsia="Calibri" w:hAnsi="Calibri" w:cs="Calibri"/>
                <w:color w:val="000000"/>
              </w:rPr>
            </w:pPr>
            <w:r>
              <w:rPr>
                <w:color w:val="000000"/>
              </w:rPr>
              <w:t>Gateway ES &gt;10 meter</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F777BDB" w14:textId="2C3E0949">
            <w:pPr>
              <w:widowControl w:val="0"/>
              <w:ind w:left="0" w:right="0"/>
              <w:jc w:val="center"/>
              <w:rPr>
                <w:rFonts w:ascii="Calibri" w:eastAsia="Calibri" w:hAnsi="Calibri" w:cs="Calibri"/>
                <w:color w:val="000000"/>
              </w:rPr>
            </w:pPr>
            <w:r>
              <w:rPr>
                <w:rFonts w:ascii="Calibri" w:eastAsia="Calibri" w:hAnsi="Calibri" w:cs="Calibri"/>
                <w:color w:val="000000"/>
              </w:rPr>
              <w:t>–</w:t>
            </w:r>
          </w:p>
        </w:tc>
      </w:tr>
      <w:tr w14:paraId="26EF9B2E" w14:textId="77777777">
        <w:tblPrEx>
          <w:tblW w:w="10050" w:type="dxa"/>
          <w:tblInd w:w="385" w:type="dxa"/>
          <w:tblLayout w:type="fixed"/>
          <w:tblCellMar>
            <w:top w:w="100" w:type="dxa"/>
            <w:left w:w="100" w:type="dxa"/>
            <w:bottom w:w="100" w:type="dxa"/>
            <w:right w:w="100" w:type="dxa"/>
          </w:tblCellMar>
          <w:tblLook w:val="0600"/>
        </w:tblPrEx>
        <w:trPr>
          <w:trHeight w:val="300"/>
        </w:trPr>
        <w:tc>
          <w:tcPr>
            <w:tcW w:w="70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455722E6" w14:textId="19FD303B">
            <w:pPr>
              <w:widowControl w:val="0"/>
              <w:ind w:left="0" w:right="0"/>
              <w:rPr>
                <w:rFonts w:ascii="Calibri" w:eastAsia="Calibri" w:hAnsi="Calibri" w:cs="Calibri"/>
                <w:color w:val="000000"/>
              </w:rPr>
            </w:pPr>
            <w:r>
              <w:rPr>
                <w:color w:val="000000"/>
              </w:rPr>
              <w:t xml:space="preserve">Temporary Fixed ES (mobile </w:t>
            </w:r>
            <w:r w:rsidR="00757F8A">
              <w:rPr>
                <w:color w:val="000000"/>
              </w:rPr>
              <w:t>E</w:t>
            </w:r>
            <w:r>
              <w:rPr>
                <w:color w:val="000000"/>
              </w:rPr>
              <w:t xml:space="preserve">lectronic </w:t>
            </w:r>
            <w:r w:rsidR="00757F8A">
              <w:rPr>
                <w:color w:val="000000"/>
              </w:rPr>
              <w:t>N</w:t>
            </w:r>
            <w:r>
              <w:rPr>
                <w:color w:val="000000"/>
              </w:rPr>
              <w:t xml:space="preserve">ews </w:t>
            </w:r>
            <w:r w:rsidR="00757F8A">
              <w:rPr>
                <w:color w:val="000000"/>
              </w:rPr>
              <w:t>G</w:t>
            </w:r>
            <w:r>
              <w:rPr>
                <w:color w:val="000000"/>
              </w:rPr>
              <w:t>athering trucks)</w:t>
            </w:r>
          </w:p>
        </w:tc>
        <w:tc>
          <w:tcPr>
            <w:tcW w:w="30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3AE2B968" w14:textId="170C9805">
            <w:pPr>
              <w:widowControl w:val="0"/>
              <w:ind w:left="0" w:right="0"/>
              <w:jc w:val="center"/>
              <w:rPr>
                <w:rFonts w:ascii="Calibri" w:eastAsia="Calibri" w:hAnsi="Calibri" w:cs="Calibri"/>
                <w:color w:val="000000"/>
              </w:rPr>
            </w:pPr>
            <w:r>
              <w:rPr>
                <w:rFonts w:ascii="Calibri" w:eastAsia="Calibri" w:hAnsi="Calibri" w:cs="Calibri"/>
                <w:color w:val="000000"/>
              </w:rPr>
              <w:t>–</w:t>
            </w:r>
          </w:p>
        </w:tc>
      </w:tr>
    </w:tbl>
    <w:p w:rsidR="006F3BB7" w14:paraId="512109BA" w14:textId="77777777">
      <w:pPr>
        <w:ind w:left="0" w:firstLine="360"/>
      </w:pPr>
    </w:p>
    <w:p w:rsidR="006F3BB7" w14:paraId="7B7F127D" w14:textId="77777777">
      <w:pPr>
        <w:ind w:left="0" w:firstLine="360"/>
      </w:pPr>
      <w:r>
        <w:tab/>
      </w:r>
      <w:r>
        <w:br w:type="page"/>
      </w:r>
    </w:p>
    <w:p w:rsidR="006F3BB7" w14:paraId="54F53128" w14:textId="77777777">
      <w:pPr>
        <w:pStyle w:val="Heading1"/>
        <w:ind w:left="0" w:firstLine="360"/>
      </w:pPr>
      <w:r>
        <w:t xml:space="preserve">         </w:t>
      </w:r>
      <w:bookmarkStart w:id="30" w:name="_Toc38633297"/>
      <w:r>
        <w:t>IV. Fixed Service Costs</w:t>
      </w:r>
      <w:bookmarkEnd w:id="30"/>
    </w:p>
    <w:p w:rsidR="000D562B" w:rsidRPr="00ED4F48" w:rsidP="00ED4F48" w14:paraId="5335D302" w14:textId="77777777"/>
    <w:p w:rsidR="006F3BB7" w14:paraId="31EC8C18" w14:textId="3471B20E">
      <w:r>
        <w:t xml:space="preserve">As the </w:t>
      </w:r>
      <w:r>
        <w:rPr>
          <w:i/>
        </w:rPr>
        <w:t>Order</w:t>
      </w:r>
      <w:r>
        <w:t xml:space="preserve"> states, “</w:t>
      </w:r>
      <w:r w:rsidR="00134F14">
        <w:t>[</w:t>
      </w:r>
      <w:r w:rsidR="00134F14">
        <w:t>i</w:t>
      </w:r>
      <w:r w:rsidR="00134F14">
        <w:t>]</w:t>
      </w:r>
      <w:r>
        <w:t>ncumbent</w:t>
      </w:r>
      <w:r>
        <w:t xml:space="preserve"> licensees of point-to-point Fixed Service links that relocate out of the 3.7-4.2 GHz band by December 5, 2023, shall be eligible for reimbursement of their reasonable costs based on the well-established ‘comparable facilities’ standard used for the transition of microwave links out of other bands.”</w:t>
      </w:r>
      <w:r>
        <w:rPr>
          <w:vertAlign w:val="superscript"/>
        </w:rPr>
        <w:footnoteReference w:id="10"/>
      </w:r>
      <w:r>
        <w:t xml:space="preserve"> </w:t>
      </w:r>
      <w:r w:rsidR="00134F14">
        <w:t xml:space="preserve"> </w:t>
      </w:r>
      <w:r>
        <w:t xml:space="preserve">Costs are stated on a “per link” relocation cost, where a discounting is associated with temporary fixed links (e.g., Electronic News Gathering and similar transportable fixed operations) versus permanent fixed links. </w:t>
      </w:r>
      <w:r w:rsidR="00134F14">
        <w:t xml:space="preserve"> </w:t>
      </w:r>
    </w:p>
    <w:p w:rsidR="006F3BB7" w14:paraId="5AC7438B" w14:textId="77777777"/>
    <w:p w:rsidR="006F3BB7" w14:paraId="297708A2" w14:textId="5A8642E2">
      <w:r>
        <w:t xml:space="preserve">Depending on a Fixed Service operator’s new frequencies, it may be possible to retune existing transmitters/receivers to operate on new frequencies rather than replace them. </w:t>
      </w:r>
      <w:r w:rsidR="003C09BD">
        <w:t xml:space="preserve"> </w:t>
      </w:r>
      <w:r>
        <w:t xml:space="preserve">Whether retuning is feasible depends on </w:t>
      </w:r>
      <w:r>
        <w:t>a number of</w:t>
      </w:r>
      <w:r>
        <w:t xml:space="preserve"> factors, including the type of equipment, the frequency range(s) for which component parts are designed, the length of the path, and whether replacement parts and manufacturer support are available. </w:t>
      </w:r>
      <w:r w:rsidR="003C09BD">
        <w:t xml:space="preserve"> </w:t>
      </w:r>
      <w:r>
        <w:t>In some cases, C-band Fixed Service equipment includes the capability to support the extended C-band (</w:t>
      </w:r>
      <w:r w:rsidR="00FC143B">
        <w:t>i.e</w:t>
      </w:r>
      <w:r>
        <w:t>., 5850-6725 MHz)</w:t>
      </w:r>
      <w:r w:rsidR="003C09BD">
        <w:t>,</w:t>
      </w:r>
      <w:r>
        <w:t xml:space="preserve"> which could potentially reduce the relocation effort required for some Fixed Service operators.  In many cases, replacement may be the preferred option if the cost of retuning exceeds the cost of a new transmitter or the performance degradation is too severe or technically infeasible. </w:t>
      </w:r>
      <w:r w:rsidR="003C09BD">
        <w:t xml:space="preserve"> </w:t>
      </w:r>
      <w:r>
        <w:t xml:space="preserve">Regardless of whether an operator chooses to retune or replace the equipment, the associated filters are channel-specific and must be replaced to accommodate any channel change. </w:t>
      </w:r>
    </w:p>
    <w:p w:rsidR="006F3BB7" w14:paraId="56930039" w14:textId="77777777"/>
    <w:p w:rsidR="006F3BB7" w14:paraId="607C6E96" w14:textId="754B4CE5">
      <w:r>
        <w:t>T</w:t>
      </w:r>
      <w:r w:rsidR="0097557E">
        <w:t xml:space="preserve">he range of costs associated with </w:t>
      </w:r>
      <w:r w:rsidRPr="00FC143B" w:rsidR="00FC143B">
        <w:t>Fixed Service</w:t>
      </w:r>
      <w:r w:rsidR="0097557E">
        <w:t xml:space="preserve"> relocation can vary widely from as little as $2,000 for a retune in cases where existing equipment support the new frequencies outside the 3700-4200 MHz band to as much as $</w:t>
      </w:r>
      <w:r w:rsidR="00F819E0">
        <w:t>290</w:t>
      </w:r>
      <w:r w:rsidR="0097557E">
        <w:t>,000 for a complete like for like replacement of all equipment on both sides of the link for a 12-channel-or more system and significant tower and engineering labor.</w:t>
      </w:r>
      <w:r w:rsidR="00F819E0">
        <w:t xml:space="preserve"> </w:t>
      </w:r>
      <w:r w:rsidR="00EB7983">
        <w:t xml:space="preserve"> </w:t>
      </w:r>
      <w:r w:rsidRPr="00F819E0" w:rsidR="00F819E0">
        <w:t xml:space="preserve">Historical data support an average link replacement cost of approximately $185,000. </w:t>
      </w:r>
      <w:r w:rsidR="00F819E0">
        <w:t xml:space="preserve"> </w:t>
      </w:r>
      <w:r w:rsidR="0097557E">
        <w:t>A collection of costs associated with a simple retune are provided in Section IV-A below followed by more complicated relocation cost</w:t>
      </w:r>
      <w:r w:rsidR="006273B3">
        <w:t xml:space="preserve"> estimates</w:t>
      </w:r>
      <w:r w:rsidR="0097557E">
        <w:t xml:space="preserve">. </w:t>
      </w:r>
    </w:p>
    <w:p w:rsidR="006F3BB7" w:rsidRPr="00413F2F" w14:paraId="20AB4F34" w14:textId="77777777">
      <w:pPr>
        <w:rPr>
          <w:sz w:val="12"/>
          <w:szCs w:val="12"/>
        </w:rPr>
      </w:pPr>
    </w:p>
    <w:p w:rsidR="006F3BB7" w14:paraId="670A4824" w14:textId="77777777">
      <w:pPr>
        <w:pStyle w:val="Heading2"/>
        <w:numPr>
          <w:ilvl w:val="0"/>
          <w:numId w:val="5"/>
        </w:numPr>
      </w:pPr>
      <w:bookmarkStart w:id="31" w:name="_Toc38633298"/>
      <w:r>
        <w:t>Retuning Only Relocation</w:t>
      </w:r>
      <w:bookmarkEnd w:id="31"/>
      <w:r>
        <w:t xml:space="preserve"> </w:t>
      </w:r>
    </w:p>
    <w:p w:rsidR="006F3BB7" w14:paraId="107E8D82" w14:textId="2C15AB3B">
      <w:r>
        <w:t>A simple retune, e.g. to the extended C-band in cases where this is possible</w:t>
      </w:r>
      <w:r w:rsidR="00AD61B2">
        <w:t>,</w:t>
      </w:r>
      <w:r>
        <w:t xml:space="preserve"> </w:t>
      </w:r>
      <w:r>
        <w:t>is anticipated to fall in the range</w:t>
      </w:r>
      <w:r w:rsidR="00AD61B2">
        <w:t>s</w:t>
      </w:r>
      <w:r>
        <w:t xml:space="preserve"> found in Table IV-A-1. </w:t>
      </w:r>
      <w:r w:rsidR="00F27BEB">
        <w:t xml:space="preserve"> </w:t>
      </w:r>
      <w:r>
        <w:t>This includes the labor associated with the retune and any consulting, attorney and FCC fees as defined in Section IV-B, where the low end of the range assumes only filing fees and the high end assumes electromagnetic analyses and other support, e.g. consultants/attorneys.</w:t>
      </w:r>
    </w:p>
    <w:p w:rsidR="006F3BB7" w:rsidRPr="00C75185" w14:paraId="62077470" w14:textId="77777777">
      <w:pPr>
        <w:ind w:left="0"/>
        <w:rPr>
          <w:sz w:val="14"/>
          <w:szCs w:val="14"/>
        </w:rPr>
      </w:pPr>
    </w:p>
    <w:tbl>
      <w:tblPr>
        <w:tblW w:w="10098"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930"/>
        <w:gridCol w:w="3168"/>
      </w:tblGrid>
      <w:tr w14:paraId="23602497" w14:textId="77777777" w:rsidTr="00C75185">
        <w:tblPrEx>
          <w:tblW w:w="10098" w:type="dxa"/>
          <w:tblInd w:w="35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9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30AE014" w14:textId="53E09267">
            <w:pPr>
              <w:widowControl w:val="0"/>
              <w:ind w:left="0" w:right="0"/>
              <w:jc w:val="center"/>
              <w:rPr>
                <w:rFonts w:ascii="Calibri" w:eastAsia="Calibri" w:hAnsi="Calibri" w:cs="Calibri"/>
                <w:color w:val="000000"/>
              </w:rPr>
            </w:pPr>
            <w:r>
              <w:rPr>
                <w:color w:val="0072C6"/>
              </w:rPr>
              <w:t xml:space="preserve">Table IV-A-1: </w:t>
            </w:r>
            <w:r w:rsidRPr="00FC143B" w:rsidR="00FC143B">
              <w:rPr>
                <w:color w:val="0072C6"/>
              </w:rPr>
              <w:t>Fixed Service</w:t>
            </w:r>
            <w:r>
              <w:rPr>
                <w:color w:val="0072C6"/>
              </w:rPr>
              <w:t xml:space="preserve"> Retune Only Total Costs</w:t>
            </w:r>
          </w:p>
        </w:tc>
        <w:tc>
          <w:tcPr>
            <w:tcW w:w="316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3432E9D" w14:textId="60C62832">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4F1A0315"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RPr="00DC1064" w14:paraId="3A686962" w14:textId="77777777">
            <w:pPr>
              <w:widowControl w:val="0"/>
              <w:ind w:left="0" w:right="0"/>
              <w:rPr>
                <w:rFonts w:ascii="Calibri" w:eastAsia="Calibri" w:hAnsi="Calibri" w:cs="Calibri"/>
                <w:color w:val="auto"/>
              </w:rPr>
            </w:pPr>
            <w:r w:rsidRPr="00DC1064">
              <w:rPr>
                <w:color w:val="auto"/>
              </w:rPr>
              <w:t>Permanent Fixed Link Relocation Cost</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RPr="00DC1064" w14:paraId="529F94BD" w14:textId="5ACF2C1B">
            <w:pPr>
              <w:widowControl w:val="0"/>
              <w:ind w:left="0" w:right="0"/>
              <w:jc w:val="center"/>
              <w:rPr>
                <w:rFonts w:ascii="Calibri" w:eastAsia="Calibri" w:hAnsi="Calibri" w:cs="Calibri"/>
                <w:color w:val="auto"/>
              </w:rPr>
            </w:pPr>
            <w:r w:rsidRPr="00DC1064">
              <w:rPr>
                <w:color w:val="auto"/>
              </w:rPr>
              <w:t xml:space="preserve">2,000 </w:t>
            </w:r>
            <w:r w:rsidRPr="00DC1064" w:rsidR="00C24603">
              <w:rPr>
                <w:color w:val="auto"/>
              </w:rPr>
              <w:t>–</w:t>
            </w:r>
            <w:r w:rsidRPr="00DC1064">
              <w:rPr>
                <w:color w:val="auto"/>
              </w:rPr>
              <w:t xml:space="preserve"> 25,000</w:t>
            </w:r>
          </w:p>
        </w:tc>
      </w:tr>
      <w:tr w14:paraId="1100A064" w14:textId="77777777" w:rsidTr="00C75185">
        <w:tblPrEx>
          <w:tblW w:w="10098" w:type="dxa"/>
          <w:tblInd w:w="352" w:type="dxa"/>
          <w:tblLayout w:type="fixed"/>
          <w:tblCellMar>
            <w:top w:w="100" w:type="dxa"/>
            <w:left w:w="100" w:type="dxa"/>
            <w:bottom w:w="100" w:type="dxa"/>
            <w:right w:w="100" w:type="dxa"/>
          </w:tblCellMar>
          <w:tblLook w:val="0600"/>
        </w:tblPrEx>
        <w:trPr>
          <w:trHeight w:val="300"/>
        </w:trPr>
        <w:tc>
          <w:tcPr>
            <w:tcW w:w="69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RPr="00DC1064" w14:paraId="33F5101A" w14:textId="77777777">
            <w:pPr>
              <w:widowControl w:val="0"/>
              <w:ind w:left="0" w:right="0"/>
              <w:rPr>
                <w:rFonts w:ascii="Calibri" w:eastAsia="Calibri" w:hAnsi="Calibri" w:cs="Calibri"/>
                <w:color w:val="auto"/>
              </w:rPr>
            </w:pPr>
            <w:r w:rsidRPr="00DC1064">
              <w:rPr>
                <w:color w:val="auto"/>
              </w:rPr>
              <w:t>Temporary Fixed Link Relocation Cost</w:t>
            </w:r>
          </w:p>
        </w:tc>
        <w:tc>
          <w:tcPr>
            <w:tcW w:w="316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RPr="00DC1064" w14:paraId="5B777642" w14:textId="77777777">
            <w:pPr>
              <w:widowControl w:val="0"/>
              <w:ind w:left="0" w:right="0"/>
              <w:jc w:val="center"/>
              <w:rPr>
                <w:rFonts w:ascii="Calibri" w:eastAsia="Calibri" w:hAnsi="Calibri" w:cs="Calibri"/>
                <w:color w:val="auto"/>
              </w:rPr>
            </w:pPr>
            <w:r w:rsidRPr="00DC1064">
              <w:rPr>
                <w:color w:val="auto"/>
              </w:rPr>
              <w:t>1,500 – 15,000</w:t>
            </w:r>
          </w:p>
        </w:tc>
      </w:tr>
    </w:tbl>
    <w:p w:rsidR="006F3BB7" w14:paraId="6015CAB5" w14:textId="3BFF1C18">
      <w:pPr>
        <w:pStyle w:val="Heading2"/>
        <w:numPr>
          <w:ilvl w:val="0"/>
          <w:numId w:val="5"/>
        </w:numPr>
      </w:pPr>
      <w:bookmarkStart w:id="32" w:name="_Toc38632268"/>
      <w:bookmarkStart w:id="33" w:name="_Toc38633299"/>
      <w:bookmarkEnd w:id="32"/>
      <w:r>
        <w:t>Project Management, Consulting, Attorney, and FCC Costs/Fees</w:t>
      </w:r>
      <w:bookmarkEnd w:id="33"/>
    </w:p>
    <w:tbl>
      <w:tblPr>
        <w:tblW w:w="9990" w:type="dxa"/>
        <w:tblInd w:w="55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735"/>
        <w:gridCol w:w="3255"/>
      </w:tblGrid>
      <w:tr w14:paraId="4F77ECD6" w14:textId="77777777">
        <w:tblPrEx>
          <w:tblW w:w="9990" w:type="dxa"/>
          <w:tblInd w:w="55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70"/>
        </w:trPr>
        <w:tc>
          <w:tcPr>
            <w:tcW w:w="6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F0E6C4D" w14:textId="695D53DB">
            <w:pPr>
              <w:widowControl w:val="0"/>
              <w:ind w:left="0" w:right="0"/>
              <w:jc w:val="center"/>
              <w:rPr>
                <w:rFonts w:ascii="Calibri" w:eastAsia="Calibri" w:hAnsi="Calibri" w:cs="Calibri"/>
                <w:color w:val="000000"/>
              </w:rPr>
            </w:pPr>
            <w:r>
              <w:rPr>
                <w:color w:val="0072C6"/>
              </w:rPr>
              <w:t>Table IV-B-1</w:t>
            </w:r>
            <w:r w:rsidR="00FC143B">
              <w:rPr>
                <w:color w:val="0072C6"/>
              </w:rPr>
              <w:t>:</w:t>
            </w:r>
            <w:r>
              <w:rPr>
                <w:color w:val="0072C6"/>
              </w:rPr>
              <w:t xml:space="preserve"> </w:t>
            </w:r>
            <w:r w:rsidRPr="00FC143B" w:rsidR="00FC143B">
              <w:rPr>
                <w:color w:val="0072C6"/>
              </w:rPr>
              <w:t>Fixed Service</w:t>
            </w:r>
            <w:r>
              <w:rPr>
                <w:color w:val="0072C6"/>
              </w:rPr>
              <w:t xml:space="preserve"> Relocation Project Costs</w:t>
            </w:r>
          </w:p>
        </w:tc>
        <w:tc>
          <w:tcPr>
            <w:tcW w:w="32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75DAB0E" w14:textId="573B4DDA">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334EA8DC" w14:textId="77777777">
        <w:tblPrEx>
          <w:tblW w:w="9990" w:type="dxa"/>
          <w:tblInd w:w="550" w:type="dxa"/>
          <w:tblLayout w:type="fixed"/>
          <w:tblCellMar>
            <w:top w:w="100" w:type="dxa"/>
            <w:left w:w="100" w:type="dxa"/>
            <w:bottom w:w="100" w:type="dxa"/>
            <w:right w:w="100" w:type="dxa"/>
          </w:tblCellMar>
          <w:tblLook w:val="0600"/>
        </w:tblPrEx>
        <w:trPr>
          <w:trHeight w:val="27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6C5A2C9" w14:textId="77777777">
            <w:pPr>
              <w:widowControl w:val="0"/>
              <w:ind w:left="0" w:right="0"/>
              <w:rPr>
                <w:rFonts w:ascii="Calibri" w:eastAsia="Calibri" w:hAnsi="Calibri" w:cs="Calibri"/>
                <w:color w:val="000000"/>
              </w:rPr>
            </w:pPr>
            <w:r>
              <w:rPr>
                <w:color w:val="000000"/>
              </w:rPr>
              <w:t>Project management of the transition, if needed (cost per hour)</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702D914" w14:textId="3C66DB9D">
            <w:pPr>
              <w:widowControl w:val="0"/>
              <w:ind w:left="0" w:right="0"/>
              <w:jc w:val="center"/>
              <w:rPr>
                <w:rFonts w:ascii="Calibri" w:eastAsia="Calibri" w:hAnsi="Calibri" w:cs="Calibri"/>
                <w:color w:val="000000"/>
              </w:rPr>
            </w:pPr>
            <w:r>
              <w:rPr>
                <w:color w:val="000000"/>
              </w:rPr>
              <w:t xml:space="preserve">62 – </w:t>
            </w:r>
            <w:r w:rsidR="00F819E0">
              <w:rPr>
                <w:color w:val="000000"/>
              </w:rPr>
              <w:t>200</w:t>
            </w:r>
          </w:p>
        </w:tc>
      </w:tr>
      <w:tr w14:paraId="2C1ECC03" w14:textId="77777777">
        <w:tblPrEx>
          <w:tblW w:w="9990" w:type="dxa"/>
          <w:tblInd w:w="550" w:type="dxa"/>
          <w:tblLayout w:type="fixed"/>
          <w:tblCellMar>
            <w:top w:w="100" w:type="dxa"/>
            <w:left w:w="100" w:type="dxa"/>
            <w:bottom w:w="100" w:type="dxa"/>
            <w:right w:w="100" w:type="dxa"/>
          </w:tblCellMar>
          <w:tblLook w:val="0600"/>
        </w:tblPrEx>
        <w:trPr>
          <w:trHeight w:val="51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BB0DC88" w14:textId="77777777">
            <w:pPr>
              <w:widowControl w:val="0"/>
              <w:ind w:left="0" w:right="0"/>
              <w:rPr>
                <w:rFonts w:ascii="Calibri" w:eastAsia="Calibri" w:hAnsi="Calibri" w:cs="Calibri"/>
                <w:color w:val="000000"/>
              </w:rPr>
            </w:pPr>
            <w:r>
              <w:rPr>
                <w:color w:val="000000"/>
              </w:rPr>
              <w:t>Address transition timing and coordination issues with other license holders, if needed</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B093AB9" w14:textId="420989FB">
            <w:pPr>
              <w:widowControl w:val="0"/>
              <w:ind w:left="0" w:right="0"/>
              <w:jc w:val="center"/>
              <w:rPr>
                <w:rFonts w:ascii="Calibri" w:eastAsia="Calibri" w:hAnsi="Calibri" w:cs="Calibri"/>
                <w:color w:val="000000"/>
              </w:rPr>
            </w:pPr>
            <w:r>
              <w:rPr>
                <w:color w:val="000000"/>
              </w:rPr>
              <w:t>850 – 2</w:t>
            </w:r>
            <w:r w:rsidR="00F819E0">
              <w:rPr>
                <w:color w:val="000000"/>
              </w:rPr>
              <w:t>,</w:t>
            </w:r>
            <w:r>
              <w:rPr>
                <w:color w:val="000000"/>
              </w:rPr>
              <w:t>750</w:t>
            </w:r>
          </w:p>
        </w:tc>
      </w:tr>
      <w:tr w14:paraId="5DE5282A" w14:textId="77777777">
        <w:tblPrEx>
          <w:tblW w:w="9990" w:type="dxa"/>
          <w:tblInd w:w="550" w:type="dxa"/>
          <w:tblLayout w:type="fixed"/>
          <w:tblCellMar>
            <w:top w:w="100" w:type="dxa"/>
            <w:left w:w="100" w:type="dxa"/>
            <w:bottom w:w="100" w:type="dxa"/>
            <w:right w:w="100" w:type="dxa"/>
          </w:tblCellMar>
          <w:tblLook w:val="0600"/>
        </w:tblPrEx>
        <w:trPr>
          <w:trHeight w:val="27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4854BDC" w14:textId="77777777">
            <w:pPr>
              <w:widowControl w:val="0"/>
              <w:ind w:left="0" w:right="0"/>
              <w:rPr>
                <w:rFonts w:ascii="Calibri" w:eastAsia="Calibri" w:hAnsi="Calibri" w:cs="Calibri"/>
                <w:color w:val="000000"/>
              </w:rPr>
            </w:pPr>
            <w:r>
              <w:rPr>
                <w:color w:val="000000"/>
              </w:rPr>
              <w:t>Prepare and/or review reimbursement form</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78BBF64F" w14:textId="02FF47B7">
            <w:pPr>
              <w:widowControl w:val="0"/>
              <w:ind w:left="0" w:right="0"/>
              <w:jc w:val="center"/>
              <w:rPr>
                <w:rFonts w:ascii="Calibri" w:eastAsia="Calibri" w:hAnsi="Calibri" w:cs="Calibri"/>
                <w:color w:val="000000"/>
              </w:rPr>
            </w:pPr>
            <w:r>
              <w:rPr>
                <w:color w:val="000000"/>
              </w:rPr>
              <w:t>250 – 2</w:t>
            </w:r>
            <w:r w:rsidR="00F819E0">
              <w:rPr>
                <w:color w:val="000000"/>
              </w:rPr>
              <w:t>,</w:t>
            </w:r>
            <w:r>
              <w:rPr>
                <w:color w:val="000000"/>
              </w:rPr>
              <w:t>750</w:t>
            </w:r>
          </w:p>
        </w:tc>
      </w:tr>
      <w:tr w14:paraId="68F9E388" w14:textId="77777777">
        <w:tblPrEx>
          <w:tblW w:w="9990" w:type="dxa"/>
          <w:tblInd w:w="550" w:type="dxa"/>
          <w:tblLayout w:type="fixed"/>
          <w:tblCellMar>
            <w:top w:w="100" w:type="dxa"/>
            <w:left w:w="100" w:type="dxa"/>
            <w:bottom w:w="100" w:type="dxa"/>
            <w:right w:w="100" w:type="dxa"/>
          </w:tblCellMar>
          <w:tblLook w:val="0600"/>
        </w:tblPrEx>
        <w:trPr>
          <w:trHeight w:val="510"/>
        </w:trPr>
        <w:tc>
          <w:tcPr>
            <w:tcW w:w="673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6F3BB7" w14:paraId="3B42A9A7" w14:textId="77777777">
            <w:pPr>
              <w:widowControl w:val="0"/>
              <w:ind w:left="0" w:right="0"/>
              <w:rPr>
                <w:rFonts w:ascii="Calibri" w:eastAsia="Calibri" w:hAnsi="Calibri" w:cs="Calibri"/>
                <w:color w:val="000000"/>
              </w:rPr>
            </w:pPr>
            <w:r>
              <w:rPr>
                <w:color w:val="000000"/>
              </w:rPr>
              <w:t>Comprehensive study/verification of link performance and reliability, if needed for new electromagnetic environment.</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07732FB5" w14:textId="38EDA288">
            <w:pPr>
              <w:widowControl w:val="0"/>
              <w:ind w:left="0" w:right="0"/>
              <w:jc w:val="center"/>
              <w:rPr>
                <w:rFonts w:ascii="Calibri" w:eastAsia="Calibri" w:hAnsi="Calibri" w:cs="Calibri"/>
                <w:color w:val="000000"/>
              </w:rPr>
            </w:pPr>
            <w:r>
              <w:rPr>
                <w:color w:val="000000"/>
              </w:rPr>
              <w:t>2</w:t>
            </w:r>
            <w:r w:rsidR="00F819E0">
              <w:rPr>
                <w:color w:val="000000"/>
              </w:rPr>
              <w:t>,</w:t>
            </w:r>
            <w:r>
              <w:rPr>
                <w:color w:val="000000"/>
              </w:rPr>
              <w:t>750 – 19</w:t>
            </w:r>
            <w:r w:rsidR="00F819E0">
              <w:rPr>
                <w:color w:val="000000"/>
              </w:rPr>
              <w:t>,</w:t>
            </w:r>
            <w:r>
              <w:rPr>
                <w:color w:val="000000"/>
              </w:rPr>
              <w:t>500</w:t>
            </w:r>
          </w:p>
        </w:tc>
      </w:tr>
    </w:tbl>
    <w:p w:rsidR="006F3BB7" w14:paraId="559ABBC3" w14:textId="77777777">
      <w:pPr>
        <w:ind w:left="0"/>
      </w:pPr>
    </w:p>
    <w:p w:rsidR="006F3BB7" w14:paraId="2C21FC23" w14:textId="77777777">
      <w:pPr>
        <w:ind w:left="540"/>
      </w:pPr>
      <w:r>
        <w:t xml:space="preserve">Note - Engineering/Electromagnetic Environmental Studies are commensurate with relocation activity complexity and the amount of analyses required for new band access. </w:t>
      </w:r>
    </w:p>
    <w:p w:rsidR="006F3BB7" w14:paraId="2ED28B74" w14:textId="77777777">
      <w:pPr>
        <w:ind w:left="0"/>
      </w:pPr>
    </w:p>
    <w:tbl>
      <w:tblPr>
        <w:tblW w:w="9990" w:type="dxa"/>
        <w:tblInd w:w="55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735"/>
        <w:gridCol w:w="3255"/>
      </w:tblGrid>
      <w:tr w14:paraId="49066E72" w14:textId="77777777" w:rsidTr="0079425C">
        <w:tblPrEx>
          <w:tblW w:w="9990" w:type="dxa"/>
          <w:tblInd w:w="55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54"/>
        </w:trPr>
        <w:tc>
          <w:tcPr>
            <w:tcW w:w="67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E3CB895" w14:textId="77777777">
            <w:pPr>
              <w:widowControl w:val="0"/>
              <w:ind w:left="0" w:right="0"/>
              <w:jc w:val="center"/>
              <w:rPr>
                <w:color w:val="0072C6"/>
              </w:rPr>
            </w:pPr>
            <w:r>
              <w:rPr>
                <w:color w:val="0072C6"/>
              </w:rPr>
              <w:t>Table IV-B-2: FCC Filing Fees (adjusted biennially)</w:t>
            </w:r>
          </w:p>
        </w:tc>
        <w:tc>
          <w:tcPr>
            <w:tcW w:w="32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A8204FE" w14:textId="56E0B40C">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79B7065E" w14:textId="77777777">
        <w:tblPrEx>
          <w:tblW w:w="9990" w:type="dxa"/>
          <w:tblInd w:w="550" w:type="dxa"/>
          <w:tblLayout w:type="fixed"/>
          <w:tblCellMar>
            <w:top w:w="100" w:type="dxa"/>
            <w:left w:w="100" w:type="dxa"/>
            <w:bottom w:w="100" w:type="dxa"/>
            <w:right w:w="100" w:type="dxa"/>
          </w:tblCellMar>
          <w:tblLook w:val="0600"/>
        </w:tblPrEx>
        <w:trPr>
          <w:trHeight w:val="51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6C7F404" w14:textId="77777777">
            <w:pPr>
              <w:widowControl w:val="0"/>
              <w:ind w:left="0" w:right="0"/>
              <w:rPr>
                <w:rFonts w:ascii="Calibri" w:eastAsia="Calibri" w:hAnsi="Calibri" w:cs="Calibri"/>
                <w:color w:val="000000"/>
              </w:rPr>
            </w:pPr>
            <w:r>
              <w:rPr>
                <w:color w:val="000000"/>
              </w:rPr>
              <w:t>New, Renewal or Renewal/Modification FCC Form 601/159 - Application Payment/Fee (Per Call Sign)</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0FE906D0" w14:textId="77777777">
            <w:pPr>
              <w:widowControl w:val="0"/>
              <w:ind w:left="0" w:right="0"/>
              <w:jc w:val="center"/>
              <w:rPr>
                <w:rFonts w:ascii="Calibri" w:eastAsia="Calibri" w:hAnsi="Calibri" w:cs="Calibri"/>
                <w:color w:val="000000"/>
              </w:rPr>
            </w:pPr>
            <w:r>
              <w:rPr>
                <w:color w:val="000000"/>
              </w:rPr>
              <w:t>305</w:t>
            </w:r>
          </w:p>
        </w:tc>
      </w:tr>
      <w:tr w14:paraId="4AA94AB2" w14:textId="77777777">
        <w:tblPrEx>
          <w:tblW w:w="9990" w:type="dxa"/>
          <w:tblInd w:w="550" w:type="dxa"/>
          <w:tblLayout w:type="fixed"/>
          <w:tblCellMar>
            <w:top w:w="100" w:type="dxa"/>
            <w:left w:w="100" w:type="dxa"/>
            <w:bottom w:w="100" w:type="dxa"/>
            <w:right w:w="100" w:type="dxa"/>
          </w:tblCellMar>
          <w:tblLook w:val="0600"/>
        </w:tblPrEx>
        <w:trPr>
          <w:trHeight w:val="51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D7C35D0" w14:textId="77777777">
            <w:pPr>
              <w:widowControl w:val="0"/>
              <w:ind w:left="0" w:right="0"/>
              <w:rPr>
                <w:rFonts w:ascii="Calibri" w:eastAsia="Calibri" w:hAnsi="Calibri" w:cs="Calibri"/>
                <w:color w:val="000000"/>
              </w:rPr>
            </w:pPr>
            <w:r>
              <w:rPr>
                <w:color w:val="000000"/>
              </w:rPr>
              <w:t>New, Renewal or Renewal/Modification FCC Form 601/159 - Regulatory Payment/Fee (Per Call Sign)</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21295B89" w14:textId="77777777">
            <w:pPr>
              <w:widowControl w:val="0"/>
              <w:ind w:left="0" w:right="0"/>
              <w:jc w:val="center"/>
              <w:rPr>
                <w:rFonts w:ascii="Calibri" w:eastAsia="Calibri" w:hAnsi="Calibri" w:cs="Calibri"/>
                <w:color w:val="000000"/>
              </w:rPr>
            </w:pPr>
            <w:r>
              <w:rPr>
                <w:color w:val="000000"/>
              </w:rPr>
              <w:t>250</w:t>
            </w:r>
          </w:p>
        </w:tc>
      </w:tr>
      <w:tr w14:paraId="4733C80C" w14:textId="77777777">
        <w:tblPrEx>
          <w:tblW w:w="9990" w:type="dxa"/>
          <w:tblInd w:w="550" w:type="dxa"/>
          <w:tblLayout w:type="fixed"/>
          <w:tblCellMar>
            <w:top w:w="100" w:type="dxa"/>
            <w:left w:w="100" w:type="dxa"/>
            <w:bottom w:w="100" w:type="dxa"/>
            <w:right w:w="100" w:type="dxa"/>
          </w:tblCellMar>
          <w:tblLook w:val="0600"/>
        </w:tblPrEx>
        <w:trPr>
          <w:trHeight w:val="27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BA363C8" w14:textId="77777777">
            <w:pPr>
              <w:widowControl w:val="0"/>
              <w:ind w:left="0" w:right="0"/>
              <w:rPr>
                <w:rFonts w:ascii="Calibri" w:eastAsia="Calibri" w:hAnsi="Calibri" w:cs="Calibri"/>
                <w:color w:val="000000"/>
              </w:rPr>
            </w:pPr>
            <w:r>
              <w:rPr>
                <w:color w:val="000000"/>
              </w:rPr>
              <w:t>Special Temporary Authorization Request</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2637D6AF" w14:textId="77777777">
            <w:pPr>
              <w:widowControl w:val="0"/>
              <w:ind w:left="0" w:right="0"/>
              <w:jc w:val="center"/>
              <w:rPr>
                <w:rFonts w:ascii="Calibri" w:eastAsia="Calibri" w:hAnsi="Calibri" w:cs="Calibri"/>
                <w:color w:val="000000"/>
              </w:rPr>
            </w:pPr>
            <w:r>
              <w:rPr>
                <w:color w:val="000000"/>
              </w:rPr>
              <w:t>140</w:t>
            </w:r>
          </w:p>
        </w:tc>
      </w:tr>
      <w:tr w14:paraId="2BE5F954" w14:textId="77777777">
        <w:tblPrEx>
          <w:tblW w:w="9990" w:type="dxa"/>
          <w:tblInd w:w="550" w:type="dxa"/>
          <w:tblLayout w:type="fixed"/>
          <w:tblCellMar>
            <w:top w:w="100" w:type="dxa"/>
            <w:left w:w="100" w:type="dxa"/>
            <w:bottom w:w="100" w:type="dxa"/>
            <w:right w:w="100" w:type="dxa"/>
          </w:tblCellMar>
          <w:tblLook w:val="0600"/>
        </w:tblPrEx>
        <w:trPr>
          <w:trHeight w:val="510"/>
        </w:trPr>
        <w:tc>
          <w:tcPr>
            <w:tcW w:w="67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88E5159" w14:textId="77777777">
            <w:pPr>
              <w:widowControl w:val="0"/>
              <w:ind w:left="0" w:right="0"/>
              <w:rPr>
                <w:rFonts w:ascii="Calibri" w:eastAsia="Calibri" w:hAnsi="Calibri" w:cs="Calibri"/>
                <w:color w:val="000000"/>
              </w:rPr>
            </w:pPr>
            <w:r>
              <w:rPr>
                <w:color w:val="000000"/>
              </w:rPr>
              <w:t>Extension of Construction Authority FCC Form 601/159 - Application Payment/Fee (Per Call Sign)</w:t>
            </w:r>
          </w:p>
        </w:tc>
        <w:tc>
          <w:tcPr>
            <w:tcW w:w="32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76D386C4" w14:textId="77777777">
            <w:pPr>
              <w:widowControl w:val="0"/>
              <w:ind w:left="0" w:right="0"/>
              <w:jc w:val="center"/>
              <w:rPr>
                <w:rFonts w:ascii="Calibri" w:eastAsia="Calibri" w:hAnsi="Calibri" w:cs="Calibri"/>
                <w:color w:val="000000"/>
              </w:rPr>
            </w:pPr>
            <w:r>
              <w:rPr>
                <w:color w:val="000000"/>
              </w:rPr>
              <w:t>110</w:t>
            </w:r>
          </w:p>
        </w:tc>
      </w:tr>
    </w:tbl>
    <w:p w:rsidR="006F3BB7" w14:paraId="309AC330" w14:textId="77777777">
      <w:pPr>
        <w:ind w:left="0"/>
      </w:pPr>
    </w:p>
    <w:tbl>
      <w:tblPr>
        <w:tblW w:w="10020" w:type="dxa"/>
        <w:tblInd w:w="50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765"/>
        <w:gridCol w:w="3255"/>
      </w:tblGrid>
      <w:tr w14:paraId="3A74F1EB" w14:textId="77777777">
        <w:tblPrEx>
          <w:tblW w:w="10020" w:type="dxa"/>
          <w:tblInd w:w="50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70"/>
        </w:trPr>
        <w:tc>
          <w:tcPr>
            <w:tcW w:w="676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F3BB7" w14:paraId="3C3EE0B4" w14:textId="77777777">
            <w:pPr>
              <w:widowControl w:val="0"/>
              <w:ind w:left="0" w:right="0"/>
              <w:jc w:val="center"/>
              <w:rPr>
                <w:rFonts w:ascii="Calibri" w:eastAsia="Calibri" w:hAnsi="Calibri" w:cs="Calibri"/>
                <w:color w:val="000000"/>
              </w:rPr>
            </w:pPr>
            <w:r>
              <w:rPr>
                <w:color w:val="0072C6"/>
              </w:rPr>
              <w:t>Table IV-B-3: Consulting/Attorney Fees</w:t>
            </w:r>
          </w:p>
        </w:tc>
        <w:tc>
          <w:tcPr>
            <w:tcW w:w="32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33F322E" w14:textId="630DA817">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349E17B3" w14:textId="77777777">
        <w:tblPrEx>
          <w:tblW w:w="10020" w:type="dxa"/>
          <w:tblInd w:w="505" w:type="dxa"/>
          <w:tblLayout w:type="fixed"/>
          <w:tblCellMar>
            <w:top w:w="100" w:type="dxa"/>
            <w:left w:w="100" w:type="dxa"/>
            <w:bottom w:w="100" w:type="dxa"/>
            <w:right w:w="100" w:type="dxa"/>
          </w:tblCellMar>
          <w:tblLook w:val="0600"/>
        </w:tblPrEx>
        <w:trPr>
          <w:trHeight w:val="270"/>
        </w:trPr>
        <w:tc>
          <w:tcPr>
            <w:tcW w:w="6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33718ABB" w14:textId="77777777">
            <w:pPr>
              <w:widowControl w:val="0"/>
              <w:ind w:left="0" w:right="0"/>
              <w:rPr>
                <w:rFonts w:ascii="Calibri" w:eastAsia="Calibri" w:hAnsi="Calibri" w:cs="Calibri"/>
                <w:color w:val="000000"/>
              </w:rPr>
            </w:pPr>
            <w:r>
              <w:rPr>
                <w:color w:val="000000"/>
              </w:rPr>
              <w:t>Prepare and File Engineering Section of FCC Form 601 (Schedule I)</w:t>
            </w:r>
          </w:p>
        </w:tc>
        <w:tc>
          <w:tcPr>
            <w:tcW w:w="32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25E3F0EA" w14:textId="5C2A9453">
            <w:pPr>
              <w:widowControl w:val="0"/>
              <w:ind w:left="0" w:right="0"/>
              <w:jc w:val="center"/>
              <w:rPr>
                <w:rFonts w:ascii="Calibri" w:eastAsia="Calibri" w:hAnsi="Calibri" w:cs="Calibri"/>
                <w:color w:val="000000"/>
              </w:rPr>
            </w:pPr>
            <w:r>
              <w:rPr>
                <w:color w:val="000000"/>
              </w:rPr>
              <w:t>1</w:t>
            </w:r>
            <w:r w:rsidR="00F819E0">
              <w:rPr>
                <w:color w:val="000000"/>
              </w:rPr>
              <w:t>,</w:t>
            </w:r>
            <w:r>
              <w:rPr>
                <w:color w:val="000000"/>
              </w:rPr>
              <w:t>000 – 5</w:t>
            </w:r>
            <w:r w:rsidR="00F819E0">
              <w:rPr>
                <w:color w:val="000000"/>
              </w:rPr>
              <w:t>,</w:t>
            </w:r>
            <w:r>
              <w:rPr>
                <w:color w:val="000000"/>
              </w:rPr>
              <w:t>250</w:t>
            </w:r>
          </w:p>
        </w:tc>
      </w:tr>
      <w:tr w14:paraId="24932153" w14:textId="77777777">
        <w:tblPrEx>
          <w:tblW w:w="10020" w:type="dxa"/>
          <w:tblInd w:w="505" w:type="dxa"/>
          <w:tblLayout w:type="fixed"/>
          <w:tblCellMar>
            <w:top w:w="100" w:type="dxa"/>
            <w:left w:w="100" w:type="dxa"/>
            <w:bottom w:w="100" w:type="dxa"/>
            <w:right w:w="100" w:type="dxa"/>
          </w:tblCellMar>
          <w:tblLook w:val="0600"/>
        </w:tblPrEx>
        <w:trPr>
          <w:trHeight w:val="270"/>
        </w:trPr>
        <w:tc>
          <w:tcPr>
            <w:tcW w:w="6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30000DF0" w14:textId="77777777">
            <w:pPr>
              <w:widowControl w:val="0"/>
              <w:ind w:left="0" w:right="0"/>
              <w:rPr>
                <w:rFonts w:ascii="Calibri" w:eastAsia="Calibri" w:hAnsi="Calibri" w:cs="Calibri"/>
                <w:color w:val="000000"/>
              </w:rPr>
            </w:pPr>
            <w:r>
              <w:rPr>
                <w:color w:val="000000"/>
              </w:rPr>
              <w:t>Prepare and File Engineering Section of FCC Form 601 Schedule K (Notification of Completion of Construction)</w:t>
            </w:r>
          </w:p>
        </w:tc>
        <w:tc>
          <w:tcPr>
            <w:tcW w:w="32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rsidR="006F3BB7" w14:paraId="0D2376D9" w14:textId="65106F74">
            <w:pPr>
              <w:widowControl w:val="0"/>
              <w:ind w:left="0" w:right="0"/>
              <w:jc w:val="center"/>
              <w:rPr>
                <w:rFonts w:ascii="Calibri" w:eastAsia="Calibri" w:hAnsi="Calibri" w:cs="Calibri"/>
                <w:color w:val="000000"/>
              </w:rPr>
            </w:pPr>
            <w:r>
              <w:rPr>
                <w:color w:val="000000"/>
              </w:rPr>
              <w:t>500 – 2</w:t>
            </w:r>
            <w:r w:rsidR="00F819E0">
              <w:rPr>
                <w:color w:val="000000"/>
              </w:rPr>
              <w:t>,</w:t>
            </w:r>
            <w:r>
              <w:rPr>
                <w:color w:val="000000"/>
              </w:rPr>
              <w:t>250</w:t>
            </w:r>
          </w:p>
        </w:tc>
      </w:tr>
      <w:tr w14:paraId="726970F2" w14:textId="77777777">
        <w:tblPrEx>
          <w:tblW w:w="10020" w:type="dxa"/>
          <w:tblInd w:w="505" w:type="dxa"/>
          <w:tblLayout w:type="fixed"/>
          <w:tblCellMar>
            <w:top w:w="100" w:type="dxa"/>
            <w:left w:w="100" w:type="dxa"/>
            <w:bottom w:w="100" w:type="dxa"/>
            <w:right w:w="100" w:type="dxa"/>
          </w:tblCellMar>
          <w:tblLook w:val="0600"/>
        </w:tblPrEx>
        <w:trPr>
          <w:trHeight w:val="270"/>
        </w:trPr>
        <w:tc>
          <w:tcPr>
            <w:tcW w:w="67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14:paraId="3B72335C" w14:textId="77777777">
            <w:pPr>
              <w:widowControl w:val="0"/>
              <w:ind w:left="0" w:right="0"/>
              <w:rPr>
                <w:rFonts w:ascii="Calibri" w:eastAsia="Calibri" w:hAnsi="Calibri" w:cs="Calibri"/>
                <w:color w:val="000000"/>
              </w:rPr>
            </w:pPr>
            <w:r>
              <w:rPr>
                <w:color w:val="000000"/>
              </w:rPr>
              <w:t>Prepare and File Special Temporary Authorization</w:t>
            </w:r>
          </w:p>
        </w:tc>
        <w:tc>
          <w:tcPr>
            <w:tcW w:w="32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rsidR="006F3BB7" w14:paraId="272931D5" w14:textId="702F2851">
            <w:pPr>
              <w:widowControl w:val="0"/>
              <w:ind w:left="0" w:right="0"/>
              <w:jc w:val="center"/>
              <w:rPr>
                <w:rFonts w:ascii="Calibri" w:eastAsia="Calibri" w:hAnsi="Calibri" w:cs="Calibri"/>
                <w:color w:val="000000"/>
              </w:rPr>
            </w:pPr>
            <w:r>
              <w:rPr>
                <w:color w:val="000000"/>
              </w:rPr>
              <w:t>1</w:t>
            </w:r>
            <w:r w:rsidR="00F819E0">
              <w:rPr>
                <w:color w:val="000000"/>
              </w:rPr>
              <w:t>,</w:t>
            </w:r>
            <w:r>
              <w:rPr>
                <w:color w:val="000000"/>
              </w:rPr>
              <w:t>000 – 3</w:t>
            </w:r>
            <w:r w:rsidR="00F819E0">
              <w:rPr>
                <w:color w:val="000000"/>
              </w:rPr>
              <w:t>,</w:t>
            </w:r>
            <w:r>
              <w:rPr>
                <w:color w:val="000000"/>
              </w:rPr>
              <w:t>500</w:t>
            </w:r>
          </w:p>
        </w:tc>
      </w:tr>
    </w:tbl>
    <w:p w:rsidR="006F3BB7" w14:paraId="521EF96F" w14:textId="77777777"/>
    <w:p w:rsidR="006F3BB7" w14:paraId="09540B8B" w14:textId="77777777">
      <w:pPr>
        <w:pStyle w:val="Heading2"/>
        <w:ind w:left="720" w:firstLine="0"/>
      </w:pPr>
      <w:bookmarkStart w:id="34" w:name="_k2elq2jzgxqk" w:colFirst="0" w:colLast="0"/>
      <w:bookmarkEnd w:id="34"/>
      <w:r>
        <w:br w:type="page"/>
      </w:r>
    </w:p>
    <w:p w:rsidR="006F3BB7" w14:paraId="02F0825E" w14:textId="77777777">
      <w:pPr>
        <w:pStyle w:val="Heading2"/>
        <w:numPr>
          <w:ilvl w:val="0"/>
          <w:numId w:val="5"/>
        </w:numPr>
      </w:pPr>
      <w:bookmarkStart w:id="35" w:name="_Toc38633300"/>
      <w:r>
        <w:t>Site/Project Costs For Same Tower Equipment Replacement</w:t>
      </w:r>
      <w:bookmarkEnd w:id="35"/>
    </w:p>
    <w:p w:rsidR="006F3BB7" w14:paraId="5FC608DE" w14:textId="696242B6">
      <w:pPr>
        <w:ind w:left="450"/>
      </w:pPr>
      <w:r>
        <w:t>In most cases replacement of F</w:t>
      </w:r>
      <w:r w:rsidR="00FC143B">
        <w:t>ixed Service</w:t>
      </w:r>
      <w:r>
        <w:t xml:space="preserve"> equipment is necessary to relocate</w:t>
      </w:r>
      <w:r w:rsidR="00931363">
        <w:t xml:space="preserve"> to a new frequency band</w:t>
      </w:r>
      <w:r>
        <w:t>.  In these cases</w:t>
      </w:r>
      <w:r w:rsidR="00931363">
        <w:t>,</w:t>
      </w:r>
      <w:r>
        <w:t xml:space="preserve"> </w:t>
      </w:r>
      <w:r w:rsidR="00FC143B">
        <w:t>Fixed Service operators may seek</w:t>
      </w:r>
      <w:r>
        <w:t xml:space="preserve"> to limit new tower construction </w:t>
      </w:r>
      <w:r w:rsidR="00FC143B">
        <w:t xml:space="preserve">by </w:t>
      </w:r>
      <w:r>
        <w:t>instead perform</w:t>
      </w:r>
      <w:r w:rsidR="00FC143B">
        <w:t>ing</w:t>
      </w:r>
      <w:r>
        <w:t xml:space="preserve"> a like-for-like replacement of equipment that </w:t>
      </w:r>
      <w:r>
        <w:rPr>
          <w:i/>
        </w:rPr>
        <w:t>must</w:t>
      </w:r>
      <w:r>
        <w:t xml:space="preserve"> be replaced. </w:t>
      </w:r>
      <w:r w:rsidR="00F27BEB">
        <w:t xml:space="preserve"> </w:t>
      </w:r>
      <w:r>
        <w:t xml:space="preserve">This subsection deals with costs associated with project and equipment replacement costs occurring on the towers where existing links reside and thus no costs are associated with new land access and/or a new tower. </w:t>
      </w:r>
      <w:r w:rsidR="00616F33">
        <w:t xml:space="preserve"> </w:t>
      </w:r>
      <w:r>
        <w:t>Costs are broken out by equipment costs, installation/pathing/testing costs, and radio frequency (RF) engineering required to replace both ends of a point-to-point microwave link in Tables IV-C-</w:t>
      </w:r>
      <w:r w:rsidR="00FC143B">
        <w:t>1</w:t>
      </w:r>
      <w:r>
        <w:t>, IV-C-2</w:t>
      </w:r>
      <w:r w:rsidR="00FC143B">
        <w:t>,</w:t>
      </w:r>
      <w:r>
        <w:t xml:space="preserve"> and IV-C-3, respectively.</w:t>
      </w:r>
    </w:p>
    <w:p w:rsidR="006F3BB7" w14:paraId="4B4F19BF" w14:textId="77777777">
      <w:pPr>
        <w:ind w:left="0"/>
      </w:pPr>
    </w:p>
    <w:tbl>
      <w:tblPr>
        <w:tblW w:w="9810" w:type="dxa"/>
        <w:tblInd w:w="47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65"/>
        <w:gridCol w:w="3345"/>
      </w:tblGrid>
      <w:tr w14:paraId="499149D4" w14:textId="77777777">
        <w:tblPrEx>
          <w:tblW w:w="9810" w:type="dxa"/>
          <w:tblInd w:w="47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510"/>
        </w:trPr>
        <w:tc>
          <w:tcPr>
            <w:tcW w:w="64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49B90D9" w14:textId="22902AB4">
            <w:pPr>
              <w:widowControl w:val="0"/>
              <w:ind w:left="0" w:right="0"/>
              <w:jc w:val="center"/>
              <w:rPr>
                <w:color w:val="0072C6"/>
              </w:rPr>
            </w:pPr>
            <w:r>
              <w:rPr>
                <w:color w:val="0072C6"/>
              </w:rPr>
              <w:t xml:space="preserve">Table IV-C-1: </w:t>
            </w:r>
            <w:r w:rsidRPr="00FC143B" w:rsidR="00FC143B">
              <w:rPr>
                <w:color w:val="0072C6"/>
              </w:rPr>
              <w:t>Fixed Service</w:t>
            </w:r>
            <w:r>
              <w:rPr>
                <w:color w:val="0072C6"/>
              </w:rPr>
              <w:t xml:space="preserve"> Equipment for Single Microwave Path</w:t>
            </w:r>
          </w:p>
          <w:p w:rsidR="006F3BB7" w14:paraId="4F10B437" w14:textId="77777777">
            <w:pPr>
              <w:widowControl w:val="0"/>
              <w:ind w:left="0" w:right="0"/>
              <w:jc w:val="center"/>
              <w:rPr>
                <w:rFonts w:ascii="Calibri" w:eastAsia="Calibri" w:hAnsi="Calibri" w:cs="Calibri"/>
                <w:color w:val="000000"/>
              </w:rPr>
            </w:pPr>
            <w:r>
              <w:rPr>
                <w:color w:val="0072C6"/>
              </w:rPr>
              <w:t>(2 ends of a point to point microwave link)</w:t>
            </w:r>
          </w:p>
        </w:tc>
        <w:tc>
          <w:tcPr>
            <w:tcW w:w="33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EDE8496" w14:textId="10184690">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53902BA2" w14:textId="77777777">
        <w:tblPrEx>
          <w:tblW w:w="9810" w:type="dxa"/>
          <w:tblInd w:w="475" w:type="dxa"/>
          <w:tblLayout w:type="fixed"/>
          <w:tblCellMar>
            <w:top w:w="100" w:type="dxa"/>
            <w:left w:w="100" w:type="dxa"/>
            <w:bottom w:w="100" w:type="dxa"/>
            <w:right w:w="100" w:type="dxa"/>
          </w:tblCellMar>
          <w:tblLook w:val="0600"/>
        </w:tblPrEx>
        <w:trPr>
          <w:trHeight w:val="27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5BB6279" w14:textId="77777777">
            <w:pPr>
              <w:widowControl w:val="0"/>
              <w:ind w:left="0" w:right="0"/>
              <w:rPr>
                <w:rFonts w:ascii="Calibri" w:eastAsia="Calibri" w:hAnsi="Calibri" w:cs="Calibri"/>
                <w:color w:val="000000"/>
              </w:rPr>
            </w:pPr>
            <w:r>
              <w:rPr>
                <w:color w:val="000000"/>
              </w:rPr>
              <w:t>Channel Filters</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10BD91D4" w14:textId="31F337B9">
            <w:pPr>
              <w:widowControl w:val="0"/>
              <w:ind w:left="0" w:right="0"/>
              <w:jc w:val="center"/>
              <w:rPr>
                <w:rFonts w:ascii="Calibri" w:eastAsia="Calibri" w:hAnsi="Calibri" w:cs="Calibri"/>
                <w:color w:val="000000"/>
              </w:rPr>
            </w:pPr>
            <w:r>
              <w:rPr>
                <w:color w:val="000000"/>
              </w:rPr>
              <w:t>450 – 2</w:t>
            </w:r>
            <w:r w:rsidR="00F819E0">
              <w:rPr>
                <w:color w:val="000000"/>
              </w:rPr>
              <w:t>,</w:t>
            </w:r>
            <w:r>
              <w:rPr>
                <w:color w:val="000000"/>
              </w:rPr>
              <w:t>100</w:t>
            </w:r>
          </w:p>
        </w:tc>
      </w:tr>
      <w:tr w14:paraId="729417AF" w14:textId="77777777">
        <w:tblPrEx>
          <w:tblW w:w="9810" w:type="dxa"/>
          <w:tblInd w:w="475" w:type="dxa"/>
          <w:tblLayout w:type="fixed"/>
          <w:tblCellMar>
            <w:top w:w="100" w:type="dxa"/>
            <w:left w:w="100" w:type="dxa"/>
            <w:bottom w:w="100" w:type="dxa"/>
            <w:right w:w="100" w:type="dxa"/>
          </w:tblCellMar>
          <w:tblLook w:val="0600"/>
        </w:tblPrEx>
        <w:trPr>
          <w:trHeight w:val="27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CE6D9D7" w14:textId="77777777">
            <w:pPr>
              <w:widowControl w:val="0"/>
              <w:ind w:left="0" w:right="0"/>
              <w:rPr>
                <w:rFonts w:ascii="Calibri" w:eastAsia="Calibri" w:hAnsi="Calibri" w:cs="Calibri"/>
                <w:color w:val="000000"/>
              </w:rPr>
            </w:pPr>
            <w:r>
              <w:rPr>
                <w:color w:val="000000"/>
              </w:rPr>
              <w:t>Indoor Radio Pair</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1F3FEDD7" w14:textId="22824301">
            <w:pPr>
              <w:widowControl w:val="0"/>
              <w:ind w:left="0" w:right="0"/>
              <w:jc w:val="center"/>
              <w:rPr>
                <w:rFonts w:ascii="Calibri" w:eastAsia="Calibri" w:hAnsi="Calibri" w:cs="Calibri"/>
                <w:color w:val="000000"/>
              </w:rPr>
            </w:pPr>
            <w:r>
              <w:rPr>
                <w:color w:val="000000"/>
              </w:rPr>
              <w:t xml:space="preserve">6,000 </w:t>
            </w:r>
            <w:r w:rsidR="001F72D4">
              <w:rPr>
                <w:color w:val="000000"/>
              </w:rPr>
              <w:t>–</w:t>
            </w:r>
            <w:r>
              <w:rPr>
                <w:color w:val="000000"/>
              </w:rPr>
              <w:t xml:space="preserve"> 26,000</w:t>
            </w:r>
          </w:p>
        </w:tc>
      </w:tr>
      <w:tr w14:paraId="427B7E16" w14:textId="77777777">
        <w:tblPrEx>
          <w:tblW w:w="9810" w:type="dxa"/>
          <w:tblInd w:w="475" w:type="dxa"/>
          <w:tblLayout w:type="fixed"/>
          <w:tblCellMar>
            <w:top w:w="100" w:type="dxa"/>
            <w:left w:w="100" w:type="dxa"/>
            <w:bottom w:w="100" w:type="dxa"/>
            <w:right w:w="100" w:type="dxa"/>
          </w:tblCellMar>
          <w:tblLook w:val="0600"/>
        </w:tblPrEx>
        <w:trPr>
          <w:trHeight w:val="27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65D98D3" w14:textId="77777777">
            <w:pPr>
              <w:widowControl w:val="0"/>
              <w:ind w:left="0" w:right="0"/>
              <w:rPr>
                <w:rFonts w:ascii="Calibri" w:eastAsia="Calibri" w:hAnsi="Calibri" w:cs="Calibri"/>
                <w:color w:val="000000"/>
              </w:rPr>
            </w:pPr>
            <w:r>
              <w:rPr>
                <w:color w:val="000000"/>
              </w:rPr>
              <w:t>Modem Pair</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FBCA10E" w14:textId="7A514ECF">
            <w:pPr>
              <w:widowControl w:val="0"/>
              <w:ind w:left="0" w:right="0"/>
              <w:jc w:val="center"/>
              <w:rPr>
                <w:rFonts w:ascii="Calibri" w:eastAsia="Calibri" w:hAnsi="Calibri" w:cs="Calibri"/>
                <w:color w:val="000000"/>
              </w:rPr>
            </w:pPr>
            <w:r>
              <w:rPr>
                <w:color w:val="000000"/>
              </w:rPr>
              <w:t xml:space="preserve">650 </w:t>
            </w:r>
            <w:r w:rsidR="00F819E0">
              <w:rPr>
                <w:color w:val="000000"/>
              </w:rPr>
              <w:t>–</w:t>
            </w:r>
            <w:r>
              <w:rPr>
                <w:color w:val="000000"/>
              </w:rPr>
              <w:t xml:space="preserve"> 5</w:t>
            </w:r>
            <w:r w:rsidR="00F819E0">
              <w:rPr>
                <w:color w:val="000000"/>
              </w:rPr>
              <w:t>,</w:t>
            </w:r>
            <w:r>
              <w:rPr>
                <w:color w:val="000000"/>
              </w:rPr>
              <w:t>500</w:t>
            </w:r>
          </w:p>
        </w:tc>
      </w:tr>
      <w:tr w14:paraId="5DB5C98D" w14:textId="77777777">
        <w:tblPrEx>
          <w:tblW w:w="9810" w:type="dxa"/>
          <w:tblInd w:w="475" w:type="dxa"/>
          <w:tblLayout w:type="fixed"/>
          <w:tblCellMar>
            <w:top w:w="100" w:type="dxa"/>
            <w:left w:w="100" w:type="dxa"/>
            <w:bottom w:w="100" w:type="dxa"/>
            <w:right w:w="100" w:type="dxa"/>
          </w:tblCellMar>
          <w:tblLook w:val="0600"/>
        </w:tblPrEx>
        <w:trPr>
          <w:trHeight w:val="270"/>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16A0F054" w14:textId="47179D9D">
            <w:pPr>
              <w:widowControl w:val="0"/>
              <w:ind w:left="0" w:right="0"/>
              <w:rPr>
                <w:rFonts w:ascii="Calibri" w:eastAsia="Calibri" w:hAnsi="Calibri" w:cs="Calibri"/>
                <w:color w:val="000000"/>
              </w:rPr>
            </w:pPr>
            <w:r>
              <w:rPr>
                <w:color w:val="000000"/>
              </w:rPr>
              <w:t>M</w:t>
            </w:r>
            <w:r w:rsidR="004812A8">
              <w:rPr>
                <w:color w:val="000000"/>
              </w:rPr>
              <w:t>icrowave</w:t>
            </w:r>
            <w:r>
              <w:rPr>
                <w:color w:val="000000"/>
              </w:rPr>
              <w:t xml:space="preserve"> antennas - </w:t>
            </w:r>
            <w:r w:rsidR="0043362F">
              <w:rPr>
                <w:color w:val="000000"/>
              </w:rPr>
              <w:t>2</w:t>
            </w:r>
            <w:r>
              <w:rPr>
                <w:color w:val="000000"/>
              </w:rPr>
              <w:t xml:space="preserve"> parabolic dish antennas</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730944B" w14:textId="53002250">
            <w:pPr>
              <w:widowControl w:val="0"/>
              <w:ind w:left="0" w:right="0"/>
              <w:jc w:val="center"/>
              <w:rPr>
                <w:rFonts w:ascii="Calibri" w:eastAsia="Calibri" w:hAnsi="Calibri" w:cs="Calibri"/>
                <w:color w:val="000000"/>
              </w:rPr>
            </w:pPr>
            <w:r>
              <w:rPr>
                <w:color w:val="000000"/>
              </w:rPr>
              <w:t>2</w:t>
            </w:r>
            <w:r w:rsidR="00F819E0">
              <w:rPr>
                <w:color w:val="000000"/>
              </w:rPr>
              <w:t>,</w:t>
            </w:r>
            <w:r>
              <w:rPr>
                <w:color w:val="000000"/>
              </w:rPr>
              <w:t>880 – 24,200</w:t>
            </w:r>
          </w:p>
        </w:tc>
      </w:tr>
      <w:tr w14:paraId="55446395" w14:textId="77777777">
        <w:tblPrEx>
          <w:tblW w:w="9810" w:type="dxa"/>
          <w:tblInd w:w="475" w:type="dxa"/>
          <w:tblLayout w:type="fixed"/>
          <w:tblCellMar>
            <w:top w:w="100" w:type="dxa"/>
            <w:left w:w="100" w:type="dxa"/>
            <w:bottom w:w="100" w:type="dxa"/>
            <w:right w:w="100" w:type="dxa"/>
          </w:tblCellMar>
          <w:tblLook w:val="0600"/>
        </w:tblPrEx>
        <w:trPr>
          <w:trHeight w:val="285"/>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22020AEE" w14:textId="70067855">
            <w:pPr>
              <w:widowControl w:val="0"/>
              <w:ind w:left="0" w:right="0"/>
              <w:rPr>
                <w:rFonts w:ascii="Calibri" w:eastAsia="Calibri" w:hAnsi="Calibri" w:cs="Calibri"/>
                <w:color w:val="000000"/>
              </w:rPr>
            </w:pPr>
            <w:r>
              <w:rPr>
                <w:color w:val="000000"/>
              </w:rPr>
              <w:t>Outdoor Units - 2 radio</w:t>
            </w:r>
            <w:r w:rsidR="00C66F90">
              <w:rPr>
                <w:color w:val="000000"/>
              </w:rPr>
              <w:t>s</w:t>
            </w:r>
            <w:r>
              <w:rPr>
                <w:color w:val="000000"/>
              </w:rPr>
              <w:t xml:space="preserve"> and enclosure</w:t>
            </w:r>
            <w:r w:rsidR="00C66F90">
              <w:rPr>
                <w:color w:val="000000"/>
              </w:rPr>
              <w:t>s</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36A04BB" w14:textId="33982E26">
            <w:pPr>
              <w:widowControl w:val="0"/>
              <w:ind w:left="0" w:right="0"/>
              <w:jc w:val="center"/>
              <w:rPr>
                <w:rFonts w:ascii="Calibri" w:eastAsia="Calibri" w:hAnsi="Calibri" w:cs="Calibri"/>
                <w:color w:val="000000"/>
              </w:rPr>
            </w:pPr>
            <w:r>
              <w:rPr>
                <w:color w:val="000000"/>
              </w:rPr>
              <w:t>1</w:t>
            </w:r>
            <w:r w:rsidR="00F819E0">
              <w:rPr>
                <w:color w:val="000000"/>
              </w:rPr>
              <w:t>,</w:t>
            </w:r>
            <w:r>
              <w:rPr>
                <w:color w:val="000000"/>
              </w:rPr>
              <w:t>000 – 7</w:t>
            </w:r>
            <w:r w:rsidR="00F819E0">
              <w:rPr>
                <w:color w:val="000000"/>
              </w:rPr>
              <w:t>,</w:t>
            </w:r>
            <w:r>
              <w:rPr>
                <w:color w:val="000000"/>
              </w:rPr>
              <w:t>750</w:t>
            </w:r>
          </w:p>
        </w:tc>
      </w:tr>
      <w:tr w14:paraId="6E0DA940" w14:textId="77777777">
        <w:tblPrEx>
          <w:tblW w:w="9810" w:type="dxa"/>
          <w:tblInd w:w="475" w:type="dxa"/>
          <w:tblLayout w:type="fixed"/>
          <w:tblCellMar>
            <w:top w:w="100" w:type="dxa"/>
            <w:left w:w="100" w:type="dxa"/>
            <w:bottom w:w="100" w:type="dxa"/>
            <w:right w:w="100" w:type="dxa"/>
          </w:tblCellMar>
          <w:tblLook w:val="0600"/>
        </w:tblPrEx>
        <w:trPr>
          <w:trHeight w:val="585"/>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BAD2950" w14:textId="43434F16">
            <w:pPr>
              <w:widowControl w:val="0"/>
              <w:ind w:left="0" w:right="0"/>
              <w:rPr>
                <w:rFonts w:ascii="Calibri" w:eastAsia="Calibri" w:hAnsi="Calibri" w:cs="Calibri"/>
                <w:color w:val="000000"/>
              </w:rPr>
            </w:pPr>
            <w:r w:rsidRPr="00DC1064">
              <w:rPr>
                <w:iCs/>
                <w:color w:val="000000"/>
              </w:rPr>
              <w:t>M</w:t>
            </w:r>
            <w:r w:rsidR="004812A8">
              <w:rPr>
                <w:iCs/>
                <w:color w:val="000000"/>
              </w:rPr>
              <w:t>icrowave</w:t>
            </w:r>
            <w:r w:rsidRPr="00DC1064">
              <w:rPr>
                <w:iCs/>
                <w:color w:val="000000"/>
              </w:rPr>
              <w:t xml:space="preserve"> Network Management System Equipment</w:t>
            </w:r>
            <w:r>
              <w:rPr>
                <w:color w:val="000000"/>
              </w:rPr>
              <w:t xml:space="preserve"> (server and redundant server hardware)</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D16C843" w14:textId="01AA5A4A">
            <w:pPr>
              <w:widowControl w:val="0"/>
              <w:ind w:left="0" w:right="0"/>
              <w:jc w:val="center"/>
              <w:rPr>
                <w:rFonts w:ascii="Calibri" w:eastAsia="Calibri" w:hAnsi="Calibri" w:cs="Calibri"/>
                <w:color w:val="000000"/>
              </w:rPr>
            </w:pPr>
            <w:r>
              <w:rPr>
                <w:color w:val="000000"/>
              </w:rPr>
              <w:t>20</w:t>
            </w:r>
            <w:r w:rsidR="00F819E0">
              <w:rPr>
                <w:color w:val="000000"/>
              </w:rPr>
              <w:t>,</w:t>
            </w:r>
            <w:r>
              <w:rPr>
                <w:color w:val="000000"/>
              </w:rPr>
              <w:t>000 – 30,000</w:t>
            </w:r>
          </w:p>
        </w:tc>
      </w:tr>
      <w:tr w14:paraId="56E36784" w14:textId="77777777" w:rsidTr="00DC1064">
        <w:tblPrEx>
          <w:tblW w:w="9810" w:type="dxa"/>
          <w:tblInd w:w="475" w:type="dxa"/>
          <w:tblLayout w:type="fixed"/>
          <w:tblCellMar>
            <w:top w:w="100" w:type="dxa"/>
            <w:left w:w="100" w:type="dxa"/>
            <w:bottom w:w="100" w:type="dxa"/>
            <w:right w:w="100" w:type="dxa"/>
          </w:tblCellMar>
          <w:tblLook w:val="0600"/>
        </w:tblPrEx>
        <w:trPr>
          <w:trHeight w:val="678"/>
        </w:trPr>
        <w:tc>
          <w:tcPr>
            <w:tcW w:w="64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5E02F083" w14:textId="43B2A6AE">
            <w:pPr>
              <w:widowControl w:val="0"/>
              <w:ind w:left="0" w:right="0"/>
              <w:rPr>
                <w:rFonts w:ascii="Calibri" w:eastAsia="Calibri" w:hAnsi="Calibri" w:cs="Calibri"/>
                <w:color w:val="000000"/>
              </w:rPr>
            </w:pPr>
            <w:r w:rsidRPr="00DC1064">
              <w:rPr>
                <w:iCs/>
                <w:color w:val="000000"/>
              </w:rPr>
              <w:t>Miscellaneous</w:t>
            </w:r>
            <w:r w:rsidRPr="00DC1064" w:rsidR="00E7555E">
              <w:rPr>
                <w:iCs/>
                <w:color w:val="000000"/>
              </w:rPr>
              <w:t xml:space="preserve"> </w:t>
            </w:r>
            <w:r w:rsidRPr="00DC1064">
              <w:rPr>
                <w:iCs/>
                <w:color w:val="000000"/>
              </w:rPr>
              <w:t>Materials</w:t>
            </w:r>
            <w:r>
              <w:rPr>
                <w:i/>
                <w:color w:val="000000"/>
              </w:rPr>
              <w:t xml:space="preserve"> </w:t>
            </w:r>
            <w:r w:rsidRPr="00DC1064">
              <w:rPr>
                <w:iCs/>
                <w:color w:val="000000"/>
              </w:rPr>
              <w:t>(e.g. waveguide, dehydrator, grounding, DC to DC Converter, Racks, PDUs, Disposal, Delivery, Storage and Handling</w:t>
            </w:r>
            <w:r w:rsidR="00E7555E">
              <w:rPr>
                <w:iCs/>
                <w:color w:val="000000"/>
              </w:rPr>
              <w:t>)</w:t>
            </w:r>
          </w:p>
        </w:tc>
        <w:tc>
          <w:tcPr>
            <w:tcW w:w="33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1D1C0EF" w14:textId="77777777">
            <w:pPr>
              <w:widowControl w:val="0"/>
              <w:ind w:left="0" w:right="0"/>
              <w:jc w:val="center"/>
              <w:rPr>
                <w:rFonts w:ascii="Calibri" w:eastAsia="Calibri" w:hAnsi="Calibri" w:cs="Calibri"/>
                <w:color w:val="000000"/>
              </w:rPr>
            </w:pPr>
            <w:r>
              <w:rPr>
                <w:color w:val="000000"/>
              </w:rPr>
              <w:t>3,000 – 25,000</w:t>
            </w:r>
          </w:p>
        </w:tc>
      </w:tr>
    </w:tbl>
    <w:p w:rsidR="006F3BB7" w14:paraId="6D0712DC" w14:textId="77777777">
      <w:pPr>
        <w:ind w:left="0"/>
      </w:pPr>
      <w:r>
        <w:br w:type="page"/>
      </w:r>
    </w:p>
    <w:p w:rsidR="006F3BB7" w14:paraId="436B6EF1" w14:textId="77777777">
      <w:pPr>
        <w:ind w:left="0"/>
      </w:pPr>
    </w:p>
    <w:tbl>
      <w:tblPr>
        <w:tblW w:w="9792" w:type="dxa"/>
        <w:tblInd w:w="46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80"/>
        <w:gridCol w:w="3312"/>
      </w:tblGrid>
      <w:tr w14:paraId="0745FC36" w14:textId="77777777" w:rsidTr="00C75185">
        <w:tblPrEx>
          <w:tblW w:w="9792" w:type="dxa"/>
          <w:tblInd w:w="46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90"/>
        </w:trPr>
        <w:tc>
          <w:tcPr>
            <w:tcW w:w="64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0B8BF87C" w14:textId="251F144D">
            <w:pPr>
              <w:widowControl w:val="0"/>
              <w:ind w:left="0" w:right="0"/>
              <w:jc w:val="center"/>
              <w:rPr>
                <w:rFonts w:ascii="Calibri" w:eastAsia="Calibri" w:hAnsi="Calibri" w:cs="Calibri"/>
                <w:color w:val="000000"/>
              </w:rPr>
            </w:pPr>
            <w:r>
              <w:rPr>
                <w:color w:val="0072C6"/>
              </w:rPr>
              <w:t>Table IV-C-2 Installation/Pathing /Testing Costs</w:t>
            </w:r>
          </w:p>
        </w:tc>
        <w:tc>
          <w:tcPr>
            <w:tcW w:w="3312"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13C853DD" w14:textId="32C3160D">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6952D8BC" w14:textId="77777777" w:rsidTr="00C75185">
        <w:tblPrEx>
          <w:tblW w:w="9792" w:type="dxa"/>
          <w:tblInd w:w="460" w:type="dxa"/>
          <w:tblLayout w:type="fixed"/>
          <w:tblCellMar>
            <w:top w:w="100" w:type="dxa"/>
            <w:left w:w="100" w:type="dxa"/>
            <w:bottom w:w="100" w:type="dxa"/>
            <w:right w:w="100" w:type="dxa"/>
          </w:tblCellMar>
          <w:tblLook w:val="0600"/>
        </w:tblPrEx>
        <w:trPr>
          <w:trHeight w:val="51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2E95C91" w14:textId="77777777">
            <w:pPr>
              <w:widowControl w:val="0"/>
              <w:ind w:left="0" w:right="0"/>
              <w:rPr>
                <w:rFonts w:ascii="Calibri" w:eastAsia="Calibri" w:hAnsi="Calibri" w:cs="Calibri"/>
                <w:color w:val="000000"/>
              </w:rPr>
            </w:pPr>
            <w:r>
              <w:rPr>
                <w:color w:val="000000"/>
              </w:rPr>
              <w:t>Microwave changeout per elevation (one site, each hop is two sites) - includes feedlines and sweep testing</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D90DBF3" w14:textId="77777777">
            <w:pPr>
              <w:widowControl w:val="0"/>
              <w:ind w:left="0" w:right="0"/>
              <w:jc w:val="center"/>
              <w:rPr>
                <w:rFonts w:ascii="Calibri" w:eastAsia="Calibri" w:hAnsi="Calibri" w:cs="Calibri"/>
                <w:color w:val="000000"/>
              </w:rPr>
            </w:pPr>
            <w:r>
              <w:rPr>
                <w:color w:val="000000"/>
              </w:rPr>
              <w:t>28,000 – 38,000</w:t>
            </w:r>
          </w:p>
        </w:tc>
      </w:tr>
      <w:tr w14:paraId="575D1E2C"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A518E06" w14:textId="77777777">
            <w:pPr>
              <w:widowControl w:val="0"/>
              <w:ind w:left="0" w:right="0"/>
              <w:rPr>
                <w:rFonts w:ascii="Calibri" w:eastAsia="Calibri" w:hAnsi="Calibri" w:cs="Calibri"/>
                <w:color w:val="000000"/>
              </w:rPr>
            </w:pPr>
            <w:r>
              <w:rPr>
                <w:color w:val="000000"/>
              </w:rPr>
              <w:t>Microwave Pathing</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5C23AF9" w14:textId="77777777">
            <w:pPr>
              <w:widowControl w:val="0"/>
              <w:ind w:left="0" w:right="0"/>
              <w:jc w:val="center"/>
              <w:rPr>
                <w:rFonts w:ascii="Calibri" w:eastAsia="Calibri" w:hAnsi="Calibri" w:cs="Calibri"/>
                <w:color w:val="000000"/>
              </w:rPr>
            </w:pPr>
            <w:r>
              <w:rPr>
                <w:color w:val="000000"/>
              </w:rPr>
              <w:t>12,000 – 16,000</w:t>
            </w:r>
          </w:p>
        </w:tc>
      </w:tr>
      <w:tr w14:paraId="76E8D792"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A5B7546" w14:textId="77777777">
            <w:pPr>
              <w:widowControl w:val="0"/>
              <w:ind w:left="0" w:right="0"/>
              <w:rPr>
                <w:rFonts w:ascii="Calibri" w:eastAsia="Calibri" w:hAnsi="Calibri" w:cs="Calibri"/>
                <w:color w:val="000000"/>
              </w:rPr>
            </w:pPr>
            <w:r>
              <w:rPr>
                <w:color w:val="000000"/>
              </w:rPr>
              <w:t>Radio, modem and cabling</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1AEB881" w14:textId="327AD7C7">
            <w:pPr>
              <w:widowControl w:val="0"/>
              <w:ind w:left="0" w:right="0"/>
              <w:jc w:val="center"/>
              <w:rPr>
                <w:rFonts w:ascii="Calibri" w:eastAsia="Calibri" w:hAnsi="Calibri" w:cs="Calibri"/>
                <w:color w:val="000000"/>
              </w:rPr>
            </w:pPr>
            <w:r>
              <w:rPr>
                <w:color w:val="000000"/>
              </w:rPr>
              <w:t>5</w:t>
            </w:r>
            <w:r w:rsidR="00F819E0">
              <w:rPr>
                <w:color w:val="000000"/>
              </w:rPr>
              <w:t>,</w:t>
            </w:r>
            <w:r>
              <w:rPr>
                <w:color w:val="000000"/>
              </w:rPr>
              <w:t>000 – 7</w:t>
            </w:r>
            <w:r w:rsidR="00F819E0">
              <w:rPr>
                <w:color w:val="000000"/>
              </w:rPr>
              <w:t>,</w:t>
            </w:r>
            <w:r>
              <w:rPr>
                <w:color w:val="000000"/>
              </w:rPr>
              <w:t>000</w:t>
            </w:r>
          </w:p>
        </w:tc>
      </w:tr>
      <w:tr w14:paraId="11D4CD73"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DA2EA68" w14:textId="77777777">
            <w:pPr>
              <w:widowControl w:val="0"/>
              <w:ind w:left="0" w:right="0"/>
              <w:rPr>
                <w:rFonts w:ascii="Calibri" w:eastAsia="Calibri" w:hAnsi="Calibri" w:cs="Calibri"/>
                <w:color w:val="000000"/>
              </w:rPr>
            </w:pPr>
            <w:r>
              <w:rPr>
                <w:color w:val="000000"/>
              </w:rPr>
              <w:t>Microwave Dish Antenna</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E07870D" w14:textId="77777777">
            <w:pPr>
              <w:widowControl w:val="0"/>
              <w:ind w:left="0" w:right="0"/>
              <w:jc w:val="center"/>
              <w:rPr>
                <w:rFonts w:ascii="Calibri" w:eastAsia="Calibri" w:hAnsi="Calibri" w:cs="Calibri"/>
                <w:color w:val="000000"/>
              </w:rPr>
            </w:pPr>
            <w:r>
              <w:rPr>
                <w:color w:val="000000"/>
              </w:rPr>
              <w:t>10,000 – 15,000</w:t>
            </w:r>
          </w:p>
        </w:tc>
      </w:tr>
      <w:tr w14:paraId="262FA60B"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BDA7272" w14:textId="77777777">
            <w:pPr>
              <w:widowControl w:val="0"/>
              <w:ind w:left="0" w:right="0"/>
              <w:rPr>
                <w:rFonts w:ascii="Calibri" w:eastAsia="Calibri" w:hAnsi="Calibri" w:cs="Calibri"/>
                <w:color w:val="000000"/>
              </w:rPr>
            </w:pPr>
            <w:r>
              <w:rPr>
                <w:color w:val="000000"/>
              </w:rPr>
              <w:t>Waveguide, Jumpers and Connectors</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66545B2" w14:textId="29F57EAD">
            <w:pPr>
              <w:widowControl w:val="0"/>
              <w:ind w:left="0" w:right="0"/>
              <w:jc w:val="center"/>
              <w:rPr>
                <w:rFonts w:ascii="Calibri" w:eastAsia="Calibri" w:hAnsi="Calibri" w:cs="Calibri"/>
                <w:color w:val="000000"/>
              </w:rPr>
            </w:pPr>
            <w:r>
              <w:rPr>
                <w:color w:val="000000"/>
              </w:rPr>
              <w:t>3</w:t>
            </w:r>
            <w:r w:rsidR="00F819E0">
              <w:rPr>
                <w:color w:val="000000"/>
              </w:rPr>
              <w:t>,</w:t>
            </w:r>
            <w:r>
              <w:rPr>
                <w:color w:val="000000"/>
              </w:rPr>
              <w:t>000 – 5</w:t>
            </w:r>
            <w:r w:rsidR="00F819E0">
              <w:rPr>
                <w:color w:val="000000"/>
              </w:rPr>
              <w:t>,</w:t>
            </w:r>
            <w:r>
              <w:rPr>
                <w:color w:val="000000"/>
              </w:rPr>
              <w:t>000</w:t>
            </w:r>
          </w:p>
        </w:tc>
      </w:tr>
      <w:tr w14:paraId="1CE62A59"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D01A886" w14:textId="77777777">
            <w:pPr>
              <w:widowControl w:val="0"/>
              <w:ind w:left="0" w:right="0"/>
              <w:rPr>
                <w:rFonts w:ascii="Calibri" w:eastAsia="Calibri" w:hAnsi="Calibri" w:cs="Calibri"/>
                <w:color w:val="000000"/>
              </w:rPr>
            </w:pPr>
            <w:r>
              <w:rPr>
                <w:color w:val="000000"/>
              </w:rPr>
              <w:t>Dehydrator system</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3AADCD2" w14:textId="696D245E">
            <w:pPr>
              <w:widowControl w:val="0"/>
              <w:ind w:left="0" w:right="0"/>
              <w:jc w:val="center"/>
              <w:rPr>
                <w:rFonts w:ascii="Calibri" w:eastAsia="Calibri" w:hAnsi="Calibri" w:cs="Calibri"/>
                <w:color w:val="000000"/>
              </w:rPr>
            </w:pPr>
            <w:r>
              <w:rPr>
                <w:color w:val="000000"/>
              </w:rPr>
              <w:t>1</w:t>
            </w:r>
            <w:r w:rsidR="00F819E0">
              <w:rPr>
                <w:color w:val="000000"/>
              </w:rPr>
              <w:t>,</w:t>
            </w:r>
            <w:r>
              <w:rPr>
                <w:color w:val="000000"/>
              </w:rPr>
              <w:t>000 – 1</w:t>
            </w:r>
            <w:r w:rsidR="00F819E0">
              <w:rPr>
                <w:color w:val="000000"/>
              </w:rPr>
              <w:t>,</w:t>
            </w:r>
            <w:r>
              <w:rPr>
                <w:color w:val="000000"/>
              </w:rPr>
              <w:t>500</w:t>
            </w:r>
          </w:p>
        </w:tc>
      </w:tr>
      <w:tr w14:paraId="21B684B7"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4F36BCD" w14:textId="77777777">
            <w:pPr>
              <w:widowControl w:val="0"/>
              <w:ind w:left="0" w:right="0"/>
              <w:rPr>
                <w:rFonts w:ascii="Calibri" w:eastAsia="Calibri" w:hAnsi="Calibri" w:cs="Calibri"/>
                <w:color w:val="000000"/>
              </w:rPr>
            </w:pPr>
            <w:r>
              <w:rPr>
                <w:color w:val="000000"/>
              </w:rPr>
              <w:t>DC Breaker Installation</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97B7EA6" w14:textId="77777777">
            <w:pPr>
              <w:widowControl w:val="0"/>
              <w:ind w:left="0" w:right="0"/>
              <w:jc w:val="center"/>
              <w:rPr>
                <w:rFonts w:ascii="Calibri" w:eastAsia="Calibri" w:hAnsi="Calibri" w:cs="Calibri"/>
                <w:color w:val="000000"/>
              </w:rPr>
            </w:pPr>
            <w:r>
              <w:rPr>
                <w:color w:val="000000"/>
              </w:rPr>
              <w:t>400 – 600</w:t>
            </w:r>
          </w:p>
        </w:tc>
      </w:tr>
      <w:tr w14:paraId="3688C0D8"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20E3539" w14:textId="77777777">
            <w:pPr>
              <w:widowControl w:val="0"/>
              <w:ind w:left="0" w:right="0"/>
              <w:rPr>
                <w:rFonts w:ascii="Calibri" w:eastAsia="Calibri" w:hAnsi="Calibri" w:cs="Calibri"/>
                <w:color w:val="000000"/>
              </w:rPr>
            </w:pPr>
            <w:r>
              <w:rPr>
                <w:color w:val="000000"/>
              </w:rPr>
              <w:t>New ground bar for waveguide</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61CB642" w14:textId="1B19264F">
            <w:pPr>
              <w:widowControl w:val="0"/>
              <w:ind w:left="0" w:right="0"/>
              <w:jc w:val="center"/>
              <w:rPr>
                <w:rFonts w:ascii="Calibri" w:eastAsia="Calibri" w:hAnsi="Calibri" w:cs="Calibri"/>
                <w:color w:val="000000"/>
              </w:rPr>
            </w:pPr>
            <w:r>
              <w:rPr>
                <w:color w:val="000000"/>
              </w:rPr>
              <w:t>700 – 1</w:t>
            </w:r>
            <w:r w:rsidR="00F819E0">
              <w:rPr>
                <w:color w:val="000000"/>
              </w:rPr>
              <w:t>,</w:t>
            </w:r>
            <w:r>
              <w:rPr>
                <w:color w:val="000000"/>
              </w:rPr>
              <w:t>000</w:t>
            </w:r>
          </w:p>
        </w:tc>
      </w:tr>
      <w:tr w14:paraId="288705B0"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75AE128" w14:textId="77777777">
            <w:pPr>
              <w:widowControl w:val="0"/>
              <w:ind w:left="0" w:right="0"/>
              <w:rPr>
                <w:rFonts w:ascii="Calibri" w:eastAsia="Calibri" w:hAnsi="Calibri" w:cs="Calibri"/>
                <w:color w:val="000000"/>
              </w:rPr>
            </w:pPr>
            <w:r>
              <w:rPr>
                <w:color w:val="000000"/>
              </w:rPr>
              <w:t>New Ice bridge from shelter to tower</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47C8855" w14:textId="4926E971">
            <w:pPr>
              <w:widowControl w:val="0"/>
              <w:ind w:left="0" w:right="0"/>
              <w:jc w:val="center"/>
              <w:rPr>
                <w:rFonts w:ascii="Calibri" w:eastAsia="Calibri" w:hAnsi="Calibri" w:cs="Calibri"/>
                <w:color w:val="000000"/>
              </w:rPr>
            </w:pPr>
            <w:r>
              <w:rPr>
                <w:color w:val="000000"/>
              </w:rPr>
              <w:t>6</w:t>
            </w:r>
            <w:r w:rsidR="00F819E0">
              <w:rPr>
                <w:color w:val="000000"/>
              </w:rPr>
              <w:t>,</w:t>
            </w:r>
            <w:r>
              <w:rPr>
                <w:color w:val="000000"/>
              </w:rPr>
              <w:t>000 – 8</w:t>
            </w:r>
            <w:r w:rsidR="00F819E0">
              <w:rPr>
                <w:color w:val="000000"/>
              </w:rPr>
              <w:t>,</w:t>
            </w:r>
            <w:r>
              <w:rPr>
                <w:color w:val="000000"/>
              </w:rPr>
              <w:t>000</w:t>
            </w:r>
          </w:p>
        </w:tc>
      </w:tr>
      <w:tr w14:paraId="5C31180D"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5EF1FE7D" w14:textId="77777777">
            <w:pPr>
              <w:widowControl w:val="0"/>
              <w:ind w:left="0" w:right="0"/>
              <w:rPr>
                <w:rFonts w:ascii="Calibri" w:eastAsia="Calibri" w:hAnsi="Calibri" w:cs="Calibri"/>
                <w:color w:val="000000"/>
              </w:rPr>
            </w:pPr>
            <w:r>
              <w:rPr>
                <w:color w:val="000000"/>
              </w:rPr>
              <w:t>Dish Alignment</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4BCDB2E" w14:textId="623CAA3F">
            <w:pPr>
              <w:widowControl w:val="0"/>
              <w:ind w:left="0" w:right="0"/>
              <w:jc w:val="center"/>
              <w:rPr>
                <w:rFonts w:ascii="Calibri" w:eastAsia="Calibri" w:hAnsi="Calibri" w:cs="Calibri"/>
                <w:color w:val="000000"/>
              </w:rPr>
            </w:pPr>
            <w:r>
              <w:rPr>
                <w:color w:val="000000"/>
              </w:rPr>
              <w:t>2</w:t>
            </w:r>
            <w:r w:rsidR="00F819E0">
              <w:rPr>
                <w:color w:val="000000"/>
              </w:rPr>
              <w:t>,</w:t>
            </w:r>
            <w:r>
              <w:rPr>
                <w:color w:val="000000"/>
              </w:rPr>
              <w:t>500 – 3</w:t>
            </w:r>
            <w:r w:rsidR="00F819E0">
              <w:rPr>
                <w:color w:val="000000"/>
              </w:rPr>
              <w:t>,</w:t>
            </w:r>
            <w:r>
              <w:rPr>
                <w:color w:val="000000"/>
              </w:rPr>
              <w:t>500</w:t>
            </w:r>
          </w:p>
        </w:tc>
      </w:tr>
      <w:tr w14:paraId="7C193693" w14:textId="77777777" w:rsidTr="00C75185">
        <w:tblPrEx>
          <w:tblW w:w="9792" w:type="dxa"/>
          <w:tblInd w:w="460"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274883B" w14:textId="77777777">
            <w:pPr>
              <w:widowControl w:val="0"/>
              <w:ind w:left="0" w:right="0"/>
              <w:rPr>
                <w:rFonts w:ascii="Calibri" w:eastAsia="Calibri" w:hAnsi="Calibri" w:cs="Calibri"/>
                <w:color w:val="000000"/>
              </w:rPr>
            </w:pPr>
            <w:r>
              <w:rPr>
                <w:color w:val="000000"/>
              </w:rPr>
              <w:t>Radio Acceptance Testing</w:t>
            </w:r>
          </w:p>
        </w:tc>
        <w:tc>
          <w:tcPr>
            <w:tcW w:w="33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B9B33A6" w14:textId="0615A292">
            <w:pPr>
              <w:widowControl w:val="0"/>
              <w:ind w:left="0" w:right="0"/>
              <w:jc w:val="center"/>
              <w:rPr>
                <w:rFonts w:ascii="Calibri" w:eastAsia="Calibri" w:hAnsi="Calibri" w:cs="Calibri"/>
                <w:color w:val="000000"/>
              </w:rPr>
            </w:pPr>
            <w:r>
              <w:rPr>
                <w:color w:val="000000"/>
              </w:rPr>
              <w:t>4</w:t>
            </w:r>
            <w:r w:rsidR="00F819E0">
              <w:rPr>
                <w:color w:val="000000"/>
              </w:rPr>
              <w:t>,</w:t>
            </w:r>
            <w:r>
              <w:rPr>
                <w:color w:val="000000"/>
              </w:rPr>
              <w:t>000 – 6</w:t>
            </w:r>
            <w:r w:rsidR="00F819E0">
              <w:rPr>
                <w:color w:val="000000"/>
              </w:rPr>
              <w:t>,</w:t>
            </w:r>
            <w:r>
              <w:rPr>
                <w:color w:val="000000"/>
              </w:rPr>
              <w:t>000</w:t>
            </w:r>
          </w:p>
        </w:tc>
      </w:tr>
    </w:tbl>
    <w:p w:rsidR="006F3BB7" w14:paraId="6E4FAC58" w14:textId="77777777">
      <w:pPr>
        <w:ind w:left="0"/>
      </w:pPr>
    </w:p>
    <w:tbl>
      <w:tblPr>
        <w:tblW w:w="9828"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80"/>
        <w:gridCol w:w="3348"/>
      </w:tblGrid>
      <w:tr w14:paraId="10FB0BA4" w14:textId="77777777" w:rsidTr="00C75185">
        <w:tblPrEx>
          <w:tblW w:w="9828"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9"/>
        </w:trPr>
        <w:tc>
          <w:tcPr>
            <w:tcW w:w="64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0193B16C" w14:textId="77777777">
            <w:pPr>
              <w:widowControl w:val="0"/>
              <w:ind w:left="0" w:right="0"/>
              <w:jc w:val="center"/>
              <w:rPr>
                <w:rFonts w:ascii="Calibri" w:eastAsia="Calibri" w:hAnsi="Calibri" w:cs="Calibri"/>
                <w:color w:val="000000"/>
              </w:rPr>
            </w:pPr>
            <w:r>
              <w:rPr>
                <w:color w:val="0072C6"/>
              </w:rPr>
              <w:t>Table IV-C-3 RF Engineering Costs</w:t>
            </w:r>
          </w:p>
        </w:tc>
        <w:tc>
          <w:tcPr>
            <w:tcW w:w="334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1A0A1CAE" w14:textId="1AAD9BDD">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693A4AC6" w14:textId="77777777" w:rsidTr="00C75185">
        <w:tblPrEx>
          <w:tblW w:w="9828" w:type="dxa"/>
          <w:tblInd w:w="442" w:type="dxa"/>
          <w:tblLayout w:type="fixed"/>
          <w:tblCellMar>
            <w:top w:w="100" w:type="dxa"/>
            <w:left w:w="100" w:type="dxa"/>
            <w:bottom w:w="100" w:type="dxa"/>
            <w:right w:w="100" w:type="dxa"/>
          </w:tblCellMar>
          <w:tblLook w:val="0600"/>
        </w:tblPrEx>
        <w:trPr>
          <w:trHeight w:val="51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9FA5C0D" w14:textId="77777777">
            <w:pPr>
              <w:widowControl w:val="0"/>
              <w:ind w:left="0" w:right="0"/>
              <w:rPr>
                <w:rFonts w:ascii="Calibri" w:eastAsia="Calibri" w:hAnsi="Calibri" w:cs="Calibri"/>
                <w:color w:val="000000"/>
              </w:rPr>
            </w:pPr>
            <w:r>
              <w:rPr>
                <w:color w:val="000000"/>
              </w:rPr>
              <w:t>Perform Engineering Study for New Operating Frequencies and Antenna &amp; RF Equipment Development/Selection</w:t>
            </w:r>
          </w:p>
        </w:tc>
        <w:tc>
          <w:tcPr>
            <w:tcW w:w="33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64AA02CC" w14:textId="070A5CD6">
            <w:pPr>
              <w:widowControl w:val="0"/>
              <w:ind w:left="0" w:right="0"/>
              <w:jc w:val="center"/>
              <w:rPr>
                <w:rFonts w:ascii="Calibri" w:eastAsia="Calibri" w:hAnsi="Calibri" w:cs="Calibri"/>
                <w:color w:val="000000"/>
              </w:rPr>
            </w:pPr>
            <w:r>
              <w:rPr>
                <w:color w:val="000000"/>
              </w:rPr>
              <w:t>2,000 – 15</w:t>
            </w:r>
            <w:r w:rsidR="00F819E0">
              <w:rPr>
                <w:color w:val="000000"/>
              </w:rPr>
              <w:t>,</w:t>
            </w:r>
            <w:r>
              <w:rPr>
                <w:color w:val="000000"/>
              </w:rPr>
              <w:t>000</w:t>
            </w:r>
          </w:p>
        </w:tc>
      </w:tr>
      <w:tr w14:paraId="49660207" w14:textId="77777777" w:rsidTr="00C75185">
        <w:tblPrEx>
          <w:tblW w:w="9828" w:type="dxa"/>
          <w:tblInd w:w="442" w:type="dxa"/>
          <w:tblLayout w:type="fixed"/>
          <w:tblCellMar>
            <w:top w:w="100" w:type="dxa"/>
            <w:left w:w="100" w:type="dxa"/>
            <w:bottom w:w="100" w:type="dxa"/>
            <w:right w:w="100" w:type="dxa"/>
          </w:tblCellMar>
          <w:tblLook w:val="0600"/>
        </w:tblPrEx>
        <w:trPr>
          <w:trHeight w:val="300"/>
        </w:trPr>
        <w:tc>
          <w:tcPr>
            <w:tcW w:w="64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C537D6B" w14:textId="77777777">
            <w:pPr>
              <w:widowControl w:val="0"/>
              <w:ind w:left="0" w:right="0"/>
              <w:rPr>
                <w:rFonts w:ascii="Calibri" w:eastAsia="Calibri" w:hAnsi="Calibri" w:cs="Calibri"/>
                <w:color w:val="000000"/>
              </w:rPr>
            </w:pPr>
            <w:r>
              <w:rPr>
                <w:color w:val="000000"/>
              </w:rPr>
              <w:t>Comprehensive coverage verification via field study, if needed</w:t>
            </w:r>
          </w:p>
        </w:tc>
        <w:tc>
          <w:tcPr>
            <w:tcW w:w="33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29FF7CDD" w14:textId="77777777">
            <w:pPr>
              <w:widowControl w:val="0"/>
              <w:ind w:left="0" w:right="0"/>
              <w:jc w:val="center"/>
              <w:rPr>
                <w:rFonts w:ascii="Calibri" w:eastAsia="Calibri" w:hAnsi="Calibri" w:cs="Calibri"/>
                <w:color w:val="000000"/>
              </w:rPr>
            </w:pPr>
            <w:r>
              <w:rPr>
                <w:color w:val="000000"/>
              </w:rPr>
              <w:t>21,000 – 84,200</w:t>
            </w:r>
          </w:p>
        </w:tc>
      </w:tr>
    </w:tbl>
    <w:p w:rsidR="006F3BB7" w14:paraId="696894EA" w14:textId="77777777">
      <w:pPr>
        <w:ind w:left="450"/>
      </w:pPr>
    </w:p>
    <w:p w:rsidR="006F3BB7" w14:paraId="6C25D50F" w14:textId="77777777"/>
    <w:p w:rsidR="006F3BB7" w14:paraId="026B8A8D" w14:textId="77777777">
      <w:pPr>
        <w:pStyle w:val="Heading2"/>
        <w:numPr>
          <w:ilvl w:val="0"/>
          <w:numId w:val="5"/>
        </w:numPr>
      </w:pPr>
      <w:bookmarkStart w:id="36" w:name="_Toc38633301"/>
      <w:r>
        <w:t>Additional Site/Project Costs Associated with new Site(s)</w:t>
      </w:r>
      <w:bookmarkEnd w:id="36"/>
    </w:p>
    <w:p w:rsidR="006F3BB7" w14:paraId="72AEFE7D" w14:textId="0DCD2525">
      <w:pPr>
        <w:ind w:left="450"/>
      </w:pPr>
      <w:r>
        <w:t xml:space="preserve">In cases where a new site is required either for lease or purchase and access to a new tower, existing or new, is necessitated due to no other options being available </w:t>
      </w:r>
      <w:r w:rsidR="006E7DB4">
        <w:t xml:space="preserve">for legacy </w:t>
      </w:r>
      <w:r w:rsidR="00FC143B">
        <w:t>Fixed Service</w:t>
      </w:r>
      <w:r w:rsidR="006E7DB4">
        <w:t xml:space="preserve"> systems </w:t>
      </w:r>
      <w:r>
        <w:t>to relocate</w:t>
      </w:r>
      <w:r w:rsidR="00931363">
        <w:t xml:space="preserve"> to new spectrum bands</w:t>
      </w:r>
      <w:r>
        <w:t xml:space="preserve">, this section identifies costs that might be incurred in association with </w:t>
      </w:r>
      <w:r w:rsidRPr="00FC143B" w:rsidR="00FC143B">
        <w:t>Fixed Service</w:t>
      </w:r>
      <w:r>
        <w:t xml:space="preserve"> migration.  Costs are grouped in terms of site acquisition costs, architecture/engineering costs, survey costs, environmental costs, and structural engineering costs.</w:t>
      </w:r>
    </w:p>
    <w:p w:rsidR="00413F2F" w14:paraId="3E65F541" w14:textId="4A70C29B">
      <w:pPr>
        <w:ind w:left="450"/>
      </w:pPr>
      <w:r>
        <w:t xml:space="preserve"> </w:t>
      </w:r>
    </w:p>
    <w:p w:rsidR="00413F2F" w14:paraId="62E68647" w14:textId="77777777">
      <w:r>
        <w:br w:type="page"/>
      </w:r>
    </w:p>
    <w:tbl>
      <w:tblPr>
        <w:tblW w:w="9990"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390"/>
        <w:gridCol w:w="3600"/>
      </w:tblGrid>
      <w:tr w14:paraId="7C5CA088" w14:textId="77777777" w:rsidTr="00C75185">
        <w:tblPrEx>
          <w:tblW w:w="9990"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510"/>
        </w:trPr>
        <w:tc>
          <w:tcPr>
            <w:tcW w:w="63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rsidP="00DC1064" w14:paraId="687E821F" w14:textId="77777777">
            <w:pPr>
              <w:widowControl w:val="0"/>
              <w:pBdr>
                <w:top w:val="nil"/>
                <w:left w:val="nil"/>
                <w:bottom w:val="nil"/>
                <w:right w:val="nil"/>
                <w:between w:val="nil"/>
              </w:pBdr>
              <w:ind w:left="0" w:right="0"/>
              <w:jc w:val="center"/>
              <w:rPr>
                <w:rFonts w:ascii="Calibri" w:eastAsia="Calibri" w:hAnsi="Calibri" w:cs="Calibri"/>
                <w:color w:val="000000"/>
              </w:rPr>
            </w:pPr>
            <w:r>
              <w:rPr>
                <w:color w:val="0072C6"/>
              </w:rPr>
              <w:t>Table IV-D-1 Site Acquisition Costs</w:t>
            </w:r>
          </w:p>
        </w:tc>
        <w:tc>
          <w:tcPr>
            <w:tcW w:w="36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852D25A" w14:textId="0C9B5E4A">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5E582604" w14:textId="77777777" w:rsidTr="00C75185">
        <w:tblPrEx>
          <w:tblW w:w="9990" w:type="dxa"/>
          <w:tblInd w:w="442" w:type="dxa"/>
          <w:tblLayout w:type="fixed"/>
          <w:tblCellMar>
            <w:top w:w="100" w:type="dxa"/>
            <w:left w:w="100" w:type="dxa"/>
            <w:bottom w:w="100" w:type="dxa"/>
            <w:right w:w="100" w:type="dxa"/>
          </w:tblCellMar>
          <w:tblLook w:val="0600"/>
        </w:tblPrEx>
        <w:trPr>
          <w:trHeight w:val="75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8877972" w14:textId="345A9DD9">
            <w:pPr>
              <w:widowControl w:val="0"/>
              <w:spacing w:line="240" w:lineRule="auto"/>
              <w:ind w:left="0" w:right="0"/>
              <w:rPr>
                <w:rFonts w:ascii="Calibri" w:eastAsia="Calibri" w:hAnsi="Calibri" w:cs="Calibri"/>
                <w:color w:val="000000"/>
              </w:rPr>
            </w:pPr>
            <w:r>
              <w:rPr>
                <w:color w:val="000000"/>
              </w:rPr>
              <w:t>Search Ring for new viable tower or ground space, confirm zoning and permitting process, site candidate application in existing asset, lease package or ground lease</w:t>
            </w:r>
          </w:p>
        </w:tc>
        <w:tc>
          <w:tcPr>
            <w:tcW w:w="3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04ABD97" w14:textId="650E6182">
            <w:pPr>
              <w:widowControl w:val="0"/>
              <w:ind w:left="0" w:right="0"/>
              <w:jc w:val="center"/>
              <w:rPr>
                <w:rFonts w:ascii="Calibri" w:eastAsia="Calibri" w:hAnsi="Calibri" w:cs="Calibri"/>
                <w:color w:val="000000"/>
              </w:rPr>
            </w:pPr>
            <w:r>
              <w:rPr>
                <w:color w:val="000000"/>
              </w:rPr>
              <w:t>7</w:t>
            </w:r>
            <w:r w:rsidR="003E1B1A">
              <w:rPr>
                <w:color w:val="000000"/>
              </w:rPr>
              <w:t>,</w:t>
            </w:r>
            <w:r>
              <w:rPr>
                <w:color w:val="000000"/>
              </w:rPr>
              <w:t>500 – 10,000</w:t>
            </w:r>
          </w:p>
        </w:tc>
      </w:tr>
      <w:tr w14:paraId="33BCB45D" w14:textId="77777777" w:rsidTr="00C75185">
        <w:tblPrEx>
          <w:tblW w:w="9990" w:type="dxa"/>
          <w:tblInd w:w="442" w:type="dxa"/>
          <w:tblLayout w:type="fixed"/>
          <w:tblCellMar>
            <w:top w:w="100" w:type="dxa"/>
            <w:left w:w="100" w:type="dxa"/>
            <w:bottom w:w="100" w:type="dxa"/>
            <w:right w:w="100" w:type="dxa"/>
          </w:tblCellMar>
          <w:tblLook w:val="0600"/>
        </w:tblPrEx>
        <w:trPr>
          <w:trHeight w:val="75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76B75153" w14:textId="77777777">
            <w:pPr>
              <w:widowControl w:val="0"/>
              <w:spacing w:line="240" w:lineRule="auto"/>
              <w:ind w:left="0" w:right="0"/>
              <w:rPr>
                <w:rFonts w:ascii="Calibri" w:eastAsia="Calibri" w:hAnsi="Calibri" w:cs="Calibri"/>
                <w:color w:val="000000"/>
              </w:rPr>
            </w:pPr>
            <w:r>
              <w:rPr>
                <w:color w:val="000000"/>
              </w:rPr>
              <w:t>Obtain building permits from local zoning authorities (cost of preparation, submission and prosecution of necessary forms or applications)</w:t>
            </w:r>
          </w:p>
        </w:tc>
        <w:tc>
          <w:tcPr>
            <w:tcW w:w="3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1B7D03D" w14:textId="05926E25">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 xml:space="preserve">500 </w:t>
            </w:r>
            <w:r w:rsidR="003E1B1A">
              <w:rPr>
                <w:color w:val="000000"/>
              </w:rPr>
              <w:t>–</w:t>
            </w:r>
            <w:r>
              <w:rPr>
                <w:color w:val="000000"/>
              </w:rPr>
              <w:t xml:space="preserve"> 6</w:t>
            </w:r>
            <w:r w:rsidR="003E1B1A">
              <w:rPr>
                <w:color w:val="000000"/>
              </w:rPr>
              <w:t>,</w:t>
            </w:r>
            <w:r>
              <w:rPr>
                <w:color w:val="000000"/>
              </w:rPr>
              <w:t>000</w:t>
            </w:r>
          </w:p>
        </w:tc>
      </w:tr>
      <w:tr w14:paraId="38B2D34F" w14:textId="77777777" w:rsidTr="00C75185">
        <w:tblPrEx>
          <w:tblW w:w="9990" w:type="dxa"/>
          <w:tblInd w:w="442" w:type="dxa"/>
          <w:tblLayout w:type="fixed"/>
          <w:tblCellMar>
            <w:top w:w="100" w:type="dxa"/>
            <w:left w:w="100" w:type="dxa"/>
            <w:bottom w:w="100" w:type="dxa"/>
            <w:right w:w="100" w:type="dxa"/>
          </w:tblCellMar>
          <w:tblLook w:val="0600"/>
        </w:tblPrEx>
        <w:trPr>
          <w:trHeight w:val="510"/>
        </w:trPr>
        <w:tc>
          <w:tcPr>
            <w:tcW w:w="63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69602588" w14:textId="033C7C68">
            <w:pPr>
              <w:widowControl w:val="0"/>
              <w:spacing w:line="240" w:lineRule="auto"/>
              <w:ind w:left="0" w:right="0"/>
              <w:rPr>
                <w:rFonts w:ascii="Calibri" w:eastAsia="Calibri" w:hAnsi="Calibri" w:cs="Calibri"/>
                <w:color w:val="000000"/>
              </w:rPr>
            </w:pPr>
            <w:r>
              <w:rPr>
                <w:color w:val="000000"/>
              </w:rPr>
              <w:t>Obtain local permits other than for zoning (cost of preparation, submission, and prosecution of necessary forms or applications</w:t>
            </w:r>
            <w:r w:rsidR="00F20EFC">
              <w:rPr>
                <w:color w:val="000000"/>
              </w:rPr>
              <w:t>)</w:t>
            </w:r>
          </w:p>
        </w:tc>
        <w:tc>
          <w:tcPr>
            <w:tcW w:w="36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288CB2C4" w14:textId="30810C15">
            <w:pPr>
              <w:widowControl w:val="0"/>
              <w:ind w:left="0" w:right="0"/>
              <w:jc w:val="center"/>
              <w:rPr>
                <w:rFonts w:ascii="Calibri" w:eastAsia="Calibri" w:hAnsi="Calibri" w:cs="Calibri"/>
                <w:color w:val="000000"/>
              </w:rPr>
            </w:pPr>
            <w:r>
              <w:rPr>
                <w:color w:val="000000"/>
              </w:rPr>
              <w:t xml:space="preserve">500 </w:t>
            </w:r>
            <w:r w:rsidR="009B2989">
              <w:rPr>
                <w:color w:val="000000"/>
              </w:rPr>
              <w:t>–</w:t>
            </w:r>
            <w:r>
              <w:rPr>
                <w:color w:val="000000"/>
              </w:rPr>
              <w:t xml:space="preserve"> 2</w:t>
            </w:r>
            <w:r w:rsidR="009B2989">
              <w:rPr>
                <w:color w:val="000000"/>
              </w:rPr>
              <w:t>,</w:t>
            </w:r>
            <w:r>
              <w:rPr>
                <w:color w:val="000000"/>
              </w:rPr>
              <w:t>500</w:t>
            </w:r>
          </w:p>
        </w:tc>
      </w:tr>
    </w:tbl>
    <w:p w:rsidR="006F3BB7" w14:paraId="125A1279" w14:textId="77777777">
      <w:bookmarkStart w:id="37" w:name="_qufadd3vkciu" w:colFirst="0" w:colLast="0"/>
      <w:bookmarkEnd w:id="37"/>
    </w:p>
    <w:tbl>
      <w:tblPr>
        <w:tblW w:w="10038"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08"/>
        <w:gridCol w:w="3630"/>
      </w:tblGrid>
      <w:tr w14:paraId="724B57D5" w14:textId="77777777" w:rsidTr="00C75185">
        <w:tblPrEx>
          <w:tblW w:w="10038" w:type="dxa"/>
          <w:tblInd w:w="442"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90"/>
        </w:trPr>
        <w:tc>
          <w:tcPr>
            <w:tcW w:w="640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2483783C" w14:textId="77777777">
            <w:pPr>
              <w:widowControl w:val="0"/>
              <w:ind w:left="0" w:right="0"/>
              <w:jc w:val="center"/>
              <w:rPr>
                <w:rFonts w:ascii="Calibri" w:eastAsia="Calibri" w:hAnsi="Calibri" w:cs="Calibri"/>
                <w:color w:val="000000"/>
              </w:rPr>
            </w:pPr>
            <w:r>
              <w:rPr>
                <w:color w:val="0072C6"/>
              </w:rPr>
              <w:t>Table IV-D-2 Architecture/Engineering Costs</w:t>
            </w:r>
          </w:p>
        </w:tc>
        <w:tc>
          <w:tcPr>
            <w:tcW w:w="36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2A86C30" w14:textId="16F24902">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4DBE34AB"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4F7583E2" w14:textId="77777777">
            <w:pPr>
              <w:widowControl w:val="0"/>
              <w:ind w:left="0" w:right="0"/>
              <w:rPr>
                <w:rFonts w:ascii="Calibri" w:eastAsia="Calibri" w:hAnsi="Calibri" w:cs="Calibri"/>
                <w:color w:val="000000"/>
              </w:rPr>
            </w:pPr>
            <w:r>
              <w:rPr>
                <w:color w:val="000000"/>
              </w:rPr>
              <w:t>Civil Site Visit &amp; Lease Exhibit</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A515887" w14:textId="6B0370E7">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000 – 1</w:t>
            </w:r>
            <w:r w:rsidR="003E1B1A">
              <w:rPr>
                <w:color w:val="000000"/>
              </w:rPr>
              <w:t>,</w:t>
            </w:r>
            <w:r>
              <w:rPr>
                <w:color w:val="000000"/>
              </w:rPr>
              <w:t>500</w:t>
            </w:r>
          </w:p>
        </w:tc>
      </w:tr>
      <w:tr w14:paraId="628467AE"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14F7671B" w14:textId="77777777">
            <w:pPr>
              <w:widowControl w:val="0"/>
              <w:ind w:left="0" w:right="0"/>
              <w:rPr>
                <w:rFonts w:ascii="Calibri" w:eastAsia="Calibri" w:hAnsi="Calibri" w:cs="Calibri"/>
                <w:color w:val="000000"/>
              </w:rPr>
            </w:pPr>
            <w:r>
              <w:rPr>
                <w:color w:val="000000"/>
              </w:rPr>
              <w:t>Zoning Drawings</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23B2842" w14:textId="7E0F2F06">
            <w:pPr>
              <w:widowControl w:val="0"/>
              <w:ind w:left="0" w:right="0"/>
              <w:jc w:val="center"/>
              <w:rPr>
                <w:rFonts w:ascii="Calibri" w:eastAsia="Calibri" w:hAnsi="Calibri" w:cs="Calibri"/>
                <w:color w:val="000000"/>
              </w:rPr>
            </w:pPr>
            <w:r>
              <w:rPr>
                <w:color w:val="000000"/>
              </w:rPr>
              <w:t>950 – 1</w:t>
            </w:r>
            <w:r w:rsidR="003E1B1A">
              <w:rPr>
                <w:color w:val="000000"/>
              </w:rPr>
              <w:t>,</w:t>
            </w:r>
            <w:r>
              <w:rPr>
                <w:color w:val="000000"/>
              </w:rPr>
              <w:t>250</w:t>
            </w:r>
          </w:p>
        </w:tc>
      </w:tr>
      <w:tr w14:paraId="3194E639"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0C8A7A39" w14:textId="77777777">
            <w:pPr>
              <w:widowControl w:val="0"/>
              <w:ind w:left="0" w:right="0"/>
              <w:rPr>
                <w:rFonts w:ascii="Calibri" w:eastAsia="Calibri" w:hAnsi="Calibri" w:cs="Calibri"/>
                <w:color w:val="000000"/>
              </w:rPr>
            </w:pPr>
            <w:r>
              <w:rPr>
                <w:color w:val="000000"/>
              </w:rPr>
              <w:t>CDs - Co-Location (Per Carrier)</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377F816C" w14:textId="3C811DAA">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500 – 2</w:t>
            </w:r>
            <w:r w:rsidR="003E1B1A">
              <w:rPr>
                <w:color w:val="000000"/>
              </w:rPr>
              <w:t>,</w:t>
            </w:r>
            <w:r>
              <w:rPr>
                <w:color w:val="000000"/>
              </w:rPr>
              <w:t>500</w:t>
            </w:r>
          </w:p>
        </w:tc>
      </w:tr>
      <w:tr w14:paraId="2E163261"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850F851" w14:textId="77777777">
            <w:pPr>
              <w:widowControl w:val="0"/>
              <w:ind w:left="0" w:right="0"/>
              <w:rPr>
                <w:rFonts w:ascii="Calibri" w:eastAsia="Calibri" w:hAnsi="Calibri" w:cs="Calibri"/>
                <w:color w:val="000000"/>
              </w:rPr>
            </w:pPr>
            <w:r>
              <w:rPr>
                <w:color w:val="000000"/>
              </w:rPr>
              <w:t>Lease Exhibit Revisions</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15530C93" w14:textId="77777777">
            <w:pPr>
              <w:widowControl w:val="0"/>
              <w:ind w:left="0" w:right="0"/>
              <w:jc w:val="center"/>
              <w:rPr>
                <w:rFonts w:ascii="Calibri" w:eastAsia="Calibri" w:hAnsi="Calibri" w:cs="Calibri"/>
                <w:color w:val="000000"/>
              </w:rPr>
            </w:pPr>
            <w:r>
              <w:rPr>
                <w:color w:val="000000"/>
              </w:rPr>
              <w:t>250</w:t>
            </w:r>
          </w:p>
        </w:tc>
      </w:tr>
      <w:tr w14:paraId="08C643D0" w14:textId="77777777" w:rsidTr="00C75185">
        <w:tblPrEx>
          <w:tblW w:w="10038" w:type="dxa"/>
          <w:tblInd w:w="442" w:type="dxa"/>
          <w:tblLayout w:type="fixed"/>
          <w:tblCellMar>
            <w:top w:w="100" w:type="dxa"/>
            <w:left w:w="100" w:type="dxa"/>
            <w:bottom w:w="100" w:type="dxa"/>
            <w:right w:w="100" w:type="dxa"/>
          </w:tblCellMar>
          <w:tblLook w:val="0600"/>
        </w:tblPrEx>
        <w:trPr>
          <w:trHeight w:val="51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49777F3" w14:textId="77777777">
            <w:pPr>
              <w:widowControl w:val="0"/>
              <w:ind w:left="0" w:right="0"/>
              <w:rPr>
                <w:color w:val="000000"/>
              </w:rPr>
            </w:pPr>
            <w:r>
              <w:rPr>
                <w:color w:val="000000"/>
              </w:rPr>
              <w:t>CD Revisions</w:t>
            </w:r>
          </w:p>
          <w:p w:rsidR="006F3BB7" w14:paraId="61E16E68" w14:textId="77777777">
            <w:pPr>
              <w:widowControl w:val="0"/>
              <w:ind w:left="0" w:right="0"/>
              <w:rPr>
                <w:rFonts w:ascii="Calibri" w:eastAsia="Calibri" w:hAnsi="Calibri" w:cs="Calibri"/>
                <w:color w:val="000000"/>
              </w:rPr>
            </w:pPr>
            <w:r>
              <w:rPr>
                <w:color w:val="000000"/>
              </w:rPr>
              <w:t>(Major changes, i.e. compound shift or access road shift)</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2055706A" w14:textId="405BD5EE">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500</w:t>
            </w:r>
          </w:p>
        </w:tc>
      </w:tr>
      <w:tr w14:paraId="07C863A5"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392449F8" w14:textId="77777777">
            <w:pPr>
              <w:widowControl w:val="0"/>
              <w:ind w:left="0" w:right="0"/>
              <w:rPr>
                <w:rFonts w:ascii="Calibri" w:eastAsia="Calibri" w:hAnsi="Calibri" w:cs="Calibri"/>
                <w:color w:val="000000"/>
              </w:rPr>
            </w:pPr>
            <w:r>
              <w:rPr>
                <w:color w:val="000000"/>
              </w:rPr>
              <w:t>Power Utility Coordination</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40368CE7" w14:textId="1E2AD6C4">
            <w:pPr>
              <w:widowControl w:val="0"/>
              <w:ind w:left="0" w:right="0"/>
              <w:jc w:val="center"/>
              <w:rPr>
                <w:rFonts w:ascii="Calibri" w:eastAsia="Calibri" w:hAnsi="Calibri" w:cs="Calibri"/>
                <w:color w:val="000000"/>
              </w:rPr>
            </w:pPr>
            <w:r>
              <w:rPr>
                <w:color w:val="000000"/>
              </w:rPr>
              <w:t>750 – 1</w:t>
            </w:r>
            <w:r w:rsidR="003E1B1A">
              <w:rPr>
                <w:color w:val="000000"/>
              </w:rPr>
              <w:t>,</w:t>
            </w:r>
            <w:r>
              <w:rPr>
                <w:color w:val="000000"/>
              </w:rPr>
              <w:t>150</w:t>
            </w:r>
          </w:p>
        </w:tc>
      </w:tr>
      <w:tr w14:paraId="5A9ED960"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2DA36FBC" w14:textId="77777777">
            <w:pPr>
              <w:widowControl w:val="0"/>
              <w:ind w:left="0" w:right="0"/>
              <w:rPr>
                <w:rFonts w:ascii="Calibri" w:eastAsia="Calibri" w:hAnsi="Calibri" w:cs="Calibri"/>
                <w:color w:val="000000"/>
              </w:rPr>
            </w:pPr>
            <w:r>
              <w:rPr>
                <w:color w:val="000000"/>
              </w:rPr>
              <w:t>Telco Utility Coordination</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2023B03" w14:textId="6C7DE5BB">
            <w:pPr>
              <w:widowControl w:val="0"/>
              <w:ind w:left="0" w:right="0"/>
              <w:jc w:val="center"/>
              <w:rPr>
                <w:rFonts w:ascii="Calibri" w:eastAsia="Calibri" w:hAnsi="Calibri" w:cs="Calibri"/>
                <w:color w:val="000000"/>
              </w:rPr>
            </w:pPr>
            <w:r>
              <w:rPr>
                <w:color w:val="000000"/>
              </w:rPr>
              <w:t>750 – 1</w:t>
            </w:r>
            <w:r w:rsidR="003E1B1A">
              <w:rPr>
                <w:color w:val="000000"/>
              </w:rPr>
              <w:t>,</w:t>
            </w:r>
            <w:r>
              <w:rPr>
                <w:color w:val="000000"/>
              </w:rPr>
              <w:t>150</w:t>
            </w:r>
          </w:p>
        </w:tc>
      </w:tr>
      <w:tr w14:paraId="3B69F6F0"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1B06184F" w14:textId="77777777">
            <w:pPr>
              <w:widowControl w:val="0"/>
              <w:ind w:left="0" w:right="0"/>
              <w:rPr>
                <w:rFonts w:ascii="Calibri" w:eastAsia="Calibri" w:hAnsi="Calibri" w:cs="Calibri"/>
                <w:color w:val="000000"/>
              </w:rPr>
            </w:pPr>
            <w:r>
              <w:rPr>
                <w:color w:val="000000"/>
              </w:rPr>
              <w:t>Building Permit Submittal (not including jurisdiction fees)</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3DF5FC5" w14:textId="05DB27DA">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000 – 1</w:t>
            </w:r>
            <w:r w:rsidR="003E1B1A">
              <w:rPr>
                <w:color w:val="000000"/>
              </w:rPr>
              <w:t>,</w:t>
            </w:r>
            <w:r>
              <w:rPr>
                <w:color w:val="000000"/>
              </w:rPr>
              <w:t>250</w:t>
            </w:r>
          </w:p>
        </w:tc>
      </w:tr>
      <w:tr w14:paraId="3B85BF44" w14:textId="77777777" w:rsidTr="00C75185">
        <w:tblPrEx>
          <w:tblW w:w="10038" w:type="dxa"/>
          <w:tblInd w:w="442" w:type="dxa"/>
          <w:tblLayout w:type="fixed"/>
          <w:tblCellMar>
            <w:top w:w="100" w:type="dxa"/>
            <w:left w:w="100" w:type="dxa"/>
            <w:bottom w:w="100" w:type="dxa"/>
            <w:right w:w="100" w:type="dxa"/>
          </w:tblCellMar>
          <w:tblLook w:val="0600"/>
        </w:tblPrEx>
        <w:trPr>
          <w:trHeight w:val="51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B331E04" w14:textId="77777777">
            <w:pPr>
              <w:widowControl w:val="0"/>
              <w:ind w:left="0" w:right="0"/>
              <w:rPr>
                <w:rFonts w:ascii="Calibri" w:eastAsia="Calibri" w:hAnsi="Calibri" w:cs="Calibri"/>
                <w:color w:val="000000"/>
              </w:rPr>
            </w:pPr>
            <w:r>
              <w:rPr>
                <w:color w:val="000000"/>
              </w:rPr>
              <w:t>Perform Engineering Study for New Operating Frequencies and Antenna &amp; RF Equipment Development/Selection</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23136E93" w14:textId="0ACA16D9">
            <w:pPr>
              <w:widowControl w:val="0"/>
              <w:ind w:left="0" w:right="0"/>
              <w:jc w:val="center"/>
              <w:rPr>
                <w:rFonts w:ascii="Calibri" w:eastAsia="Calibri" w:hAnsi="Calibri" w:cs="Calibri"/>
                <w:color w:val="000000"/>
              </w:rPr>
            </w:pPr>
            <w:r>
              <w:rPr>
                <w:color w:val="000000"/>
              </w:rPr>
              <w:t>2,000 – 15</w:t>
            </w:r>
            <w:r w:rsidR="003E1B1A">
              <w:rPr>
                <w:color w:val="000000"/>
              </w:rPr>
              <w:t>,</w:t>
            </w:r>
            <w:r>
              <w:rPr>
                <w:color w:val="000000"/>
              </w:rPr>
              <w:t>000</w:t>
            </w:r>
          </w:p>
        </w:tc>
      </w:tr>
      <w:tr w14:paraId="40A89EED" w14:textId="77777777" w:rsidTr="00C75185">
        <w:tblPrEx>
          <w:tblW w:w="10038" w:type="dxa"/>
          <w:tblInd w:w="442" w:type="dxa"/>
          <w:tblLayout w:type="fixed"/>
          <w:tblCellMar>
            <w:top w:w="100" w:type="dxa"/>
            <w:left w:w="100" w:type="dxa"/>
            <w:bottom w:w="100" w:type="dxa"/>
            <w:right w:w="100" w:type="dxa"/>
          </w:tblCellMar>
          <w:tblLook w:val="0600"/>
        </w:tblPrEx>
        <w:trPr>
          <w:trHeight w:val="30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5076095" w14:textId="77777777">
            <w:pPr>
              <w:widowControl w:val="0"/>
              <w:ind w:left="0" w:right="0"/>
              <w:rPr>
                <w:rFonts w:ascii="Calibri" w:eastAsia="Calibri" w:hAnsi="Calibri" w:cs="Calibri"/>
                <w:color w:val="000000"/>
              </w:rPr>
            </w:pPr>
            <w:r>
              <w:rPr>
                <w:color w:val="000000"/>
              </w:rPr>
              <w:t>Comprehensive coverage verification via field study, if needed</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5710F58A" w14:textId="77777777">
            <w:pPr>
              <w:widowControl w:val="0"/>
              <w:ind w:left="0" w:right="0"/>
              <w:jc w:val="center"/>
              <w:rPr>
                <w:rFonts w:ascii="Calibri" w:eastAsia="Calibri" w:hAnsi="Calibri" w:cs="Calibri"/>
                <w:color w:val="000000"/>
              </w:rPr>
            </w:pPr>
            <w:r>
              <w:rPr>
                <w:color w:val="000000"/>
              </w:rPr>
              <w:t>21,000 – 84,200</w:t>
            </w:r>
          </w:p>
        </w:tc>
      </w:tr>
      <w:tr w14:paraId="1C0D3BE0" w14:textId="77777777" w:rsidTr="00C75185">
        <w:tblPrEx>
          <w:tblW w:w="10038" w:type="dxa"/>
          <w:tblInd w:w="442" w:type="dxa"/>
          <w:tblLayout w:type="fixed"/>
          <w:tblCellMar>
            <w:top w:w="100" w:type="dxa"/>
            <w:left w:w="100" w:type="dxa"/>
            <w:bottom w:w="100" w:type="dxa"/>
            <w:right w:w="100" w:type="dxa"/>
          </w:tblCellMar>
          <w:tblLook w:val="0600"/>
        </w:tblPrEx>
        <w:trPr>
          <w:trHeight w:val="510"/>
        </w:trPr>
        <w:tc>
          <w:tcPr>
            <w:tcW w:w="640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FE5C43D" w14:textId="77777777">
            <w:pPr>
              <w:widowControl w:val="0"/>
              <w:ind w:left="0" w:right="0"/>
              <w:rPr>
                <w:rFonts w:ascii="Calibri" w:eastAsia="Calibri" w:hAnsi="Calibri" w:cs="Calibri"/>
                <w:color w:val="000000"/>
              </w:rPr>
            </w:pPr>
            <w:r>
              <w:rPr>
                <w:color w:val="000000"/>
              </w:rPr>
              <w:t>RF Exposure Measurements (for sites where post-construction measurements have customarily been required or conducted)</w:t>
            </w:r>
          </w:p>
        </w:tc>
        <w:tc>
          <w:tcPr>
            <w:tcW w:w="36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rsidR="006F3BB7" w14:paraId="4CA61F57" w14:textId="77777777">
            <w:pPr>
              <w:widowControl w:val="0"/>
              <w:ind w:left="0" w:right="0"/>
              <w:jc w:val="center"/>
              <w:rPr>
                <w:rFonts w:ascii="Calibri" w:eastAsia="Calibri" w:hAnsi="Calibri" w:cs="Calibri"/>
                <w:color w:val="000000"/>
              </w:rPr>
            </w:pPr>
            <w:r>
              <w:rPr>
                <w:color w:val="000000"/>
              </w:rPr>
              <w:t>3,150 – 21,050</w:t>
            </w:r>
          </w:p>
        </w:tc>
      </w:tr>
    </w:tbl>
    <w:p w:rsidR="006F3BB7" w14:paraId="42BED019" w14:textId="77777777"/>
    <w:tbl>
      <w:tblPr>
        <w:tblW w:w="10035" w:type="dxa"/>
        <w:tblInd w:w="44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20"/>
        <w:gridCol w:w="3615"/>
      </w:tblGrid>
      <w:tr w14:paraId="70792B4C" w14:textId="77777777">
        <w:tblPrEx>
          <w:tblW w:w="10035" w:type="dxa"/>
          <w:tblInd w:w="44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45"/>
        </w:trPr>
        <w:tc>
          <w:tcPr>
            <w:tcW w:w="64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2D42331D" w14:textId="77777777">
            <w:pPr>
              <w:widowControl w:val="0"/>
              <w:ind w:left="0" w:right="0"/>
              <w:jc w:val="center"/>
              <w:rPr>
                <w:rFonts w:ascii="Calibri" w:eastAsia="Calibri" w:hAnsi="Calibri" w:cs="Calibri"/>
                <w:color w:val="000000"/>
              </w:rPr>
            </w:pPr>
            <w:r>
              <w:rPr>
                <w:color w:val="0072C6"/>
              </w:rPr>
              <w:t>Table IV-D-3 Survey Costs</w:t>
            </w:r>
          </w:p>
        </w:tc>
        <w:tc>
          <w:tcPr>
            <w:tcW w:w="36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5FAFA5D1" w14:textId="43D46481">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0B98A434" w14:textId="77777777">
        <w:tblPrEx>
          <w:tblW w:w="10035" w:type="dxa"/>
          <w:tblInd w:w="445" w:type="dxa"/>
          <w:tblLayout w:type="fixed"/>
          <w:tblCellMar>
            <w:top w:w="100" w:type="dxa"/>
            <w:left w:w="100" w:type="dxa"/>
            <w:bottom w:w="100" w:type="dxa"/>
            <w:right w:w="100" w:type="dxa"/>
          </w:tblCellMar>
          <w:tblLook w:val="0600"/>
        </w:tblPrEx>
        <w:trPr>
          <w:trHeight w:val="750"/>
        </w:trPr>
        <w:tc>
          <w:tcPr>
            <w:tcW w:w="6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37F03C8" w14:textId="77777777">
            <w:pPr>
              <w:widowControl w:val="0"/>
              <w:spacing w:line="240" w:lineRule="auto"/>
              <w:ind w:left="0" w:right="0"/>
              <w:rPr>
                <w:color w:val="000000"/>
              </w:rPr>
            </w:pPr>
            <w:r>
              <w:rPr>
                <w:color w:val="000000"/>
              </w:rPr>
              <w:t>Survey &amp; 1-A</w:t>
            </w:r>
          </w:p>
          <w:p w:rsidR="006F3BB7" w14:paraId="6AC1158D" w14:textId="77777777">
            <w:pPr>
              <w:widowControl w:val="0"/>
              <w:spacing w:line="240" w:lineRule="auto"/>
              <w:ind w:left="0" w:right="0"/>
              <w:rPr>
                <w:color w:val="000000"/>
              </w:rPr>
            </w:pPr>
            <w:r>
              <w:rPr>
                <w:color w:val="000000"/>
              </w:rPr>
              <w:t>Note additional fees may be incurred for access over 500' long</w:t>
            </w:r>
          </w:p>
          <w:p w:rsidR="006F3BB7" w14:paraId="0C64B2D8" w14:textId="77777777">
            <w:pPr>
              <w:widowControl w:val="0"/>
              <w:spacing w:line="240" w:lineRule="auto"/>
              <w:ind w:left="0" w:right="0"/>
              <w:rPr>
                <w:rFonts w:ascii="Calibri" w:eastAsia="Calibri" w:hAnsi="Calibri" w:cs="Calibri"/>
                <w:color w:val="000000"/>
              </w:rPr>
            </w:pPr>
            <w:r>
              <w:rPr>
                <w:color w:val="000000"/>
              </w:rPr>
              <w:t>$1/ft beyond 500'</w:t>
            </w:r>
          </w:p>
        </w:tc>
        <w:tc>
          <w:tcPr>
            <w:tcW w:w="3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0E2DBC2C" w14:textId="32E5AF01">
            <w:pPr>
              <w:widowControl w:val="0"/>
              <w:ind w:left="0" w:right="0"/>
              <w:jc w:val="center"/>
              <w:rPr>
                <w:rFonts w:ascii="Calibri" w:eastAsia="Calibri" w:hAnsi="Calibri" w:cs="Calibri"/>
                <w:color w:val="000000"/>
              </w:rPr>
            </w:pPr>
            <w:r>
              <w:rPr>
                <w:color w:val="000000"/>
              </w:rPr>
              <w:t>2</w:t>
            </w:r>
            <w:r w:rsidR="003E1B1A">
              <w:rPr>
                <w:color w:val="000000"/>
              </w:rPr>
              <w:t>,</w:t>
            </w:r>
            <w:r>
              <w:rPr>
                <w:color w:val="000000"/>
              </w:rPr>
              <w:t>500 – 4</w:t>
            </w:r>
            <w:r w:rsidR="003E1B1A">
              <w:rPr>
                <w:color w:val="000000"/>
              </w:rPr>
              <w:t>,</w:t>
            </w:r>
            <w:r>
              <w:rPr>
                <w:color w:val="000000"/>
              </w:rPr>
              <w:t>500</w:t>
            </w:r>
          </w:p>
        </w:tc>
      </w:tr>
      <w:tr w14:paraId="556BA373" w14:textId="77777777">
        <w:tblPrEx>
          <w:tblW w:w="10035" w:type="dxa"/>
          <w:tblInd w:w="445" w:type="dxa"/>
          <w:tblLayout w:type="fixed"/>
          <w:tblCellMar>
            <w:top w:w="100" w:type="dxa"/>
            <w:left w:w="100" w:type="dxa"/>
            <w:bottom w:w="100" w:type="dxa"/>
            <w:right w:w="100" w:type="dxa"/>
          </w:tblCellMar>
          <w:tblLook w:val="0600"/>
        </w:tblPrEx>
        <w:trPr>
          <w:trHeight w:val="300"/>
        </w:trPr>
        <w:tc>
          <w:tcPr>
            <w:tcW w:w="6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79E0058D" w14:textId="77777777">
            <w:pPr>
              <w:widowControl w:val="0"/>
              <w:spacing w:line="240" w:lineRule="auto"/>
              <w:ind w:left="0" w:right="0"/>
              <w:rPr>
                <w:rFonts w:ascii="Calibri" w:eastAsia="Calibri" w:hAnsi="Calibri" w:cs="Calibri"/>
                <w:color w:val="000000"/>
              </w:rPr>
            </w:pPr>
            <w:r>
              <w:rPr>
                <w:color w:val="000000"/>
              </w:rPr>
              <w:t>Title Review</w:t>
            </w:r>
          </w:p>
        </w:tc>
        <w:tc>
          <w:tcPr>
            <w:tcW w:w="3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2241E7F0" w14:textId="77777777">
            <w:pPr>
              <w:widowControl w:val="0"/>
              <w:ind w:left="0" w:right="0"/>
              <w:jc w:val="center"/>
              <w:rPr>
                <w:rFonts w:ascii="Calibri" w:eastAsia="Calibri" w:hAnsi="Calibri" w:cs="Calibri"/>
                <w:color w:val="000000"/>
              </w:rPr>
            </w:pPr>
            <w:r>
              <w:rPr>
                <w:color w:val="000000"/>
              </w:rPr>
              <w:t>500 – 600</w:t>
            </w:r>
          </w:p>
        </w:tc>
      </w:tr>
      <w:tr w14:paraId="402B9D3B" w14:textId="77777777">
        <w:tblPrEx>
          <w:tblW w:w="10035" w:type="dxa"/>
          <w:tblInd w:w="445" w:type="dxa"/>
          <w:tblLayout w:type="fixed"/>
          <w:tblCellMar>
            <w:top w:w="100" w:type="dxa"/>
            <w:left w:w="100" w:type="dxa"/>
            <w:bottom w:w="100" w:type="dxa"/>
            <w:right w:w="100" w:type="dxa"/>
          </w:tblCellMar>
          <w:tblLook w:val="0600"/>
        </w:tblPrEx>
        <w:trPr>
          <w:trHeight w:val="300"/>
        </w:trPr>
        <w:tc>
          <w:tcPr>
            <w:tcW w:w="6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D6A54A3" w14:textId="77777777">
            <w:pPr>
              <w:widowControl w:val="0"/>
              <w:spacing w:line="240" w:lineRule="auto"/>
              <w:ind w:left="0" w:right="0"/>
              <w:rPr>
                <w:rFonts w:ascii="Calibri" w:eastAsia="Calibri" w:hAnsi="Calibri" w:cs="Calibri"/>
                <w:color w:val="000000"/>
              </w:rPr>
            </w:pPr>
            <w:r>
              <w:rPr>
                <w:color w:val="000000"/>
              </w:rPr>
              <w:t>Construction Staking</w:t>
            </w:r>
          </w:p>
        </w:tc>
        <w:tc>
          <w:tcPr>
            <w:tcW w:w="3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33DAD3C" w14:textId="75430FFA">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000 – 2</w:t>
            </w:r>
            <w:r w:rsidR="003E1B1A">
              <w:rPr>
                <w:color w:val="000000"/>
              </w:rPr>
              <w:t>,</w:t>
            </w:r>
            <w:r>
              <w:rPr>
                <w:color w:val="000000"/>
              </w:rPr>
              <w:t>000</w:t>
            </w:r>
          </w:p>
        </w:tc>
      </w:tr>
      <w:tr w14:paraId="1D2AE245" w14:textId="77777777">
        <w:tblPrEx>
          <w:tblW w:w="10035" w:type="dxa"/>
          <w:tblInd w:w="445" w:type="dxa"/>
          <w:tblLayout w:type="fixed"/>
          <w:tblCellMar>
            <w:top w:w="100" w:type="dxa"/>
            <w:left w:w="100" w:type="dxa"/>
            <w:bottom w:w="100" w:type="dxa"/>
            <w:right w:w="100" w:type="dxa"/>
          </w:tblCellMar>
          <w:tblLook w:val="0600"/>
        </w:tblPrEx>
        <w:trPr>
          <w:trHeight w:val="300"/>
        </w:trPr>
        <w:tc>
          <w:tcPr>
            <w:tcW w:w="6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643BB061" w14:textId="77777777">
            <w:pPr>
              <w:widowControl w:val="0"/>
              <w:spacing w:line="240" w:lineRule="auto"/>
              <w:ind w:left="0" w:right="0"/>
              <w:rPr>
                <w:rFonts w:ascii="Calibri" w:eastAsia="Calibri" w:hAnsi="Calibri" w:cs="Calibri"/>
                <w:color w:val="000000"/>
              </w:rPr>
            </w:pPr>
            <w:r>
              <w:rPr>
                <w:color w:val="000000"/>
              </w:rPr>
              <w:t>Survey - Additional Access Road</w:t>
            </w:r>
          </w:p>
        </w:tc>
        <w:tc>
          <w:tcPr>
            <w:tcW w:w="3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0EA722C" w14:textId="13665970">
            <w:pPr>
              <w:widowControl w:val="0"/>
              <w:ind w:left="0" w:right="0"/>
              <w:jc w:val="center"/>
              <w:rPr>
                <w:rFonts w:ascii="Calibri" w:eastAsia="Calibri" w:hAnsi="Calibri" w:cs="Calibri"/>
                <w:color w:val="000000"/>
              </w:rPr>
            </w:pPr>
            <w:r>
              <w:rPr>
                <w:color w:val="000000"/>
              </w:rPr>
              <w:t>1</w:t>
            </w:r>
            <w:r w:rsidR="00711618">
              <w:rPr>
                <w:color w:val="000000"/>
              </w:rPr>
              <w:t>/</w:t>
            </w:r>
            <w:r>
              <w:rPr>
                <w:color w:val="000000"/>
              </w:rPr>
              <w:t>f</w:t>
            </w:r>
            <w:r w:rsidR="00711618">
              <w:rPr>
                <w:color w:val="000000"/>
              </w:rPr>
              <w:t>t</w:t>
            </w:r>
            <w:r>
              <w:rPr>
                <w:color w:val="000000"/>
              </w:rPr>
              <w:t xml:space="preserve"> beyond 500'</w:t>
            </w:r>
          </w:p>
        </w:tc>
      </w:tr>
      <w:tr w14:paraId="14AC04B2" w14:textId="77777777">
        <w:tblPrEx>
          <w:tblW w:w="10035" w:type="dxa"/>
          <w:tblInd w:w="445" w:type="dxa"/>
          <w:tblLayout w:type="fixed"/>
          <w:tblCellMar>
            <w:top w:w="100" w:type="dxa"/>
            <w:left w:w="100" w:type="dxa"/>
            <w:bottom w:w="100" w:type="dxa"/>
            <w:right w:w="100" w:type="dxa"/>
          </w:tblCellMar>
          <w:tblLook w:val="0600"/>
        </w:tblPrEx>
        <w:trPr>
          <w:trHeight w:val="510"/>
        </w:trPr>
        <w:tc>
          <w:tcPr>
            <w:tcW w:w="64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1373435" w14:textId="77777777">
            <w:pPr>
              <w:widowControl w:val="0"/>
              <w:spacing w:line="240" w:lineRule="auto"/>
              <w:ind w:left="0" w:right="0"/>
              <w:rPr>
                <w:color w:val="000000"/>
              </w:rPr>
            </w:pPr>
            <w:r>
              <w:rPr>
                <w:color w:val="000000"/>
              </w:rPr>
              <w:t>Survey Revisions</w:t>
            </w:r>
          </w:p>
          <w:p w:rsidR="006F3BB7" w14:paraId="0DDA7F24" w14:textId="77777777">
            <w:pPr>
              <w:widowControl w:val="0"/>
              <w:spacing w:line="240" w:lineRule="auto"/>
              <w:ind w:left="0" w:right="0"/>
              <w:rPr>
                <w:rFonts w:ascii="Calibri" w:eastAsia="Calibri" w:hAnsi="Calibri" w:cs="Calibri"/>
                <w:color w:val="000000"/>
              </w:rPr>
            </w:pPr>
            <w:r>
              <w:rPr>
                <w:color w:val="000000"/>
              </w:rPr>
              <w:t>(Major change, i.e. compound shift or access road shift)</w:t>
            </w:r>
          </w:p>
        </w:tc>
        <w:tc>
          <w:tcPr>
            <w:tcW w:w="36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124C502A" w14:textId="28C8CF33">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500</w:t>
            </w:r>
          </w:p>
        </w:tc>
      </w:tr>
    </w:tbl>
    <w:p w:rsidR="008B138A" w14:paraId="263CE54D" w14:textId="2AFC4986">
      <w:pPr>
        <w:ind w:left="0"/>
      </w:pPr>
    </w:p>
    <w:p w:rsidR="008B138A" w14:paraId="2B9D6582" w14:textId="77777777">
      <w:r>
        <w:br w:type="page"/>
      </w:r>
    </w:p>
    <w:tbl>
      <w:tblPr>
        <w:tblW w:w="10020" w:type="dxa"/>
        <w:tblInd w:w="44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405"/>
        <w:gridCol w:w="3615"/>
      </w:tblGrid>
      <w:tr w14:paraId="18093EBD" w14:textId="77777777">
        <w:tblPrEx>
          <w:tblW w:w="10020" w:type="dxa"/>
          <w:tblInd w:w="44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285"/>
        </w:trPr>
        <w:tc>
          <w:tcPr>
            <w:tcW w:w="64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6F3BB7" w14:paraId="09357D23" w14:textId="77777777">
            <w:pPr>
              <w:widowControl w:val="0"/>
              <w:ind w:left="0" w:right="0"/>
              <w:jc w:val="center"/>
              <w:rPr>
                <w:rFonts w:ascii="Calibri" w:eastAsia="Calibri" w:hAnsi="Calibri" w:cs="Calibri"/>
                <w:color w:val="000000"/>
              </w:rPr>
            </w:pPr>
            <w:r>
              <w:rPr>
                <w:color w:val="0072C6"/>
              </w:rPr>
              <w:t>Table IV-D-4 Environmental Costs</w:t>
            </w:r>
          </w:p>
        </w:tc>
        <w:tc>
          <w:tcPr>
            <w:tcW w:w="36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640E6A19" w14:textId="3111F228">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5464E322" w14:textId="77777777">
        <w:tblPrEx>
          <w:tblW w:w="10020" w:type="dxa"/>
          <w:tblInd w:w="445" w:type="dxa"/>
          <w:tblLayout w:type="fixed"/>
          <w:tblCellMar>
            <w:top w:w="100" w:type="dxa"/>
            <w:left w:w="100" w:type="dxa"/>
            <w:bottom w:w="100" w:type="dxa"/>
            <w:right w:w="100" w:type="dxa"/>
          </w:tblCellMar>
          <w:tblLook w:val="0600"/>
        </w:tblPrEx>
        <w:trPr>
          <w:trHeight w:val="30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5B8A397" w14:textId="77777777">
            <w:pPr>
              <w:widowControl w:val="0"/>
              <w:ind w:left="0" w:right="0"/>
              <w:rPr>
                <w:rFonts w:ascii="Calibri" w:eastAsia="Calibri" w:hAnsi="Calibri" w:cs="Calibri"/>
                <w:color w:val="000000"/>
              </w:rPr>
            </w:pPr>
            <w:r>
              <w:rPr>
                <w:color w:val="000000"/>
              </w:rPr>
              <w:t>Environmental Site Visit Phase I ESA</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0768A3E9" w14:textId="325F8499">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900 – 2</w:t>
            </w:r>
            <w:r w:rsidR="003E1B1A">
              <w:rPr>
                <w:color w:val="000000"/>
              </w:rPr>
              <w:t>,</w:t>
            </w:r>
            <w:r>
              <w:rPr>
                <w:color w:val="000000"/>
              </w:rPr>
              <w:t>500</w:t>
            </w:r>
          </w:p>
        </w:tc>
      </w:tr>
      <w:tr w14:paraId="47F1331F" w14:textId="77777777">
        <w:tblPrEx>
          <w:tblW w:w="10020" w:type="dxa"/>
          <w:tblInd w:w="445" w:type="dxa"/>
          <w:tblLayout w:type="fixed"/>
          <w:tblCellMar>
            <w:top w:w="100" w:type="dxa"/>
            <w:left w:w="100" w:type="dxa"/>
            <w:bottom w:w="100" w:type="dxa"/>
            <w:right w:w="100" w:type="dxa"/>
          </w:tblCellMar>
          <w:tblLook w:val="0600"/>
        </w:tblPrEx>
        <w:trPr>
          <w:trHeight w:val="27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D6A5FC0" w14:textId="77777777">
            <w:pPr>
              <w:widowControl w:val="0"/>
              <w:ind w:left="0" w:right="0"/>
              <w:rPr>
                <w:rFonts w:ascii="Calibri" w:eastAsia="Calibri" w:hAnsi="Calibri" w:cs="Calibri"/>
                <w:color w:val="000000"/>
              </w:rPr>
            </w:pPr>
            <w:r>
              <w:rPr>
                <w:color w:val="000000"/>
              </w:rPr>
              <w:t>NEPA Section 106 Environmental Review (Excludes Cultural Resources)</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34E81EC5" w14:textId="54A2E9B3">
            <w:pPr>
              <w:widowControl w:val="0"/>
              <w:ind w:left="0" w:right="0"/>
              <w:jc w:val="center"/>
              <w:rPr>
                <w:rFonts w:ascii="Calibri" w:eastAsia="Calibri" w:hAnsi="Calibri" w:cs="Calibri"/>
                <w:color w:val="000000"/>
              </w:rPr>
            </w:pPr>
            <w:r>
              <w:rPr>
                <w:color w:val="000000"/>
              </w:rPr>
              <w:t>2</w:t>
            </w:r>
            <w:r w:rsidR="003E1B1A">
              <w:rPr>
                <w:color w:val="000000"/>
              </w:rPr>
              <w:t>,</w:t>
            </w:r>
            <w:r>
              <w:rPr>
                <w:color w:val="000000"/>
              </w:rPr>
              <w:t>000 – 6</w:t>
            </w:r>
            <w:r w:rsidR="003E1B1A">
              <w:rPr>
                <w:color w:val="000000"/>
              </w:rPr>
              <w:t>,</w:t>
            </w:r>
            <w:r>
              <w:rPr>
                <w:color w:val="000000"/>
              </w:rPr>
              <w:t>300</w:t>
            </w:r>
          </w:p>
        </w:tc>
      </w:tr>
      <w:tr w14:paraId="2C186528" w14:textId="77777777">
        <w:tblPrEx>
          <w:tblW w:w="10020" w:type="dxa"/>
          <w:tblInd w:w="445" w:type="dxa"/>
          <w:tblLayout w:type="fixed"/>
          <w:tblCellMar>
            <w:top w:w="100" w:type="dxa"/>
            <w:left w:w="100" w:type="dxa"/>
            <w:bottom w:w="100" w:type="dxa"/>
            <w:right w:w="100" w:type="dxa"/>
          </w:tblCellMar>
          <w:tblLook w:val="0600"/>
        </w:tblPrEx>
        <w:trPr>
          <w:trHeight w:val="36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B431803" w14:textId="77777777">
            <w:pPr>
              <w:widowControl w:val="0"/>
              <w:ind w:left="0" w:right="0"/>
              <w:rPr>
                <w:rFonts w:ascii="Calibri" w:eastAsia="Calibri" w:hAnsi="Calibri" w:cs="Calibri"/>
                <w:color w:val="000000"/>
              </w:rPr>
            </w:pPr>
            <w:r>
              <w:rPr>
                <w:color w:val="000000"/>
              </w:rPr>
              <w:t>Cultural Resources (Reimbursed plus 10% pass through - Tribal Fees are TBD)</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27FCE636" w14:textId="6C164E71">
            <w:pPr>
              <w:widowControl w:val="0"/>
              <w:ind w:left="0" w:right="0"/>
              <w:jc w:val="center"/>
              <w:rPr>
                <w:rFonts w:ascii="Calibri" w:eastAsia="Calibri" w:hAnsi="Calibri" w:cs="Calibri"/>
                <w:color w:val="000000"/>
              </w:rPr>
            </w:pPr>
            <w:r>
              <w:rPr>
                <w:color w:val="000000"/>
              </w:rPr>
              <w:t>2</w:t>
            </w:r>
            <w:r w:rsidR="003E1B1A">
              <w:rPr>
                <w:color w:val="000000"/>
              </w:rPr>
              <w:t>,</w:t>
            </w:r>
            <w:r>
              <w:rPr>
                <w:color w:val="000000"/>
              </w:rPr>
              <w:t>250 – 2</w:t>
            </w:r>
            <w:r w:rsidR="003E1B1A">
              <w:rPr>
                <w:color w:val="000000"/>
              </w:rPr>
              <w:t>,</w:t>
            </w:r>
            <w:r>
              <w:rPr>
                <w:color w:val="000000"/>
              </w:rPr>
              <w:t>500</w:t>
            </w:r>
          </w:p>
        </w:tc>
      </w:tr>
      <w:tr w14:paraId="5A0829B7" w14:textId="77777777">
        <w:tblPrEx>
          <w:tblW w:w="10020" w:type="dxa"/>
          <w:tblInd w:w="445" w:type="dxa"/>
          <w:tblLayout w:type="fixed"/>
          <w:tblCellMar>
            <w:top w:w="100" w:type="dxa"/>
            <w:left w:w="100" w:type="dxa"/>
            <w:bottom w:w="100" w:type="dxa"/>
            <w:right w:w="100" w:type="dxa"/>
          </w:tblCellMar>
          <w:tblLook w:val="0600"/>
        </w:tblPrEx>
        <w:trPr>
          <w:trHeight w:val="30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EED8A92" w14:textId="77777777">
            <w:pPr>
              <w:widowControl w:val="0"/>
              <w:ind w:left="0" w:right="0"/>
              <w:rPr>
                <w:rFonts w:ascii="Calibri" w:eastAsia="Calibri" w:hAnsi="Calibri" w:cs="Calibri"/>
                <w:color w:val="000000"/>
              </w:rPr>
            </w:pPr>
            <w:r>
              <w:rPr>
                <w:color w:val="000000"/>
              </w:rPr>
              <w:t>Desktop Scrub</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39E9D11D" w14:textId="77777777">
            <w:pPr>
              <w:widowControl w:val="0"/>
              <w:ind w:left="0" w:right="0"/>
              <w:jc w:val="center"/>
              <w:rPr>
                <w:rFonts w:ascii="Calibri" w:eastAsia="Calibri" w:hAnsi="Calibri" w:cs="Calibri"/>
                <w:color w:val="000000"/>
              </w:rPr>
            </w:pPr>
            <w:r>
              <w:rPr>
                <w:color w:val="000000"/>
              </w:rPr>
              <w:t>350 – 400</w:t>
            </w:r>
          </w:p>
        </w:tc>
      </w:tr>
      <w:tr w14:paraId="141C1476" w14:textId="77777777">
        <w:tblPrEx>
          <w:tblW w:w="10020" w:type="dxa"/>
          <w:tblInd w:w="445" w:type="dxa"/>
          <w:tblLayout w:type="fixed"/>
          <w:tblCellMar>
            <w:top w:w="100" w:type="dxa"/>
            <w:left w:w="100" w:type="dxa"/>
            <w:bottom w:w="100" w:type="dxa"/>
            <w:right w:w="100" w:type="dxa"/>
          </w:tblCellMar>
          <w:tblLook w:val="0600"/>
        </w:tblPrEx>
        <w:trPr>
          <w:trHeight w:val="30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063525B4" w14:textId="77777777">
            <w:pPr>
              <w:widowControl w:val="0"/>
              <w:ind w:left="0" w:right="0"/>
              <w:rPr>
                <w:rFonts w:ascii="Calibri" w:eastAsia="Calibri" w:hAnsi="Calibri" w:cs="Calibri"/>
                <w:color w:val="000000"/>
              </w:rPr>
            </w:pPr>
            <w:r>
              <w:rPr>
                <w:color w:val="000000"/>
              </w:rPr>
              <w:t>NIER Letter</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3FF42429" w14:textId="2ECC2795">
            <w:pPr>
              <w:widowControl w:val="0"/>
              <w:ind w:left="0" w:right="0"/>
              <w:jc w:val="center"/>
              <w:rPr>
                <w:rFonts w:ascii="Calibri" w:eastAsia="Calibri" w:hAnsi="Calibri" w:cs="Calibri"/>
                <w:color w:val="000000"/>
              </w:rPr>
            </w:pPr>
            <w:r>
              <w:rPr>
                <w:color w:val="000000"/>
              </w:rPr>
              <w:t>1</w:t>
            </w:r>
            <w:r w:rsidR="003E1B1A">
              <w:rPr>
                <w:color w:val="000000"/>
              </w:rPr>
              <w:t>,</w:t>
            </w:r>
            <w:r>
              <w:rPr>
                <w:color w:val="000000"/>
              </w:rPr>
              <w:t>250</w:t>
            </w:r>
          </w:p>
        </w:tc>
      </w:tr>
      <w:tr w14:paraId="362BADF0" w14:textId="77777777">
        <w:tblPrEx>
          <w:tblW w:w="10020" w:type="dxa"/>
          <w:tblInd w:w="445" w:type="dxa"/>
          <w:tblLayout w:type="fixed"/>
          <w:tblCellMar>
            <w:top w:w="100" w:type="dxa"/>
            <w:left w:w="100" w:type="dxa"/>
            <w:bottom w:w="100" w:type="dxa"/>
            <w:right w:w="100" w:type="dxa"/>
          </w:tblCellMar>
          <w:tblLook w:val="0600"/>
        </w:tblPrEx>
        <w:trPr>
          <w:trHeight w:val="300"/>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1449A4FF" w14:textId="77777777">
            <w:pPr>
              <w:widowControl w:val="0"/>
              <w:ind w:left="0" w:right="0"/>
              <w:rPr>
                <w:rFonts w:ascii="Calibri" w:eastAsia="Calibri" w:hAnsi="Calibri" w:cs="Calibri"/>
                <w:color w:val="000000"/>
              </w:rPr>
            </w:pPr>
            <w:r>
              <w:rPr>
                <w:color w:val="000000"/>
              </w:rPr>
              <w:t>Geotechnical - Soil Boring and Report</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684B91F7" w14:textId="3EEDFD14">
            <w:pPr>
              <w:widowControl w:val="0"/>
              <w:ind w:left="0" w:right="0"/>
              <w:jc w:val="center"/>
              <w:rPr>
                <w:rFonts w:ascii="Calibri" w:eastAsia="Calibri" w:hAnsi="Calibri" w:cs="Calibri"/>
                <w:color w:val="000000"/>
              </w:rPr>
            </w:pPr>
            <w:r>
              <w:rPr>
                <w:color w:val="000000"/>
              </w:rPr>
              <w:t>3</w:t>
            </w:r>
            <w:r w:rsidR="003E1B1A">
              <w:rPr>
                <w:color w:val="000000"/>
              </w:rPr>
              <w:t>,</w:t>
            </w:r>
            <w:r>
              <w:rPr>
                <w:color w:val="000000"/>
              </w:rPr>
              <w:t>000 – 4</w:t>
            </w:r>
            <w:r w:rsidR="003E1B1A">
              <w:rPr>
                <w:color w:val="000000"/>
              </w:rPr>
              <w:t>,</w:t>
            </w:r>
            <w:r>
              <w:rPr>
                <w:color w:val="000000"/>
              </w:rPr>
              <w:t>500</w:t>
            </w:r>
          </w:p>
        </w:tc>
      </w:tr>
      <w:tr w14:paraId="0C52E029" w14:textId="77777777">
        <w:tblPrEx>
          <w:tblW w:w="10020" w:type="dxa"/>
          <w:tblInd w:w="445" w:type="dxa"/>
          <w:tblLayout w:type="fixed"/>
          <w:tblCellMar>
            <w:top w:w="100" w:type="dxa"/>
            <w:left w:w="100" w:type="dxa"/>
            <w:bottom w:w="100" w:type="dxa"/>
            <w:right w:w="100" w:type="dxa"/>
          </w:tblCellMar>
          <w:tblLook w:val="0600"/>
        </w:tblPrEx>
        <w:trPr>
          <w:trHeight w:val="555"/>
        </w:trPr>
        <w:tc>
          <w:tcPr>
            <w:tcW w:w="64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4BC97AB" w14:textId="2CC6FE3F">
            <w:pPr>
              <w:widowControl w:val="0"/>
              <w:ind w:left="0" w:right="0"/>
              <w:rPr>
                <w:rFonts w:ascii="Calibri" w:eastAsia="Calibri" w:hAnsi="Calibri" w:cs="Calibri"/>
                <w:color w:val="000000"/>
              </w:rPr>
            </w:pPr>
            <w:r>
              <w:rPr>
                <w:color w:val="000000"/>
              </w:rPr>
              <w:t>Environmental Assessment, if Triggered by NEPA</w:t>
            </w:r>
            <w:r w:rsidR="00A154E4">
              <w:rPr>
                <w:color w:val="000000"/>
              </w:rPr>
              <w:t>/</w:t>
            </w:r>
            <w:r>
              <w:rPr>
                <w:color w:val="000000"/>
              </w:rPr>
              <w:t>Section 106 or for certain structures over 450 feet (cost in addition to NEPA Review)</w:t>
            </w:r>
          </w:p>
        </w:tc>
        <w:tc>
          <w:tcPr>
            <w:tcW w:w="36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12135FE7" w14:textId="4B12B777">
            <w:pPr>
              <w:widowControl w:val="0"/>
              <w:ind w:left="0" w:right="0"/>
              <w:jc w:val="center"/>
              <w:rPr>
                <w:rFonts w:ascii="Calibri" w:eastAsia="Calibri" w:hAnsi="Calibri" w:cs="Calibri"/>
                <w:color w:val="000000"/>
              </w:rPr>
            </w:pPr>
            <w:r>
              <w:rPr>
                <w:color w:val="000000"/>
              </w:rPr>
              <w:t>5</w:t>
            </w:r>
            <w:r w:rsidR="003E1B1A">
              <w:rPr>
                <w:color w:val="000000"/>
              </w:rPr>
              <w:t>,</w:t>
            </w:r>
            <w:r>
              <w:rPr>
                <w:color w:val="000000"/>
              </w:rPr>
              <w:t>260 – 10,520</w:t>
            </w:r>
          </w:p>
        </w:tc>
      </w:tr>
    </w:tbl>
    <w:p w:rsidR="00413F2F" w:rsidRPr="00413F2F" w:rsidP="00413F2F" w14:paraId="4544C831" w14:textId="77777777">
      <w:pPr>
        <w:pStyle w:val="Heading2"/>
        <w:rPr>
          <w:sz w:val="12"/>
          <w:szCs w:val="12"/>
        </w:rPr>
      </w:pPr>
    </w:p>
    <w:p w:rsidR="006F3BB7" w14:paraId="626E440F" w14:textId="40BA470E">
      <w:pPr>
        <w:pStyle w:val="Heading2"/>
        <w:numPr>
          <w:ilvl w:val="0"/>
          <w:numId w:val="5"/>
        </w:numPr>
      </w:pPr>
      <w:bookmarkStart w:id="38" w:name="_Toc38633302"/>
      <w:r>
        <w:t>Expected Total Costs - Fixed Service</w:t>
      </w:r>
      <w:bookmarkEnd w:id="38"/>
    </w:p>
    <w:p w:rsidR="006F3BB7" w14:paraId="3B35D202" w14:textId="0ADD8C93">
      <w:r>
        <w:t xml:space="preserve">An expected total cost on a “per link” basis is provided below for both sides of a point-to-point microwave link. </w:t>
      </w:r>
      <w:r w:rsidR="00D15F3B">
        <w:t xml:space="preserve"> </w:t>
      </w:r>
      <w:r>
        <w:t xml:space="preserve">Maximum costs are based on like-for-like replacements of 12-channel-or-more systems. </w:t>
      </w:r>
    </w:p>
    <w:p w:rsidR="006F3BB7" w14:paraId="1AC67969" w14:textId="77777777"/>
    <w:tbl>
      <w:tblPr>
        <w:tblW w:w="10035" w:type="dxa"/>
        <w:tblInd w:w="43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360"/>
        <w:gridCol w:w="3675"/>
      </w:tblGrid>
      <w:tr w14:paraId="5463D19F" w14:textId="77777777">
        <w:tblPrEx>
          <w:tblW w:w="10035" w:type="dxa"/>
          <w:tblInd w:w="43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510"/>
        </w:trPr>
        <w:tc>
          <w:tcPr>
            <w:tcW w:w="63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6F3BB7" w14:paraId="4B2C6D16" w14:textId="69149033">
            <w:pPr>
              <w:widowControl w:val="0"/>
              <w:ind w:left="0" w:right="0"/>
              <w:jc w:val="center"/>
              <w:rPr>
                <w:color w:val="0072C6"/>
              </w:rPr>
            </w:pPr>
            <w:r>
              <w:rPr>
                <w:color w:val="0072C6"/>
              </w:rPr>
              <w:t xml:space="preserve">Table IV-E-1: </w:t>
            </w:r>
            <w:r w:rsidRPr="00FC143B" w:rsidR="00FC143B">
              <w:rPr>
                <w:color w:val="0072C6"/>
              </w:rPr>
              <w:t xml:space="preserve">Fixed Service </w:t>
            </w:r>
            <w:r>
              <w:rPr>
                <w:color w:val="0072C6"/>
              </w:rPr>
              <w:t>Expected Total Costs</w:t>
            </w:r>
          </w:p>
          <w:p w:rsidR="006F3BB7" w14:paraId="0261CAD3" w14:textId="77777777">
            <w:pPr>
              <w:widowControl w:val="0"/>
              <w:ind w:left="0" w:right="0"/>
              <w:jc w:val="center"/>
              <w:rPr>
                <w:rFonts w:ascii="Calibri" w:eastAsia="Calibri" w:hAnsi="Calibri" w:cs="Calibri"/>
                <w:color w:val="000000"/>
              </w:rPr>
            </w:pPr>
            <w:r>
              <w:rPr>
                <w:color w:val="0072C6"/>
              </w:rPr>
              <w:t>(2 sides of a point-to-point microwave link)</w:t>
            </w:r>
          </w:p>
        </w:tc>
        <w:tc>
          <w:tcPr>
            <w:tcW w:w="367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6F3BB7" w14:paraId="7CAEAE5B" w14:textId="3D2CD0BD">
            <w:pPr>
              <w:widowControl w:val="0"/>
              <w:ind w:left="0" w:right="0"/>
              <w:jc w:val="center"/>
              <w:rPr>
                <w:rFonts w:ascii="Calibri" w:eastAsia="Calibri" w:hAnsi="Calibri" w:cs="Calibri"/>
                <w:color w:val="000000"/>
              </w:rPr>
            </w:pPr>
            <w:r>
              <w:rPr>
                <w:color w:val="0072C6"/>
              </w:rPr>
              <w:t>Range of Estimated Cost</w:t>
            </w:r>
            <w:r w:rsidR="00922A3D">
              <w:rPr>
                <w:color w:val="0072C6"/>
              </w:rPr>
              <w:t xml:space="preserve"> </w:t>
            </w:r>
            <w:r w:rsidRPr="00922A3D" w:rsidR="00922A3D">
              <w:rPr>
                <w:color w:val="0072C6"/>
              </w:rPr>
              <w:t>($)</w:t>
            </w:r>
          </w:p>
        </w:tc>
      </w:tr>
      <w:tr w14:paraId="221ED9AA" w14:textId="77777777">
        <w:tblPrEx>
          <w:tblW w:w="10035" w:type="dxa"/>
          <w:tblInd w:w="430" w:type="dxa"/>
          <w:tblLayout w:type="fixed"/>
          <w:tblCellMar>
            <w:top w:w="100" w:type="dxa"/>
            <w:left w:w="100" w:type="dxa"/>
            <w:bottom w:w="100" w:type="dxa"/>
            <w:right w:w="100" w:type="dxa"/>
          </w:tblCellMar>
          <w:tblLook w:val="0600"/>
        </w:tblPrEx>
        <w:trPr>
          <w:trHeight w:val="300"/>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RPr="00DC1064" w14:paraId="146D9535" w14:textId="77777777">
            <w:pPr>
              <w:widowControl w:val="0"/>
              <w:ind w:left="0" w:right="0"/>
              <w:rPr>
                <w:rFonts w:ascii="Calibri" w:eastAsia="Calibri" w:hAnsi="Calibri" w:cs="Calibri"/>
                <w:color w:val="auto"/>
              </w:rPr>
            </w:pPr>
            <w:r w:rsidRPr="00DC1064">
              <w:rPr>
                <w:color w:val="auto"/>
              </w:rPr>
              <w:t>Retune Permanent Fixed Link Relocation Cost</w:t>
            </w:r>
          </w:p>
        </w:tc>
        <w:tc>
          <w:tcPr>
            <w:tcW w:w="36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6F3BB7" w:rsidRPr="00DC1064" w14:paraId="4B01E0EE" w14:textId="77777777">
            <w:pPr>
              <w:widowControl w:val="0"/>
              <w:ind w:left="0" w:right="0"/>
              <w:jc w:val="center"/>
              <w:rPr>
                <w:rFonts w:ascii="Calibri" w:eastAsia="Calibri" w:hAnsi="Calibri" w:cs="Calibri"/>
                <w:color w:val="auto"/>
              </w:rPr>
            </w:pPr>
            <w:r w:rsidRPr="00DC1064">
              <w:rPr>
                <w:color w:val="auto"/>
              </w:rPr>
              <w:t>2,000 – 25,000</w:t>
            </w:r>
          </w:p>
        </w:tc>
      </w:tr>
      <w:tr w14:paraId="16465C50" w14:textId="77777777">
        <w:tblPrEx>
          <w:tblW w:w="10035" w:type="dxa"/>
          <w:tblInd w:w="430" w:type="dxa"/>
          <w:tblLayout w:type="fixed"/>
          <w:tblCellMar>
            <w:top w:w="100" w:type="dxa"/>
            <w:left w:w="100" w:type="dxa"/>
            <w:bottom w:w="100" w:type="dxa"/>
            <w:right w:w="100" w:type="dxa"/>
          </w:tblCellMar>
          <w:tblLook w:val="0600"/>
        </w:tblPrEx>
        <w:trPr>
          <w:trHeight w:val="300"/>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RPr="00DC1064" w14:paraId="14910203" w14:textId="77777777">
            <w:pPr>
              <w:widowControl w:val="0"/>
              <w:ind w:left="0" w:right="0"/>
              <w:rPr>
                <w:rFonts w:ascii="Calibri" w:eastAsia="Calibri" w:hAnsi="Calibri" w:cs="Calibri"/>
                <w:color w:val="auto"/>
              </w:rPr>
            </w:pPr>
            <w:r w:rsidRPr="00DC1064">
              <w:rPr>
                <w:color w:val="auto"/>
              </w:rPr>
              <w:t>Retune Temporary Fixed Link Relocation Cost</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RPr="00DC1064" w14:paraId="1A06E9DC" w14:textId="77777777">
            <w:pPr>
              <w:widowControl w:val="0"/>
              <w:ind w:left="0" w:right="0"/>
              <w:jc w:val="center"/>
              <w:rPr>
                <w:rFonts w:ascii="Calibri" w:eastAsia="Calibri" w:hAnsi="Calibri" w:cs="Calibri"/>
                <w:color w:val="auto"/>
              </w:rPr>
            </w:pPr>
            <w:r w:rsidRPr="00DC1064">
              <w:rPr>
                <w:color w:val="auto"/>
              </w:rPr>
              <w:t>1,500 – 15,000</w:t>
            </w:r>
          </w:p>
        </w:tc>
      </w:tr>
      <w:tr w14:paraId="4CD44DD5" w14:textId="77777777">
        <w:tblPrEx>
          <w:tblW w:w="10035" w:type="dxa"/>
          <w:tblInd w:w="430" w:type="dxa"/>
          <w:tblLayout w:type="fixed"/>
          <w:tblCellMar>
            <w:top w:w="100" w:type="dxa"/>
            <w:left w:w="100" w:type="dxa"/>
            <w:bottom w:w="100" w:type="dxa"/>
            <w:right w:w="100" w:type="dxa"/>
          </w:tblCellMar>
          <w:tblLook w:val="0600"/>
        </w:tblPrEx>
        <w:trPr>
          <w:trHeight w:val="300"/>
        </w:trPr>
        <w:tc>
          <w:tcPr>
            <w:tcW w:w="6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rsidRPr="00DC1064" w14:paraId="2450362A" w14:textId="77777777">
            <w:pPr>
              <w:widowControl w:val="0"/>
              <w:ind w:left="0" w:right="0"/>
              <w:rPr>
                <w:rFonts w:ascii="Calibri" w:eastAsia="Calibri" w:hAnsi="Calibri" w:cs="Calibri"/>
                <w:color w:val="auto"/>
              </w:rPr>
            </w:pPr>
            <w:r w:rsidRPr="00DC1064">
              <w:rPr>
                <w:color w:val="auto"/>
              </w:rPr>
              <w:t>Replacement - Permanent Fixed Link Relocation Cost</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RPr="00DC1064" w14:paraId="343ABF94" w14:textId="663368F7">
            <w:pPr>
              <w:widowControl w:val="0"/>
              <w:ind w:left="0" w:right="0"/>
              <w:jc w:val="center"/>
              <w:rPr>
                <w:rFonts w:ascii="Calibri" w:eastAsia="Calibri" w:hAnsi="Calibri" w:cs="Calibri"/>
                <w:color w:val="auto"/>
              </w:rPr>
            </w:pPr>
            <w:r w:rsidRPr="00DC1064">
              <w:rPr>
                <w:color w:val="auto"/>
              </w:rPr>
              <w:t xml:space="preserve">30,000 – </w:t>
            </w:r>
            <w:r w:rsidRPr="00DC1064" w:rsidR="003E1B1A">
              <w:rPr>
                <w:color w:val="auto"/>
              </w:rPr>
              <w:t>290</w:t>
            </w:r>
            <w:r w:rsidRPr="00DC1064">
              <w:rPr>
                <w:color w:val="auto"/>
              </w:rPr>
              <w:t>,000</w:t>
            </w:r>
          </w:p>
        </w:tc>
      </w:tr>
      <w:tr w14:paraId="78E51AC3" w14:textId="77777777">
        <w:tblPrEx>
          <w:tblW w:w="10035" w:type="dxa"/>
          <w:tblInd w:w="430" w:type="dxa"/>
          <w:tblLayout w:type="fixed"/>
          <w:tblCellMar>
            <w:top w:w="100" w:type="dxa"/>
            <w:left w:w="100" w:type="dxa"/>
            <w:bottom w:w="100" w:type="dxa"/>
            <w:right w:w="100" w:type="dxa"/>
          </w:tblCellMar>
          <w:tblLook w:val="0600"/>
        </w:tblPrEx>
        <w:trPr>
          <w:trHeight w:val="300"/>
        </w:trPr>
        <w:tc>
          <w:tcPr>
            <w:tcW w:w="636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6F3BB7" w:rsidRPr="00DC1064" w14:paraId="07BABFA5" w14:textId="77777777">
            <w:pPr>
              <w:widowControl w:val="0"/>
              <w:ind w:left="0" w:right="0"/>
              <w:rPr>
                <w:rFonts w:ascii="Calibri" w:eastAsia="Calibri" w:hAnsi="Calibri" w:cs="Calibri"/>
                <w:color w:val="auto"/>
              </w:rPr>
            </w:pPr>
            <w:r w:rsidRPr="00DC1064">
              <w:rPr>
                <w:color w:val="auto"/>
              </w:rPr>
              <w:t>Replacement Temporary Fixed Link Relocation Cost</w:t>
            </w:r>
          </w:p>
        </w:tc>
        <w:tc>
          <w:tcPr>
            <w:tcW w:w="367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rsidRPr="00DC1064" w14:paraId="2256D98F" w14:textId="77777777">
            <w:pPr>
              <w:widowControl w:val="0"/>
              <w:ind w:left="0" w:right="0"/>
              <w:jc w:val="center"/>
              <w:rPr>
                <w:rFonts w:ascii="Calibri" w:eastAsia="Calibri" w:hAnsi="Calibri" w:cs="Calibri"/>
                <w:color w:val="auto"/>
              </w:rPr>
            </w:pPr>
            <w:r w:rsidRPr="00DC1064">
              <w:rPr>
                <w:color w:val="auto"/>
              </w:rPr>
              <w:t>15,000 – 150,000</w:t>
            </w:r>
          </w:p>
        </w:tc>
      </w:tr>
    </w:tbl>
    <w:p w:rsidR="006F3BB7" w14:paraId="0840A68D" w14:textId="77777777"/>
    <w:p w:rsidR="006F3BB7" w14:paraId="33421E81" w14:textId="77777777">
      <w:pPr>
        <w:ind w:left="450" w:firstLine="360"/>
        <w:rPr>
          <w:sz w:val="16"/>
          <w:szCs w:val="16"/>
        </w:rPr>
      </w:pPr>
    </w:p>
    <w:p w:rsidR="006F3BB7" w14:paraId="0A9905F2" w14:textId="77777777">
      <w:pPr>
        <w:ind w:left="0" w:firstLine="360"/>
        <w:rPr>
          <w:sz w:val="16"/>
          <w:szCs w:val="16"/>
        </w:rPr>
      </w:pPr>
      <w:r>
        <w:br w:type="page"/>
      </w:r>
    </w:p>
    <w:p w:rsidR="006F3BB7" w:rsidP="00ED4F48" w14:paraId="2B85C88B" w14:textId="2AF9D0CB">
      <w:pPr>
        <w:pStyle w:val="Heading1"/>
        <w:tabs>
          <w:tab w:val="left" w:pos="450"/>
          <w:tab w:val="left" w:pos="540"/>
          <w:tab w:val="left" w:pos="7890"/>
        </w:tabs>
        <w:ind w:left="450" w:firstLine="270"/>
      </w:pPr>
      <w:bookmarkStart w:id="39" w:name="_Toc38633303"/>
      <w:r>
        <w:t>V. Technology Upgrades</w:t>
      </w:r>
      <w:bookmarkEnd w:id="39"/>
      <w:r>
        <w:t xml:space="preserve"> </w:t>
      </w:r>
      <w:r w:rsidR="00463252">
        <w:tab/>
      </w:r>
    </w:p>
    <w:p w:rsidR="006F3BB7" w14:paraId="466B35BE" w14:textId="77777777">
      <w:pPr>
        <w:ind w:left="0" w:firstLine="360"/>
      </w:pPr>
    </w:p>
    <w:p w:rsidR="006F3BB7" w14:paraId="19F98B2C" w14:textId="703EDA39">
      <w:r>
        <w:t>Multiple activities are understood to be required to clear the lower 300 megahertz of spectrum</w:t>
      </w:r>
      <w:r w:rsidRPr="00180FF8" w:rsidR="00180FF8">
        <w:t xml:space="preserve"> </w:t>
      </w:r>
      <w:r w:rsidR="00180FF8">
        <w:t>in the 3700-4200 MHz band,</w:t>
      </w:r>
      <w:r>
        <w:t xml:space="preserve"> inclusive of repacking via load balancing across existing satellites, </w:t>
      </w:r>
      <w:r w:rsidR="00662FCB">
        <w:t xml:space="preserve">the deployment of </w:t>
      </w:r>
      <w:r>
        <w:t xml:space="preserve">new satellites, </w:t>
      </w:r>
      <w:r>
        <w:t>and also</w:t>
      </w:r>
      <w:r>
        <w:t xml:space="preserve"> </w:t>
      </w:r>
      <w:r w:rsidR="008B4B90">
        <w:t xml:space="preserve">the installation of </w:t>
      </w:r>
      <w:r>
        <w:t xml:space="preserve">new receiver/decoder technologies that incorporate compression technologies. </w:t>
      </w:r>
    </w:p>
    <w:p w:rsidR="006F3BB7" w14:paraId="155CE5F6" w14:textId="77777777"/>
    <w:p w:rsidR="006F3BB7" w14:paraId="27EED314" w14:textId="5F13BC61">
      <w:bookmarkStart w:id="40" w:name="_Hlk38548744"/>
      <w:r>
        <w:t>Compression/</w:t>
      </w:r>
      <w:r>
        <w:t>remultiplexing</w:t>
      </w:r>
      <w:r>
        <w:t xml:space="preserve"> approaches</w:t>
      </w:r>
      <w:r w:rsidR="00931363">
        <w:t xml:space="preserve"> and related </w:t>
      </w:r>
      <w:r>
        <w:t>technologies are not considered to either improve or degrade performance of a link.</w:t>
      </w:r>
      <w:r w:rsidR="008E5B3F">
        <w:t xml:space="preserve">  N</w:t>
      </w:r>
      <w:r>
        <w:t>ot all earth station links will require compression in order to clear the lower 300 megahertz</w:t>
      </w:r>
      <w:r w:rsidR="008E5B3F">
        <w:t>.  Further,</w:t>
      </w:r>
      <w:r>
        <w:t xml:space="preserve"> the costs associated with new transcoding equipment at the transmit/uplink site and integrated receiver/decoder devices at the receive site </w:t>
      </w:r>
      <w:r w:rsidR="008E5B3F">
        <w:t>can be expensive.  Therefore</w:t>
      </w:r>
      <w:r>
        <w:t xml:space="preserve">, only some stakeholders are expected to be reimbursed for new encrypt/encode/compress and decode/decrypt/decompress equipment. </w:t>
      </w:r>
      <w:r w:rsidR="00734D80">
        <w:t xml:space="preserve"> </w:t>
      </w:r>
      <w:r>
        <w:t xml:space="preserve">Moreover, if one side of the link is replaced then so too must the other. </w:t>
      </w:r>
      <w:r w:rsidR="00F27BEB">
        <w:t xml:space="preserve"> </w:t>
      </w:r>
      <w:r>
        <w:t>Therefore, the reimbursement for and distribution of this equipment is anticipated to flow through the satellite operators and is not part of earth station costs (</w:t>
      </w:r>
      <w:r w:rsidR="003E1B1A">
        <w:t>except for</w:t>
      </w:r>
      <w:r>
        <w:t xml:space="preserve"> labor for installing said equipment).  In this way, the satellite operators are both responsible and accountable for the successful repacking of their operations into the upper 200 megahertz.</w:t>
      </w:r>
    </w:p>
    <w:bookmarkEnd w:id="40"/>
    <w:p w:rsidR="006F3BB7" w14:paraId="10246F66" w14:textId="77777777"/>
    <w:p w:rsidR="006F3BB7" w14:paraId="60D25A52" w14:textId="1E144706">
      <w:r>
        <w:t xml:space="preserve">Costs associated with compression equipment are included in the table below. </w:t>
      </w:r>
      <w:r w:rsidR="00CE0703">
        <w:t xml:space="preserve"> </w:t>
      </w:r>
      <w:r>
        <w:t>Operators are responsible for justifying the number of pieces of equipment they need to completely repack into the upper 200 megahertz.</w:t>
      </w:r>
    </w:p>
    <w:p w:rsidR="006F3BB7" w14:paraId="00DFD376" w14:textId="77777777">
      <w:pPr>
        <w:ind w:left="0"/>
      </w:pPr>
    </w:p>
    <w:tbl>
      <w:tblPr>
        <w:tblW w:w="9810" w:type="dxa"/>
        <w:tblInd w:w="38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585"/>
        <w:gridCol w:w="3225"/>
      </w:tblGrid>
      <w:tr w14:paraId="7980255D" w14:textId="77777777">
        <w:tblPrEx>
          <w:tblW w:w="9810" w:type="dxa"/>
          <w:tblInd w:w="385"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6F3BB7" w14:paraId="25BFF6EA" w14:textId="77777777">
            <w:pPr>
              <w:widowControl w:val="0"/>
              <w:ind w:left="0" w:right="0"/>
              <w:jc w:val="center"/>
              <w:rPr>
                <w:rFonts w:ascii="Calibri" w:eastAsia="Calibri" w:hAnsi="Calibri" w:cs="Calibri"/>
                <w:color w:val="000000"/>
              </w:rPr>
            </w:pPr>
            <w:r>
              <w:rPr>
                <w:color w:val="0072C6"/>
              </w:rPr>
              <w:t>Table V-A-1: Uplink Technology Upgrades</w:t>
            </w:r>
          </w:p>
        </w:tc>
        <w:tc>
          <w:tcPr>
            <w:tcW w:w="3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50702675" w14:textId="77777777">
            <w:pPr>
              <w:widowControl w:val="0"/>
              <w:ind w:left="0" w:right="0"/>
              <w:jc w:val="center"/>
              <w:rPr>
                <w:rFonts w:ascii="Calibri" w:eastAsia="Calibri" w:hAnsi="Calibri" w:cs="Calibri"/>
                <w:color w:val="000000"/>
              </w:rPr>
            </w:pPr>
            <w:r>
              <w:rPr>
                <w:color w:val="0072C6"/>
              </w:rPr>
              <w:t>Range of Estimated Cost ($)</w:t>
            </w:r>
          </w:p>
        </w:tc>
      </w:tr>
      <w:tr w14:paraId="67F7FC4C" w14:textId="77777777">
        <w:tblPrEx>
          <w:tblW w:w="9810" w:type="dxa"/>
          <w:tblInd w:w="385" w:type="dxa"/>
          <w:tblLayout w:type="fixed"/>
          <w:tblCellMar>
            <w:top w:w="100" w:type="dxa"/>
            <w:left w:w="100" w:type="dxa"/>
            <w:bottom w:w="100" w:type="dxa"/>
            <w:right w:w="100" w:type="dxa"/>
          </w:tblCellMar>
          <w:tblLook w:val="0600"/>
        </w:tblPrEx>
        <w:trPr>
          <w:trHeight w:val="300"/>
        </w:trPr>
        <w:tc>
          <w:tcPr>
            <w:tcW w:w="6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442654A0" w14:textId="25B98EF4">
            <w:pPr>
              <w:widowControl w:val="0"/>
              <w:ind w:left="0" w:right="0"/>
              <w:rPr>
                <w:rFonts w:ascii="Calibri" w:eastAsia="Calibri" w:hAnsi="Calibri" w:cs="Calibri"/>
                <w:color w:val="000000"/>
              </w:rPr>
            </w:pPr>
            <w:r>
              <w:rPr>
                <w:color w:val="000000"/>
              </w:rPr>
              <w:t xml:space="preserve">Encoding / </w:t>
            </w:r>
            <w:r w:rsidR="003E1B1A">
              <w:rPr>
                <w:color w:val="000000"/>
              </w:rPr>
              <w:t>Statmux</w:t>
            </w:r>
            <w:r>
              <w:rPr>
                <w:color w:val="000000"/>
              </w:rPr>
              <w:t xml:space="preserve"> Equipment (per transponder)</w:t>
            </w:r>
          </w:p>
        </w:tc>
        <w:tc>
          <w:tcPr>
            <w:tcW w:w="3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0D895113" w14:textId="6DA9265C">
            <w:pPr>
              <w:widowControl w:val="0"/>
              <w:ind w:left="0" w:right="0"/>
              <w:jc w:val="center"/>
              <w:rPr>
                <w:rFonts w:ascii="Calibri" w:eastAsia="Calibri" w:hAnsi="Calibri" w:cs="Calibri"/>
                <w:color w:val="000000"/>
              </w:rPr>
            </w:pPr>
            <w:r>
              <w:rPr>
                <w:color w:val="000000"/>
              </w:rPr>
              <w:t xml:space="preserve">275,000 </w:t>
            </w:r>
            <w:r w:rsidR="003E1B1A">
              <w:rPr>
                <w:color w:val="000000"/>
              </w:rPr>
              <w:t>–</w:t>
            </w:r>
            <w:r>
              <w:rPr>
                <w:color w:val="000000"/>
              </w:rPr>
              <w:t xml:space="preserve"> 1</w:t>
            </w:r>
            <w:r w:rsidR="003E1B1A">
              <w:rPr>
                <w:color w:val="000000"/>
              </w:rPr>
              <w:t>.</w:t>
            </w:r>
            <w:r>
              <w:rPr>
                <w:color w:val="000000"/>
              </w:rPr>
              <w:t>21</w:t>
            </w:r>
            <w:r w:rsidR="003E1B1A">
              <w:rPr>
                <w:color w:val="000000"/>
              </w:rPr>
              <w:t>M</w:t>
            </w:r>
          </w:p>
        </w:tc>
      </w:tr>
      <w:tr w14:paraId="306C1A67" w14:textId="77777777">
        <w:tblPrEx>
          <w:tblW w:w="9810" w:type="dxa"/>
          <w:tblInd w:w="385" w:type="dxa"/>
          <w:tblLayout w:type="fixed"/>
          <w:tblCellMar>
            <w:top w:w="100" w:type="dxa"/>
            <w:left w:w="100" w:type="dxa"/>
            <w:bottom w:w="100" w:type="dxa"/>
            <w:right w:w="100" w:type="dxa"/>
          </w:tblCellMar>
          <w:tblLook w:val="0600"/>
        </w:tblPrEx>
        <w:trPr>
          <w:trHeight w:val="300"/>
        </w:trPr>
        <w:tc>
          <w:tcPr>
            <w:tcW w:w="65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2F96EADE" w14:textId="77777777">
            <w:pPr>
              <w:widowControl w:val="0"/>
              <w:ind w:left="0" w:right="0"/>
              <w:rPr>
                <w:rFonts w:ascii="Calibri" w:eastAsia="Calibri" w:hAnsi="Calibri" w:cs="Calibri"/>
                <w:color w:val="000000"/>
              </w:rPr>
            </w:pPr>
            <w:r>
              <w:rPr>
                <w:color w:val="000000"/>
              </w:rPr>
              <w:t>Modulation and Coding Equipment (per transponder)</w:t>
            </w:r>
          </w:p>
        </w:tc>
        <w:tc>
          <w:tcPr>
            <w:tcW w:w="3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4BBD18C5" w14:textId="45FD1FAE">
            <w:pPr>
              <w:widowControl w:val="0"/>
              <w:ind w:left="0" w:right="0"/>
              <w:jc w:val="center"/>
              <w:rPr>
                <w:rFonts w:ascii="Calibri" w:eastAsia="Calibri" w:hAnsi="Calibri" w:cs="Calibri"/>
                <w:color w:val="000000"/>
              </w:rPr>
            </w:pPr>
            <w:r>
              <w:rPr>
                <w:color w:val="000000"/>
              </w:rPr>
              <w:t xml:space="preserve">50,000 </w:t>
            </w:r>
            <w:r w:rsidR="00F66804">
              <w:rPr>
                <w:color w:val="000000"/>
              </w:rPr>
              <w:t>–</w:t>
            </w:r>
            <w:r>
              <w:rPr>
                <w:color w:val="000000"/>
              </w:rPr>
              <w:t xml:space="preserve"> 85,000</w:t>
            </w:r>
          </w:p>
        </w:tc>
      </w:tr>
    </w:tbl>
    <w:p w:rsidR="006F3BB7" w14:paraId="3E3DBD48" w14:textId="77777777">
      <w:r>
        <w:t xml:space="preserve"> </w:t>
      </w:r>
    </w:p>
    <w:tbl>
      <w:tblPr>
        <w:tblW w:w="9780" w:type="dxa"/>
        <w:tblInd w:w="37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6600"/>
        <w:gridCol w:w="3180"/>
      </w:tblGrid>
      <w:tr w14:paraId="101FE95E" w14:textId="77777777">
        <w:tblPrEx>
          <w:tblW w:w="9780" w:type="dxa"/>
          <w:tblInd w:w="37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300"/>
        </w:trPr>
        <w:tc>
          <w:tcPr>
            <w:tcW w:w="66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6F3BB7" w14:paraId="61934128" w14:textId="77777777">
            <w:pPr>
              <w:widowControl w:val="0"/>
              <w:ind w:left="0" w:right="0"/>
              <w:jc w:val="center"/>
              <w:rPr>
                <w:rFonts w:ascii="Calibri" w:eastAsia="Calibri" w:hAnsi="Calibri" w:cs="Calibri"/>
                <w:color w:val="000000"/>
              </w:rPr>
            </w:pPr>
            <w:r>
              <w:rPr>
                <w:color w:val="0072C6"/>
              </w:rPr>
              <w:t>Table V-A-2: Downlink Technology Upgrades</w:t>
            </w:r>
          </w:p>
        </w:tc>
        <w:tc>
          <w:tcPr>
            <w:tcW w:w="31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693778BD" w14:textId="77777777">
            <w:pPr>
              <w:widowControl w:val="0"/>
              <w:ind w:left="0" w:right="0"/>
              <w:jc w:val="center"/>
              <w:rPr>
                <w:rFonts w:ascii="Calibri" w:eastAsia="Calibri" w:hAnsi="Calibri" w:cs="Calibri"/>
                <w:color w:val="000000"/>
              </w:rPr>
            </w:pPr>
            <w:r>
              <w:rPr>
                <w:color w:val="0072C6"/>
              </w:rPr>
              <w:t>Range of Estimated Cost ($)</w:t>
            </w:r>
          </w:p>
        </w:tc>
      </w:tr>
      <w:tr w14:paraId="447A35DC" w14:textId="77777777">
        <w:tblPrEx>
          <w:tblW w:w="9780" w:type="dxa"/>
          <w:tblInd w:w="370" w:type="dxa"/>
          <w:tblLayout w:type="fixed"/>
          <w:tblCellMar>
            <w:top w:w="100" w:type="dxa"/>
            <w:left w:w="100" w:type="dxa"/>
            <w:bottom w:w="100" w:type="dxa"/>
            <w:right w:w="100" w:type="dxa"/>
          </w:tblCellMar>
          <w:tblLook w:val="0600"/>
        </w:tblPrEx>
        <w:trPr>
          <w:trHeight w:val="300"/>
        </w:trPr>
        <w:tc>
          <w:tcPr>
            <w:tcW w:w="66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6F3BB7" w14:paraId="3348748B" w14:textId="77777777">
            <w:pPr>
              <w:widowControl w:val="0"/>
              <w:ind w:left="0" w:right="0"/>
              <w:rPr>
                <w:rFonts w:ascii="Calibri" w:eastAsia="Calibri" w:hAnsi="Calibri" w:cs="Calibri"/>
                <w:color w:val="000000"/>
              </w:rPr>
            </w:pPr>
            <w:r>
              <w:rPr>
                <w:color w:val="000000"/>
              </w:rPr>
              <w:t>Integrated Receiver / Decoders (per transponder)</w:t>
            </w:r>
          </w:p>
        </w:tc>
        <w:tc>
          <w:tcPr>
            <w:tcW w:w="31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6F3BB7" w14:paraId="7DABD794" w14:textId="33E7558F">
            <w:pPr>
              <w:widowControl w:val="0"/>
              <w:ind w:left="0" w:right="0"/>
              <w:jc w:val="center"/>
              <w:rPr>
                <w:rFonts w:ascii="Calibri" w:eastAsia="Calibri" w:hAnsi="Calibri" w:cs="Calibri"/>
                <w:color w:val="000000"/>
              </w:rPr>
            </w:pPr>
            <w:r>
              <w:rPr>
                <w:color w:val="000000"/>
              </w:rPr>
              <w:t xml:space="preserve">5,000 </w:t>
            </w:r>
            <w:r w:rsidR="00F66804">
              <w:rPr>
                <w:color w:val="000000"/>
              </w:rPr>
              <w:t>–</w:t>
            </w:r>
            <w:r>
              <w:rPr>
                <w:color w:val="000000"/>
              </w:rPr>
              <w:t xml:space="preserve"> 35,000</w:t>
            </w:r>
          </w:p>
        </w:tc>
      </w:tr>
    </w:tbl>
    <w:p w:rsidR="006F3BB7" w14:paraId="7C4F2212" w14:textId="77777777"/>
    <w:p w:rsidR="006F3BB7" w14:paraId="02DAFD76" w14:textId="31B0F40C">
      <w:pPr>
        <w:ind w:left="0"/>
      </w:pPr>
    </w:p>
    <w:sectPr>
      <w:headerReference w:type="default" r:id="rId5"/>
      <w:footerReference w:type="default" r:id="rId6"/>
      <w:headerReference w:type="first" r:id="rId7"/>
      <w:footerReference w:type="first" r:id="rId8"/>
      <w:pgSz w:w="12240" w:h="15840"/>
      <w:pgMar w:top="810" w:right="720" w:bottom="1440" w:left="720" w:header="1080" w:footer="108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ssistant">
    <w:altName w:val="Calibri"/>
    <w:charset w:val="00"/>
    <w:family w:val="auto"/>
    <w:pitch w:val="default"/>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5E" w14:paraId="52DAC1DF" w14:textId="77777777"/>
  <w:p w:rsidR="0004015E" w14:paraId="2D4C6A2B" w14:textId="2AC54E03">
    <w:pPr>
      <w:pBdr>
        <w:top w:val="single" w:sz="4" w:space="8" w:color="0072C6"/>
        <w:left w:val="single" w:sz="4" w:space="31" w:color="0072C6"/>
        <w:bottom w:val="single" w:sz="4" w:space="8" w:color="0072C6"/>
        <w:right w:val="single" w:sz="4" w:space="31" w:color="0072C6"/>
        <w:between w:val="nil"/>
      </w:pBdr>
      <w:shd w:val="clear" w:color="auto" w:fill="0072C6"/>
      <w:tabs>
        <w:tab w:val="right" w:pos="9360"/>
      </w:tabs>
      <w:ind w:left="180" w:right="-90" w:hanging="510"/>
      <w:rPr>
        <w:color w:val="FFFFFF"/>
        <w:sz w:val="20"/>
        <w:szCs w:val="20"/>
      </w:rPr>
    </w:pPr>
    <w:r w:rsidRPr="00C047D4" w:rsidR="00B82685">
      <w:rPr>
        <w:b/>
        <w:color w:val="F79646" w:themeColor="accent6"/>
        <w:sz w:val="20"/>
        <w:szCs w:val="20"/>
      </w:rPr>
      <w:t xml:space="preserve">3.7 GHz Transition Preliminary </w:t>
    </w:r>
    <w:r w:rsidRPr="00C047D4">
      <w:rPr>
        <w:b/>
        <w:color w:val="F79646" w:themeColor="accent6"/>
        <w:sz w:val="20"/>
        <w:szCs w:val="20"/>
      </w:rPr>
      <w:t xml:space="preserve">Cost Category Schedule of Potential Expenses and Estimated Costs </w:t>
    </w:r>
    <w:r w:rsidRPr="00C047D4">
      <w:rPr>
        <w:color w:val="F79646" w:themeColor="accent6"/>
        <w:sz w:val="20"/>
        <w:szCs w:val="20"/>
      </w:rPr>
      <w:fldChar w:fldCharType="begin"/>
    </w:r>
    <w:r w:rsidRPr="00C047D4">
      <w:rPr>
        <w:color w:val="F79646" w:themeColor="accent6"/>
        <w:sz w:val="20"/>
        <w:szCs w:val="20"/>
      </w:rPr>
      <w:instrText>PAGE</w:instrText>
    </w:r>
    <w:r w:rsidRPr="00C047D4">
      <w:rPr>
        <w:color w:val="F79646" w:themeColor="accent6"/>
        <w:sz w:val="20"/>
        <w:szCs w:val="20"/>
      </w:rPr>
      <w:fldChar w:fldCharType="separate"/>
    </w:r>
    <w:r w:rsidRPr="00C047D4">
      <w:rPr>
        <w:noProof/>
        <w:color w:val="F79646" w:themeColor="accent6"/>
        <w:sz w:val="20"/>
        <w:szCs w:val="20"/>
      </w:rPr>
      <w:t>1</w:t>
    </w:r>
    <w:r w:rsidRPr="00C047D4">
      <w:rPr>
        <w:color w:val="F79646" w:themeColor="accent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5E" w:rsidRPr="00C047D4" w14:paraId="4F0C49A2" w14:textId="58044AB2">
    <w:pPr>
      <w:pBdr>
        <w:top w:val="single" w:sz="4" w:space="8" w:color="0072C6"/>
        <w:left w:val="single" w:sz="4" w:space="31" w:color="0072C6"/>
        <w:bottom w:val="single" w:sz="4" w:space="8" w:color="0072C6"/>
        <w:right w:val="single" w:sz="4" w:space="31" w:color="0072C6"/>
        <w:between w:val="nil"/>
      </w:pBdr>
      <w:shd w:val="clear" w:color="auto" w:fill="0072C6"/>
      <w:tabs>
        <w:tab w:val="center" w:pos="5040"/>
        <w:tab w:val="right" w:pos="11520"/>
      </w:tabs>
      <w:ind w:left="0" w:right="-720" w:hanging="645"/>
      <w:jc w:val="center"/>
      <w:rPr>
        <w:b/>
        <w:color w:val="F79646" w:themeColor="accent6"/>
        <w:sz w:val="18"/>
        <w:szCs w:val="18"/>
      </w:rPr>
    </w:pPr>
    <w:r w:rsidRPr="00C047D4">
      <w:rPr>
        <w:b/>
        <w:color w:val="F79646" w:themeColor="accent6"/>
        <w:sz w:val="20"/>
        <w:szCs w:val="20"/>
      </w:rPr>
      <w:t xml:space="preserve">3.7 GHz Transition Preliminary </w:t>
    </w:r>
    <w:r w:rsidRPr="00C047D4">
      <w:rPr>
        <w:b/>
        <w:color w:val="F79646" w:themeColor="accent6"/>
        <w:sz w:val="20"/>
        <w:szCs w:val="20"/>
      </w:rPr>
      <w:t xml:space="preserve">Cost Category Schedule of Potential Expenses and Estimated Costs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0099" w14:paraId="248AB6AA" w14:textId="77777777">
      <w:pPr>
        <w:spacing w:line="240" w:lineRule="auto"/>
      </w:pPr>
      <w:r>
        <w:separator/>
      </w:r>
    </w:p>
  </w:footnote>
  <w:footnote w:type="continuationSeparator" w:id="1">
    <w:p w:rsidR="00950099" w14:paraId="08DD17F6" w14:textId="77777777">
      <w:pPr>
        <w:spacing w:line="240" w:lineRule="auto"/>
      </w:pPr>
      <w:r>
        <w:continuationSeparator/>
      </w:r>
    </w:p>
  </w:footnote>
  <w:footnote w:type="continuationNotice" w:id="2">
    <w:p w:rsidR="00950099" w14:paraId="30D2C720" w14:textId="77777777">
      <w:pPr>
        <w:spacing w:line="240" w:lineRule="auto"/>
      </w:pPr>
    </w:p>
  </w:footnote>
  <w:footnote w:id="3">
    <w:p w:rsidR="0004015E" w:rsidP="00BC6DEE" w14:paraId="01D575FA" w14:textId="08FD1D32">
      <w:pPr>
        <w:pStyle w:val="FootnoteText"/>
      </w:pPr>
      <w:r>
        <w:rPr>
          <w:rStyle w:val="FootnoteReference"/>
        </w:rPr>
        <w:footnoteRef/>
      </w:r>
      <w:r>
        <w:t xml:space="preserve"> Note that such expenses and costs incurred extend to </w:t>
      </w:r>
      <w:r w:rsidRPr="00683620">
        <w:t>earth stations located outside of the contiguous United States</w:t>
      </w:r>
      <w:r>
        <w:t xml:space="preserve"> </w:t>
      </w:r>
      <w:r w:rsidRPr="00683620">
        <w:t xml:space="preserve">to the extent it can be demonstrated that the system modifications for which </w:t>
      </w:r>
      <w:r>
        <w:t xml:space="preserve">they seek </w:t>
      </w:r>
      <w:r w:rsidRPr="00683620">
        <w:t xml:space="preserve">reimbursement </w:t>
      </w:r>
      <w:r>
        <w:t>are</w:t>
      </w:r>
      <w:r w:rsidRPr="00683620">
        <w:t xml:space="preserve"> </w:t>
      </w:r>
      <w:r>
        <w:t xml:space="preserve">necessary as </w:t>
      </w:r>
      <w:r w:rsidRPr="00683620">
        <w:t>a direct result of the C-band transition.</w:t>
      </w:r>
      <w:r w:rsidRPr="00EB75DA">
        <w:rPr>
          <w:i/>
        </w:rPr>
        <w:t xml:space="preserve"> </w:t>
      </w:r>
      <w:r>
        <w:rPr>
          <w:i/>
        </w:rPr>
        <w:t xml:space="preserve"> See </w:t>
      </w:r>
      <w:r w:rsidRPr="00EB75DA">
        <w:rPr>
          <w:i/>
        </w:rPr>
        <w:t>Expanding Flexible Use of the 3.7 to 4.2 GHz Band</w:t>
      </w:r>
      <w:r w:rsidRPr="00EB75DA">
        <w:t>, GN Docket No. 18-122, Report and Order and Order of Proposed Modification, FCC 20-22</w:t>
      </w:r>
      <w:r>
        <w:t>, at 85-86, para. 204</w:t>
      </w:r>
      <w:r w:rsidRPr="00EB75DA">
        <w:t xml:space="preserve"> (Mar. 3, 2020) (</w:t>
      </w:r>
      <w:r w:rsidRPr="00EB75DA">
        <w:rPr>
          <w:i/>
        </w:rPr>
        <w:t>Order</w:t>
      </w:r>
      <w:r w:rsidRPr="00EB75DA">
        <w:t>).</w:t>
      </w:r>
    </w:p>
  </w:footnote>
  <w:footnote w:id="4">
    <w:p w:rsidR="0004015E" w:rsidRPr="00BC6DEE" w:rsidP="00BC6DEE" w14:paraId="455965BD" w14:textId="16F1C3B1">
      <w:pPr>
        <w:pStyle w:val="FootnoteText"/>
      </w:pPr>
      <w:r>
        <w:rPr>
          <w:rStyle w:val="FootnoteReference"/>
        </w:rPr>
        <w:footnoteRef/>
      </w:r>
      <w:r>
        <w:t xml:space="preserve"> </w:t>
      </w:r>
      <w:r>
        <w:rPr>
          <w:i/>
          <w:iCs/>
        </w:rPr>
        <w:t>See, e.g.</w:t>
      </w:r>
      <w:r>
        <w:t>,</w:t>
      </w:r>
      <w:r>
        <w:rPr>
          <w:i/>
          <w:iCs/>
        </w:rPr>
        <w:t xml:space="preserve"> Order</w:t>
      </w:r>
      <w:r>
        <w:t xml:space="preserve"> at 79-88, paras. 193-210 (establishing guidelines for compensable costs). </w:t>
      </w:r>
    </w:p>
  </w:footnote>
  <w:footnote w:id="5">
    <w:p w:rsidR="0004015E" w:rsidP="009C5F89" w14:paraId="2415E71C" w14:textId="18DA13AC">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i/>
          <w:sz w:val="20"/>
          <w:szCs w:val="20"/>
        </w:rPr>
        <w:t xml:space="preserve">Order </w:t>
      </w:r>
      <w:r>
        <w:rPr>
          <w:sz w:val="20"/>
          <w:szCs w:val="20"/>
        </w:rPr>
        <w:t>at 80, para. 194.</w:t>
      </w:r>
    </w:p>
  </w:footnote>
  <w:footnote w:id="6">
    <w:p w:rsidR="0004015E" w14:paraId="58B5E215" w14:textId="77777777">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i/>
          <w:sz w:val="20"/>
          <w:szCs w:val="20"/>
        </w:rPr>
        <w:t xml:space="preserve">Order </w:t>
      </w:r>
      <w:r>
        <w:rPr>
          <w:sz w:val="20"/>
          <w:szCs w:val="20"/>
        </w:rPr>
        <w:t>at 79, para. 193.</w:t>
      </w:r>
    </w:p>
  </w:footnote>
  <w:footnote w:id="7">
    <w:p w:rsidR="0004015E" w14:paraId="608CF2EE" w14:textId="6D256BE1">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i/>
          <w:sz w:val="20"/>
          <w:szCs w:val="20"/>
        </w:rPr>
        <w:t>Order</w:t>
      </w:r>
      <w:r>
        <w:rPr>
          <w:sz w:val="20"/>
          <w:szCs w:val="20"/>
        </w:rPr>
        <w:t xml:space="preserve"> at 84-85, para. 202.  </w:t>
      </w:r>
      <w:r w:rsidRPr="00FB764B">
        <w:rPr>
          <w:sz w:val="20"/>
          <w:szCs w:val="20"/>
        </w:rPr>
        <w:t xml:space="preserve">Note that while reimbursement of expenses on an itemized basis is available for earth stations located outside of the contiguous United States to the extent it can be demonstrated that the system modifications for which reimbursement </w:t>
      </w:r>
      <w:r>
        <w:rPr>
          <w:sz w:val="20"/>
          <w:szCs w:val="20"/>
        </w:rPr>
        <w:t>is sought are necessary as</w:t>
      </w:r>
      <w:r w:rsidRPr="00FB764B">
        <w:rPr>
          <w:sz w:val="20"/>
          <w:szCs w:val="20"/>
        </w:rPr>
        <w:t xml:space="preserve"> a direct result of the C-band transition, the lump sum payment is not an option for earth stations outside of the contiguous United States.  </w:t>
      </w:r>
      <w:r w:rsidRPr="00FB764B">
        <w:rPr>
          <w:i/>
          <w:iCs/>
          <w:sz w:val="20"/>
          <w:szCs w:val="20"/>
        </w:rPr>
        <w:t>Id.</w:t>
      </w:r>
      <w:r w:rsidRPr="00FB764B">
        <w:rPr>
          <w:sz w:val="20"/>
          <w:szCs w:val="20"/>
        </w:rPr>
        <w:t xml:space="preserve"> at 86, para. 204 n.550.</w:t>
      </w:r>
    </w:p>
  </w:footnote>
  <w:footnote w:id="8">
    <w:p w:rsidR="0004015E" w14:paraId="1A508814" w14:textId="77777777">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i/>
          <w:sz w:val="20"/>
          <w:szCs w:val="20"/>
        </w:rPr>
        <w:t xml:space="preserve">Order </w:t>
      </w:r>
      <w:r>
        <w:rPr>
          <w:sz w:val="20"/>
          <w:szCs w:val="20"/>
        </w:rPr>
        <w:t>at 85, para. 203 &amp; n.547.</w:t>
      </w:r>
    </w:p>
  </w:footnote>
  <w:footnote w:id="9">
    <w:p w:rsidR="0004015E" w14:paraId="1E812529" w14:textId="3FAEA2CC">
      <w:pPr>
        <w:spacing w:line="240" w:lineRule="auto"/>
        <w:rPr>
          <w:sz w:val="20"/>
          <w:szCs w:val="20"/>
        </w:rPr>
      </w:pPr>
      <w:r>
        <w:rPr>
          <w:vertAlign w:val="superscript"/>
        </w:rPr>
        <w:footnoteRef/>
      </w:r>
      <w:r>
        <w:rPr>
          <w:sz w:val="20"/>
          <w:szCs w:val="20"/>
        </w:rPr>
        <w:t xml:space="preserve"> </w:t>
      </w:r>
      <w:r w:rsidRPr="00DA3100">
        <w:rPr>
          <w:sz w:val="20"/>
          <w:szCs w:val="20"/>
        </w:rPr>
        <w:t>Based on average number of filters</w:t>
      </w:r>
      <w:r>
        <w:rPr>
          <w:iCs/>
          <w:sz w:val="20"/>
          <w:szCs w:val="20"/>
        </w:rPr>
        <w:t>.</w:t>
      </w:r>
    </w:p>
  </w:footnote>
  <w:footnote w:id="10">
    <w:p w:rsidR="0004015E" w14:paraId="5B7B4AB8" w14:textId="77777777">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Pr>
          <w:i/>
          <w:sz w:val="20"/>
          <w:szCs w:val="20"/>
        </w:rPr>
        <w:t>See Order</w:t>
      </w:r>
      <w:r>
        <w:rPr>
          <w:sz w:val="20"/>
          <w:szCs w:val="20"/>
        </w:rPr>
        <w:t xml:space="preserve"> at 123, para. 326.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5E" w14:paraId="43211D62" w14:textId="77777777">
    <w:pPr>
      <w:pBdr>
        <w:top w:val="nil"/>
        <w:left w:val="nil"/>
        <w:bottom w:val="nil"/>
        <w:right w:val="nil"/>
        <w:between w:val="nil"/>
      </w:pBdr>
      <w:tabs>
        <w:tab w:val="center" w:pos="4680"/>
        <w:tab w:val="right" w:pos="936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15E" w14:paraId="5F393CE6" w14:textId="6E4E9703">
    <w:pPr>
      <w:pBdr>
        <w:top w:val="nil"/>
        <w:left w:val="nil"/>
        <w:bottom w:val="nil"/>
        <w:right w:val="nil"/>
        <w:between w:val="nil"/>
      </w:pBdr>
      <w:tabs>
        <w:tab w:val="center" w:pos="4680"/>
        <w:tab w:val="right" w:pos="9360"/>
      </w:tabs>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97AD4"/>
    <w:multiLevelType w:val="multilevel"/>
    <w:tmpl w:val="DE66A6F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A6C03A0"/>
    <w:multiLevelType w:val="multilevel"/>
    <w:tmpl w:val="733C69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C967D7C"/>
    <w:multiLevelType w:val="multilevel"/>
    <w:tmpl w:val="94EA76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nsid w:val="142F74A4"/>
    <w:multiLevelType w:val="multilevel"/>
    <w:tmpl w:val="01A2EF7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306604F1"/>
    <w:multiLevelType w:val="hybridMultilevel"/>
    <w:tmpl w:val="9858CCB8"/>
    <w:lvl w:ilvl="0">
      <w:start w:val="1"/>
      <w:numFmt w:val="upperRoman"/>
      <w:lvlText w:val="%1."/>
      <w:lvlJc w:val="left"/>
      <w:pPr>
        <w:ind w:left="1980" w:hanging="7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
    <w:nsid w:val="39FB1E85"/>
    <w:multiLevelType w:val="multilevel"/>
    <w:tmpl w:val="28BAD2A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B7"/>
    <w:rsid w:val="0000200A"/>
    <w:rsid w:val="00005F2E"/>
    <w:rsid w:val="000102E7"/>
    <w:rsid w:val="00011CD5"/>
    <w:rsid w:val="00013CBD"/>
    <w:rsid w:val="00036077"/>
    <w:rsid w:val="00037DDE"/>
    <w:rsid w:val="0004015E"/>
    <w:rsid w:val="000658DF"/>
    <w:rsid w:val="00077653"/>
    <w:rsid w:val="00085197"/>
    <w:rsid w:val="000D19BF"/>
    <w:rsid w:val="000D562B"/>
    <w:rsid w:val="000D6DD9"/>
    <w:rsid w:val="000F06F7"/>
    <w:rsid w:val="000F504F"/>
    <w:rsid w:val="000F736A"/>
    <w:rsid w:val="00104D41"/>
    <w:rsid w:val="0010710B"/>
    <w:rsid w:val="0011710A"/>
    <w:rsid w:val="0012774C"/>
    <w:rsid w:val="001344CE"/>
    <w:rsid w:val="00134F14"/>
    <w:rsid w:val="00141D71"/>
    <w:rsid w:val="00147573"/>
    <w:rsid w:val="00147E4C"/>
    <w:rsid w:val="001631A3"/>
    <w:rsid w:val="00163665"/>
    <w:rsid w:val="0016741B"/>
    <w:rsid w:val="0017693C"/>
    <w:rsid w:val="00180FF8"/>
    <w:rsid w:val="00181E51"/>
    <w:rsid w:val="001935DE"/>
    <w:rsid w:val="001A56F5"/>
    <w:rsid w:val="001B050D"/>
    <w:rsid w:val="001C4844"/>
    <w:rsid w:val="001D7698"/>
    <w:rsid w:val="001D7C2C"/>
    <w:rsid w:val="001E2DD7"/>
    <w:rsid w:val="001F72D4"/>
    <w:rsid w:val="002054D6"/>
    <w:rsid w:val="00212B75"/>
    <w:rsid w:val="00237F2D"/>
    <w:rsid w:val="00247565"/>
    <w:rsid w:val="00256643"/>
    <w:rsid w:val="00256945"/>
    <w:rsid w:val="00264D43"/>
    <w:rsid w:val="00270756"/>
    <w:rsid w:val="0029061A"/>
    <w:rsid w:val="002A30FF"/>
    <w:rsid w:val="002A55B8"/>
    <w:rsid w:val="002C40DC"/>
    <w:rsid w:val="002D03AE"/>
    <w:rsid w:val="002D734C"/>
    <w:rsid w:val="002F6B86"/>
    <w:rsid w:val="00311F1E"/>
    <w:rsid w:val="0031767A"/>
    <w:rsid w:val="00323812"/>
    <w:rsid w:val="00330DFA"/>
    <w:rsid w:val="00332D1E"/>
    <w:rsid w:val="003338EA"/>
    <w:rsid w:val="00345082"/>
    <w:rsid w:val="00354667"/>
    <w:rsid w:val="003600C2"/>
    <w:rsid w:val="0036617E"/>
    <w:rsid w:val="003826C7"/>
    <w:rsid w:val="00385FDC"/>
    <w:rsid w:val="0038794A"/>
    <w:rsid w:val="00391AF1"/>
    <w:rsid w:val="00394C1E"/>
    <w:rsid w:val="003A44A1"/>
    <w:rsid w:val="003B45A3"/>
    <w:rsid w:val="003C09BD"/>
    <w:rsid w:val="003C2951"/>
    <w:rsid w:val="003D0424"/>
    <w:rsid w:val="003D4357"/>
    <w:rsid w:val="003E1B1A"/>
    <w:rsid w:val="003F6378"/>
    <w:rsid w:val="003F705A"/>
    <w:rsid w:val="00413F2F"/>
    <w:rsid w:val="00415F7C"/>
    <w:rsid w:val="00416F74"/>
    <w:rsid w:val="00430E6B"/>
    <w:rsid w:val="0043362F"/>
    <w:rsid w:val="00441D1B"/>
    <w:rsid w:val="00444BED"/>
    <w:rsid w:val="00456954"/>
    <w:rsid w:val="00463252"/>
    <w:rsid w:val="00463710"/>
    <w:rsid w:val="00464228"/>
    <w:rsid w:val="0047270B"/>
    <w:rsid w:val="00477B33"/>
    <w:rsid w:val="00480AD1"/>
    <w:rsid w:val="004812A8"/>
    <w:rsid w:val="004825A1"/>
    <w:rsid w:val="00485BF3"/>
    <w:rsid w:val="004A5C9B"/>
    <w:rsid w:val="004B39EF"/>
    <w:rsid w:val="004B4AC9"/>
    <w:rsid w:val="004B50A1"/>
    <w:rsid w:val="004B6DED"/>
    <w:rsid w:val="004C129F"/>
    <w:rsid w:val="004C2774"/>
    <w:rsid w:val="004D18C9"/>
    <w:rsid w:val="004E4B72"/>
    <w:rsid w:val="004E7529"/>
    <w:rsid w:val="00546102"/>
    <w:rsid w:val="0055702A"/>
    <w:rsid w:val="005574D1"/>
    <w:rsid w:val="00562558"/>
    <w:rsid w:val="0057208B"/>
    <w:rsid w:val="005731A3"/>
    <w:rsid w:val="005B151E"/>
    <w:rsid w:val="005B4A4E"/>
    <w:rsid w:val="005B5EF0"/>
    <w:rsid w:val="005C1FCB"/>
    <w:rsid w:val="005C2C3D"/>
    <w:rsid w:val="005C4115"/>
    <w:rsid w:val="005C65BE"/>
    <w:rsid w:val="005F0C20"/>
    <w:rsid w:val="005F2710"/>
    <w:rsid w:val="00604D18"/>
    <w:rsid w:val="00616F33"/>
    <w:rsid w:val="006273B3"/>
    <w:rsid w:val="00632A10"/>
    <w:rsid w:val="006375E3"/>
    <w:rsid w:val="00651180"/>
    <w:rsid w:val="006523FC"/>
    <w:rsid w:val="00652B05"/>
    <w:rsid w:val="00654BAD"/>
    <w:rsid w:val="00662FCB"/>
    <w:rsid w:val="00667873"/>
    <w:rsid w:val="0067228E"/>
    <w:rsid w:val="00683620"/>
    <w:rsid w:val="0068452C"/>
    <w:rsid w:val="006875DB"/>
    <w:rsid w:val="00693240"/>
    <w:rsid w:val="006956B7"/>
    <w:rsid w:val="006A497D"/>
    <w:rsid w:val="006A5D76"/>
    <w:rsid w:val="006A7669"/>
    <w:rsid w:val="006B1329"/>
    <w:rsid w:val="006B7565"/>
    <w:rsid w:val="006E2960"/>
    <w:rsid w:val="006E7DB4"/>
    <w:rsid w:val="006F3BB7"/>
    <w:rsid w:val="00706513"/>
    <w:rsid w:val="00711618"/>
    <w:rsid w:val="00734D80"/>
    <w:rsid w:val="00745C1F"/>
    <w:rsid w:val="00757F1A"/>
    <w:rsid w:val="00757F8A"/>
    <w:rsid w:val="00766D99"/>
    <w:rsid w:val="007941DC"/>
    <w:rsid w:val="0079425C"/>
    <w:rsid w:val="007B10B7"/>
    <w:rsid w:val="007B37EF"/>
    <w:rsid w:val="007C4110"/>
    <w:rsid w:val="007C7E84"/>
    <w:rsid w:val="007E3241"/>
    <w:rsid w:val="007E3C37"/>
    <w:rsid w:val="007E400D"/>
    <w:rsid w:val="007E5150"/>
    <w:rsid w:val="007F45AC"/>
    <w:rsid w:val="008007C9"/>
    <w:rsid w:val="0081078F"/>
    <w:rsid w:val="00816495"/>
    <w:rsid w:val="008206D4"/>
    <w:rsid w:val="00820EB0"/>
    <w:rsid w:val="00821EC6"/>
    <w:rsid w:val="00842EEB"/>
    <w:rsid w:val="008449B7"/>
    <w:rsid w:val="008456C6"/>
    <w:rsid w:val="00857489"/>
    <w:rsid w:val="00874104"/>
    <w:rsid w:val="00891514"/>
    <w:rsid w:val="008A36CD"/>
    <w:rsid w:val="008A518F"/>
    <w:rsid w:val="008A74D7"/>
    <w:rsid w:val="008B138A"/>
    <w:rsid w:val="008B4B90"/>
    <w:rsid w:val="008B5C4C"/>
    <w:rsid w:val="008B6100"/>
    <w:rsid w:val="008C0D5A"/>
    <w:rsid w:val="008C4655"/>
    <w:rsid w:val="008D0C3A"/>
    <w:rsid w:val="008D30DD"/>
    <w:rsid w:val="008D3FCE"/>
    <w:rsid w:val="008E39D7"/>
    <w:rsid w:val="008E3D28"/>
    <w:rsid w:val="008E5B3F"/>
    <w:rsid w:val="008E75ED"/>
    <w:rsid w:val="008F3A0A"/>
    <w:rsid w:val="008F7AD4"/>
    <w:rsid w:val="009060DE"/>
    <w:rsid w:val="0091236F"/>
    <w:rsid w:val="00922A3D"/>
    <w:rsid w:val="00924765"/>
    <w:rsid w:val="00931363"/>
    <w:rsid w:val="009326E0"/>
    <w:rsid w:val="00934729"/>
    <w:rsid w:val="00935F90"/>
    <w:rsid w:val="00947005"/>
    <w:rsid w:val="00950099"/>
    <w:rsid w:val="00953ECB"/>
    <w:rsid w:val="0097557E"/>
    <w:rsid w:val="00975C25"/>
    <w:rsid w:val="00976E6A"/>
    <w:rsid w:val="009902DF"/>
    <w:rsid w:val="009B17EB"/>
    <w:rsid w:val="009B193C"/>
    <w:rsid w:val="009B262E"/>
    <w:rsid w:val="009B2989"/>
    <w:rsid w:val="009B549C"/>
    <w:rsid w:val="009B7C60"/>
    <w:rsid w:val="009C5F89"/>
    <w:rsid w:val="009D21FC"/>
    <w:rsid w:val="009D46DE"/>
    <w:rsid w:val="009F1197"/>
    <w:rsid w:val="00A04ABC"/>
    <w:rsid w:val="00A13377"/>
    <w:rsid w:val="00A154E4"/>
    <w:rsid w:val="00A15940"/>
    <w:rsid w:val="00A15B73"/>
    <w:rsid w:val="00A611C4"/>
    <w:rsid w:val="00A676E7"/>
    <w:rsid w:val="00A701EE"/>
    <w:rsid w:val="00A7551E"/>
    <w:rsid w:val="00A770C9"/>
    <w:rsid w:val="00A918DC"/>
    <w:rsid w:val="00A9587B"/>
    <w:rsid w:val="00AA0674"/>
    <w:rsid w:val="00AB7021"/>
    <w:rsid w:val="00AC02CD"/>
    <w:rsid w:val="00AC2B87"/>
    <w:rsid w:val="00AD61B2"/>
    <w:rsid w:val="00AE0E95"/>
    <w:rsid w:val="00AE68C0"/>
    <w:rsid w:val="00AF5647"/>
    <w:rsid w:val="00B05522"/>
    <w:rsid w:val="00B07E68"/>
    <w:rsid w:val="00B11273"/>
    <w:rsid w:val="00B34818"/>
    <w:rsid w:val="00B423FD"/>
    <w:rsid w:val="00B52B2F"/>
    <w:rsid w:val="00B53C2D"/>
    <w:rsid w:val="00B747DF"/>
    <w:rsid w:val="00B82685"/>
    <w:rsid w:val="00B975E9"/>
    <w:rsid w:val="00BA0ED5"/>
    <w:rsid w:val="00BC1250"/>
    <w:rsid w:val="00BC33A0"/>
    <w:rsid w:val="00BC6DEE"/>
    <w:rsid w:val="00BD1CFF"/>
    <w:rsid w:val="00BF122A"/>
    <w:rsid w:val="00BF61BF"/>
    <w:rsid w:val="00C047D4"/>
    <w:rsid w:val="00C201F3"/>
    <w:rsid w:val="00C213D6"/>
    <w:rsid w:val="00C24603"/>
    <w:rsid w:val="00C25D77"/>
    <w:rsid w:val="00C302D4"/>
    <w:rsid w:val="00C3125C"/>
    <w:rsid w:val="00C34E6F"/>
    <w:rsid w:val="00C548CF"/>
    <w:rsid w:val="00C575EC"/>
    <w:rsid w:val="00C66F90"/>
    <w:rsid w:val="00C70970"/>
    <w:rsid w:val="00C75185"/>
    <w:rsid w:val="00C8037E"/>
    <w:rsid w:val="00C82883"/>
    <w:rsid w:val="00C84C63"/>
    <w:rsid w:val="00CB55DD"/>
    <w:rsid w:val="00CC2679"/>
    <w:rsid w:val="00CC4FD8"/>
    <w:rsid w:val="00CD1663"/>
    <w:rsid w:val="00CD2F9A"/>
    <w:rsid w:val="00CD4DDE"/>
    <w:rsid w:val="00CE02EA"/>
    <w:rsid w:val="00CE0703"/>
    <w:rsid w:val="00CE3313"/>
    <w:rsid w:val="00CE3570"/>
    <w:rsid w:val="00CE3AE8"/>
    <w:rsid w:val="00CE6155"/>
    <w:rsid w:val="00CF731E"/>
    <w:rsid w:val="00D06018"/>
    <w:rsid w:val="00D07946"/>
    <w:rsid w:val="00D15F3B"/>
    <w:rsid w:val="00D160A8"/>
    <w:rsid w:val="00D2051D"/>
    <w:rsid w:val="00D236CF"/>
    <w:rsid w:val="00D2692F"/>
    <w:rsid w:val="00D32AD4"/>
    <w:rsid w:val="00D4180D"/>
    <w:rsid w:val="00D558A1"/>
    <w:rsid w:val="00D56119"/>
    <w:rsid w:val="00D61E69"/>
    <w:rsid w:val="00D638C9"/>
    <w:rsid w:val="00D7127D"/>
    <w:rsid w:val="00D726F4"/>
    <w:rsid w:val="00D86C3E"/>
    <w:rsid w:val="00D86F89"/>
    <w:rsid w:val="00DA3100"/>
    <w:rsid w:val="00DA633C"/>
    <w:rsid w:val="00DC1064"/>
    <w:rsid w:val="00DC548F"/>
    <w:rsid w:val="00DD30E7"/>
    <w:rsid w:val="00DE0101"/>
    <w:rsid w:val="00DF295D"/>
    <w:rsid w:val="00DF3778"/>
    <w:rsid w:val="00DF3793"/>
    <w:rsid w:val="00E0067C"/>
    <w:rsid w:val="00E05920"/>
    <w:rsid w:val="00E064A0"/>
    <w:rsid w:val="00E24271"/>
    <w:rsid w:val="00E25D71"/>
    <w:rsid w:val="00E327F9"/>
    <w:rsid w:val="00E4648A"/>
    <w:rsid w:val="00E5197B"/>
    <w:rsid w:val="00E563AC"/>
    <w:rsid w:val="00E57599"/>
    <w:rsid w:val="00E662C7"/>
    <w:rsid w:val="00E7555E"/>
    <w:rsid w:val="00E82BF8"/>
    <w:rsid w:val="00E9676C"/>
    <w:rsid w:val="00E9696F"/>
    <w:rsid w:val="00EB75DA"/>
    <w:rsid w:val="00EB7983"/>
    <w:rsid w:val="00EC40A9"/>
    <w:rsid w:val="00EC5DDB"/>
    <w:rsid w:val="00ED0F70"/>
    <w:rsid w:val="00ED4F48"/>
    <w:rsid w:val="00EF7782"/>
    <w:rsid w:val="00F11324"/>
    <w:rsid w:val="00F11754"/>
    <w:rsid w:val="00F20EFC"/>
    <w:rsid w:val="00F21FFB"/>
    <w:rsid w:val="00F234FF"/>
    <w:rsid w:val="00F25499"/>
    <w:rsid w:val="00F2601D"/>
    <w:rsid w:val="00F27BEB"/>
    <w:rsid w:val="00F309C0"/>
    <w:rsid w:val="00F31A02"/>
    <w:rsid w:val="00F440A7"/>
    <w:rsid w:val="00F51285"/>
    <w:rsid w:val="00F51F22"/>
    <w:rsid w:val="00F5252B"/>
    <w:rsid w:val="00F66804"/>
    <w:rsid w:val="00F765F5"/>
    <w:rsid w:val="00F819E0"/>
    <w:rsid w:val="00F83F16"/>
    <w:rsid w:val="00F853B0"/>
    <w:rsid w:val="00F9369B"/>
    <w:rsid w:val="00FA1DC6"/>
    <w:rsid w:val="00FB6B10"/>
    <w:rsid w:val="00FB764B"/>
    <w:rsid w:val="00FC143B"/>
    <w:rsid w:val="00FC53A4"/>
    <w:rsid w:val="00FC56B8"/>
    <w:rsid w:val="00FE542A"/>
    <w:rsid w:val="00FE668D"/>
    <w:rsid w:val="00FE725F"/>
    <w:rsid w:val="00FF2BD3"/>
    <w:rsid w:val="0BB8AF39"/>
    <w:rsid w:val="14DB756C"/>
    <w:rsid w:val="20A8B9C0"/>
    <w:rsid w:val="412F3C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287E0AF-9817-453F-9582-58CABD29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ssistant" w:eastAsia="Assistant" w:hAnsi="Assistant" w:cs="Assistant"/>
        <w:color w:val="434343"/>
        <w:sz w:val="22"/>
        <w:szCs w:val="22"/>
        <w:lang w:val="en-US" w:eastAsia="en-US" w:bidi="ar-SA"/>
      </w:rPr>
    </w:rPrDefault>
    <w:pPrDefault>
      <w:pPr>
        <w:spacing w:line="276" w:lineRule="auto"/>
        <w:ind w:left="360"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ind w:left="1260"/>
      <w:outlineLvl w:val="0"/>
    </w:pPr>
    <w:rPr>
      <w:rFonts w:ascii="Open Sans" w:eastAsia="Open Sans" w:hAnsi="Open Sans" w:cs="Open Sans"/>
      <w:b/>
      <w:smallCaps/>
      <w:color w:val="0072C6"/>
      <w:sz w:val="32"/>
      <w:szCs w:val="32"/>
    </w:rPr>
  </w:style>
  <w:style w:type="paragraph" w:styleId="Heading2">
    <w:name w:val="heading 2"/>
    <w:basedOn w:val="Normal"/>
    <w:next w:val="Normal"/>
    <w:uiPriority w:val="9"/>
    <w:unhideWhenUsed/>
    <w:qFormat/>
    <w:pPr>
      <w:keepNext/>
      <w:keepLines/>
      <w:spacing w:after="200"/>
      <w:ind w:left="1440" w:hanging="360"/>
      <w:outlineLvl w:val="1"/>
    </w:pPr>
    <w:rPr>
      <w:rFonts w:ascii="Open Sans" w:eastAsia="Open Sans" w:hAnsi="Open Sans" w:cs="Open Sans"/>
      <w:smallCaps/>
      <w:color w:val="0072C6"/>
      <w:sz w:val="28"/>
      <w:szCs w:val="28"/>
    </w:rPr>
  </w:style>
  <w:style w:type="paragraph" w:styleId="Heading3">
    <w:name w:val="heading 3"/>
    <w:basedOn w:val="Normal"/>
    <w:next w:val="Normal"/>
    <w:uiPriority w:val="9"/>
    <w:unhideWhenUsed/>
    <w:qFormat/>
    <w:pPr>
      <w:keepNext/>
      <w:keepLines/>
      <w:spacing w:after="240"/>
      <w:ind w:left="2160" w:right="0" w:hanging="360"/>
      <w:outlineLvl w:val="2"/>
    </w:pPr>
    <w:rPr>
      <w:color w:val="0072C6"/>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smallCaps/>
      <w:color w:val="F98723"/>
      <w:sz w:val="84"/>
      <w:szCs w:val="84"/>
    </w:rPr>
  </w:style>
  <w:style w:type="paragraph" w:styleId="Subtitle">
    <w:name w:val="Subtitle"/>
    <w:basedOn w:val="Normal"/>
    <w:next w:val="Normal"/>
    <w:uiPriority w:val="11"/>
    <w:qFormat/>
    <w:pPr>
      <w:spacing w:after="720"/>
    </w:pPr>
    <w:rPr>
      <w:smallCaps/>
      <w:sz w:val="40"/>
      <w:szCs w:val="4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table" w:customStyle="1" w:styleId="a3">
    <w:name w:val="a3"/>
    <w:basedOn w:val="TableNormal"/>
    <w:tblPr>
      <w:tblStyleRowBandSize w:val="1"/>
      <w:tblStyleColBandSize w:val="1"/>
      <w:tblCellMar>
        <w:top w:w="100" w:type="dxa"/>
        <w:left w:w="100" w:type="dxa"/>
        <w:bottom w:w="100" w:type="dxa"/>
        <w:right w:w="100" w:type="dxa"/>
      </w:tblCellMar>
    </w:tblPr>
  </w:style>
  <w:style w:type="table" w:customStyle="1" w:styleId="a4">
    <w:name w:val="a4"/>
    <w:basedOn w:val="TableNormal"/>
    <w:tblPr>
      <w:tblStyleRowBandSize w:val="1"/>
      <w:tblStyleColBandSize w:val="1"/>
      <w:tblCellMar>
        <w:top w:w="100" w:type="dxa"/>
        <w:left w:w="100" w:type="dxa"/>
        <w:bottom w:w="100" w:type="dxa"/>
        <w:right w:w="100" w:type="dxa"/>
      </w:tblCellMar>
    </w:tblPr>
  </w:style>
  <w:style w:type="table" w:customStyle="1" w:styleId="a5">
    <w:name w:val="a5"/>
    <w:basedOn w:val="TableNormal"/>
    <w:tblPr>
      <w:tblStyleRowBandSize w:val="1"/>
      <w:tblStyleColBandSize w:val="1"/>
      <w:tblCellMar>
        <w:top w:w="100" w:type="dxa"/>
        <w:left w:w="100" w:type="dxa"/>
        <w:bottom w:w="100" w:type="dxa"/>
        <w:right w:w="100" w:type="dxa"/>
      </w:tblCellMar>
    </w:tblPr>
  </w:style>
  <w:style w:type="table" w:customStyle="1" w:styleId="a6">
    <w:name w:val="a6"/>
    <w:basedOn w:val="TableNormal"/>
    <w:tblPr>
      <w:tblStyleRowBandSize w:val="1"/>
      <w:tblStyleColBandSize w:val="1"/>
      <w:tblCellMar>
        <w:top w:w="100" w:type="dxa"/>
        <w:left w:w="100" w:type="dxa"/>
        <w:bottom w:w="100" w:type="dxa"/>
        <w:right w:w="100" w:type="dxa"/>
      </w:tblCellMar>
    </w:tblPr>
  </w:style>
  <w:style w:type="table" w:customStyle="1" w:styleId="a7">
    <w:name w:val="a7"/>
    <w:basedOn w:val="TableNormal"/>
    <w:tblPr>
      <w:tblStyleRowBandSize w:val="1"/>
      <w:tblStyleColBandSize w:val="1"/>
      <w:tblCellMar>
        <w:top w:w="100" w:type="dxa"/>
        <w:left w:w="100" w:type="dxa"/>
        <w:bottom w:w="100" w:type="dxa"/>
        <w:right w:w="100" w:type="dxa"/>
      </w:tblCellMar>
    </w:tblPr>
  </w:style>
  <w:style w:type="table" w:customStyle="1" w:styleId="a8">
    <w:name w:val="a8"/>
    <w:basedOn w:val="TableNormal"/>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tblPr>
      <w:tblStyleRowBandSize w:val="1"/>
      <w:tblStyleColBandSize w:val="1"/>
      <w:tblCellMar>
        <w:top w:w="100" w:type="dxa"/>
        <w:left w:w="100" w:type="dxa"/>
        <w:bottom w:w="100" w:type="dxa"/>
        <w:right w:w="100" w:type="dxa"/>
      </w:tblCellMar>
    </w:tblPr>
  </w:style>
  <w:style w:type="table" w:customStyle="1" w:styleId="ac">
    <w:name w:val="ac"/>
    <w:basedOn w:val="TableNormal"/>
    <w:tblPr>
      <w:tblStyleRowBandSize w:val="1"/>
      <w:tblStyleColBandSize w:val="1"/>
      <w:tblCellMar>
        <w:top w:w="100" w:type="dxa"/>
        <w:left w:w="100" w:type="dxa"/>
        <w:bottom w:w="100" w:type="dxa"/>
        <w:right w:w="100" w:type="dxa"/>
      </w:tblCellMar>
    </w:tblPr>
  </w:style>
  <w:style w:type="table" w:customStyle="1" w:styleId="ad">
    <w:name w:val="ad"/>
    <w:basedOn w:val="TableNormal"/>
    <w:tblPr>
      <w:tblStyleRowBandSize w:val="1"/>
      <w:tblStyleColBandSize w:val="1"/>
      <w:tblCellMar>
        <w:top w:w="100" w:type="dxa"/>
        <w:left w:w="100" w:type="dxa"/>
        <w:bottom w:w="100" w:type="dxa"/>
        <w:right w:w="100" w:type="dxa"/>
      </w:tblCellMar>
    </w:tblPr>
  </w:style>
  <w:style w:type="table" w:customStyle="1" w:styleId="ae">
    <w:name w:val="ae"/>
    <w:basedOn w:val="TableNormal"/>
    <w:tblPr>
      <w:tblStyleRowBandSize w:val="1"/>
      <w:tblStyleColBandSize w:val="1"/>
      <w:tblCellMar>
        <w:top w:w="100" w:type="dxa"/>
        <w:left w:w="100" w:type="dxa"/>
        <w:bottom w:w="100" w:type="dxa"/>
        <w:right w:w="100" w:type="dxa"/>
      </w:tblCellMar>
    </w:tblPr>
  </w:style>
  <w:style w:type="table" w:customStyle="1" w:styleId="af">
    <w:name w:val="af"/>
    <w:basedOn w:val="TableNormal"/>
    <w:tblPr>
      <w:tblStyleRowBandSize w:val="1"/>
      <w:tblStyleColBandSize w:val="1"/>
      <w:tblCellMar>
        <w:top w:w="100" w:type="dxa"/>
        <w:left w:w="100" w:type="dxa"/>
        <w:bottom w:w="100" w:type="dxa"/>
        <w:right w:w="100" w:type="dxa"/>
      </w:tblCellMar>
    </w:tblPr>
  </w:style>
  <w:style w:type="table" w:customStyle="1" w:styleId="af0">
    <w:name w:val="af0"/>
    <w:basedOn w:val="TableNormal"/>
    <w:tblPr>
      <w:tblStyleRowBandSize w:val="1"/>
      <w:tblStyleColBandSize w:val="1"/>
      <w:tblCellMar>
        <w:top w:w="100" w:type="dxa"/>
        <w:left w:w="100" w:type="dxa"/>
        <w:bottom w:w="100" w:type="dxa"/>
        <w:right w:w="100" w:type="dxa"/>
      </w:tblCellMar>
    </w:tblPr>
  </w:style>
  <w:style w:type="table" w:customStyle="1" w:styleId="af1">
    <w:name w:val="af1"/>
    <w:basedOn w:val="TableNormal"/>
    <w:tblPr>
      <w:tblStyleRowBandSize w:val="1"/>
      <w:tblStyleColBandSize w:val="1"/>
      <w:tblCellMar>
        <w:top w:w="100" w:type="dxa"/>
        <w:left w:w="100" w:type="dxa"/>
        <w:bottom w:w="100" w:type="dxa"/>
        <w:right w:w="100" w:type="dxa"/>
      </w:tblCellMar>
    </w:tblPr>
  </w:style>
  <w:style w:type="table" w:customStyle="1" w:styleId="af2">
    <w:name w:val="af2"/>
    <w:basedOn w:val="TableNormal"/>
    <w:tblPr>
      <w:tblStyleRowBandSize w:val="1"/>
      <w:tblStyleColBandSize w:val="1"/>
      <w:tblCellMar>
        <w:top w:w="100" w:type="dxa"/>
        <w:left w:w="100" w:type="dxa"/>
        <w:bottom w:w="100" w:type="dxa"/>
        <w:right w:w="100" w:type="dxa"/>
      </w:tblCellMar>
    </w:tblPr>
  </w:style>
  <w:style w:type="table" w:customStyle="1" w:styleId="af3">
    <w:name w:val="af3"/>
    <w:basedOn w:val="TableNormal"/>
    <w:tblPr>
      <w:tblStyleRowBandSize w:val="1"/>
      <w:tblStyleColBandSize w:val="1"/>
      <w:tblCellMar>
        <w:top w:w="100" w:type="dxa"/>
        <w:left w:w="100" w:type="dxa"/>
        <w:bottom w:w="100" w:type="dxa"/>
        <w:right w:w="100" w:type="dxa"/>
      </w:tblCellMar>
    </w:tblPr>
  </w:style>
  <w:style w:type="table" w:customStyle="1" w:styleId="af4">
    <w:name w:val="af4"/>
    <w:basedOn w:val="TableNormal"/>
    <w:tblPr>
      <w:tblStyleRowBandSize w:val="1"/>
      <w:tblStyleColBandSize w:val="1"/>
      <w:tblCellMar>
        <w:top w:w="100" w:type="dxa"/>
        <w:left w:w="100" w:type="dxa"/>
        <w:bottom w:w="100" w:type="dxa"/>
        <w:right w:w="100" w:type="dxa"/>
      </w:tblCellMar>
    </w:tblPr>
  </w:style>
  <w:style w:type="table" w:customStyle="1" w:styleId="af5">
    <w:name w:val="af5"/>
    <w:basedOn w:val="TableNormal"/>
    <w:tblPr>
      <w:tblStyleRowBandSize w:val="1"/>
      <w:tblStyleColBandSize w:val="1"/>
      <w:tblCellMar>
        <w:top w:w="100" w:type="dxa"/>
        <w:left w:w="100" w:type="dxa"/>
        <w:bottom w:w="100" w:type="dxa"/>
        <w:right w:w="100" w:type="dxa"/>
      </w:tblCellMar>
    </w:tblPr>
  </w:style>
  <w:style w:type="table" w:customStyle="1" w:styleId="af6">
    <w:name w:val="af6"/>
    <w:basedOn w:val="TableNormal"/>
    <w:tblPr>
      <w:tblStyleRowBandSize w:val="1"/>
      <w:tblStyleColBandSize w:val="1"/>
      <w:tblCellMar>
        <w:top w:w="100" w:type="dxa"/>
        <w:left w:w="100" w:type="dxa"/>
        <w:bottom w:w="100" w:type="dxa"/>
        <w:right w:w="100" w:type="dxa"/>
      </w:tblCellMar>
    </w:tblPr>
  </w:style>
  <w:style w:type="table" w:customStyle="1" w:styleId="af7">
    <w:name w:val="af7"/>
    <w:basedOn w:val="TableNormal"/>
    <w:tblPr>
      <w:tblStyleRowBandSize w:val="1"/>
      <w:tblStyleColBandSize w:val="1"/>
      <w:tblCellMar>
        <w:top w:w="100" w:type="dxa"/>
        <w:left w:w="100" w:type="dxa"/>
        <w:bottom w:w="100" w:type="dxa"/>
        <w:right w:w="100" w:type="dxa"/>
      </w:tblCellMar>
    </w:tblPr>
  </w:style>
  <w:style w:type="table" w:customStyle="1" w:styleId="af8">
    <w:name w:val="af8"/>
    <w:basedOn w:val="TableNormal"/>
    <w:tblPr>
      <w:tblStyleRowBandSize w:val="1"/>
      <w:tblStyleColBandSize w:val="1"/>
      <w:tblCellMar>
        <w:top w:w="100" w:type="dxa"/>
        <w:left w:w="100" w:type="dxa"/>
        <w:bottom w:w="100" w:type="dxa"/>
        <w:right w:w="100" w:type="dxa"/>
      </w:tblCellMar>
    </w:tblPr>
  </w:style>
  <w:style w:type="table" w:customStyle="1" w:styleId="af9">
    <w:name w:val="af9"/>
    <w:basedOn w:val="TableNormal"/>
    <w:tblPr>
      <w:tblStyleRowBandSize w:val="1"/>
      <w:tblStyleColBandSize w:val="1"/>
      <w:tblCellMar>
        <w:top w:w="100" w:type="dxa"/>
        <w:left w:w="100" w:type="dxa"/>
        <w:bottom w:w="100" w:type="dxa"/>
        <w:right w:w="100" w:type="dxa"/>
      </w:tblCellMar>
    </w:tblPr>
  </w:style>
  <w:style w:type="table" w:customStyle="1" w:styleId="afa">
    <w:name w:val="afa"/>
    <w:basedOn w:val="TableNormal"/>
    <w:tblPr>
      <w:tblStyleRowBandSize w:val="1"/>
      <w:tblStyleColBandSize w:val="1"/>
      <w:tblCellMar>
        <w:top w:w="100" w:type="dxa"/>
        <w:left w:w="100" w:type="dxa"/>
        <w:bottom w:w="100" w:type="dxa"/>
        <w:right w:w="100" w:type="dxa"/>
      </w:tblCellMar>
    </w:tblPr>
  </w:style>
  <w:style w:type="table" w:customStyle="1" w:styleId="afb">
    <w:name w:val="afb"/>
    <w:basedOn w:val="TableNormal"/>
    <w:tblPr>
      <w:tblStyleRowBandSize w:val="1"/>
      <w:tblStyleColBandSize w:val="1"/>
      <w:tblCellMar>
        <w:top w:w="100" w:type="dxa"/>
        <w:left w:w="100" w:type="dxa"/>
        <w:bottom w:w="100" w:type="dxa"/>
        <w:right w:w="100" w:type="dxa"/>
      </w:tblCellMar>
    </w:tblPr>
  </w:style>
  <w:style w:type="table" w:customStyle="1" w:styleId="afc">
    <w:name w:val="afc"/>
    <w:basedOn w:val="TableNormal"/>
    <w:tblPr>
      <w:tblStyleRowBandSize w:val="1"/>
      <w:tblStyleColBandSize w:val="1"/>
      <w:tblCellMar>
        <w:top w:w="100" w:type="dxa"/>
        <w:left w:w="100" w:type="dxa"/>
        <w:bottom w:w="100" w:type="dxa"/>
        <w:right w:w="100" w:type="dxa"/>
      </w:tblCellMar>
    </w:tblPr>
  </w:style>
  <w:style w:type="table" w:customStyle="1" w:styleId="afd">
    <w:name w:val="afd"/>
    <w:basedOn w:val="TableNormal"/>
    <w:tblPr>
      <w:tblStyleRowBandSize w:val="1"/>
      <w:tblStyleColBandSize w:val="1"/>
      <w:tblCellMar>
        <w:top w:w="100" w:type="dxa"/>
        <w:left w:w="100" w:type="dxa"/>
        <w:bottom w:w="100" w:type="dxa"/>
        <w:right w:w="100" w:type="dxa"/>
      </w:tblCellMar>
    </w:tblPr>
  </w:style>
  <w:style w:type="table" w:customStyle="1" w:styleId="afe">
    <w:name w:val="afe"/>
    <w:basedOn w:val="TableNormal"/>
    <w:tblPr>
      <w:tblStyleRowBandSize w:val="1"/>
      <w:tblStyleColBandSize w:val="1"/>
      <w:tblCellMar>
        <w:top w:w="100" w:type="dxa"/>
        <w:left w:w="100" w:type="dxa"/>
        <w:bottom w:w="100" w:type="dxa"/>
        <w:right w:w="100" w:type="dxa"/>
      </w:tblCellMar>
    </w:tblPr>
  </w:style>
  <w:style w:type="table" w:customStyle="1" w:styleId="aff">
    <w:name w:val="aff"/>
    <w:basedOn w:val="TableNormal"/>
    <w:tblPr>
      <w:tblStyleRowBandSize w:val="1"/>
      <w:tblStyleColBandSize w:val="1"/>
      <w:tblCellMar>
        <w:top w:w="100" w:type="dxa"/>
        <w:left w:w="100" w:type="dxa"/>
        <w:bottom w:w="100" w:type="dxa"/>
        <w:right w:w="100" w:type="dxa"/>
      </w:tblCellMar>
    </w:tblPr>
  </w:style>
  <w:style w:type="table" w:customStyle="1" w:styleId="aff0">
    <w:name w:val="aff0"/>
    <w:basedOn w:val="TableNormal"/>
    <w:tblPr>
      <w:tblStyleRowBandSize w:val="1"/>
      <w:tblStyleColBandSize w:val="1"/>
      <w:tblCellMar>
        <w:top w:w="100" w:type="dxa"/>
        <w:left w:w="100" w:type="dxa"/>
        <w:bottom w:w="100" w:type="dxa"/>
        <w:right w:w="100" w:type="dxa"/>
      </w:tblCellMar>
    </w:tblPr>
  </w:style>
  <w:style w:type="table" w:customStyle="1" w:styleId="aff1">
    <w:name w:val="a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5C9B"/>
    <w:pPr>
      <w:tabs>
        <w:tab w:val="center" w:pos="4680"/>
        <w:tab w:val="right" w:pos="9360"/>
      </w:tabs>
      <w:spacing w:line="240" w:lineRule="auto"/>
    </w:pPr>
  </w:style>
  <w:style w:type="character" w:customStyle="1" w:styleId="HeaderChar">
    <w:name w:val="Header Char"/>
    <w:basedOn w:val="DefaultParagraphFont"/>
    <w:link w:val="Header"/>
    <w:uiPriority w:val="99"/>
    <w:rsid w:val="004A5C9B"/>
  </w:style>
  <w:style w:type="paragraph" w:styleId="Footer">
    <w:name w:val="footer"/>
    <w:basedOn w:val="Normal"/>
    <w:link w:val="FooterChar"/>
    <w:uiPriority w:val="99"/>
    <w:unhideWhenUsed/>
    <w:rsid w:val="004A5C9B"/>
    <w:pPr>
      <w:tabs>
        <w:tab w:val="center" w:pos="4680"/>
        <w:tab w:val="right" w:pos="9360"/>
      </w:tabs>
      <w:spacing w:line="240" w:lineRule="auto"/>
    </w:pPr>
  </w:style>
  <w:style w:type="character" w:customStyle="1" w:styleId="FooterChar">
    <w:name w:val="Footer Char"/>
    <w:basedOn w:val="DefaultParagraphFont"/>
    <w:link w:val="Footer"/>
    <w:uiPriority w:val="99"/>
    <w:rsid w:val="004A5C9B"/>
  </w:style>
  <w:style w:type="paragraph" w:styleId="TOC1">
    <w:name w:val="toc 1"/>
    <w:basedOn w:val="Normal"/>
    <w:next w:val="Normal"/>
    <w:autoRedefine/>
    <w:uiPriority w:val="39"/>
    <w:unhideWhenUsed/>
    <w:rsid w:val="003D0424"/>
    <w:pPr>
      <w:spacing w:after="100"/>
      <w:ind w:left="0"/>
    </w:pPr>
  </w:style>
  <w:style w:type="paragraph" w:styleId="TOC2">
    <w:name w:val="toc 2"/>
    <w:basedOn w:val="Normal"/>
    <w:next w:val="Normal"/>
    <w:autoRedefine/>
    <w:uiPriority w:val="39"/>
    <w:unhideWhenUsed/>
    <w:rsid w:val="003D0424"/>
    <w:pPr>
      <w:spacing w:after="100"/>
      <w:ind w:left="220"/>
    </w:pPr>
  </w:style>
  <w:style w:type="paragraph" w:styleId="TOC3">
    <w:name w:val="toc 3"/>
    <w:basedOn w:val="Normal"/>
    <w:next w:val="Normal"/>
    <w:autoRedefine/>
    <w:uiPriority w:val="39"/>
    <w:unhideWhenUsed/>
    <w:rsid w:val="003D0424"/>
    <w:pPr>
      <w:spacing w:after="100"/>
      <w:ind w:left="440"/>
    </w:pPr>
  </w:style>
  <w:style w:type="character" w:styleId="Hyperlink">
    <w:name w:val="Hyperlink"/>
    <w:basedOn w:val="DefaultParagraphFont"/>
    <w:uiPriority w:val="99"/>
    <w:unhideWhenUsed/>
    <w:rsid w:val="003D0424"/>
    <w:rPr>
      <w:color w:val="0000FF" w:themeColor="hyperlink"/>
      <w:u w:val="single"/>
    </w:rPr>
  </w:style>
  <w:style w:type="paragraph" w:styleId="BalloonText">
    <w:name w:val="Balloon Text"/>
    <w:basedOn w:val="Normal"/>
    <w:link w:val="BalloonTextChar"/>
    <w:uiPriority w:val="99"/>
    <w:semiHidden/>
    <w:unhideWhenUsed/>
    <w:rsid w:val="00E969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96F"/>
    <w:rPr>
      <w:rFonts w:ascii="Segoe UI" w:hAnsi="Segoe UI" w:cs="Segoe UI"/>
      <w:sz w:val="18"/>
      <w:szCs w:val="18"/>
    </w:rPr>
  </w:style>
  <w:style w:type="character" w:styleId="CommentReference">
    <w:name w:val="annotation reference"/>
    <w:basedOn w:val="DefaultParagraphFont"/>
    <w:uiPriority w:val="99"/>
    <w:semiHidden/>
    <w:unhideWhenUsed/>
    <w:rsid w:val="008F7AD4"/>
    <w:rPr>
      <w:sz w:val="16"/>
      <w:szCs w:val="16"/>
    </w:rPr>
  </w:style>
  <w:style w:type="paragraph" w:styleId="CommentText">
    <w:name w:val="annotation text"/>
    <w:basedOn w:val="Normal"/>
    <w:link w:val="CommentTextChar"/>
    <w:uiPriority w:val="99"/>
    <w:semiHidden/>
    <w:unhideWhenUsed/>
    <w:rsid w:val="008F7AD4"/>
    <w:pPr>
      <w:spacing w:line="240" w:lineRule="auto"/>
    </w:pPr>
    <w:rPr>
      <w:sz w:val="20"/>
      <w:szCs w:val="20"/>
    </w:rPr>
  </w:style>
  <w:style w:type="character" w:customStyle="1" w:styleId="CommentTextChar">
    <w:name w:val="Comment Text Char"/>
    <w:basedOn w:val="DefaultParagraphFont"/>
    <w:link w:val="CommentText"/>
    <w:uiPriority w:val="99"/>
    <w:semiHidden/>
    <w:rsid w:val="008F7AD4"/>
    <w:rPr>
      <w:sz w:val="20"/>
      <w:szCs w:val="20"/>
    </w:rPr>
  </w:style>
  <w:style w:type="paragraph" w:styleId="CommentSubject">
    <w:name w:val="annotation subject"/>
    <w:basedOn w:val="CommentText"/>
    <w:next w:val="CommentText"/>
    <w:link w:val="CommentSubjectChar"/>
    <w:uiPriority w:val="99"/>
    <w:semiHidden/>
    <w:unhideWhenUsed/>
    <w:rsid w:val="008F7AD4"/>
    <w:rPr>
      <w:b/>
      <w:bCs/>
    </w:rPr>
  </w:style>
  <w:style w:type="character" w:customStyle="1" w:styleId="CommentSubjectChar">
    <w:name w:val="Comment Subject Char"/>
    <w:basedOn w:val="CommentTextChar"/>
    <w:link w:val="CommentSubject"/>
    <w:uiPriority w:val="99"/>
    <w:semiHidden/>
    <w:rsid w:val="008F7AD4"/>
    <w:rPr>
      <w:b/>
      <w:bCs/>
      <w:sz w:val="20"/>
      <w:szCs w:val="20"/>
    </w:rPr>
  </w:style>
  <w:style w:type="paragraph" w:styleId="FootnoteText">
    <w:name w:val="footnote text"/>
    <w:basedOn w:val="Normal"/>
    <w:link w:val="FootnoteTextChar"/>
    <w:uiPriority w:val="99"/>
    <w:semiHidden/>
    <w:unhideWhenUsed/>
    <w:rsid w:val="00BC6DEE"/>
    <w:pPr>
      <w:spacing w:line="240" w:lineRule="auto"/>
    </w:pPr>
    <w:rPr>
      <w:sz w:val="20"/>
      <w:szCs w:val="20"/>
    </w:rPr>
  </w:style>
  <w:style w:type="character" w:customStyle="1" w:styleId="FootnoteTextChar">
    <w:name w:val="Footnote Text Char"/>
    <w:basedOn w:val="DefaultParagraphFont"/>
    <w:link w:val="FootnoteText"/>
    <w:uiPriority w:val="99"/>
    <w:semiHidden/>
    <w:rsid w:val="00BC6DEE"/>
    <w:rPr>
      <w:sz w:val="20"/>
      <w:szCs w:val="20"/>
    </w:rPr>
  </w:style>
  <w:style w:type="character" w:styleId="FootnoteReference">
    <w:name w:val="footnote reference"/>
    <w:basedOn w:val="DefaultParagraphFont"/>
    <w:uiPriority w:val="99"/>
    <w:semiHidden/>
    <w:unhideWhenUsed/>
    <w:rsid w:val="00BC6DEE"/>
    <w:rPr>
      <w:vertAlign w:val="superscript"/>
    </w:rPr>
  </w:style>
  <w:style w:type="paragraph" w:styleId="ListParagraph">
    <w:name w:val="List Paragraph"/>
    <w:basedOn w:val="Normal"/>
    <w:uiPriority w:val="34"/>
    <w:qFormat/>
    <w:rsid w:val="00E5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