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230E" w:rsidP="0031230E" w14:paraId="455898ED"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31230E" w:rsidP="0031230E" w14:paraId="72EF9BC7" w14:textId="77777777">
      <w:pPr>
        <w:pStyle w:val="StyleBoldCentered"/>
      </w:pPr>
      <w:r>
        <w:t>F</w:t>
      </w:r>
      <w:r>
        <w:rPr>
          <w:caps w:val="0"/>
        </w:rPr>
        <w:t>ederal Communications Commission</w:t>
      </w:r>
    </w:p>
    <w:p w:rsidR="0031230E" w:rsidP="0031230E" w14:paraId="6D381FC5" w14:textId="77777777">
      <w:pPr>
        <w:pStyle w:val="StyleBoldCentered"/>
      </w:pPr>
      <w:r>
        <w:rPr>
          <w:caps w:val="0"/>
        </w:rPr>
        <w:t>Washington, D.C. 20554</w:t>
      </w:r>
    </w:p>
    <w:p w:rsidR="0031230E" w:rsidP="0031230E" w14:paraId="1D27B9C9" w14:textId="77777777"/>
    <w:p w:rsidR="0031230E" w:rsidP="0031230E" w14:paraId="180F192E" w14:textId="77777777"/>
    <w:tbl>
      <w:tblPr>
        <w:tblW w:w="0" w:type="auto"/>
        <w:tblLayout w:type="fixed"/>
        <w:tblLook w:val="0000"/>
      </w:tblPr>
      <w:tblGrid>
        <w:gridCol w:w="4698"/>
        <w:gridCol w:w="630"/>
        <w:gridCol w:w="4248"/>
      </w:tblGrid>
      <w:tr w14:paraId="267137F4" w14:textId="77777777" w:rsidTr="00687C81">
        <w:tblPrEx>
          <w:tblW w:w="0" w:type="auto"/>
          <w:tblLayout w:type="fixed"/>
          <w:tblLook w:val="0000"/>
        </w:tblPrEx>
        <w:tc>
          <w:tcPr>
            <w:tcW w:w="4698" w:type="dxa"/>
          </w:tcPr>
          <w:p w:rsidR="0031230E" w:rsidP="00687C81" w14:paraId="1645C64A" w14:textId="77777777">
            <w:pPr>
              <w:tabs>
                <w:tab w:val="center" w:pos="4680"/>
              </w:tabs>
              <w:suppressAutoHyphens/>
              <w:rPr>
                <w:spacing w:val="-2"/>
              </w:rPr>
            </w:pPr>
            <w:r>
              <w:rPr>
                <w:spacing w:val="-2"/>
              </w:rPr>
              <w:t>In the Matter of</w:t>
            </w:r>
          </w:p>
          <w:p w:rsidR="0031230E" w:rsidP="00687C81" w14:paraId="0DD4D0CA" w14:textId="77777777">
            <w:pPr>
              <w:tabs>
                <w:tab w:val="center" w:pos="4680"/>
              </w:tabs>
              <w:suppressAutoHyphens/>
              <w:rPr>
                <w:spacing w:val="-2"/>
              </w:rPr>
            </w:pPr>
          </w:p>
          <w:p w:rsidR="0031230E" w:rsidP="00687C81" w14:paraId="385A88EF" w14:textId="77777777">
            <w:pPr>
              <w:tabs>
                <w:tab w:val="center" w:pos="4680"/>
              </w:tabs>
              <w:suppressAutoHyphens/>
              <w:rPr>
                <w:spacing w:val="-2"/>
              </w:rPr>
            </w:pPr>
            <w:r>
              <w:rPr>
                <w:spacing w:val="-2"/>
              </w:rPr>
              <w:t>Amendment of Section 1.80 of the Commission’s Rules</w:t>
            </w:r>
          </w:p>
          <w:p w:rsidR="0031230E" w:rsidP="00687C81" w14:paraId="04441178" w14:textId="77777777">
            <w:pPr>
              <w:tabs>
                <w:tab w:val="center" w:pos="4680"/>
              </w:tabs>
              <w:suppressAutoHyphens/>
              <w:rPr>
                <w:spacing w:val="-2"/>
              </w:rPr>
            </w:pPr>
          </w:p>
          <w:p w:rsidR="0031230E" w:rsidP="00687C81" w14:paraId="425ED780" w14:textId="77777777">
            <w:pPr>
              <w:tabs>
                <w:tab w:val="center" w:pos="4680"/>
              </w:tabs>
              <w:suppressAutoHyphens/>
              <w:rPr>
                <w:spacing w:val="-2"/>
              </w:rPr>
            </w:pPr>
            <w:r>
              <w:rPr>
                <w:spacing w:val="-2"/>
              </w:rPr>
              <w:t xml:space="preserve">Implementing Section 3 of the Pallone-Thune Telephone Robocall Abuse Criminal Enforcement and Deterrence Act </w:t>
            </w:r>
          </w:p>
          <w:p w:rsidR="0031230E" w:rsidRPr="007115F7" w:rsidP="00687C81" w14:paraId="4B7E1819" w14:textId="77777777">
            <w:pPr>
              <w:tabs>
                <w:tab w:val="center" w:pos="4680"/>
              </w:tabs>
              <w:suppressAutoHyphens/>
              <w:rPr>
                <w:spacing w:val="-2"/>
              </w:rPr>
            </w:pPr>
            <w:r>
              <w:rPr>
                <w:spacing w:val="-2"/>
              </w:rPr>
              <w:t xml:space="preserve">(TRACED Act) </w:t>
            </w:r>
          </w:p>
        </w:tc>
        <w:tc>
          <w:tcPr>
            <w:tcW w:w="630" w:type="dxa"/>
          </w:tcPr>
          <w:p w:rsidR="0031230E" w:rsidP="00687C81" w14:paraId="3F6F65AD" w14:textId="77777777">
            <w:pPr>
              <w:tabs>
                <w:tab w:val="center" w:pos="4680"/>
              </w:tabs>
              <w:suppressAutoHyphens/>
              <w:rPr>
                <w:b/>
                <w:spacing w:val="-2"/>
              </w:rPr>
            </w:pPr>
            <w:r>
              <w:rPr>
                <w:b/>
                <w:spacing w:val="-2"/>
              </w:rPr>
              <w:t>)</w:t>
            </w:r>
          </w:p>
          <w:p w:rsidR="0031230E" w:rsidP="00687C81" w14:paraId="2F9C7B96" w14:textId="77777777">
            <w:pPr>
              <w:tabs>
                <w:tab w:val="center" w:pos="4680"/>
              </w:tabs>
              <w:suppressAutoHyphens/>
              <w:rPr>
                <w:b/>
                <w:spacing w:val="-2"/>
              </w:rPr>
            </w:pPr>
            <w:r>
              <w:rPr>
                <w:b/>
                <w:spacing w:val="-2"/>
              </w:rPr>
              <w:t>)</w:t>
            </w:r>
          </w:p>
          <w:p w:rsidR="0031230E" w:rsidP="00687C81" w14:paraId="213DE5E3" w14:textId="77777777">
            <w:pPr>
              <w:tabs>
                <w:tab w:val="center" w:pos="4680"/>
              </w:tabs>
              <w:suppressAutoHyphens/>
              <w:rPr>
                <w:b/>
                <w:spacing w:val="-2"/>
              </w:rPr>
            </w:pPr>
            <w:r>
              <w:rPr>
                <w:b/>
                <w:spacing w:val="-2"/>
              </w:rPr>
              <w:t>)</w:t>
            </w:r>
          </w:p>
          <w:p w:rsidR="0031230E" w:rsidP="00687C81" w14:paraId="5EA8F860" w14:textId="77777777">
            <w:pPr>
              <w:tabs>
                <w:tab w:val="center" w:pos="4680"/>
              </w:tabs>
              <w:suppressAutoHyphens/>
              <w:rPr>
                <w:b/>
                <w:spacing w:val="-2"/>
              </w:rPr>
            </w:pPr>
            <w:r>
              <w:rPr>
                <w:b/>
                <w:spacing w:val="-2"/>
              </w:rPr>
              <w:t>)</w:t>
            </w:r>
          </w:p>
          <w:p w:rsidR="0031230E" w:rsidP="00687C81" w14:paraId="134D5C96" w14:textId="77777777">
            <w:pPr>
              <w:tabs>
                <w:tab w:val="center" w:pos="4680"/>
              </w:tabs>
              <w:suppressAutoHyphens/>
              <w:rPr>
                <w:b/>
                <w:spacing w:val="-2"/>
              </w:rPr>
            </w:pPr>
            <w:r>
              <w:rPr>
                <w:b/>
                <w:spacing w:val="-2"/>
              </w:rPr>
              <w:t>)</w:t>
            </w:r>
          </w:p>
          <w:p w:rsidR="0031230E" w:rsidP="00687C81" w14:paraId="19E59493" w14:textId="77777777">
            <w:pPr>
              <w:tabs>
                <w:tab w:val="center" w:pos="4680"/>
              </w:tabs>
              <w:suppressAutoHyphens/>
              <w:rPr>
                <w:b/>
                <w:spacing w:val="-2"/>
              </w:rPr>
            </w:pPr>
            <w:r>
              <w:rPr>
                <w:b/>
                <w:spacing w:val="-2"/>
              </w:rPr>
              <w:t>)</w:t>
            </w:r>
          </w:p>
          <w:p w:rsidR="0031230E" w:rsidP="00687C81" w14:paraId="17819A14" w14:textId="77777777">
            <w:pPr>
              <w:tabs>
                <w:tab w:val="center" w:pos="4680"/>
              </w:tabs>
              <w:suppressAutoHyphens/>
              <w:rPr>
                <w:b/>
                <w:spacing w:val="-2"/>
              </w:rPr>
            </w:pPr>
            <w:r>
              <w:rPr>
                <w:b/>
                <w:spacing w:val="-2"/>
              </w:rPr>
              <w:t>)</w:t>
            </w:r>
          </w:p>
          <w:p w:rsidR="0031230E" w:rsidP="00687C81" w14:paraId="6200C077" w14:textId="77777777">
            <w:pPr>
              <w:tabs>
                <w:tab w:val="center" w:pos="4680"/>
              </w:tabs>
              <w:suppressAutoHyphens/>
              <w:rPr>
                <w:b/>
                <w:spacing w:val="-2"/>
              </w:rPr>
            </w:pPr>
            <w:r>
              <w:rPr>
                <w:b/>
                <w:spacing w:val="-2"/>
              </w:rPr>
              <w:t>)</w:t>
            </w:r>
          </w:p>
          <w:p w:rsidR="0031230E" w:rsidP="00687C81" w14:paraId="51E46ED8" w14:textId="77777777">
            <w:pPr>
              <w:tabs>
                <w:tab w:val="center" w:pos="4680"/>
              </w:tabs>
              <w:suppressAutoHyphens/>
              <w:rPr>
                <w:spacing w:val="-2"/>
              </w:rPr>
            </w:pPr>
            <w:r>
              <w:rPr>
                <w:b/>
                <w:spacing w:val="-2"/>
              </w:rPr>
              <w:t>)</w:t>
            </w:r>
          </w:p>
        </w:tc>
        <w:tc>
          <w:tcPr>
            <w:tcW w:w="4248" w:type="dxa"/>
          </w:tcPr>
          <w:p w:rsidR="0031230E" w:rsidP="00687C81" w14:paraId="437D3799" w14:textId="77777777">
            <w:pPr>
              <w:tabs>
                <w:tab w:val="center" w:pos="4680"/>
              </w:tabs>
              <w:suppressAutoHyphens/>
              <w:rPr>
                <w:spacing w:val="-2"/>
              </w:rPr>
            </w:pPr>
          </w:p>
          <w:p w:rsidR="0031230E" w:rsidP="00687C81" w14:paraId="35CACE56" w14:textId="77777777">
            <w:pPr>
              <w:pStyle w:val="TOAHeading"/>
              <w:tabs>
                <w:tab w:val="center" w:pos="4680"/>
                <w:tab w:val="clear" w:pos="9360"/>
              </w:tabs>
              <w:rPr>
                <w:spacing w:val="-2"/>
              </w:rPr>
            </w:pPr>
          </w:p>
          <w:p w:rsidR="0031230E" w:rsidP="007B67A9" w14:paraId="6BE0B449" w14:textId="77777777">
            <w:pPr>
              <w:tabs>
                <w:tab w:val="center" w:pos="4680"/>
              </w:tabs>
              <w:suppressAutoHyphens/>
              <w:rPr>
                <w:spacing w:val="-2"/>
              </w:rPr>
            </w:pPr>
          </w:p>
        </w:tc>
      </w:tr>
    </w:tbl>
    <w:p w:rsidR="0031230E" w:rsidP="0031230E" w14:paraId="607C409D" w14:textId="77777777"/>
    <w:p w:rsidR="0031230E" w:rsidP="0031230E" w14:paraId="19C7B0FD" w14:textId="77777777">
      <w:pPr>
        <w:pStyle w:val="StyleBoldCentered"/>
      </w:pPr>
      <w:r>
        <w:t>Order</w:t>
      </w:r>
    </w:p>
    <w:p w:rsidR="0031230E" w:rsidP="0031230E" w14:paraId="1CDD873F" w14:textId="77777777">
      <w:pPr>
        <w:tabs>
          <w:tab w:val="left" w:pos="-720"/>
        </w:tabs>
        <w:suppressAutoHyphens/>
        <w:spacing w:line="227" w:lineRule="auto"/>
        <w:rPr>
          <w:spacing w:val="-2"/>
        </w:rPr>
      </w:pPr>
    </w:p>
    <w:p w:rsidR="0031230E" w:rsidP="0031230E" w14:paraId="799A2B3D" w14:textId="102A6781">
      <w:pPr>
        <w:tabs>
          <w:tab w:val="left" w:pos="720"/>
          <w:tab w:val="right" w:pos="9360"/>
        </w:tabs>
        <w:suppressAutoHyphens/>
        <w:spacing w:line="227" w:lineRule="auto"/>
        <w:rPr>
          <w:spacing w:val="-2"/>
        </w:rPr>
      </w:pPr>
      <w:r>
        <w:rPr>
          <w:b/>
          <w:spacing w:val="-2"/>
        </w:rPr>
        <w:t xml:space="preserve">Adopted:  </w:t>
      </w:r>
      <w:r w:rsidR="001F126E">
        <w:rPr>
          <w:b/>
          <w:spacing w:val="-2"/>
        </w:rPr>
        <w:t>May 1</w:t>
      </w:r>
      <w:r>
        <w:rPr>
          <w:b/>
          <w:spacing w:val="-2"/>
        </w:rPr>
        <w:t>, 2020</w:t>
      </w:r>
      <w:r>
        <w:rPr>
          <w:b/>
          <w:spacing w:val="-2"/>
        </w:rPr>
        <w:tab/>
        <w:t xml:space="preserve">Released:  </w:t>
      </w:r>
      <w:r w:rsidR="001F126E">
        <w:rPr>
          <w:b/>
          <w:spacing w:val="-2"/>
        </w:rPr>
        <w:t>May 1</w:t>
      </w:r>
      <w:r>
        <w:rPr>
          <w:b/>
          <w:spacing w:val="-2"/>
        </w:rPr>
        <w:t>, 2020</w:t>
      </w:r>
    </w:p>
    <w:p w:rsidR="0031230E" w:rsidRPr="00563C7C" w:rsidP="0031230E" w14:paraId="2A79BB92" w14:textId="77777777">
      <w:pPr>
        <w:tabs>
          <w:tab w:val="left" w:pos="720"/>
          <w:tab w:val="right" w:pos="9360"/>
        </w:tabs>
        <w:suppressAutoHyphens/>
        <w:spacing w:line="227" w:lineRule="auto"/>
        <w:rPr>
          <w:spacing w:val="-2"/>
        </w:rPr>
      </w:pPr>
    </w:p>
    <w:p w:rsidR="0031230E" w:rsidP="0031230E" w14:paraId="1B1DA5FC" w14:textId="77777777">
      <w:r>
        <w:t>By the Chief, Enforcement Bureau:</w:t>
      </w:r>
    </w:p>
    <w:p w:rsidR="0031230E" w:rsidP="0031230E" w14:paraId="5B757522" w14:textId="77777777">
      <w:pPr>
        <w:rPr>
          <w:spacing w:val="-2"/>
        </w:rPr>
      </w:pPr>
    </w:p>
    <w:p w:rsidR="0031230E" w:rsidP="0031230E" w14:paraId="441B8938" w14:textId="77777777">
      <w:pPr>
        <w:pStyle w:val="Heading1"/>
      </w:pPr>
      <w:r>
        <w:t>introduction</w:t>
      </w:r>
    </w:p>
    <w:p w:rsidR="0031230E" w:rsidP="0031230E" w14:paraId="6F6C0A73" w14:textId="1D1B5854">
      <w:pPr>
        <w:pStyle w:val="ParaNum"/>
      </w:pPr>
      <w:r>
        <w:t xml:space="preserve">In crafting </w:t>
      </w:r>
      <w:r>
        <w:t>the Pallone-Thune Telephone Robocall Abuse Criminal Enforcement and Deterrence Act (TRACED Act)</w:t>
      </w:r>
      <w:r w:rsidR="00827808">
        <w:t>,</w:t>
      </w:r>
      <w:r>
        <w:rPr>
          <w:rStyle w:val="FootnoteReference"/>
        </w:rPr>
        <w:footnoteReference w:id="3"/>
      </w:r>
      <w:r>
        <w:t xml:space="preserve"> </w:t>
      </w:r>
      <w:r w:rsidR="00417F91">
        <w:t>Congress acknowledged the need for enhanced penalties and additional time for the Commission to pursue entities that violate the restrictions on robocalls.</w:t>
      </w:r>
      <w:r>
        <w:rPr>
          <w:vertAlign w:val="superscript"/>
        </w:rPr>
        <w:footnoteReference w:id="4"/>
      </w:r>
      <w:r w:rsidRPr="00D1086C" w:rsidR="00417F91">
        <w:t xml:space="preserve"> </w:t>
      </w:r>
      <w:r w:rsidR="000D4733">
        <w:t xml:space="preserve"> </w:t>
      </w:r>
      <w:r>
        <w:t>Section 3 of the TRACED Act (Section 3) direct</w:t>
      </w:r>
      <w:r w:rsidR="00DF5A84">
        <w:t>s</w:t>
      </w:r>
      <w:r>
        <w:t xml:space="preserve"> the Commission </w:t>
      </w:r>
      <w:bookmarkStart w:id="1" w:name="_Hlk35549399"/>
      <w:r>
        <w:t xml:space="preserve">to prescribe implementing regulations for </w:t>
      </w:r>
      <w:r w:rsidR="00DF5A84">
        <w:t>that provision</w:t>
      </w:r>
      <w:r>
        <w:t xml:space="preserve"> within 270 days after enactment.</w:t>
      </w:r>
      <w:r>
        <w:rPr>
          <w:rStyle w:val="FootnoteReference"/>
        </w:rPr>
        <w:footnoteReference w:id="5"/>
      </w:r>
      <w:r>
        <w:t xml:space="preserve"> </w:t>
      </w:r>
      <w:bookmarkEnd w:id="1"/>
      <w:r w:rsidRPr="00260CA5" w:rsidR="00260CA5">
        <w:t xml:space="preserve"> </w:t>
      </w:r>
      <w:r w:rsidR="00411555">
        <w:t>Accordingly, t</w:t>
      </w:r>
      <w:r w:rsidR="00A74F3B">
        <w:t xml:space="preserve">his </w:t>
      </w:r>
      <w:r w:rsidRPr="009F7FF4" w:rsidR="00A74F3B">
        <w:rPr>
          <w:i/>
          <w:iCs/>
        </w:rPr>
        <w:t>Order</w:t>
      </w:r>
      <w:r w:rsidR="00A74F3B">
        <w:t xml:space="preserve"> amends section 1.80 of the Commission’s rules</w:t>
      </w:r>
      <w:r w:rsidR="000D4733">
        <w:t>.</w:t>
      </w:r>
      <w:r>
        <w:rPr>
          <w:rStyle w:val="FootnoteReference"/>
        </w:rPr>
        <w:footnoteReference w:id="6"/>
      </w:r>
      <w:r w:rsidR="000E23C4">
        <w:t xml:space="preserve">  </w:t>
      </w:r>
      <w:r w:rsidRPr="00260CA5" w:rsidR="00260CA5">
        <w:t xml:space="preserve">We </w:t>
      </w:r>
      <w:r w:rsidR="008E73D1">
        <w:t>move directly to an order</w:t>
      </w:r>
      <w:r w:rsidR="00410DF2">
        <w:t xml:space="preserve"> here</w:t>
      </w:r>
      <w:r w:rsidR="00C77B10">
        <w:t xml:space="preserve"> </w:t>
      </w:r>
      <w:r w:rsidRPr="00260CA5" w:rsidR="00260CA5">
        <w:t xml:space="preserve">because implementation </w:t>
      </w:r>
      <w:r w:rsidR="00410DF2">
        <w:t xml:space="preserve">of Section 3 </w:t>
      </w:r>
      <w:r w:rsidRPr="00260CA5" w:rsidR="00260CA5">
        <w:t>entails no exercise of our administrative discretion and, therefore, notice and comment procedures are unnecessary under the “good cause” exception to the Administrative Procedure Act (APA).</w:t>
      </w:r>
      <w:r>
        <w:rPr>
          <w:vertAlign w:val="superscript"/>
        </w:rPr>
        <w:footnoteReference w:id="7"/>
      </w:r>
      <w:r w:rsidRPr="00260CA5" w:rsidR="00260CA5">
        <w:t xml:space="preserve">  </w:t>
      </w:r>
    </w:p>
    <w:p w:rsidR="0031230E" w:rsidP="0031230E" w14:paraId="1ED9C734" w14:textId="77777777">
      <w:pPr>
        <w:pStyle w:val="Heading1"/>
      </w:pPr>
      <w:r>
        <w:t>background</w:t>
      </w:r>
    </w:p>
    <w:p w:rsidR="0031230E" w:rsidP="00122DEF" w14:paraId="23BBDF3F" w14:textId="26881332">
      <w:pPr>
        <w:pStyle w:val="ParaNum"/>
        <w:widowControl/>
      </w:pPr>
      <w:r>
        <w:t>Section 227 of the Communications Act</w:t>
      </w:r>
      <w:r w:rsidR="0010149F">
        <w:t xml:space="preserve"> of 1934, as amended (the Communications Act)</w:t>
      </w:r>
      <w:r>
        <w:t xml:space="preserve"> is designed to protect consumers from unsolicited, unlawful calls by restricting autodialed or pre-recorded message calls and unsolicited facsimiles, and by minimizing transmission of misleading or inaccurate </w:t>
      </w:r>
      <w:r>
        <w:t>caller ID information.</w:t>
      </w:r>
      <w:r>
        <w:rPr>
          <w:rStyle w:val="FootnoteReference"/>
        </w:rPr>
        <w:footnoteReference w:id="8"/>
      </w:r>
      <w:r>
        <w:t xml:space="preserve">  Section 227 of the Communications Act is known as the Telephone Consumer Protection Act (TCPA).</w:t>
      </w:r>
      <w:r>
        <w:rPr>
          <w:rStyle w:val="FootnoteReference"/>
        </w:rPr>
        <w:footnoteReference w:id="9"/>
      </w:r>
      <w:r>
        <w:t xml:space="preserve"> </w:t>
      </w:r>
    </w:p>
    <w:p w:rsidR="0031230E" w:rsidP="0031230E" w14:paraId="7970470E" w14:textId="549A7D59">
      <w:pPr>
        <w:pStyle w:val="ParaNum"/>
      </w:pPr>
      <w:r>
        <w:rPr>
          <w:i/>
          <w:iCs/>
        </w:rPr>
        <w:t>Section 227(b)</w:t>
      </w:r>
      <w:r>
        <w:t>.  Section 227(b) restricts calls using an automatic telephone dialing system or an artificial or prerecorded voice.</w:t>
      </w:r>
      <w:r>
        <w:rPr>
          <w:rStyle w:val="FootnoteReference"/>
        </w:rPr>
        <w:footnoteReference w:id="10"/>
      </w:r>
      <w:r>
        <w:t xml:space="preserve">  It prohibits calls to residential phones if the call uses an artificial or prerecorded voice message, unless the called party consents or the call is for an emergency purpose.</w:t>
      </w:r>
      <w:r>
        <w:rPr>
          <w:rStyle w:val="FootnoteReference"/>
        </w:rPr>
        <w:footnoteReference w:id="11"/>
      </w:r>
      <w:r>
        <w:t xml:space="preserve">  </w:t>
      </w:r>
      <w:r w:rsidR="003927BA">
        <w:t>Abs</w:t>
      </w:r>
      <w:r w:rsidR="006D6FC2">
        <w:t xml:space="preserve">ent </w:t>
      </w:r>
      <w:r w:rsidR="00304FC0">
        <w:t xml:space="preserve">coverage by </w:t>
      </w:r>
      <w:r w:rsidR="006D6FC2">
        <w:t>a relevant exception, such prac</w:t>
      </w:r>
      <w:r w:rsidR="00CA354A">
        <w:t xml:space="preserve">tices </w:t>
      </w:r>
      <w:r w:rsidR="00430832">
        <w:t xml:space="preserve">are known </w:t>
      </w:r>
      <w:r w:rsidR="000A25C3">
        <w:t xml:space="preserve">colloquially </w:t>
      </w:r>
      <w:r w:rsidR="00430832">
        <w:t>as illegal “robocalling.”  The provision</w:t>
      </w:r>
      <w:r>
        <w:t xml:space="preserve"> also prohibits unsolicited advertisements to facsimile machines unless the party receiving the facsimile has a preexisting business relationship with the sender</w:t>
      </w:r>
      <w:r w:rsidR="000900A0">
        <w:t>,</w:t>
      </w:r>
      <w:r>
        <w:t xml:space="preserve"> has consented to receive the facsimile</w:t>
      </w:r>
      <w:r w:rsidR="000900A0">
        <w:t>,</w:t>
      </w:r>
      <w:r>
        <w:t xml:space="preserve"> or </w:t>
      </w:r>
      <w:r w:rsidR="000900A0">
        <w:t xml:space="preserve">has </w:t>
      </w:r>
      <w:r>
        <w:t>agreed to make available its facsimile number for public distribution.</w:t>
      </w:r>
      <w:r>
        <w:rPr>
          <w:rStyle w:val="FootnoteReference"/>
        </w:rPr>
        <w:footnoteReference w:id="12"/>
      </w:r>
    </w:p>
    <w:p w:rsidR="002D5322" w:rsidP="0031230E" w14:paraId="10EB4B7E" w14:textId="16E22D23">
      <w:pPr>
        <w:pStyle w:val="ParaNum"/>
      </w:pPr>
      <w:r>
        <w:rPr>
          <w:i/>
          <w:iCs/>
        </w:rPr>
        <w:t>Section 227(e)</w:t>
      </w:r>
      <w:r>
        <w:t>.  Section 227(e)</w:t>
      </w:r>
      <w:r w:rsidR="0011000E">
        <w:t>,</w:t>
      </w:r>
      <w:r>
        <w:t xml:space="preserve"> also known as the Truth in Caller ID Act</w:t>
      </w:r>
      <w:r w:rsidR="0011000E">
        <w:t>,</w:t>
      </w:r>
      <w:r>
        <w:t xml:space="preserve"> prohibits “</w:t>
      </w:r>
      <w:r>
        <w:t>caus</w:t>
      </w:r>
      <w:r>
        <w:t>[</w:t>
      </w:r>
      <w:r>
        <w:t>ing</w:t>
      </w:r>
      <w:r>
        <w:t xml:space="preserve">] any caller identification service” in connection with </w:t>
      </w:r>
      <w:r w:rsidR="007F664E">
        <w:t>any</w:t>
      </w:r>
      <w:r w:rsidR="006E4B0E">
        <w:t xml:space="preserve"> voice service or text message service</w:t>
      </w:r>
      <w:r w:rsidR="007F664E">
        <w:t xml:space="preserve"> to “knowingly transmit misleading or inaccurate caller identification information with the intent to defraud, cause harm</w:t>
      </w:r>
      <w:r w:rsidR="00F25FA6">
        <w:t>,</w:t>
      </w:r>
      <w:r w:rsidR="007F664E">
        <w:t xml:space="preserve"> or wrongfully obtain anything of value[.]”</w:t>
      </w:r>
      <w:r>
        <w:rPr>
          <w:rStyle w:val="FootnoteReference"/>
        </w:rPr>
        <w:footnoteReference w:id="13"/>
      </w:r>
      <w:r w:rsidR="005235D1">
        <w:t xml:space="preserve">  </w:t>
      </w:r>
      <w:r w:rsidR="000A25C3">
        <w:t>Such practices are known colloquially as “spoofing.”</w:t>
      </w:r>
    </w:p>
    <w:p w:rsidR="0031230E" w:rsidP="00F46125" w14:paraId="6362D5C0" w14:textId="1DFA682F">
      <w:pPr>
        <w:pStyle w:val="ParaNum"/>
      </w:pPr>
      <w:r>
        <w:rPr>
          <w:i/>
          <w:iCs/>
        </w:rPr>
        <w:t xml:space="preserve">Section 3 of the TRACED Act. </w:t>
      </w:r>
      <w:r>
        <w:t xml:space="preserve"> Section 3 of the TRACED Act amends section 227(b) of the TCPA in several respects.  First, it removes the requirement that the Commission issue a citation</w:t>
      </w:r>
      <w:r w:rsidR="00F46125">
        <w:t>,</w:t>
      </w:r>
      <w:r>
        <w:t xml:space="preserve"> or warning</w:t>
      </w:r>
      <w:r w:rsidR="00F46125">
        <w:t>,</w:t>
      </w:r>
      <w:r>
        <w:t xml:space="preserve"> pursuant to section 503(b)(5) of the Communications Act before the Commission may propose a monetary forfeiture under section 227(b).</w:t>
      </w:r>
      <w:r>
        <w:rPr>
          <w:rStyle w:val="FootnoteReference"/>
        </w:rPr>
        <w:footnoteReference w:id="14"/>
      </w:r>
      <w:r>
        <w:t xml:space="preserve">  Second, Section 3</w:t>
      </w:r>
      <w:r w:rsidR="00E1009A">
        <w:t xml:space="preserve"> prescribes an additional</w:t>
      </w:r>
      <w:r>
        <w:t xml:space="preserve"> potential monetary penalty for violations of section 227(b) if the Commission determines that the person violated section 227(b) “with the intent to cause such violation.”</w:t>
      </w:r>
      <w:r>
        <w:rPr>
          <w:rStyle w:val="FootnoteReference"/>
        </w:rPr>
        <w:footnoteReference w:id="15"/>
      </w:r>
      <w:r>
        <w:t xml:space="preserve">  Third, </w:t>
      </w:r>
      <w:r w:rsidR="00F46125">
        <w:t>Section 3 sets</w:t>
      </w:r>
      <w:r>
        <w:t xml:space="preserve"> a four-year statute of limitations period in which it may take enforcement action against intentional violations of section 227(b); previously the statute of limitations was one year.</w:t>
      </w:r>
      <w:r>
        <w:rPr>
          <w:rStyle w:val="FootnoteReference"/>
        </w:rPr>
        <w:footnoteReference w:id="16"/>
      </w:r>
      <w:r>
        <w:t xml:space="preserve">  </w:t>
      </w:r>
      <w:r w:rsidR="00904FCF">
        <w:t>Fourth, Section 3 sets a four-year statute of limitations period in which it may take enforcement action against violations of section 227(e); previously the statute of limitations was two years.</w:t>
      </w:r>
      <w:r>
        <w:rPr>
          <w:rStyle w:val="FootnoteReference"/>
        </w:rPr>
        <w:footnoteReference w:id="17"/>
      </w:r>
    </w:p>
    <w:p w:rsidR="0031230E" w:rsidP="0031230E" w14:paraId="61AF15B8" w14:textId="77777777">
      <w:pPr>
        <w:pStyle w:val="Heading1"/>
      </w:pPr>
      <w:r>
        <w:t>DIscussion</w:t>
      </w:r>
    </w:p>
    <w:p w:rsidR="0031230E" w:rsidP="0031230E" w14:paraId="14E10E0F" w14:textId="1E4F5B58">
      <w:pPr>
        <w:pStyle w:val="ParaNum"/>
        <w:widowControl/>
      </w:pPr>
      <w:r>
        <w:t xml:space="preserve">We amend </w:t>
      </w:r>
      <w:r w:rsidR="00382326">
        <w:t xml:space="preserve">section 1.80 </w:t>
      </w:r>
      <w:r w:rsidR="0020724B">
        <w:t xml:space="preserve">of </w:t>
      </w:r>
      <w:r>
        <w:t xml:space="preserve">our rules to implement </w:t>
      </w:r>
      <w:r w:rsidR="00017255">
        <w:t>S</w:t>
      </w:r>
      <w:r>
        <w:t xml:space="preserve">ection 3.  </w:t>
      </w:r>
      <w:r>
        <w:rPr>
          <w:i/>
          <w:iCs/>
        </w:rPr>
        <w:t>First</w:t>
      </w:r>
      <w:r>
        <w:t>,</w:t>
      </w:r>
      <w:r w:rsidRPr="007C1AC4">
        <w:t xml:space="preserve"> </w:t>
      </w:r>
      <w:r>
        <w:t xml:space="preserve">consistent with the amendments that </w:t>
      </w:r>
      <w:r w:rsidR="00017255">
        <w:t>S</w:t>
      </w:r>
      <w:r>
        <w:t xml:space="preserve">ection 3 makes to </w:t>
      </w:r>
      <w:r w:rsidR="0020724B">
        <w:t>s</w:t>
      </w:r>
      <w:r>
        <w:t xml:space="preserve">ection 227(b) of the Communications Act, we amend section 1.80 of our rules to provide that the Commission may in the first instance impose a penalty against any person or entity that violates </w:t>
      </w:r>
      <w:r w:rsidR="00017255">
        <w:t>s</w:t>
      </w:r>
      <w:r>
        <w:t>ection 227(b)</w:t>
      </w:r>
      <w:r w:rsidR="0020724B">
        <w:t>,</w:t>
      </w:r>
      <w:r>
        <w:t xml:space="preserve"> as amended.  The TRACED Act removes the requirement that the Commission must first issue a citation to any person or entity that violates section 227(b) if that person or </w:t>
      </w:r>
      <w:r>
        <w:t>entity not hold</w:t>
      </w:r>
      <w:r w:rsidRPr="00EB3596">
        <w:t xml:space="preserve"> a</w:t>
      </w:r>
      <w:r>
        <w:t>ny</w:t>
      </w:r>
      <w:r w:rsidRPr="00EB3596">
        <w:t xml:space="preserve"> license, permit, certificate, or other authorization issued by the Commission</w:t>
      </w:r>
      <w:r>
        <w:t xml:space="preserve">, or is not an applicant for any license, permit, certificate, or other authorization issued by the Commission. </w:t>
      </w:r>
    </w:p>
    <w:p w:rsidR="0031230E" w:rsidP="0031230E" w14:paraId="18E5239A" w14:textId="7BC7CCF2">
      <w:pPr>
        <w:pStyle w:val="ParaNum"/>
        <w:widowControl/>
      </w:pPr>
      <w:r>
        <w:rPr>
          <w:i/>
          <w:iCs/>
        </w:rPr>
        <w:t>Second</w:t>
      </w:r>
      <w:r>
        <w:t xml:space="preserve">, we amend section 1.80 of our rules to augment existing penalties for those violators that commit intentional violations of section 227(b).  Under the amended rule, the Commission has the authority to impose a penalty of up to $10,000 per intentional </w:t>
      </w:r>
      <w:r w:rsidR="00345FA6">
        <w:t xml:space="preserve">unlawful </w:t>
      </w:r>
      <w:r>
        <w:t>robocall in addition to the forfeiture penalty amount that may be proposed under section 503(b) of the Communications Act.</w:t>
      </w:r>
      <w:r>
        <w:rPr>
          <w:rStyle w:val="FootnoteReference"/>
        </w:rPr>
        <w:footnoteReference w:id="18"/>
      </w:r>
      <w:r>
        <w:t xml:space="preserve">  </w:t>
      </w:r>
    </w:p>
    <w:p w:rsidR="0031230E" w:rsidP="0031230E" w14:paraId="29938FBB" w14:textId="00CD511B">
      <w:pPr>
        <w:pStyle w:val="ParaNum"/>
      </w:pPr>
      <w:bookmarkStart w:id="3" w:name="_Hlk31008064"/>
      <w:r>
        <w:rPr>
          <w:i/>
          <w:iCs/>
        </w:rPr>
        <w:t>Third</w:t>
      </w:r>
      <w:r>
        <w:t>, we amend section 1.80 of our rules to extend the statute of limitations</w:t>
      </w:r>
      <w:r w:rsidR="00345FA6">
        <w:t xml:space="preserve"> period to four years</w:t>
      </w:r>
      <w:r>
        <w:t xml:space="preserve"> for intentional violations of section 227(b).  By extending the enforcement period for intentional violations, Congress</w:t>
      </w:r>
      <w:r w:rsidR="00345FA6">
        <w:t xml:space="preserve"> granted</w:t>
      </w:r>
      <w:r>
        <w:t xml:space="preserve"> the Commission additional time to pursue violators that intentionally violate laws restricting the use of prerecorded or artificial voice messages and/or automatic telephone dialing systems.</w:t>
      </w:r>
      <w:r>
        <w:rPr>
          <w:rStyle w:val="FootnoteReference"/>
        </w:rPr>
        <w:footnoteReference w:id="19"/>
      </w:r>
      <w:r>
        <w:t xml:space="preserve"> </w:t>
      </w:r>
      <w:bookmarkEnd w:id="3"/>
    </w:p>
    <w:p w:rsidR="0032188D" w:rsidP="0031230E" w14:paraId="5FAD2C95" w14:textId="3A0A91F8">
      <w:pPr>
        <w:pStyle w:val="ParaNum"/>
      </w:pPr>
      <w:r>
        <w:rPr>
          <w:i/>
          <w:iCs/>
        </w:rPr>
        <w:t>Fourth</w:t>
      </w:r>
      <w:r>
        <w:t>, we amend section 1.80 of our rules to extend the statute of limitations period to four years for violations under section 227(e) of the Act.</w:t>
      </w:r>
    </w:p>
    <w:p w:rsidR="0031230E" w:rsidP="0031230E" w14:paraId="1CFDC909" w14:textId="146EFB07">
      <w:pPr>
        <w:pStyle w:val="ParaNum"/>
      </w:pPr>
      <w:r w:rsidRPr="00FB1071">
        <w:t>Consistent with previous decisions, we amend our rules as set forth above without providing for prior public notice and comment.</w:t>
      </w:r>
      <w:r>
        <w:rPr>
          <w:rStyle w:val="FootnoteReference"/>
        </w:rPr>
        <w:footnoteReference w:id="20"/>
      </w:r>
      <w:r w:rsidRPr="00FB1071">
        <w:t xml:space="preserve">  Our action here is largely ministerial because it simply effectuates </w:t>
      </w:r>
      <w:r w:rsidR="00267B75">
        <w:t xml:space="preserve">regulations </w:t>
      </w:r>
      <w:r w:rsidRPr="00FB1071">
        <w:t xml:space="preserve">established by legislation and requires no exercise of administrative discretion.  For this reason, we conclude that prior notice and comment would serve no useful purpose and are unnecessary.  We therefore find that this action comes within the “good cause” exception to the notice and comment requirements of the </w:t>
      </w:r>
      <w:r w:rsidRPr="00C20626">
        <w:t>A</w:t>
      </w:r>
      <w:r w:rsidR="00463ADE">
        <w:t>PA</w:t>
      </w:r>
      <w:r w:rsidRPr="00FB1071">
        <w:t>.</w:t>
      </w:r>
      <w:r>
        <w:rPr>
          <w:vertAlign w:val="superscript"/>
        </w:rPr>
        <w:footnoteReference w:id="21"/>
      </w:r>
      <w:r w:rsidRPr="00FB1071">
        <w:t xml:space="preserve">   </w:t>
      </w:r>
    </w:p>
    <w:p w:rsidR="0031230E" w:rsidP="0031230E" w14:paraId="4F16186A" w14:textId="77777777">
      <w:pPr>
        <w:pStyle w:val="Heading1"/>
      </w:pPr>
      <w:r>
        <w:t>procedural matters</w:t>
      </w:r>
    </w:p>
    <w:p w:rsidR="00BB6211" w:rsidP="00BB6211" w14:paraId="7DC1E108" w14:textId="356FD37C">
      <w:pPr>
        <w:pStyle w:val="ParaNum"/>
      </w:pPr>
      <w:r w:rsidRPr="00B3338C">
        <w:t>The Enforcement Bureau is responsible for, among other things, rulemaking proceedings regarding general enforcement policies and procedures.</w:t>
      </w:r>
      <w:r>
        <w:rPr>
          <w:vertAlign w:val="superscript"/>
        </w:rPr>
        <w:footnoteReference w:id="22"/>
      </w:r>
      <w:r w:rsidRPr="00B3338C">
        <w:t xml:space="preserve">    In </w:t>
      </w:r>
      <w:r>
        <w:t xml:space="preserve">the TRACED </w:t>
      </w:r>
      <w:r w:rsidRPr="00B3338C">
        <w:t>Act, Congress mandated</w:t>
      </w:r>
      <w:r>
        <w:t xml:space="preserve"> the</w:t>
      </w:r>
      <w:r w:rsidRPr="00B3338C">
        <w:t xml:space="preserve"> </w:t>
      </w:r>
      <w:r>
        <w:t xml:space="preserve">Commission to </w:t>
      </w:r>
      <w:r w:rsidRPr="00B3338C">
        <w:t>prescribe implementing regulations</w:t>
      </w:r>
      <w:r>
        <w:t xml:space="preserve"> for Section 3 </w:t>
      </w:r>
      <w:r w:rsidRPr="00B3338C">
        <w:t>within 270 days after enactment.</w:t>
      </w:r>
      <w:r>
        <w:rPr>
          <w:vertAlign w:val="superscript"/>
        </w:rPr>
        <w:footnoteReference w:id="23"/>
      </w:r>
      <w:r w:rsidRPr="00B3338C">
        <w:t xml:space="preserve">  Therefore, action on delegated authority is properly taken in this </w:t>
      </w:r>
      <w:r w:rsidRPr="009F7FF4">
        <w:rPr>
          <w:i/>
          <w:iCs/>
        </w:rPr>
        <w:t>Order</w:t>
      </w:r>
      <w:r w:rsidRPr="00B3338C">
        <w:t xml:space="preserve"> amending </w:t>
      </w:r>
      <w:r w:rsidR="0070064A">
        <w:t>s</w:t>
      </w:r>
      <w:r>
        <w:t>ection 1.80 of our rules</w:t>
      </w:r>
      <w:r w:rsidRPr="00B3338C">
        <w:t xml:space="preserve">, which </w:t>
      </w:r>
      <w:r>
        <w:t>is</w:t>
      </w:r>
      <w:r w:rsidRPr="00B3338C">
        <w:t xml:space="preserve"> part of the Commission’s general enforcement policies and procedures.  In addition, because a notice of proposed rulemaking is not required for these rule changes, no regulatory flexibility analysis is required.</w:t>
      </w:r>
    </w:p>
    <w:p w:rsidR="0031230E" w:rsidP="0031230E" w14:paraId="1DB3728D" w14:textId="1AE16167">
      <w:pPr>
        <w:pStyle w:val="ParaNum"/>
      </w:pPr>
      <w:r w:rsidRPr="0070064A">
        <w:rPr>
          <w:i/>
          <w:iCs/>
        </w:rPr>
        <w:t>Effective Date</w:t>
      </w:r>
      <w:r w:rsidRPr="0070064A">
        <w:t xml:space="preserve">. </w:t>
      </w:r>
      <w:r>
        <w:t xml:space="preserve"> </w:t>
      </w:r>
      <w:r w:rsidRPr="0070064A">
        <w:t>The rules adopted in th</w:t>
      </w:r>
      <w:r>
        <w:t>is</w:t>
      </w:r>
      <w:r w:rsidRPr="0070064A">
        <w:t xml:space="preserve"> </w:t>
      </w:r>
      <w:r w:rsidRPr="0070064A">
        <w:rPr>
          <w:i/>
          <w:iCs/>
        </w:rPr>
        <w:t xml:space="preserve">Order </w:t>
      </w:r>
      <w:r w:rsidRPr="0070064A">
        <w:t>shall be effective 30 days after publication in the Federal Register.</w:t>
      </w:r>
      <w:r w:rsidRPr="00B3338C">
        <w:t xml:space="preserve"> </w:t>
      </w:r>
    </w:p>
    <w:p w:rsidR="0031230E" w:rsidP="00122DEF" w14:paraId="083E4F1D" w14:textId="4047D28E">
      <w:pPr>
        <w:pStyle w:val="ParaNum"/>
        <w:widowControl/>
      </w:pPr>
      <w:bookmarkStart w:id="4" w:name="_Hlk31009236"/>
      <w:r w:rsidRPr="00BB6211">
        <w:rPr>
          <w:i/>
          <w:iCs/>
        </w:rPr>
        <w:t>Paperwork Reduction Act of 1995 Analysis.</w:t>
      </w:r>
      <w:r>
        <w:t xml:space="preserve">  </w:t>
      </w:r>
      <w:r w:rsidRPr="00D63C94">
        <w:t>We have analyzed the actions taken herein with respect to the Paperwork Reduction Act of 1995 (PRA),</w:t>
      </w:r>
      <w:r>
        <w:rPr>
          <w:vertAlign w:val="superscript"/>
        </w:rPr>
        <w:footnoteReference w:id="24"/>
      </w:r>
      <w:r w:rsidRPr="00D63C94">
        <w:t xml:space="preserve"> and we find them to impose no new or modified information collection(s) subject to the</w:t>
      </w:r>
      <w:r>
        <w:t xml:space="preserve"> </w:t>
      </w:r>
      <w:r w:rsidRPr="00D63C94">
        <w:t>PRA.  In addition, pursuant to the Small Business Paperwork Relief Act of 2002,</w:t>
      </w:r>
      <w:r>
        <w:rPr>
          <w:vertAlign w:val="superscript"/>
        </w:rPr>
        <w:footnoteReference w:id="25"/>
      </w:r>
      <w:r w:rsidRPr="00D63C94">
        <w:t xml:space="preserve"> our actions do not impose any new or modified “information collection burden for small business concerns with fewer than 25 employees.”</w:t>
      </w:r>
      <w:r>
        <w:rPr>
          <w:vertAlign w:val="superscript"/>
        </w:rPr>
        <w:footnoteReference w:id="26"/>
      </w:r>
    </w:p>
    <w:p w:rsidR="00BB6211" w:rsidP="00BB6211" w14:paraId="1282B7E7" w14:textId="5E8BC965">
      <w:pPr>
        <w:pStyle w:val="ParaNum"/>
      </w:pPr>
      <w:r w:rsidRPr="00CC1649">
        <w:rPr>
          <w:i/>
          <w:iCs/>
        </w:rPr>
        <w:t xml:space="preserve">Congressional Review Act. </w:t>
      </w:r>
      <w:r w:rsidRPr="00BB6211">
        <w:t xml:space="preserve"> </w:t>
      </w:r>
      <w:r w:rsidRPr="00CC1649">
        <w:t xml:space="preserve">The </w:t>
      </w:r>
      <w:r w:rsidRPr="007B67A9">
        <w:t>Commission</w:t>
      </w:r>
      <w:r w:rsidRPr="00CC1649">
        <w:t xml:space="preserve"> has determined, and the Administrator of the Office of Information and Regulatory Affairs, Office of Management and Budget, concurs that this rule is </w:t>
      </w:r>
      <w:r w:rsidRPr="003D49EA" w:rsidR="002072AD">
        <w:t>“</w:t>
      </w:r>
      <w:r w:rsidRPr="003D49EA">
        <w:t>non-major</w:t>
      </w:r>
      <w:r w:rsidRPr="003D49EA" w:rsidR="003D49EA">
        <w:t>”</w:t>
      </w:r>
      <w:r w:rsidRPr="00CC1649">
        <w:t xml:space="preserve"> under the Congressional Review Act, 5 U.S.C. § 804(2).</w:t>
      </w:r>
      <w:r>
        <w:t xml:space="preserve">  </w:t>
      </w:r>
      <w:r w:rsidR="0031230E">
        <w:t xml:space="preserve">The Commission will send a copy of this </w:t>
      </w:r>
      <w:r w:rsidRPr="009F7FF4" w:rsidR="0031230E">
        <w:rPr>
          <w:i/>
          <w:iCs/>
        </w:rPr>
        <w:t>Order</w:t>
      </w:r>
      <w:r w:rsidR="0031230E">
        <w:t xml:space="preserve"> in a report to be sent to Congress and the Government Accountability Office, pursuant to</w:t>
      </w:r>
      <w:r w:rsidR="00326F5A">
        <w:t xml:space="preserve"> </w:t>
      </w:r>
      <w:r w:rsidR="007A0256">
        <w:t xml:space="preserve">5 U.S.C. </w:t>
      </w:r>
      <w:r w:rsidR="007A0256">
        <w:rPr>
          <w:rFonts w:cstheme="minorHAnsi"/>
        </w:rPr>
        <w:t>§</w:t>
      </w:r>
      <w:r w:rsidR="007A0256">
        <w:t xml:space="preserve"> 801(a)(1)(A)</w:t>
      </w:r>
      <w:r w:rsidR="0031230E">
        <w:t xml:space="preserve">. </w:t>
      </w:r>
    </w:p>
    <w:p w:rsidR="00BB6211" w:rsidP="00BB6211" w14:paraId="3BD5DB01" w14:textId="49040AEB">
      <w:pPr>
        <w:pStyle w:val="ParaNum"/>
      </w:pPr>
      <w:r>
        <w:rPr>
          <w:i/>
          <w:iCs/>
        </w:rPr>
        <w:t xml:space="preserve">People with Disabilities. </w:t>
      </w:r>
      <w:r>
        <w:t xml:space="preserve">To request material in accessible formats for people with disabilities (braille, large print, electronic files, audio format), send an e-mail to </w:t>
      </w:r>
      <w:hyperlink r:id="rId5" w:history="1">
        <w:r w:rsidRPr="00326F5A">
          <w:rPr>
            <w:rStyle w:val="Hyperlink"/>
          </w:rPr>
          <w:t>fcc504@fcc.gov</w:t>
        </w:r>
      </w:hyperlink>
      <w:r>
        <w:rPr>
          <w:color w:val="0000FF"/>
        </w:rPr>
        <w:t xml:space="preserve"> </w:t>
      </w:r>
      <w:r>
        <w:t>or call the Consumer &amp; Governmental Affairs Bureau at 202-418-0530 (voice), 202-418-0432 (</w:t>
      </w:r>
      <w:r>
        <w:t>tty</w:t>
      </w:r>
      <w:r>
        <w:t xml:space="preserve">). </w:t>
      </w:r>
    </w:p>
    <w:p w:rsidR="0031230E" w:rsidP="00260CA5" w14:paraId="0431E982" w14:textId="3B23A37A">
      <w:pPr>
        <w:pStyle w:val="ParaNum"/>
      </w:pPr>
      <w:r w:rsidRPr="00CC1649">
        <w:rPr>
          <w:i/>
          <w:iCs/>
        </w:rPr>
        <w:t xml:space="preserve">Further Information.  </w:t>
      </w:r>
      <w:r>
        <w:t xml:space="preserve">For </w:t>
      </w:r>
      <w:r>
        <w:t xml:space="preserve">further </w:t>
      </w:r>
      <w:r>
        <w:t xml:space="preserve">information, contact Kimbarly Taylor, </w:t>
      </w:r>
      <w:r>
        <w:t xml:space="preserve">Attorney Advisor, </w:t>
      </w:r>
      <w:r>
        <w:t xml:space="preserve">Telecommunications Consumers Division, Enforcement Bureau, </w:t>
      </w:r>
      <w:r>
        <w:t xml:space="preserve">at </w:t>
      </w:r>
      <w:r>
        <w:t>(202) 418-1188</w:t>
      </w:r>
      <w:r>
        <w:t xml:space="preserve"> or </w:t>
      </w:r>
      <w:hyperlink r:id="rId6" w:history="1">
        <w:r w:rsidRPr="00326F5A">
          <w:rPr>
            <w:rStyle w:val="Hyperlink"/>
          </w:rPr>
          <w:t>Kimbarly.Taylor@fcc.gov</w:t>
        </w:r>
      </w:hyperlink>
      <w:r>
        <w:t>.</w:t>
      </w:r>
    </w:p>
    <w:bookmarkEnd w:id="4"/>
    <w:p w:rsidR="0031230E" w:rsidP="0031230E" w14:paraId="09D7C1A6" w14:textId="77777777">
      <w:pPr>
        <w:pStyle w:val="Heading1"/>
      </w:pPr>
      <w:r>
        <w:t>Ordering clauses</w:t>
      </w:r>
    </w:p>
    <w:p w:rsidR="0031230E" w:rsidP="0031230E" w14:paraId="352CB13B" w14:textId="0ABB077F">
      <w:pPr>
        <w:pStyle w:val="ParaNum"/>
        <w:widowControl/>
      </w:pPr>
      <w:r>
        <w:t xml:space="preserve">Accordingly, </w:t>
      </w:r>
      <w:r w:rsidRPr="00766840">
        <w:rPr>
          <w:b/>
          <w:bCs/>
        </w:rPr>
        <w:t>IT IS ORDERED</w:t>
      </w:r>
      <w:r>
        <w:t>, pursuant to sections 4(</w:t>
      </w:r>
      <w:r>
        <w:t>i</w:t>
      </w:r>
      <w:r>
        <w:t>)</w:t>
      </w:r>
      <w:r w:rsidR="00F3454D">
        <w:t xml:space="preserve">, </w:t>
      </w:r>
      <w:r>
        <w:t>4(j)</w:t>
      </w:r>
      <w:r w:rsidR="00F3454D">
        <w:t>, and 227</w:t>
      </w:r>
      <w:r>
        <w:t xml:space="preserve"> of the Communications Act of 1934, as amended, 47 U.S.C. §§ 154(</w:t>
      </w:r>
      <w:r>
        <w:t>i</w:t>
      </w:r>
      <w:r>
        <w:t>)</w:t>
      </w:r>
      <w:r w:rsidR="00CC1148">
        <w:t>,</w:t>
      </w:r>
      <w:r>
        <w:t xml:space="preserve"> 154(j),</w:t>
      </w:r>
      <w:r w:rsidR="006B10AE">
        <w:t xml:space="preserve"> </w:t>
      </w:r>
      <w:r w:rsidRPr="00E66A96" w:rsidR="00E66A96">
        <w:t>227</w:t>
      </w:r>
      <w:r w:rsidR="00E66A96">
        <w:t xml:space="preserve">, </w:t>
      </w:r>
      <w:r w:rsidR="006B10AE">
        <w:t>sections 0.111(a)(22) and 0.311</w:t>
      </w:r>
      <w:r w:rsidR="00476B98">
        <w:t>(a)(1)</w:t>
      </w:r>
      <w:r w:rsidR="006B10AE">
        <w:t xml:space="preserve"> of the </w:t>
      </w:r>
      <w:r w:rsidR="00326F5A">
        <w:t>Commission’s r</w:t>
      </w:r>
      <w:r w:rsidR="006B10AE">
        <w:t>ule</w:t>
      </w:r>
      <w:r w:rsidRPr="003D49EA" w:rsidR="006B10AE">
        <w:t>s, 47 CFR  §§ 0.111(a)(22), 0.311</w:t>
      </w:r>
      <w:r w:rsidRPr="003D49EA" w:rsidR="00476B98">
        <w:t>(a)(1)</w:t>
      </w:r>
      <w:r w:rsidRPr="003D49EA">
        <w:t xml:space="preserve"> and se</w:t>
      </w:r>
      <w:r>
        <w:t>ction 3 of the Telephone Robocall Abuse Criminal Enforcement and Deterrence Act, Pub. L. 116-105, 133 Stat. 3274,</w:t>
      </w:r>
      <w:r w:rsidRPr="00D63C94">
        <w:t xml:space="preserve"> that this </w:t>
      </w:r>
      <w:r w:rsidRPr="009F7FF4">
        <w:rPr>
          <w:i/>
          <w:iCs/>
        </w:rPr>
        <w:t>Order</w:t>
      </w:r>
      <w:r w:rsidRPr="00D63C94">
        <w:t xml:space="preserve"> </w:t>
      </w:r>
      <w:r w:rsidRPr="00671AAA">
        <w:rPr>
          <w:b/>
        </w:rPr>
        <w:t>IS ADOPTED</w:t>
      </w:r>
      <w:r w:rsidRPr="00D63C94">
        <w:t>.</w:t>
      </w:r>
      <w:r>
        <w:t xml:space="preserve"> </w:t>
      </w:r>
    </w:p>
    <w:p w:rsidR="0031230E" w:rsidP="0031230E" w14:paraId="0E97F98E" w14:textId="21590E38">
      <w:pPr>
        <w:pStyle w:val="ParaNum"/>
      </w:pPr>
      <w:r w:rsidRPr="00671AAA">
        <w:rPr>
          <w:b/>
          <w:bCs/>
        </w:rPr>
        <w:t>IT IS FURTHER ORDERED</w:t>
      </w:r>
      <w:r>
        <w:t xml:space="preserve"> </w:t>
      </w:r>
      <w:bookmarkStart w:id="5" w:name="_Hlk31009338"/>
      <w:r w:rsidRPr="00B33C3A">
        <w:t>that section 1.80</w:t>
      </w:r>
      <w:r>
        <w:t xml:space="preserve"> </w:t>
      </w:r>
      <w:r w:rsidRPr="00B33C3A">
        <w:t xml:space="preserve">of the </w:t>
      </w:r>
      <w:r w:rsidR="00BB6211">
        <w:t>Commission’s r</w:t>
      </w:r>
      <w:r w:rsidRPr="00B33C3A">
        <w:t xml:space="preserve">ules, 47 CFR § 1.80, is </w:t>
      </w:r>
      <w:r w:rsidRPr="00671AAA">
        <w:rPr>
          <w:b/>
        </w:rPr>
        <w:t>AMENDED</w:t>
      </w:r>
      <w:r w:rsidRPr="00B33C3A">
        <w:t xml:space="preserve"> as set forth in the Appendix.</w:t>
      </w:r>
    </w:p>
    <w:p w:rsidR="0031230E" w:rsidRPr="00B33C3A" w:rsidP="0031230E" w14:paraId="774D7D3F" w14:textId="70832C18">
      <w:pPr>
        <w:pStyle w:val="ParaNum"/>
      </w:pPr>
      <w:r w:rsidRPr="00671AAA">
        <w:rPr>
          <w:b/>
          <w:bCs/>
        </w:rPr>
        <w:t>IT IS FURTHER ORDERED</w:t>
      </w:r>
      <w:r w:rsidRPr="00B33C3A">
        <w:t xml:space="preserve"> that this </w:t>
      </w:r>
      <w:r w:rsidRPr="009F7FF4">
        <w:rPr>
          <w:i/>
          <w:iCs/>
        </w:rPr>
        <w:t>Order</w:t>
      </w:r>
      <w:r w:rsidRPr="00B33C3A">
        <w:t xml:space="preserve"> and the foregoing amendments to the </w:t>
      </w:r>
      <w:r w:rsidR="00CC1649">
        <w:t>Commission’s r</w:t>
      </w:r>
      <w:r w:rsidRPr="00B33C3A">
        <w:t xml:space="preserve">ules </w:t>
      </w:r>
      <w:r w:rsidRPr="00713EDC">
        <w:rPr>
          <w:b/>
          <w:bCs/>
        </w:rPr>
        <w:t>SHALL BE</w:t>
      </w:r>
      <w:r w:rsidRPr="00671AAA">
        <w:rPr>
          <w:b/>
          <w:bCs/>
        </w:rPr>
        <w:t xml:space="preserve"> EFFECTIVE</w:t>
      </w:r>
      <w:r w:rsidR="00185E52">
        <w:rPr>
          <w:b/>
          <w:bCs/>
        </w:rPr>
        <w:t xml:space="preserve"> </w:t>
      </w:r>
      <w:r w:rsidR="00185E52">
        <w:t>thirty (30) days after the date of publication in the Federal Register.</w:t>
      </w:r>
      <w:r w:rsidRPr="00B33C3A">
        <w:t xml:space="preserve">   </w:t>
      </w:r>
    </w:p>
    <w:p w:rsidR="0031230E" w:rsidP="0031230E" w14:paraId="72CAD0B8" w14:textId="67020D58">
      <w:pPr>
        <w:pStyle w:val="ParaNum"/>
      </w:pPr>
      <w:r w:rsidRPr="00671AAA">
        <w:rPr>
          <w:b/>
          <w:bCs/>
        </w:rPr>
        <w:t>IT IS FURTHER ORDERED</w:t>
      </w:r>
      <w:r w:rsidRPr="00B33C3A">
        <w:t xml:space="preserve"> that the Commission’s Consumer &amp; Governmental Affairs Bureau, Reference Information Center, </w:t>
      </w:r>
      <w:r w:rsidRPr="007B67A9" w:rsidR="00CC1649">
        <w:rPr>
          <w:b/>
          <w:bCs/>
        </w:rPr>
        <w:t>SHALL</w:t>
      </w:r>
      <w:r w:rsidRPr="007B67A9">
        <w:rPr>
          <w:b/>
          <w:bCs/>
        </w:rPr>
        <w:t xml:space="preserve"> SEND</w:t>
      </w:r>
      <w:r w:rsidRPr="00B33C3A">
        <w:t xml:space="preserve"> a copy of this </w:t>
      </w:r>
      <w:r w:rsidRPr="009F7FF4">
        <w:rPr>
          <w:i/>
          <w:iCs/>
        </w:rPr>
        <w:t>Order</w:t>
      </w:r>
      <w:r w:rsidRPr="00B33C3A">
        <w:t xml:space="preserve"> to Congress and the Government Accountability Office pursuant to the Congressional Review Act, 5 U.S.C. § 801(a)(1)(A).</w:t>
      </w:r>
      <w:bookmarkEnd w:id="5"/>
    </w:p>
    <w:p w:rsidR="0031230E" w:rsidP="0031230E" w14:paraId="23C7005C" w14:textId="77777777">
      <w:pPr>
        <w:ind w:firstLine="4320"/>
      </w:pPr>
    </w:p>
    <w:p w:rsidR="0031230E" w:rsidP="0031230E" w14:paraId="24657DA6" w14:textId="77777777">
      <w:pPr>
        <w:ind w:firstLine="4320"/>
      </w:pPr>
      <w:r>
        <w:t>FEDERAL COMMUNICATIONS COMMISSION</w:t>
      </w:r>
    </w:p>
    <w:p w:rsidR="0031230E" w:rsidP="0031230E" w14:paraId="649213EE" w14:textId="77777777"/>
    <w:p w:rsidR="0031230E" w:rsidP="0031230E" w14:paraId="53138E5E" w14:textId="77777777"/>
    <w:p w:rsidR="0031230E" w:rsidP="0031230E" w14:paraId="30497E1F" w14:textId="77777777"/>
    <w:p w:rsidR="0031230E" w:rsidP="0031230E" w14:paraId="0E783A2A" w14:textId="77777777"/>
    <w:p w:rsidR="0031230E" w:rsidP="0031230E" w14:paraId="355C1B00" w14:textId="77777777">
      <w:r>
        <w:tab/>
      </w:r>
      <w:r>
        <w:tab/>
      </w:r>
      <w:r>
        <w:tab/>
      </w:r>
      <w:r>
        <w:tab/>
      </w:r>
      <w:r>
        <w:tab/>
      </w:r>
      <w:r>
        <w:tab/>
        <w:t>Rosemary C. Harold</w:t>
      </w:r>
    </w:p>
    <w:p w:rsidR="0031230E" w:rsidP="0031230E" w14:paraId="29849C41" w14:textId="77777777">
      <w:r>
        <w:tab/>
      </w:r>
      <w:r>
        <w:tab/>
      </w:r>
      <w:r>
        <w:tab/>
      </w:r>
      <w:r>
        <w:tab/>
      </w:r>
      <w:r>
        <w:tab/>
      </w:r>
      <w:r>
        <w:tab/>
        <w:t>Chief</w:t>
      </w:r>
    </w:p>
    <w:p w:rsidR="0031230E" w:rsidP="0031230E" w14:paraId="5F6B2781" w14:textId="77777777">
      <w:r>
        <w:tab/>
      </w:r>
      <w:r>
        <w:tab/>
      </w:r>
      <w:r>
        <w:tab/>
      </w:r>
      <w:r>
        <w:tab/>
      </w:r>
      <w:r>
        <w:tab/>
      </w:r>
      <w:r>
        <w:tab/>
        <w:t>Enforcement Bureau</w:t>
      </w:r>
    </w:p>
    <w:p w:rsidR="00240322" w:rsidP="0031230E" w14:paraId="752971FC" w14:textId="77777777">
      <w:pPr>
        <w:widowControl/>
        <w:sectPr w:rsidSect="003A0085">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docGrid w:linePitch="299"/>
        </w:sectPr>
      </w:pPr>
    </w:p>
    <w:p w:rsidR="0031230E" w:rsidRPr="005703DF" w:rsidP="0031230E" w14:paraId="5CCCDDBC" w14:textId="77777777">
      <w:pPr>
        <w:spacing w:after="100"/>
        <w:jc w:val="center"/>
        <w:outlineLvl w:val="1"/>
        <w:rPr>
          <w:rFonts w:eastAsia="Calibri"/>
          <w:b/>
          <w:bCs/>
          <w:snapToGrid/>
          <w:kern w:val="0"/>
          <w:szCs w:val="22"/>
        </w:rPr>
      </w:pPr>
      <w:r w:rsidRPr="00C32A90">
        <w:rPr>
          <w:rFonts w:eastAsia="Calibri"/>
          <w:b/>
          <w:bCs/>
          <w:snapToGrid/>
          <w:kern w:val="0"/>
          <w:szCs w:val="22"/>
        </w:rPr>
        <w:t>APPENDIX</w:t>
      </w:r>
      <w:r>
        <w:rPr>
          <w:rFonts w:eastAsia="Calibri"/>
          <w:b/>
          <w:bCs/>
          <w:snapToGrid/>
          <w:kern w:val="0"/>
          <w:szCs w:val="22"/>
        </w:rPr>
        <w:t xml:space="preserve"> </w:t>
      </w:r>
    </w:p>
    <w:p w:rsidR="0031230E" w:rsidRPr="00DB21EB" w:rsidP="0031230E" w14:paraId="3A63513C" w14:textId="5562FB93">
      <w:pPr>
        <w:rPr>
          <w:bCs/>
        </w:rPr>
      </w:pPr>
      <w:r w:rsidRPr="00DB21EB">
        <w:rPr>
          <w:bCs/>
        </w:rPr>
        <w:t>For the reasons discussed in the preamble, the Federal Communications Commission amends</w:t>
      </w:r>
      <w:r w:rsidRPr="00080632" w:rsidR="00080632">
        <w:rPr>
          <w:bCs/>
        </w:rPr>
        <w:t xml:space="preserve"> 47 CFR part </w:t>
      </w:r>
      <w:r w:rsidR="00080632">
        <w:rPr>
          <w:bCs/>
        </w:rPr>
        <w:t>1</w:t>
      </w:r>
      <w:r w:rsidRPr="00DB21EB">
        <w:rPr>
          <w:bCs/>
        </w:rPr>
        <w:t>as follows:</w:t>
      </w:r>
    </w:p>
    <w:p w:rsidR="0031230E" w:rsidRPr="00455A65" w:rsidP="0031230E" w14:paraId="0F303FC5" w14:textId="77777777">
      <w:pPr>
        <w:rPr>
          <w:b/>
        </w:rPr>
      </w:pPr>
    </w:p>
    <w:p w:rsidR="0031230E" w:rsidRPr="00455A65" w:rsidP="0031230E" w14:paraId="490B1B4B" w14:textId="77777777">
      <w:pPr>
        <w:rPr>
          <w:b/>
        </w:rPr>
      </w:pPr>
      <w:r w:rsidRPr="00455A65">
        <w:rPr>
          <w:b/>
        </w:rPr>
        <w:t>PART 1---PRACTICE AND PROCEDURE</w:t>
      </w:r>
    </w:p>
    <w:p w:rsidR="0031230E" w:rsidRPr="00455A65" w:rsidP="0031230E" w14:paraId="4A22E4F6" w14:textId="77777777">
      <w:pPr>
        <w:rPr>
          <w:b/>
        </w:rPr>
      </w:pPr>
    </w:p>
    <w:p w:rsidR="0031230E" w:rsidRPr="00455A65" w:rsidP="0031230E" w14:paraId="37B68D9B" w14:textId="77777777">
      <w:pPr>
        <w:rPr>
          <w:b/>
        </w:rPr>
      </w:pPr>
      <w:r w:rsidRPr="00455A65">
        <w:rPr>
          <w:b/>
        </w:rPr>
        <w:t>Subpart A---General Rules of Practice and Procedure</w:t>
      </w:r>
    </w:p>
    <w:p w:rsidR="0031230E" w:rsidRPr="00455A65" w:rsidP="0031230E" w14:paraId="71633DC9" w14:textId="77777777">
      <w:pPr>
        <w:rPr>
          <w:b/>
        </w:rPr>
      </w:pPr>
    </w:p>
    <w:p w:rsidR="0031230E" w:rsidRPr="00455A65" w:rsidP="0031230E" w14:paraId="074636FE" w14:textId="77777777">
      <w:pPr>
        <w:rPr>
          <w:b/>
        </w:rPr>
      </w:pPr>
      <w:r w:rsidRPr="00455A65">
        <w:rPr>
          <w:b/>
        </w:rPr>
        <w:t>Miscellaneous Proceedings</w:t>
      </w:r>
    </w:p>
    <w:p w:rsidR="0031230E" w:rsidRPr="00455A65" w:rsidP="0031230E" w14:paraId="2BB86233" w14:textId="77777777">
      <w:pPr>
        <w:rPr>
          <w:b/>
        </w:rPr>
      </w:pPr>
    </w:p>
    <w:p w:rsidR="0031230E" w:rsidRPr="00455A65" w:rsidP="0031230E" w14:paraId="5B9C13A5" w14:textId="77777777">
      <w:r w:rsidRPr="00455A65">
        <w:t>1.</w:t>
      </w:r>
      <w:r w:rsidRPr="00455A65">
        <w:tab/>
        <w:t xml:space="preserve">The authority citation for part 1 </w:t>
      </w:r>
      <w:r>
        <w:t xml:space="preserve">continues </w:t>
      </w:r>
      <w:r w:rsidRPr="00455A65">
        <w:t>to read as follows:</w:t>
      </w:r>
    </w:p>
    <w:p w:rsidR="0031230E" w:rsidRPr="00455A65" w:rsidP="0031230E" w14:paraId="0DAA87F9" w14:textId="77777777"/>
    <w:p w:rsidR="0031230E" w:rsidP="0031230E" w14:paraId="622F0591" w14:textId="77777777">
      <w:r w:rsidRPr="00455A65">
        <w:t xml:space="preserve">Authority: 47 U.S.C. </w:t>
      </w:r>
      <w:r w:rsidRPr="00455A65">
        <w:t>chs</w:t>
      </w:r>
      <w:r w:rsidRPr="00455A65">
        <w:t xml:space="preserve">. 2, 5, 9, 13; 28 U.S.C. 2461 note, unless otherwise noted. </w:t>
      </w:r>
    </w:p>
    <w:p w:rsidR="0031230E" w:rsidP="0031230E" w14:paraId="40F568A9" w14:textId="77777777"/>
    <w:p w:rsidR="0031230E" w:rsidRPr="00455A65" w:rsidP="0031230E" w14:paraId="21BD0532" w14:textId="77777777"/>
    <w:p w:rsidR="0031230E" w:rsidP="0031230E" w14:paraId="6B7D14EC" w14:textId="20CD7C97">
      <w:r w:rsidRPr="00455A65">
        <w:t>2.</w:t>
      </w:r>
      <w:r w:rsidRPr="00455A65">
        <w:tab/>
      </w:r>
      <w:r>
        <w:t>Amend §</w:t>
      </w:r>
      <w:r w:rsidR="00D24859">
        <w:t xml:space="preserve"> </w:t>
      </w:r>
      <w:r>
        <w:t>1.80 by revising paragraph (a)(4) to read as follows:</w:t>
      </w:r>
    </w:p>
    <w:p w:rsidR="0031230E" w:rsidP="0031230E" w14:paraId="38987FB2" w14:textId="77777777"/>
    <w:p w:rsidR="0031230E" w:rsidRPr="00455A65" w:rsidP="0031230E" w14:paraId="4D67A11C" w14:textId="56BCEB08">
      <w:r w:rsidRPr="00455A65">
        <w:rPr>
          <w:b/>
          <w:u w:val="single"/>
        </w:rPr>
        <w:t>§</w:t>
      </w:r>
      <w:r w:rsidR="00DC0590">
        <w:rPr>
          <w:b/>
          <w:u w:val="single"/>
        </w:rPr>
        <w:t xml:space="preserve"> </w:t>
      </w:r>
      <w:r w:rsidRPr="00455A65">
        <w:rPr>
          <w:b/>
          <w:u w:val="single"/>
        </w:rPr>
        <w:t>1.80  Forfeiture</w:t>
      </w:r>
      <w:r w:rsidRPr="00455A65">
        <w:rPr>
          <w:b/>
          <w:u w:val="single"/>
        </w:rPr>
        <w:t xml:space="preserve"> proceedings</w:t>
      </w:r>
      <w:r w:rsidRPr="00455A65">
        <w:t>.</w:t>
      </w:r>
    </w:p>
    <w:p w:rsidR="0031230E" w:rsidRPr="00455A65" w:rsidP="0031230E" w14:paraId="1B9C9A06" w14:textId="77777777"/>
    <w:p w:rsidR="0031230E" w:rsidRPr="00AE151B" w:rsidP="0031230E" w14:paraId="61CD8C67" w14:textId="77777777">
      <w:pPr>
        <w:widowControl/>
        <w:spacing w:after="160" w:line="256" w:lineRule="auto"/>
        <w:rPr>
          <w:rFonts w:eastAsia="Calibri"/>
          <w:snapToGrid/>
          <w:kern w:val="0"/>
          <w:szCs w:val="22"/>
        </w:rPr>
      </w:pPr>
      <w:r w:rsidRPr="00964BF3">
        <w:rPr>
          <w:rFonts w:eastAsia="Calibri"/>
          <w:snapToGrid/>
          <w:kern w:val="0"/>
          <w:szCs w:val="22"/>
        </w:rPr>
        <w:t>(</w:t>
      </w:r>
      <w:r>
        <w:rPr>
          <w:rFonts w:eastAsia="Calibri"/>
          <w:snapToGrid/>
          <w:kern w:val="0"/>
          <w:szCs w:val="22"/>
        </w:rPr>
        <w:t>a</w:t>
      </w:r>
      <w:r w:rsidRPr="00964BF3">
        <w:rPr>
          <w:rFonts w:eastAsia="Calibri"/>
          <w:snapToGrid/>
          <w:kern w:val="0"/>
          <w:szCs w:val="22"/>
        </w:rPr>
        <w:t xml:space="preserve">) * * * </w:t>
      </w:r>
    </w:p>
    <w:p w:rsidR="0031230E" w:rsidRPr="00964BF3" w:rsidP="0031230E" w14:paraId="25903C69" w14:textId="77777777">
      <w:pPr>
        <w:widowControl/>
        <w:spacing w:after="160" w:line="256" w:lineRule="auto"/>
        <w:rPr>
          <w:rFonts w:eastAsia="Calibri"/>
          <w:snapToGrid/>
          <w:kern w:val="0"/>
          <w:szCs w:val="22"/>
        </w:rPr>
      </w:pPr>
      <w:r>
        <w:rPr>
          <w:rFonts w:eastAsia="Calibri"/>
          <w:snapToGrid/>
          <w:kern w:val="0"/>
          <w:szCs w:val="22"/>
        </w:rPr>
        <w:t xml:space="preserve">(4)  </w:t>
      </w:r>
      <w:r w:rsidRPr="002C3064">
        <w:rPr>
          <w:rFonts w:eastAsia="Calibri"/>
          <w:snapToGrid/>
          <w:kern w:val="0"/>
          <w:szCs w:val="22"/>
        </w:rPr>
        <w:t>Violated any provision of section</w:t>
      </w:r>
      <w:r>
        <w:rPr>
          <w:rFonts w:eastAsia="Calibri"/>
          <w:snapToGrid/>
          <w:kern w:val="0"/>
          <w:szCs w:val="22"/>
        </w:rPr>
        <w:t>s</w:t>
      </w:r>
      <w:r w:rsidRPr="002C3064">
        <w:rPr>
          <w:rFonts w:eastAsia="Calibri"/>
          <w:snapToGrid/>
          <w:kern w:val="0"/>
          <w:szCs w:val="22"/>
        </w:rPr>
        <w:t xml:space="preserve"> </w:t>
      </w:r>
      <w:r>
        <w:rPr>
          <w:rFonts w:eastAsia="Calibri"/>
          <w:snapToGrid/>
          <w:kern w:val="0"/>
          <w:szCs w:val="22"/>
        </w:rPr>
        <w:t xml:space="preserve">227(b) or </w:t>
      </w:r>
      <w:r w:rsidRPr="002C3064">
        <w:rPr>
          <w:rFonts w:eastAsia="Calibri"/>
          <w:snapToGrid/>
          <w:kern w:val="0"/>
          <w:szCs w:val="22"/>
        </w:rPr>
        <w:t>(e) of the Communications Act or of the rules issued by the Commission under section</w:t>
      </w:r>
      <w:r>
        <w:rPr>
          <w:rFonts w:eastAsia="Calibri"/>
          <w:snapToGrid/>
          <w:kern w:val="0"/>
          <w:szCs w:val="22"/>
        </w:rPr>
        <w:t>s</w:t>
      </w:r>
      <w:r w:rsidRPr="002C3064">
        <w:rPr>
          <w:rFonts w:eastAsia="Calibri"/>
          <w:snapToGrid/>
          <w:kern w:val="0"/>
          <w:szCs w:val="22"/>
        </w:rPr>
        <w:t xml:space="preserve"> 227</w:t>
      </w:r>
      <w:r>
        <w:rPr>
          <w:rFonts w:eastAsia="Calibri"/>
          <w:snapToGrid/>
          <w:kern w:val="0"/>
          <w:szCs w:val="22"/>
        </w:rPr>
        <w:t xml:space="preserve">(b) or </w:t>
      </w:r>
      <w:r w:rsidRPr="002C3064">
        <w:rPr>
          <w:rFonts w:eastAsia="Calibri"/>
          <w:snapToGrid/>
          <w:kern w:val="0"/>
          <w:szCs w:val="22"/>
        </w:rPr>
        <w:t>(e) of that Act; or</w:t>
      </w:r>
      <w:r>
        <w:rPr>
          <w:rFonts w:eastAsia="Calibri"/>
          <w:snapToGrid/>
          <w:kern w:val="0"/>
          <w:szCs w:val="22"/>
        </w:rPr>
        <w:t xml:space="preserve"> </w:t>
      </w:r>
    </w:p>
    <w:p w:rsidR="0031230E" w:rsidP="0031230E" w14:paraId="296A5EB0" w14:textId="77777777">
      <w:pPr>
        <w:widowControl/>
        <w:spacing w:after="160" w:line="256" w:lineRule="auto"/>
        <w:rPr>
          <w:rFonts w:eastAsia="Calibri"/>
          <w:snapToGrid/>
          <w:kern w:val="0"/>
          <w:szCs w:val="22"/>
        </w:rPr>
      </w:pPr>
      <w:r w:rsidRPr="00964BF3">
        <w:rPr>
          <w:rFonts w:eastAsia="Calibri"/>
          <w:snapToGrid/>
          <w:kern w:val="0"/>
          <w:szCs w:val="22"/>
        </w:rPr>
        <w:t>* * * * *</w:t>
      </w:r>
    </w:p>
    <w:p w:rsidR="0031230E" w:rsidP="0031230E" w14:paraId="70BF57E8" w14:textId="77777777">
      <w:pPr>
        <w:widowControl/>
        <w:spacing w:after="160" w:line="256" w:lineRule="auto"/>
        <w:rPr>
          <w:rFonts w:eastAsia="Calibri"/>
          <w:snapToGrid/>
          <w:kern w:val="0"/>
          <w:szCs w:val="22"/>
        </w:rPr>
      </w:pPr>
    </w:p>
    <w:p w:rsidR="0031230E" w:rsidP="0031230E" w14:paraId="779C548A" w14:textId="77777777">
      <w:pPr>
        <w:widowControl/>
        <w:spacing w:after="160" w:line="256" w:lineRule="auto"/>
      </w:pPr>
      <w:r>
        <w:rPr>
          <w:rFonts w:eastAsia="Calibri"/>
          <w:snapToGrid/>
          <w:kern w:val="0"/>
          <w:szCs w:val="22"/>
        </w:rPr>
        <w:t>3.</w:t>
      </w:r>
      <w:r>
        <w:rPr>
          <w:rFonts w:eastAsia="Calibri"/>
          <w:snapToGrid/>
          <w:kern w:val="0"/>
          <w:szCs w:val="22"/>
        </w:rPr>
        <w:tab/>
        <w:t xml:space="preserve">Amend </w:t>
      </w:r>
      <w:r>
        <w:t xml:space="preserve">§1.80 by </w:t>
      </w:r>
      <w:r>
        <w:t>redesignating</w:t>
      </w:r>
      <w:r>
        <w:t xml:space="preserve"> paragraphs (b)(5), (6), (7), (8), and (9) as paragraphs (b)(6), (7), (8), (9), and (10). </w:t>
      </w:r>
    </w:p>
    <w:p w:rsidR="0031230E" w:rsidP="0031230E" w14:paraId="43643CAD" w14:textId="77777777">
      <w:pPr>
        <w:widowControl/>
        <w:spacing w:after="160" w:line="256" w:lineRule="auto"/>
        <w:rPr>
          <w:rFonts w:eastAsia="Calibri"/>
          <w:snapToGrid/>
          <w:kern w:val="0"/>
          <w:szCs w:val="22"/>
        </w:rPr>
      </w:pPr>
    </w:p>
    <w:p w:rsidR="0031230E" w:rsidP="0031230E" w14:paraId="77788D24" w14:textId="28917E08">
      <w:pPr>
        <w:widowControl/>
        <w:spacing w:after="160" w:line="256" w:lineRule="auto"/>
        <w:rPr>
          <w:rFonts w:eastAsia="Calibri"/>
          <w:snapToGrid/>
          <w:kern w:val="0"/>
          <w:szCs w:val="22"/>
        </w:rPr>
      </w:pPr>
      <w:r>
        <w:rPr>
          <w:rFonts w:eastAsia="Calibri"/>
          <w:snapToGrid/>
          <w:kern w:val="0"/>
          <w:szCs w:val="22"/>
        </w:rPr>
        <w:t>4.</w:t>
      </w:r>
      <w:r>
        <w:rPr>
          <w:rFonts w:eastAsia="Calibri"/>
          <w:snapToGrid/>
          <w:kern w:val="0"/>
          <w:szCs w:val="22"/>
        </w:rPr>
        <w:tab/>
      </w:r>
      <w:r w:rsidRPr="005E0C95">
        <w:rPr>
          <w:rFonts w:eastAsia="Calibri"/>
          <w:snapToGrid/>
          <w:kern w:val="0"/>
          <w:szCs w:val="22"/>
        </w:rPr>
        <w:t>Amend §</w:t>
      </w:r>
      <w:r w:rsidR="00DC0590">
        <w:rPr>
          <w:rFonts w:eastAsia="Calibri"/>
          <w:snapToGrid/>
          <w:kern w:val="0"/>
          <w:szCs w:val="22"/>
        </w:rPr>
        <w:t xml:space="preserve"> </w:t>
      </w:r>
      <w:r w:rsidRPr="005E0C95">
        <w:rPr>
          <w:rFonts w:eastAsia="Calibri"/>
          <w:snapToGrid/>
          <w:kern w:val="0"/>
          <w:szCs w:val="22"/>
        </w:rPr>
        <w:t>1.80 by</w:t>
      </w:r>
      <w:r>
        <w:rPr>
          <w:rFonts w:eastAsia="Calibri"/>
          <w:snapToGrid/>
          <w:kern w:val="0"/>
          <w:szCs w:val="22"/>
        </w:rPr>
        <w:t xml:space="preserve"> adding paragraph (b)(5) to read as follows:</w:t>
      </w:r>
    </w:p>
    <w:p w:rsidR="0031230E" w:rsidRPr="00455A65" w:rsidP="0031230E" w14:paraId="66CB852D" w14:textId="709CB080">
      <w:r w:rsidRPr="00455A65">
        <w:rPr>
          <w:b/>
          <w:u w:val="single"/>
        </w:rPr>
        <w:t>§</w:t>
      </w:r>
      <w:r w:rsidR="00DC0590">
        <w:rPr>
          <w:b/>
          <w:u w:val="single"/>
        </w:rPr>
        <w:t xml:space="preserve"> </w:t>
      </w:r>
      <w:r w:rsidRPr="00455A65">
        <w:rPr>
          <w:b/>
          <w:u w:val="single"/>
        </w:rPr>
        <w:t>1.80  Forfeiture</w:t>
      </w:r>
      <w:r w:rsidRPr="00455A65">
        <w:rPr>
          <w:b/>
          <w:u w:val="single"/>
        </w:rPr>
        <w:t xml:space="preserve"> proceedings</w:t>
      </w:r>
      <w:r w:rsidRPr="00455A65">
        <w:t>.</w:t>
      </w:r>
    </w:p>
    <w:p w:rsidR="0031230E" w:rsidRPr="00455A65" w:rsidP="0031230E" w14:paraId="28C10D27" w14:textId="77777777"/>
    <w:p w:rsidR="0031230E" w:rsidP="0031230E" w14:paraId="11226A09" w14:textId="77777777">
      <w:pPr>
        <w:widowControl/>
        <w:spacing w:after="160" w:line="256" w:lineRule="auto"/>
        <w:rPr>
          <w:rFonts w:eastAsia="Calibri"/>
          <w:snapToGrid/>
          <w:kern w:val="0"/>
          <w:szCs w:val="22"/>
        </w:rPr>
      </w:pPr>
      <w:r>
        <w:rPr>
          <w:rFonts w:eastAsia="Calibri"/>
          <w:snapToGrid/>
          <w:kern w:val="0"/>
          <w:szCs w:val="22"/>
        </w:rPr>
        <w:t xml:space="preserve">(b) </w:t>
      </w:r>
      <w:r w:rsidRPr="00964BF3">
        <w:rPr>
          <w:rFonts w:eastAsia="Calibri"/>
          <w:snapToGrid/>
          <w:kern w:val="0"/>
          <w:szCs w:val="22"/>
        </w:rPr>
        <w:t xml:space="preserve">* * * </w:t>
      </w:r>
    </w:p>
    <w:p w:rsidR="0031230E" w:rsidP="0031230E" w14:paraId="704A9F14" w14:textId="77777777">
      <w:pPr>
        <w:widowControl/>
        <w:spacing w:after="160" w:line="256" w:lineRule="auto"/>
        <w:rPr>
          <w:rFonts w:eastAsia="Calibri"/>
          <w:snapToGrid/>
          <w:kern w:val="0"/>
          <w:szCs w:val="22"/>
        </w:rPr>
      </w:pPr>
      <w:r>
        <w:rPr>
          <w:rFonts w:eastAsia="Calibri"/>
          <w:snapToGrid/>
          <w:kern w:val="0"/>
          <w:szCs w:val="22"/>
        </w:rPr>
        <w:t xml:space="preserve">(5) </w:t>
      </w:r>
      <w:r w:rsidRPr="003026FA">
        <w:rPr>
          <w:rFonts w:eastAsia="Calibri"/>
          <w:snapToGrid/>
          <w:kern w:val="0"/>
          <w:szCs w:val="22"/>
        </w:rPr>
        <w:t>Any person determined to have violated section 227(</w:t>
      </w:r>
      <w:r>
        <w:rPr>
          <w:rFonts w:eastAsia="Calibri"/>
          <w:snapToGrid/>
          <w:kern w:val="0"/>
          <w:szCs w:val="22"/>
        </w:rPr>
        <w:t>b)(4)(B)</w:t>
      </w:r>
      <w:r w:rsidRPr="003026FA">
        <w:rPr>
          <w:rFonts w:eastAsia="Calibri"/>
          <w:snapToGrid/>
          <w:kern w:val="0"/>
          <w:szCs w:val="22"/>
        </w:rPr>
        <w:t xml:space="preserve"> of the Communications Act or the rules issued by the Commission under section 227(</w:t>
      </w:r>
      <w:r>
        <w:rPr>
          <w:rFonts w:eastAsia="Calibri"/>
          <w:snapToGrid/>
          <w:kern w:val="0"/>
          <w:szCs w:val="22"/>
        </w:rPr>
        <w:t>b</w:t>
      </w:r>
      <w:r w:rsidRPr="003026FA">
        <w:rPr>
          <w:rFonts w:eastAsia="Calibri"/>
          <w:snapToGrid/>
          <w:kern w:val="0"/>
          <w:szCs w:val="22"/>
        </w:rPr>
        <w:t>)</w:t>
      </w:r>
      <w:r>
        <w:rPr>
          <w:rFonts w:eastAsia="Calibri"/>
          <w:snapToGrid/>
          <w:kern w:val="0"/>
          <w:szCs w:val="22"/>
        </w:rPr>
        <w:t>(4)(B)</w:t>
      </w:r>
      <w:r w:rsidRPr="003026FA">
        <w:rPr>
          <w:rFonts w:eastAsia="Calibri"/>
          <w:snapToGrid/>
          <w:kern w:val="0"/>
          <w:szCs w:val="22"/>
        </w:rPr>
        <w:t xml:space="preserve"> of the Communications Act shall be liable to the United States for a forfeiture penalty </w:t>
      </w:r>
      <w:r>
        <w:rPr>
          <w:rFonts w:eastAsia="Calibri"/>
          <w:snapToGrid/>
          <w:kern w:val="0"/>
          <w:szCs w:val="22"/>
        </w:rPr>
        <w:t>determined in accordance with subparagraphs (A)-(F) of section 503(b)(2) plus an additional penalty not to exceed $10,000.</w:t>
      </w:r>
    </w:p>
    <w:p w:rsidR="0031230E" w:rsidP="0031230E" w14:paraId="79C5AADD" w14:textId="77777777">
      <w:pPr>
        <w:widowControl/>
        <w:spacing w:after="160" w:line="256" w:lineRule="auto"/>
        <w:rPr>
          <w:rFonts w:eastAsia="Calibri"/>
          <w:snapToGrid/>
          <w:kern w:val="0"/>
          <w:szCs w:val="22"/>
        </w:rPr>
      </w:pPr>
      <w:r w:rsidRPr="00AE151B">
        <w:rPr>
          <w:rFonts w:eastAsia="Calibri"/>
          <w:snapToGrid/>
          <w:kern w:val="0"/>
          <w:szCs w:val="22"/>
        </w:rPr>
        <w:t>* * * * *</w:t>
      </w:r>
    </w:p>
    <w:p w:rsidR="0031230E" w:rsidP="0031230E" w14:paraId="2F38D001" w14:textId="77777777"/>
    <w:p w:rsidR="0031230E" w:rsidRPr="00455A65" w:rsidP="0031230E" w14:paraId="3190899C" w14:textId="462C1629">
      <w:r>
        <w:t>5.</w:t>
      </w:r>
      <w:r>
        <w:tab/>
        <w:t>Amend §</w:t>
      </w:r>
      <w:r w:rsidR="00DC0590">
        <w:t xml:space="preserve"> </w:t>
      </w:r>
      <w:r>
        <w:t xml:space="preserve">1.80 by </w:t>
      </w:r>
      <w:r>
        <w:t>redesignating</w:t>
      </w:r>
      <w:r>
        <w:t xml:space="preserve"> paragraph (c)(4) as (c)(5)</w:t>
      </w:r>
      <w:r w:rsidR="00C9282C">
        <w:t>; revising paragraph (c)(3);</w:t>
      </w:r>
      <w:r>
        <w:t xml:space="preserve"> and adding paragraph(c)(4) </w:t>
      </w:r>
      <w:r w:rsidRPr="00455A65">
        <w:t>to read as follows:</w:t>
      </w:r>
    </w:p>
    <w:p w:rsidR="0031230E" w:rsidRPr="00455A65" w:rsidP="0031230E" w14:paraId="10FBF7F2" w14:textId="77777777"/>
    <w:p w:rsidR="0031230E" w:rsidRPr="00455A65" w:rsidP="0031230E" w14:paraId="2D63C353" w14:textId="245AFFE2">
      <w:r w:rsidRPr="00455A65">
        <w:rPr>
          <w:b/>
          <w:u w:val="single"/>
        </w:rPr>
        <w:t>§</w:t>
      </w:r>
      <w:r w:rsidR="00DC0590">
        <w:rPr>
          <w:b/>
          <w:u w:val="single"/>
        </w:rPr>
        <w:t xml:space="preserve"> </w:t>
      </w:r>
      <w:r w:rsidRPr="00455A65">
        <w:rPr>
          <w:b/>
          <w:u w:val="single"/>
        </w:rPr>
        <w:t>1.80  Forfeiture</w:t>
      </w:r>
      <w:r w:rsidRPr="00455A65">
        <w:rPr>
          <w:b/>
          <w:u w:val="single"/>
        </w:rPr>
        <w:t xml:space="preserve"> proceedings</w:t>
      </w:r>
      <w:r w:rsidRPr="00455A65">
        <w:t>.</w:t>
      </w:r>
    </w:p>
    <w:p w:rsidR="0031230E" w:rsidRPr="00455A65" w:rsidP="0031230E" w14:paraId="67491AC5" w14:textId="77777777"/>
    <w:p w:rsidR="0031230E" w:rsidP="0031230E" w14:paraId="7A94ECAD" w14:textId="77777777">
      <w:pPr>
        <w:widowControl/>
        <w:spacing w:after="160" w:line="256" w:lineRule="auto"/>
        <w:rPr>
          <w:rFonts w:eastAsia="Calibri"/>
          <w:snapToGrid/>
          <w:kern w:val="0"/>
          <w:szCs w:val="22"/>
        </w:rPr>
      </w:pPr>
      <w:r w:rsidRPr="00AE151B">
        <w:rPr>
          <w:rFonts w:eastAsia="Calibri"/>
          <w:snapToGrid/>
          <w:kern w:val="0"/>
          <w:szCs w:val="22"/>
        </w:rPr>
        <w:t>* * * * *</w:t>
      </w:r>
    </w:p>
    <w:p w:rsidR="0031230E" w:rsidP="006C3CEE" w14:paraId="3E48A561" w14:textId="4992A8C6">
      <w:pPr>
        <w:widowControl/>
        <w:tabs>
          <w:tab w:val="center" w:pos="4680"/>
        </w:tabs>
        <w:spacing w:after="160" w:line="256" w:lineRule="auto"/>
        <w:rPr>
          <w:rFonts w:eastAsia="Calibri"/>
          <w:snapToGrid/>
          <w:kern w:val="0"/>
          <w:szCs w:val="22"/>
        </w:rPr>
      </w:pPr>
      <w:r>
        <w:rPr>
          <w:rFonts w:eastAsia="Calibri"/>
          <w:snapToGrid/>
          <w:kern w:val="0"/>
          <w:szCs w:val="22"/>
        </w:rPr>
        <w:t xml:space="preserve">(c) </w:t>
      </w:r>
      <w:r w:rsidRPr="00964BF3">
        <w:rPr>
          <w:rFonts w:eastAsia="Calibri"/>
          <w:snapToGrid/>
          <w:kern w:val="0"/>
          <w:szCs w:val="22"/>
        </w:rPr>
        <w:t xml:space="preserve">* * * </w:t>
      </w:r>
      <w:r w:rsidR="006C3CEE">
        <w:rPr>
          <w:rFonts w:eastAsia="Calibri"/>
          <w:snapToGrid/>
          <w:kern w:val="0"/>
          <w:szCs w:val="22"/>
        </w:rPr>
        <w:tab/>
      </w:r>
    </w:p>
    <w:p w:rsidR="00240322" w:rsidRPr="00240322" w:rsidP="00240322" w14:paraId="7A1707EE" w14:textId="77777777">
      <w:pPr>
        <w:jc w:val="center"/>
        <w:rPr>
          <w:rFonts w:eastAsia="Calibri"/>
          <w:szCs w:val="22"/>
        </w:rPr>
      </w:pPr>
    </w:p>
    <w:p w:rsidR="00C9282C" w:rsidP="0031230E" w14:paraId="1478C616" w14:textId="1F8E175A">
      <w:pPr>
        <w:widowControl/>
        <w:spacing w:after="160" w:line="256" w:lineRule="auto"/>
        <w:rPr>
          <w:rFonts w:eastAsia="Calibri"/>
          <w:snapToGrid/>
          <w:kern w:val="0"/>
          <w:szCs w:val="22"/>
        </w:rPr>
      </w:pPr>
      <w:r>
        <w:rPr>
          <w:rFonts w:eastAsia="Calibri"/>
          <w:snapToGrid/>
          <w:kern w:val="0"/>
          <w:szCs w:val="22"/>
        </w:rPr>
        <w:t>(3)  In the case of a forfeiture imposed under section 227(e)</w:t>
      </w:r>
      <w:r w:rsidR="0003687F">
        <w:rPr>
          <w:rFonts w:eastAsia="Calibri"/>
          <w:snapToGrid/>
          <w:kern w:val="0"/>
          <w:szCs w:val="22"/>
        </w:rPr>
        <w:t>, no forfeiture will be imposed if the violation occurred more than 4 years prior to the date on which the appropriate notice was issued.</w:t>
      </w:r>
    </w:p>
    <w:p w:rsidR="0031230E" w:rsidP="0031230E" w14:paraId="03FD4FE3" w14:textId="1778E869">
      <w:pPr>
        <w:widowControl/>
        <w:spacing w:after="160" w:line="256" w:lineRule="auto"/>
        <w:rPr>
          <w:rFonts w:eastAsia="Calibri"/>
          <w:snapToGrid/>
          <w:kern w:val="0"/>
          <w:szCs w:val="22"/>
        </w:rPr>
      </w:pPr>
      <w:r>
        <w:rPr>
          <w:rFonts w:eastAsia="Calibri"/>
          <w:snapToGrid/>
          <w:kern w:val="0"/>
          <w:szCs w:val="22"/>
        </w:rPr>
        <w:t>(4) In the case of a forfeiture imposed under section 227(b)(4)(B), no forfeiture will be imposed if the violation occurred more than 4 years prior to the date on which the appropriate notice is issued.</w:t>
      </w:r>
    </w:p>
    <w:p w:rsidR="0031230E" w:rsidP="0031230E" w14:paraId="27EE5C2E" w14:textId="77777777">
      <w:pPr>
        <w:widowControl/>
        <w:spacing w:after="160" w:line="256" w:lineRule="auto"/>
        <w:rPr>
          <w:rFonts w:eastAsia="Calibri"/>
          <w:snapToGrid/>
          <w:kern w:val="0"/>
          <w:szCs w:val="22"/>
        </w:rPr>
      </w:pPr>
      <w:r>
        <w:rPr>
          <w:rFonts w:eastAsia="Calibri"/>
          <w:snapToGrid/>
          <w:kern w:val="0"/>
          <w:szCs w:val="22"/>
        </w:rPr>
        <w:t>(5) In all other cases, no penalty shall be imposed if the violation occurred more than 1 year prior to the date on which the appropriate notice is issued.</w:t>
      </w:r>
    </w:p>
    <w:p w:rsidR="0031230E" w:rsidP="0031230E" w14:paraId="7E532AB2" w14:textId="77777777">
      <w:pPr>
        <w:widowControl/>
        <w:spacing w:after="160" w:line="256" w:lineRule="auto"/>
        <w:rPr>
          <w:rFonts w:eastAsia="Calibri"/>
          <w:snapToGrid/>
          <w:kern w:val="0"/>
          <w:szCs w:val="22"/>
        </w:rPr>
      </w:pPr>
      <w:r w:rsidRPr="00F33C3B">
        <w:rPr>
          <w:rFonts w:eastAsia="Calibri"/>
          <w:snapToGrid/>
          <w:kern w:val="0"/>
          <w:szCs w:val="22"/>
        </w:rPr>
        <w:t>* * * * *</w:t>
      </w:r>
    </w:p>
    <w:p w:rsidR="0031230E" w:rsidP="0031230E" w14:paraId="5799F4A2" w14:textId="77777777">
      <w:pPr>
        <w:widowControl/>
        <w:spacing w:after="160" w:line="256" w:lineRule="auto"/>
        <w:rPr>
          <w:rFonts w:eastAsia="Calibri"/>
          <w:snapToGrid/>
          <w:kern w:val="0"/>
          <w:szCs w:val="22"/>
        </w:rPr>
      </w:pPr>
    </w:p>
    <w:p w:rsidR="0031230E" w:rsidRPr="00F33C3B" w:rsidP="0031230E" w14:paraId="484AE25D" w14:textId="7F74B7C2">
      <w:pPr>
        <w:widowControl/>
        <w:spacing w:after="160" w:line="256" w:lineRule="auto"/>
        <w:rPr>
          <w:rFonts w:eastAsia="Calibri"/>
          <w:snapToGrid/>
          <w:kern w:val="0"/>
          <w:szCs w:val="22"/>
        </w:rPr>
      </w:pPr>
      <w:r>
        <w:rPr>
          <w:rFonts w:eastAsia="Calibri"/>
          <w:snapToGrid/>
          <w:kern w:val="0"/>
          <w:szCs w:val="22"/>
        </w:rPr>
        <w:t>6.</w:t>
      </w:r>
      <w:r>
        <w:rPr>
          <w:rFonts w:eastAsia="Calibri"/>
          <w:snapToGrid/>
          <w:kern w:val="0"/>
          <w:szCs w:val="22"/>
        </w:rPr>
        <w:tab/>
        <w:t xml:space="preserve">Amend </w:t>
      </w:r>
      <w:r>
        <w:t>§</w:t>
      </w:r>
      <w:r w:rsidR="005028AE">
        <w:t xml:space="preserve"> </w:t>
      </w:r>
      <w:r>
        <w:t>1.80 by revising paragraph (d)</w:t>
      </w:r>
      <w:r>
        <w:rPr>
          <w:rFonts w:eastAsia="Calibri"/>
          <w:snapToGrid/>
          <w:kern w:val="0"/>
          <w:szCs w:val="22"/>
        </w:rPr>
        <w:t xml:space="preserve"> to read as follows:</w:t>
      </w:r>
    </w:p>
    <w:p w:rsidR="0031230E" w:rsidRPr="00455A65" w:rsidP="0031230E" w14:paraId="7BDAD8C2" w14:textId="3BBA9493">
      <w:r w:rsidRPr="00455A65">
        <w:rPr>
          <w:b/>
          <w:u w:val="single"/>
        </w:rPr>
        <w:t>§</w:t>
      </w:r>
      <w:r w:rsidR="005028AE">
        <w:rPr>
          <w:b/>
          <w:u w:val="single"/>
        </w:rPr>
        <w:t xml:space="preserve"> </w:t>
      </w:r>
      <w:r w:rsidRPr="00455A65">
        <w:rPr>
          <w:b/>
          <w:u w:val="single"/>
        </w:rPr>
        <w:t>1.80  Forfeiture</w:t>
      </w:r>
      <w:r w:rsidRPr="00455A65">
        <w:rPr>
          <w:b/>
          <w:u w:val="single"/>
        </w:rPr>
        <w:t xml:space="preserve"> proceedings</w:t>
      </w:r>
      <w:r w:rsidRPr="00455A65">
        <w:t>.</w:t>
      </w:r>
    </w:p>
    <w:p w:rsidR="0031230E" w:rsidRPr="00455A65" w:rsidP="0031230E" w14:paraId="15BA758D" w14:textId="77777777"/>
    <w:p w:rsidR="0031230E" w:rsidRPr="00964BF3" w:rsidP="0031230E" w14:paraId="2D3C6B6E" w14:textId="77777777">
      <w:pPr>
        <w:widowControl/>
        <w:spacing w:after="160" w:line="256" w:lineRule="auto"/>
      </w:pPr>
      <w:r w:rsidRPr="00964BF3">
        <w:t>* * * * *</w:t>
      </w:r>
    </w:p>
    <w:p w:rsidR="0031230E" w:rsidP="0031230E" w14:paraId="01F22033" w14:textId="77777777">
      <w:pPr>
        <w:widowControl/>
        <w:spacing w:after="160" w:line="256" w:lineRule="auto"/>
        <w:rPr>
          <w:rFonts w:eastAsia="Calibri"/>
          <w:snapToGrid/>
          <w:kern w:val="0"/>
          <w:szCs w:val="22"/>
        </w:rPr>
      </w:pPr>
      <w:r>
        <w:rPr>
          <w:rFonts w:eastAsia="Calibri"/>
          <w:snapToGrid/>
          <w:kern w:val="0"/>
          <w:szCs w:val="22"/>
        </w:rPr>
        <w:t xml:space="preserve">(d) </w:t>
      </w:r>
      <w:r w:rsidRPr="00F57E02">
        <w:rPr>
          <w:rFonts w:eastAsia="Calibri"/>
          <w:i/>
          <w:iCs/>
          <w:snapToGrid/>
          <w:kern w:val="0"/>
          <w:szCs w:val="22"/>
        </w:rPr>
        <w:t>Preliminary procedure in some cases; citations.</w:t>
      </w:r>
      <w:r w:rsidRPr="00FE4DD9">
        <w:rPr>
          <w:rFonts w:eastAsia="Calibri"/>
          <w:snapToGrid/>
          <w:kern w:val="0"/>
          <w:szCs w:val="22"/>
        </w:rPr>
        <w:t xml:space="preserve"> Except for a forfeiture imposed under subsection</w:t>
      </w:r>
      <w:r>
        <w:rPr>
          <w:rFonts w:eastAsia="Calibri"/>
          <w:snapToGrid/>
          <w:kern w:val="0"/>
          <w:szCs w:val="22"/>
        </w:rPr>
        <w:t>s</w:t>
      </w:r>
      <w:r w:rsidRPr="00FE4DD9">
        <w:rPr>
          <w:rFonts w:eastAsia="Calibri"/>
          <w:snapToGrid/>
          <w:kern w:val="0"/>
          <w:szCs w:val="22"/>
        </w:rPr>
        <w:t xml:space="preserve"> 227</w:t>
      </w:r>
      <w:r>
        <w:rPr>
          <w:rFonts w:eastAsia="Calibri"/>
          <w:snapToGrid/>
          <w:kern w:val="0"/>
          <w:szCs w:val="22"/>
        </w:rPr>
        <w:t>(b) and 227</w:t>
      </w:r>
      <w:r w:rsidRPr="00FE4DD9">
        <w:rPr>
          <w:rFonts w:eastAsia="Calibri"/>
          <w:snapToGrid/>
          <w:kern w:val="0"/>
          <w:szCs w:val="22"/>
        </w:rPr>
        <w:t>(e)(5) of the Act, no forfeiture penalty shall be imposed upon any person under this section of the Act if such person does not hold a license, permit, certificate, or other authorization issued by the Commission, and if such person is not an applicant for a license, permit, certificate, or other authorization issued by the Commission, unless, prior to the issuance of the appropriate notice, such person:</w:t>
      </w:r>
    </w:p>
    <w:p w:rsidR="0031230E" w:rsidP="0031230E" w14:paraId="40C9F1B6" w14:textId="77777777">
      <w:pPr>
        <w:widowControl/>
        <w:spacing w:after="160" w:line="256" w:lineRule="auto"/>
        <w:rPr>
          <w:rFonts w:eastAsia="Calibri"/>
          <w:snapToGrid/>
          <w:kern w:val="0"/>
          <w:szCs w:val="22"/>
        </w:rPr>
      </w:pPr>
      <w:r w:rsidRPr="00AE151B">
        <w:rPr>
          <w:rFonts w:eastAsia="Calibri"/>
          <w:snapToGrid/>
          <w:kern w:val="0"/>
          <w:szCs w:val="22"/>
        </w:rPr>
        <w:t>* * * * *</w:t>
      </w:r>
    </w:p>
    <w:p w:rsidR="0031230E" w:rsidRPr="007B50B9" w:rsidP="0031230E" w14:paraId="1E4A9AE7" w14:textId="77777777">
      <w:pPr>
        <w:widowControl/>
        <w:spacing w:after="160" w:line="256" w:lineRule="auto"/>
        <w:rPr>
          <w:rFonts w:eastAsia="Calibri"/>
          <w:snapToGrid/>
          <w:kern w:val="0"/>
          <w:szCs w:val="22"/>
        </w:rPr>
      </w:pPr>
    </w:p>
    <w:p w:rsidR="0031230E" w:rsidRPr="00726AB4" w:rsidP="0031230E" w14:paraId="2F255AD9" w14:textId="77777777">
      <w:pPr>
        <w:widowControl/>
        <w:rPr>
          <w:rFonts w:eastAsia="Calibri"/>
          <w:b/>
          <w:bCs/>
          <w:snapToGrid/>
          <w:kern w:val="0"/>
          <w:szCs w:val="22"/>
        </w:rPr>
      </w:pPr>
    </w:p>
    <w:p w:rsidR="00412FC5" w:rsidP="0031230E" w14:paraId="368B768E" w14:textId="77777777">
      <w:pPr>
        <w:pStyle w:val="Heading1"/>
        <w:numPr>
          <w:ilvl w:val="0"/>
          <w:numId w:val="0"/>
        </w:numPr>
        <w:ind w:left="720" w:hanging="720"/>
      </w:pPr>
    </w:p>
    <w:sectPr w:rsidSect="00E8664C">
      <w:footerReference w:type="first" r:id="rId12"/>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30482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4D7E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B74C803" w14:textId="77777777">
    <w:pPr>
      <w:pStyle w:val="Footer"/>
      <w:jc w:val="center"/>
    </w:pPr>
    <w:r>
      <w:fldChar w:fldCharType="begin"/>
    </w:r>
    <w:r>
      <w:instrText xml:space="preserve"> PAGE   \* MERGEFORMAT </w:instrText>
    </w:r>
    <w:r>
      <w:fldChar w:fldCharType="separate"/>
    </w:r>
    <w:r w:rsidR="00533165">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3CEE" w14:paraId="334AF81D" w14:textId="5A9B271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4651" w14:paraId="77FDA70D"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6064" w14:paraId="18FBA170" w14:textId="77777777">
      <w:r>
        <w:separator/>
      </w:r>
    </w:p>
  </w:footnote>
  <w:footnote w:type="continuationSeparator" w:id="1">
    <w:p w:rsidR="00B86064" w:rsidP="00C721AC" w14:paraId="5923A078" w14:textId="77777777">
      <w:pPr>
        <w:spacing w:before="120"/>
        <w:rPr>
          <w:sz w:val="20"/>
        </w:rPr>
      </w:pPr>
      <w:r>
        <w:rPr>
          <w:sz w:val="20"/>
        </w:rPr>
        <w:t xml:space="preserve">(Continued from previous page)  </w:t>
      </w:r>
      <w:r>
        <w:rPr>
          <w:sz w:val="20"/>
        </w:rPr>
        <w:separator/>
      </w:r>
    </w:p>
  </w:footnote>
  <w:footnote w:type="continuationNotice" w:id="2">
    <w:p w:rsidR="00B86064" w:rsidP="00C721AC" w14:paraId="35D334CB" w14:textId="77777777">
      <w:pPr>
        <w:jc w:val="right"/>
        <w:rPr>
          <w:sz w:val="20"/>
        </w:rPr>
      </w:pPr>
      <w:r>
        <w:rPr>
          <w:sz w:val="20"/>
        </w:rPr>
        <w:t>(continued….)</w:t>
      </w:r>
    </w:p>
  </w:footnote>
  <w:footnote w:id="3">
    <w:p w:rsidR="0031230E" w:rsidP="0031230E" w14:paraId="2F1B840A" w14:textId="630A5236">
      <w:pPr>
        <w:pStyle w:val="FootnoteText"/>
      </w:pPr>
      <w:r>
        <w:rPr>
          <w:rStyle w:val="FootnoteReference"/>
        </w:rPr>
        <w:footnoteRef/>
      </w:r>
      <w:r>
        <w:t xml:space="preserve"> </w:t>
      </w:r>
      <w:r w:rsidR="000D4733">
        <w:t>Pallone-Thune Telephone Robocall Abuse Criminal Enforcement and Deterrence Act, Pub. L. No. 116-105, 133 Stat. 3274 (2019) (TRACED Act).</w:t>
      </w:r>
    </w:p>
  </w:footnote>
  <w:footnote w:id="4">
    <w:p w:rsidR="00417F91" w:rsidP="00417F91" w14:paraId="623DEFE2" w14:textId="6D053366">
      <w:pPr>
        <w:pStyle w:val="FootnoteText"/>
      </w:pPr>
      <w:r>
        <w:rPr>
          <w:rStyle w:val="FootnoteReference"/>
        </w:rPr>
        <w:footnoteRef/>
      </w:r>
      <w:r>
        <w:t xml:space="preserve"> </w:t>
      </w:r>
      <w:r w:rsidR="000D4733">
        <w:t>TRACED Act</w:t>
      </w:r>
      <w:r w:rsidR="009172C3">
        <w:t xml:space="preserve"> </w:t>
      </w:r>
      <w:r>
        <w:t>§ 3, 133 Stat</w:t>
      </w:r>
      <w:r w:rsidR="000D4733">
        <w:t>.</w:t>
      </w:r>
      <w:r>
        <w:t xml:space="preserve"> at 3274-76.</w:t>
      </w:r>
      <w:r w:rsidR="00F02D4E">
        <w:t xml:space="preserve">  </w:t>
      </w:r>
    </w:p>
  </w:footnote>
  <w:footnote w:id="5">
    <w:p w:rsidR="0031230E" w:rsidP="0031230E" w14:paraId="590A3318" w14:textId="77777777">
      <w:pPr>
        <w:pStyle w:val="FootnoteText"/>
      </w:pPr>
      <w:r>
        <w:rPr>
          <w:rStyle w:val="FootnoteReference"/>
        </w:rPr>
        <w:footnoteRef/>
      </w:r>
      <w:r>
        <w:t xml:space="preserve"> </w:t>
      </w:r>
      <w:r>
        <w:rPr>
          <w:i/>
          <w:iCs/>
        </w:rPr>
        <w:t>Id</w:t>
      </w:r>
      <w:r>
        <w:t>.</w:t>
      </w:r>
    </w:p>
  </w:footnote>
  <w:footnote w:id="6">
    <w:p w:rsidR="00A74F3B" w:rsidP="00A74F3B" w14:paraId="78C14330" w14:textId="77777777">
      <w:pPr>
        <w:pStyle w:val="FootnoteText"/>
      </w:pPr>
      <w:r>
        <w:rPr>
          <w:rStyle w:val="FootnoteReference"/>
        </w:rPr>
        <w:footnoteRef/>
      </w:r>
      <w:r>
        <w:t xml:space="preserve"> </w:t>
      </w:r>
      <w:r w:rsidRPr="00E27FF4">
        <w:t>47 CFR § 1.80</w:t>
      </w:r>
      <w:r>
        <w:t>.</w:t>
      </w:r>
    </w:p>
  </w:footnote>
  <w:footnote w:id="7">
    <w:p w:rsidR="00260CA5" w:rsidP="00260CA5" w14:paraId="3D20F896" w14:textId="4DA7269F">
      <w:pPr>
        <w:pStyle w:val="FootnoteText"/>
      </w:pPr>
      <w:r>
        <w:rPr>
          <w:rStyle w:val="FootnoteReference"/>
        </w:rPr>
        <w:footnoteRef/>
      </w:r>
      <w:r>
        <w:t xml:space="preserve"> </w:t>
      </w:r>
      <w:r w:rsidRPr="001472A4">
        <w:rPr>
          <w:i/>
        </w:rPr>
        <w:t>See</w:t>
      </w:r>
      <w:r>
        <w:t xml:space="preserve"> 5 U.S.C. § 553(b)(B).  </w:t>
      </w:r>
      <w:r w:rsidRPr="001472A4">
        <w:rPr>
          <w:i/>
        </w:rPr>
        <w:t>See</w:t>
      </w:r>
      <w:r>
        <w:rPr>
          <w:i/>
        </w:rPr>
        <w:t xml:space="preserve"> also </w:t>
      </w:r>
      <w:r w:rsidRPr="007A0E39">
        <w:rPr>
          <w:i/>
        </w:rPr>
        <w:t>Komjathy</w:t>
      </w:r>
      <w:r w:rsidRPr="007A0E39">
        <w:rPr>
          <w:i/>
        </w:rPr>
        <w:t xml:space="preserve"> v. Nat’l Transp. Safety Bd.</w:t>
      </w:r>
      <w:r>
        <w:t xml:space="preserve">, 832 F.2d 1294, 1296-97 (D.C. Cir. 1987) (notice and comment is unnecessary where the regulation does no more than repeat, virtually verbatim, the statutory grant of authority), </w:t>
      </w:r>
      <w:r>
        <w:rPr>
          <w:i/>
        </w:rPr>
        <w:t>cert. denied,</w:t>
      </w:r>
      <w:r>
        <w:t xml:space="preserve"> 486 U.S. 1057 (1988)</w:t>
      </w:r>
      <w:r w:rsidR="0010149F">
        <w:t xml:space="preserve">; </w:t>
      </w:r>
      <w:r w:rsidRPr="00FC7108" w:rsidR="0010149F">
        <w:rPr>
          <w:i/>
        </w:rPr>
        <w:t>Metzenbaum v. Federal Energy Regulatory Commission</w:t>
      </w:r>
      <w:r w:rsidRPr="00FC7108" w:rsidR="0010149F">
        <w:t>, 675 F.2d 1282, 1291 (D</w:t>
      </w:r>
      <w:r w:rsidR="0010149F">
        <w:t>.</w:t>
      </w:r>
      <w:r w:rsidRPr="00FC7108" w:rsidR="0010149F">
        <w:t>C</w:t>
      </w:r>
      <w:r w:rsidR="0010149F">
        <w:t>.</w:t>
      </w:r>
      <w:r w:rsidRPr="00FC7108" w:rsidR="0010149F">
        <w:t xml:space="preserve"> Cir. 1982) (agency order, issued pursuant to </w:t>
      </w:r>
      <w:r w:rsidR="0010149F">
        <w:t>C</w:t>
      </w:r>
      <w:r w:rsidRPr="00FC7108" w:rsidR="0010149F">
        <w:t xml:space="preserve">ongressional waiver of certain provisions of federal law that otherwise </w:t>
      </w:r>
      <w:r w:rsidR="0010149F">
        <w:t xml:space="preserve">would </w:t>
      </w:r>
      <w:r w:rsidRPr="00FC7108" w:rsidR="0010149F">
        <w:t xml:space="preserve">have governed construction and operation of Alaskan natural gas pipeline, was appropriately issued without notice and comment </w:t>
      </w:r>
      <w:r w:rsidR="0010149F">
        <w:t xml:space="preserve">under the APA’s “good cause” exception </w:t>
      </w:r>
      <w:r w:rsidRPr="00FC7108" w:rsidR="0010149F">
        <w:t>as a nondiscretionary ministerial action)</w:t>
      </w:r>
      <w:r>
        <w:t xml:space="preserve">.  </w:t>
      </w:r>
    </w:p>
  </w:footnote>
  <w:footnote w:id="8">
    <w:p w:rsidR="0031230E" w:rsidP="0031230E" w14:paraId="77570757" w14:textId="2B22D561">
      <w:pPr>
        <w:pStyle w:val="FootnoteText"/>
      </w:pPr>
      <w:r>
        <w:rPr>
          <w:rStyle w:val="FootnoteReference"/>
        </w:rPr>
        <w:footnoteRef/>
      </w:r>
      <w:r>
        <w:t xml:space="preserve"> </w:t>
      </w:r>
      <w:r w:rsidRPr="0088685D">
        <w:t>47 U</w:t>
      </w:r>
      <w:r w:rsidR="0020724B">
        <w:t>.</w:t>
      </w:r>
      <w:r w:rsidRPr="0088685D">
        <w:t>S</w:t>
      </w:r>
      <w:r w:rsidR="0020724B">
        <w:t>.</w:t>
      </w:r>
      <w:r w:rsidRPr="0088685D">
        <w:t>C</w:t>
      </w:r>
      <w:r w:rsidR="0020724B">
        <w:t>.</w:t>
      </w:r>
      <w:r w:rsidRPr="0088685D">
        <w:t xml:space="preserve"> </w:t>
      </w:r>
      <w:r w:rsidRPr="007F4028" w:rsidR="0020724B">
        <w:t>§</w:t>
      </w:r>
      <w:r w:rsidR="0020724B">
        <w:t xml:space="preserve"> </w:t>
      </w:r>
      <w:r w:rsidRPr="0088685D">
        <w:t>227</w:t>
      </w:r>
      <w:r>
        <w:t>.</w:t>
      </w:r>
    </w:p>
  </w:footnote>
  <w:footnote w:id="9">
    <w:p w:rsidR="00D5082C" w14:paraId="4D553E67" w14:textId="532D9F24">
      <w:pPr>
        <w:pStyle w:val="FootnoteText"/>
      </w:pPr>
      <w:r>
        <w:rPr>
          <w:rStyle w:val="FootnoteReference"/>
        </w:rPr>
        <w:footnoteRef/>
      </w:r>
      <w:r>
        <w:t xml:space="preserve"> Telephone Consumer Protection Act of 1991, Pub. L. No. 102-243, 105 Stat. 2394 (codified at 47 U.S.C. § 227).</w:t>
      </w:r>
    </w:p>
  </w:footnote>
  <w:footnote w:id="10">
    <w:p w:rsidR="0031230E" w:rsidP="0031230E" w14:paraId="60C19CD3" w14:textId="479C72DF">
      <w:pPr>
        <w:pStyle w:val="FootnoteText"/>
      </w:pPr>
      <w:r>
        <w:rPr>
          <w:rStyle w:val="FootnoteReference"/>
        </w:rPr>
        <w:footnoteRef/>
      </w:r>
      <w:r>
        <w:t xml:space="preserve"> </w:t>
      </w:r>
      <w:bookmarkStart w:id="2" w:name="_Hlk35551894"/>
      <w:r>
        <w:t>47 U</w:t>
      </w:r>
      <w:r w:rsidR="0020724B">
        <w:t>.</w:t>
      </w:r>
      <w:r>
        <w:t>S</w:t>
      </w:r>
      <w:r w:rsidR="0020724B">
        <w:t>.</w:t>
      </w:r>
      <w:r>
        <w:t>C</w:t>
      </w:r>
      <w:r w:rsidR="0020724B">
        <w:t>.</w:t>
      </w:r>
      <w:r>
        <w:t xml:space="preserve"> </w:t>
      </w:r>
      <w:r w:rsidRPr="007F4028" w:rsidR="0020724B">
        <w:t>§</w:t>
      </w:r>
      <w:r w:rsidR="0020724B">
        <w:t xml:space="preserve"> </w:t>
      </w:r>
      <w:r>
        <w:t>227</w:t>
      </w:r>
      <w:bookmarkEnd w:id="2"/>
      <w:r>
        <w:t>(b)(1)(A).</w:t>
      </w:r>
    </w:p>
  </w:footnote>
  <w:footnote w:id="11">
    <w:p w:rsidR="0031230E" w:rsidP="0031230E" w14:paraId="7EAA2D2E" w14:textId="116D577E">
      <w:pPr>
        <w:pStyle w:val="FootnoteText"/>
      </w:pPr>
      <w:r>
        <w:rPr>
          <w:rStyle w:val="FootnoteReference"/>
        </w:rPr>
        <w:footnoteRef/>
      </w:r>
      <w:r>
        <w:t xml:space="preserve"> 47 U</w:t>
      </w:r>
      <w:r w:rsidR="0020724B">
        <w:t>.</w:t>
      </w:r>
      <w:r>
        <w:t>S</w:t>
      </w:r>
      <w:r w:rsidR="0020724B">
        <w:t>.</w:t>
      </w:r>
      <w:r>
        <w:t>C</w:t>
      </w:r>
      <w:r w:rsidR="0020724B">
        <w:t>.</w:t>
      </w:r>
      <w:r>
        <w:t xml:space="preserve"> </w:t>
      </w:r>
      <w:r w:rsidRPr="007F4028" w:rsidR="0020724B">
        <w:t>§</w:t>
      </w:r>
      <w:r w:rsidR="0020724B">
        <w:t xml:space="preserve"> </w:t>
      </w:r>
      <w:r>
        <w:t>227(b)(1)(B).</w:t>
      </w:r>
    </w:p>
  </w:footnote>
  <w:footnote w:id="12">
    <w:p w:rsidR="0031230E" w:rsidP="0031230E" w14:paraId="61943871" w14:textId="07C1D940">
      <w:pPr>
        <w:pStyle w:val="FootnoteText"/>
      </w:pPr>
      <w:r>
        <w:rPr>
          <w:rStyle w:val="FootnoteReference"/>
        </w:rPr>
        <w:footnoteRef/>
      </w:r>
      <w:r>
        <w:t xml:space="preserve"> 47 U</w:t>
      </w:r>
      <w:r w:rsidR="0020724B">
        <w:t>.</w:t>
      </w:r>
      <w:r>
        <w:t>S</w:t>
      </w:r>
      <w:r w:rsidR="0020724B">
        <w:t>.</w:t>
      </w:r>
      <w:r>
        <w:t>C</w:t>
      </w:r>
      <w:r w:rsidR="0020724B">
        <w:t>.</w:t>
      </w:r>
      <w:r>
        <w:t xml:space="preserve"> </w:t>
      </w:r>
      <w:r w:rsidRPr="007F4028" w:rsidR="0020724B">
        <w:t>§</w:t>
      </w:r>
      <w:r w:rsidR="0020724B">
        <w:t xml:space="preserve"> </w:t>
      </w:r>
      <w:r>
        <w:t>227(b)(1)(C).  There are limitations to these exceptions.</w:t>
      </w:r>
    </w:p>
  </w:footnote>
  <w:footnote w:id="13">
    <w:p w:rsidR="007F664E" w:rsidRPr="007F664E" w14:paraId="78DEEE44" w14:textId="5E7F3F3A">
      <w:pPr>
        <w:pStyle w:val="FootnoteText"/>
      </w:pPr>
      <w:r>
        <w:rPr>
          <w:rStyle w:val="FootnoteReference"/>
        </w:rPr>
        <w:footnoteRef/>
      </w:r>
      <w:r>
        <w:t xml:space="preserve"> 47 U.S.C. </w:t>
      </w:r>
      <w:r w:rsidRPr="007F664E">
        <w:t>§ 227</w:t>
      </w:r>
      <w:r>
        <w:t xml:space="preserve">(e); </w:t>
      </w:r>
      <w:r>
        <w:rPr>
          <w:i/>
          <w:iCs/>
        </w:rPr>
        <w:t xml:space="preserve">see also </w:t>
      </w:r>
      <w:r>
        <w:t xml:space="preserve">47 CFR </w:t>
      </w:r>
      <w:r w:rsidRPr="007F664E">
        <w:t>§</w:t>
      </w:r>
      <w:r>
        <w:t xml:space="preserve"> 64.1604.  The prohibition does not apply to </w:t>
      </w:r>
      <w:r w:rsidR="00F44D15">
        <w:t>“</w:t>
      </w:r>
      <w:r>
        <w:t>lawfully authorized investigative, protective, or intelligence activit</w:t>
      </w:r>
      <w:r w:rsidR="00F44D15">
        <w:t>y</w:t>
      </w:r>
      <w:r>
        <w:t xml:space="preserve"> of a law enforcement agency of the United States, </w:t>
      </w:r>
      <w:r w:rsidR="00F44D15">
        <w:t>a S</w:t>
      </w:r>
      <w:r>
        <w:t xml:space="preserve">tate, or a political subdivision of a </w:t>
      </w:r>
      <w:r w:rsidR="00F44D15">
        <w:t>S</w:t>
      </w:r>
      <w:r>
        <w:t>tate, or of an intelligence agency of the United States</w:t>
      </w:r>
      <w:r w:rsidR="00F44D15">
        <w:t>;</w:t>
      </w:r>
      <w:r>
        <w:t xml:space="preserve"> or </w:t>
      </w:r>
      <w:r w:rsidR="00F44D15">
        <w:t>[</w:t>
      </w:r>
      <w:r>
        <w:t>to a</w:t>
      </w:r>
      <w:r w:rsidR="00F44D15">
        <w:t>]</w:t>
      </w:r>
      <w:r>
        <w:t>ctivity</w:t>
      </w:r>
      <w:r>
        <w:t xml:space="preserve"> </w:t>
      </w:r>
      <w:r w:rsidR="00F44D15">
        <w:t>engaged in</w:t>
      </w:r>
      <w:r>
        <w:t xml:space="preserve"> pursuant to a court order that specifically authorizes the use of caller </w:t>
      </w:r>
      <w:r w:rsidR="00F44D15">
        <w:t>identification</w:t>
      </w:r>
      <w:r>
        <w:t xml:space="preserve"> manipulation.</w:t>
      </w:r>
      <w:r w:rsidR="00F44D15">
        <w:t>”</w:t>
      </w:r>
      <w:r>
        <w:t xml:space="preserve">  47 CFR </w:t>
      </w:r>
      <w:r w:rsidRPr="007F664E" w:rsidR="00A5354F">
        <w:t>§</w:t>
      </w:r>
      <w:r w:rsidR="00A5354F">
        <w:t xml:space="preserve"> </w:t>
      </w:r>
      <w:r>
        <w:t xml:space="preserve">64.1604(b); </w:t>
      </w:r>
      <w:r>
        <w:rPr>
          <w:i/>
          <w:iCs/>
        </w:rPr>
        <w:t xml:space="preserve">see also </w:t>
      </w:r>
      <w:r>
        <w:t xml:space="preserve">47 U.S.C. </w:t>
      </w:r>
      <w:r w:rsidRPr="007F664E">
        <w:t>§</w:t>
      </w:r>
      <w:r>
        <w:t xml:space="preserve"> 227(e)(3)(B)(ii); 47 U.S.C. </w:t>
      </w:r>
      <w:r w:rsidRPr="007F664E">
        <w:t>§</w:t>
      </w:r>
      <w:r>
        <w:t xml:space="preserve"> 227(e)(7). </w:t>
      </w:r>
    </w:p>
  </w:footnote>
  <w:footnote w:id="14">
    <w:p w:rsidR="0031230E" w:rsidP="0031230E" w14:paraId="0E463546" w14:textId="49EA29CE">
      <w:pPr>
        <w:pStyle w:val="FootnoteText"/>
      </w:pPr>
      <w:r>
        <w:rPr>
          <w:rStyle w:val="FootnoteReference"/>
        </w:rPr>
        <w:footnoteRef/>
      </w:r>
      <w:r>
        <w:t xml:space="preserve"> </w:t>
      </w:r>
      <w:r>
        <w:rPr>
          <w:i/>
          <w:iCs/>
        </w:rPr>
        <w:t xml:space="preserve">See </w:t>
      </w:r>
      <w:r>
        <w:t xml:space="preserve">TRACED Act </w:t>
      </w:r>
      <w:r w:rsidRPr="000F5CFC">
        <w:t>§ 3</w:t>
      </w:r>
      <w:r>
        <w:t>(a)(1)(4)(</w:t>
      </w:r>
      <w:r>
        <w:t>A)</w:t>
      </w:r>
      <w:r w:rsidR="00F25FA6">
        <w:t>-</w:t>
      </w:r>
      <w:r>
        <w:t>(</w:t>
      </w:r>
      <w:r>
        <w:t>B)</w:t>
      </w:r>
      <w:r w:rsidRPr="000F5CFC">
        <w:t>, 133 Stat</w:t>
      </w:r>
      <w:r w:rsidR="00F25FA6">
        <w:t>.</w:t>
      </w:r>
      <w:r w:rsidRPr="000F5CFC">
        <w:t xml:space="preserve"> at </w:t>
      </w:r>
      <w:r>
        <w:t xml:space="preserve">3274. </w:t>
      </w:r>
    </w:p>
  </w:footnote>
  <w:footnote w:id="15">
    <w:p w:rsidR="0031230E" w:rsidP="0031230E" w14:paraId="36767953" w14:textId="7E79908A">
      <w:pPr>
        <w:pStyle w:val="FootnoteText"/>
      </w:pPr>
      <w:r>
        <w:rPr>
          <w:rStyle w:val="FootnoteReference"/>
        </w:rPr>
        <w:footnoteRef/>
      </w:r>
      <w:r>
        <w:t xml:space="preserve"> </w:t>
      </w:r>
      <w:r w:rsidRPr="00C12ED9">
        <w:rPr>
          <w:i/>
          <w:iCs/>
        </w:rPr>
        <w:t>Id</w:t>
      </w:r>
      <w:r w:rsidR="0020724B">
        <w:t>.</w:t>
      </w:r>
      <w:r>
        <w:rPr>
          <w:i/>
          <w:iCs/>
        </w:rPr>
        <w:t xml:space="preserve"> </w:t>
      </w:r>
      <w:r>
        <w:t xml:space="preserve">at </w:t>
      </w:r>
      <w:r w:rsidRPr="007F4028">
        <w:t>§ 3(a)(1)(4)(</w:t>
      </w:r>
      <w:r>
        <w:t>B</w:t>
      </w:r>
      <w:r w:rsidRPr="007F4028">
        <w:t>)</w:t>
      </w:r>
      <w:r w:rsidR="00F44D15">
        <w:t xml:space="preserve">, </w:t>
      </w:r>
      <w:r w:rsidRPr="000F5CFC" w:rsidR="00F44D15">
        <w:t>133 Stat</w:t>
      </w:r>
      <w:r w:rsidR="00F44D15">
        <w:t>.</w:t>
      </w:r>
      <w:r w:rsidRPr="000F5CFC" w:rsidR="00F44D15">
        <w:t xml:space="preserve"> at </w:t>
      </w:r>
      <w:r w:rsidR="00F44D15">
        <w:t>3274</w:t>
      </w:r>
      <w:r>
        <w:t xml:space="preserve">.  </w:t>
      </w:r>
      <w:r w:rsidRPr="00C12ED9">
        <w:t xml:space="preserve">Such amounts are recoverable under section 504(a) of the Communications Act. </w:t>
      </w:r>
      <w:r w:rsidRPr="00F87D40">
        <w:rPr>
          <w:i/>
          <w:iCs/>
        </w:rPr>
        <w:t xml:space="preserve"> See</w:t>
      </w:r>
      <w:r w:rsidRPr="00C12ED9">
        <w:t xml:space="preserve"> 47 U</w:t>
      </w:r>
      <w:r w:rsidR="0020724B">
        <w:t>.</w:t>
      </w:r>
      <w:r w:rsidRPr="00C12ED9">
        <w:t>S</w:t>
      </w:r>
      <w:r w:rsidR="0020724B">
        <w:t>.</w:t>
      </w:r>
      <w:r w:rsidRPr="00C12ED9">
        <w:t>C</w:t>
      </w:r>
      <w:r w:rsidR="0020724B">
        <w:t>.</w:t>
      </w:r>
      <w:r w:rsidRPr="00C12ED9">
        <w:t xml:space="preserve"> § 504(a). </w:t>
      </w:r>
    </w:p>
  </w:footnote>
  <w:footnote w:id="16">
    <w:p w:rsidR="0031230E" w:rsidRPr="00C12ED9" w:rsidP="0031230E" w14:paraId="7A193626" w14:textId="5397F0F9">
      <w:pPr>
        <w:pStyle w:val="FootnoteText"/>
      </w:pPr>
      <w:r>
        <w:rPr>
          <w:rStyle w:val="FootnoteReference"/>
        </w:rPr>
        <w:footnoteRef/>
      </w:r>
      <w:r>
        <w:t xml:space="preserve"> </w:t>
      </w:r>
      <w:r>
        <w:rPr>
          <w:i/>
          <w:iCs/>
        </w:rPr>
        <w:t xml:space="preserve">See </w:t>
      </w:r>
      <w:r>
        <w:t xml:space="preserve">47 CFR </w:t>
      </w:r>
      <w:r w:rsidRPr="00C12ED9">
        <w:t>§</w:t>
      </w:r>
      <w:r>
        <w:t xml:space="preserve"> 1.80(c)(</w:t>
      </w:r>
      <w:r w:rsidR="00904FCF">
        <w:t>4</w:t>
      </w:r>
      <w:r>
        <w:t>).</w:t>
      </w:r>
    </w:p>
  </w:footnote>
  <w:footnote w:id="17">
    <w:p w:rsidR="00904FCF" w14:paraId="4D0C82BD" w14:textId="487AA026">
      <w:pPr>
        <w:pStyle w:val="FootnoteText"/>
      </w:pPr>
      <w:r>
        <w:rPr>
          <w:rStyle w:val="FootnoteReference"/>
        </w:rPr>
        <w:footnoteRef/>
      </w:r>
      <w:r>
        <w:t xml:space="preserve"> </w:t>
      </w:r>
      <w:r w:rsidRPr="00904FCF">
        <w:rPr>
          <w:i/>
          <w:iCs/>
        </w:rPr>
        <w:t xml:space="preserve">See </w:t>
      </w:r>
      <w:r w:rsidRPr="00904FCF">
        <w:t>47 CFR § 1.80(c)(3).</w:t>
      </w:r>
    </w:p>
  </w:footnote>
  <w:footnote w:id="18">
    <w:p w:rsidR="0031230E" w:rsidRPr="002F26E1" w:rsidP="0031230E" w14:paraId="7835B934" w14:textId="77777777">
      <w:pPr>
        <w:pStyle w:val="FootnoteText"/>
      </w:pPr>
      <w:r>
        <w:rPr>
          <w:rStyle w:val="FootnoteReference"/>
        </w:rPr>
        <w:footnoteRef/>
      </w:r>
      <w:r>
        <w:t xml:space="preserve"> </w:t>
      </w:r>
      <w:r>
        <w:rPr>
          <w:i/>
        </w:rPr>
        <w:t>See</w:t>
      </w:r>
      <w:r>
        <w:t xml:space="preserve"> 47 U.S.C. </w:t>
      </w:r>
      <w:r w:rsidRPr="002F26E1">
        <w:t>§</w:t>
      </w:r>
      <w:r>
        <w:t xml:space="preserve"> 503(b).</w:t>
      </w:r>
    </w:p>
  </w:footnote>
  <w:footnote w:id="19">
    <w:p w:rsidR="0031230E" w:rsidRPr="001E6268" w:rsidP="0031230E" w14:paraId="400EEEA3" w14:textId="579CBC63">
      <w:pPr>
        <w:pStyle w:val="FootnoteText"/>
      </w:pPr>
      <w:r>
        <w:rPr>
          <w:rStyle w:val="FootnoteReference"/>
        </w:rPr>
        <w:footnoteRef/>
      </w:r>
      <w:r>
        <w:t xml:space="preserve"> S</w:t>
      </w:r>
      <w:r w:rsidR="002009F4">
        <w:t>.</w:t>
      </w:r>
      <w:r>
        <w:t xml:space="preserve"> </w:t>
      </w:r>
      <w:r w:rsidR="002009F4">
        <w:t>Rep. No</w:t>
      </w:r>
      <w:r>
        <w:t>. 116-41</w:t>
      </w:r>
      <w:r w:rsidR="00017255">
        <w:t>,</w:t>
      </w:r>
      <w:r w:rsidR="002009F4">
        <w:t xml:space="preserve"> at 11-12 (2019)</w:t>
      </w:r>
      <w:r>
        <w:t xml:space="preserve">. </w:t>
      </w:r>
    </w:p>
  </w:footnote>
  <w:footnote w:id="20">
    <w:p w:rsidR="0031230E" w:rsidP="0031230E" w14:paraId="17E5A8AD" w14:textId="77EFE1BE">
      <w:pPr>
        <w:pStyle w:val="FootnoteText"/>
      </w:pPr>
      <w:r>
        <w:rPr>
          <w:rStyle w:val="FootnoteReference"/>
        </w:rPr>
        <w:footnoteRef/>
      </w:r>
      <w:r>
        <w:t xml:space="preserve"> </w:t>
      </w:r>
      <w:r w:rsidRPr="00FB1071">
        <w:rPr>
          <w:i/>
        </w:rPr>
        <w:t xml:space="preserve">See, e.g., Implementation of </w:t>
      </w:r>
      <w:r w:rsidR="00C276BC">
        <w:rPr>
          <w:i/>
        </w:rPr>
        <w:t xml:space="preserve">the </w:t>
      </w:r>
      <w:r w:rsidRPr="00C276BC" w:rsidR="00C276BC">
        <w:rPr>
          <w:i/>
        </w:rPr>
        <w:t>Satellite Home Viewer Extension and Reauthorization Act of 2004</w:t>
      </w:r>
      <w:r w:rsidR="00C276BC">
        <w:rPr>
          <w:i/>
        </w:rPr>
        <w:t xml:space="preserve"> (“</w:t>
      </w:r>
      <w:r w:rsidRPr="00FB1071">
        <w:rPr>
          <w:i/>
        </w:rPr>
        <w:t>SHVERA</w:t>
      </w:r>
      <w:r w:rsidR="00C276BC">
        <w:rPr>
          <w:i/>
        </w:rPr>
        <w:t>”)</w:t>
      </w:r>
      <w:r w:rsidRPr="002D7ADF">
        <w:rPr>
          <w:iCs/>
        </w:rPr>
        <w:t>,</w:t>
      </w:r>
      <w:r w:rsidR="00C276BC">
        <w:rPr>
          <w:iCs/>
        </w:rPr>
        <w:t xml:space="preserve"> Order,</w:t>
      </w:r>
      <w:r w:rsidRPr="0019323A">
        <w:rPr>
          <w:iCs/>
        </w:rPr>
        <w:t xml:space="preserve"> </w:t>
      </w:r>
      <w:r w:rsidRPr="00FB1071">
        <w:t xml:space="preserve">20 FCC </w:t>
      </w:r>
      <w:r w:rsidRPr="00FB1071">
        <w:t>Rcd</w:t>
      </w:r>
      <w:r w:rsidRPr="00FB1071">
        <w:t xml:space="preserve"> 7780, </w:t>
      </w:r>
      <w:r w:rsidR="0019323A">
        <w:t>para.</w:t>
      </w:r>
      <w:r w:rsidRPr="00FB1071">
        <w:t xml:space="preserve"> 1 </w:t>
      </w:r>
      <w:r w:rsidR="00C276BC">
        <w:t xml:space="preserve">&amp; </w:t>
      </w:r>
      <w:r w:rsidRPr="00FB1071">
        <w:t xml:space="preserve">n.3 (2005); </w:t>
      </w:r>
      <w:r w:rsidRPr="00FB1071">
        <w:rPr>
          <w:i/>
        </w:rPr>
        <w:t xml:space="preserve">Implementation of Section 505 of the Telecommunications Act of 1996 </w:t>
      </w:r>
      <w:r w:rsidRPr="00FB1071">
        <w:t xml:space="preserve">(Scrambling of Sexually Explicit Adult Video Service Programming), </w:t>
      </w:r>
      <w:r w:rsidR="00C276BC">
        <w:t xml:space="preserve">Order and Notice of Proposed Rulemaking, </w:t>
      </w:r>
      <w:r w:rsidRPr="00FB1071">
        <w:t xml:space="preserve">11 FCC </w:t>
      </w:r>
      <w:r w:rsidRPr="00FB1071">
        <w:t>Rcd</w:t>
      </w:r>
      <w:r w:rsidRPr="00FB1071">
        <w:t xml:space="preserve"> 5386, 5387</w:t>
      </w:r>
      <w:r w:rsidR="0019323A">
        <w:t xml:space="preserve">, para. </w:t>
      </w:r>
      <w:r w:rsidR="00FE3DA9">
        <w:t>3</w:t>
      </w:r>
      <w:r w:rsidRPr="00FB1071">
        <w:t xml:space="preserve"> (1996); </w:t>
      </w:r>
      <w:r w:rsidRPr="00FB1071">
        <w:rPr>
          <w:i/>
        </w:rPr>
        <w:t>Implementation of Sections 204(</w:t>
      </w:r>
      <w:r w:rsidR="00C276BC">
        <w:rPr>
          <w:i/>
        </w:rPr>
        <w:t>a</w:t>
      </w:r>
      <w:r w:rsidRPr="00FB1071">
        <w:rPr>
          <w:i/>
        </w:rPr>
        <w:t>) and 204(</w:t>
      </w:r>
      <w:r w:rsidR="00C276BC">
        <w:rPr>
          <w:i/>
        </w:rPr>
        <w:t>c</w:t>
      </w:r>
      <w:r w:rsidRPr="00FB1071">
        <w:rPr>
          <w:i/>
        </w:rPr>
        <w:t xml:space="preserve">) of the Telecommunications Act of 1996 </w:t>
      </w:r>
      <w:r w:rsidRPr="00FB1071">
        <w:t xml:space="preserve">(Broadcast License Renewal Procedures), </w:t>
      </w:r>
      <w:r w:rsidR="00C276BC">
        <w:t xml:space="preserve">Order, </w:t>
      </w:r>
      <w:r w:rsidRPr="00FB1071">
        <w:t xml:space="preserve">11 FCC </w:t>
      </w:r>
      <w:r w:rsidRPr="00FB1071">
        <w:t>Rcd</w:t>
      </w:r>
      <w:r w:rsidRPr="00FB1071">
        <w:t xml:space="preserve"> 6363, 6364</w:t>
      </w:r>
      <w:r w:rsidR="0019323A">
        <w:t xml:space="preserve">, para. </w:t>
      </w:r>
      <w:r w:rsidR="00FE3DA9">
        <w:t>6</w:t>
      </w:r>
      <w:r w:rsidRPr="00FB1071">
        <w:t xml:space="preserve"> (1996); </w:t>
      </w:r>
      <w:r w:rsidRPr="00FB1071">
        <w:rPr>
          <w:i/>
        </w:rPr>
        <w:t>Implementation of Sections 202(</w:t>
      </w:r>
      <w:r w:rsidR="00C276BC">
        <w:rPr>
          <w:i/>
        </w:rPr>
        <w:t>a</w:t>
      </w:r>
      <w:r w:rsidRPr="00FB1071">
        <w:rPr>
          <w:i/>
        </w:rPr>
        <w:t>) and 202(</w:t>
      </w:r>
      <w:r w:rsidR="00C276BC">
        <w:rPr>
          <w:i/>
        </w:rPr>
        <w:t>b</w:t>
      </w:r>
      <w:r w:rsidRPr="00FB1071">
        <w:rPr>
          <w:i/>
        </w:rPr>
        <w:t>)(1) of the Telecommunications Act of 1996</w:t>
      </w:r>
      <w:r w:rsidRPr="00FB1071">
        <w:t xml:space="preserve"> (Broadcast Radio Ownership), </w:t>
      </w:r>
      <w:r w:rsidR="00C276BC">
        <w:t xml:space="preserve">Order, </w:t>
      </w:r>
      <w:r w:rsidRPr="00FB1071">
        <w:t xml:space="preserve">11 FCC </w:t>
      </w:r>
      <w:r w:rsidRPr="00FB1071">
        <w:t>Rcd</w:t>
      </w:r>
      <w:r w:rsidRPr="00FB1071">
        <w:t xml:space="preserve"> 12368, 12371</w:t>
      </w:r>
      <w:r w:rsidR="0019323A">
        <w:t xml:space="preserve">, para. </w:t>
      </w:r>
      <w:r w:rsidR="00FE3DA9">
        <w:t>5</w:t>
      </w:r>
      <w:r w:rsidRPr="00FB1071">
        <w:t xml:space="preserve"> (1996); </w:t>
      </w:r>
      <w:r w:rsidRPr="00FB1071">
        <w:rPr>
          <w:i/>
        </w:rPr>
        <w:t>Implementation of Sections 202(c)(1) and 202(e) of the Telecommunications Act of 1996</w:t>
      </w:r>
      <w:r w:rsidRPr="00FB1071">
        <w:t xml:space="preserve"> (National Broadcast Television Ownership and Dual Network Operations), </w:t>
      </w:r>
      <w:r w:rsidR="00C276BC">
        <w:t xml:space="preserve">Order, </w:t>
      </w:r>
      <w:r w:rsidRPr="00FB1071">
        <w:t xml:space="preserve">11 FCC </w:t>
      </w:r>
      <w:r w:rsidRPr="00FB1071">
        <w:t>Rcd</w:t>
      </w:r>
      <w:r w:rsidRPr="00FB1071">
        <w:t xml:space="preserve"> 12374, 12377</w:t>
      </w:r>
      <w:r w:rsidR="0019323A">
        <w:t xml:space="preserve">, para. </w:t>
      </w:r>
      <w:r w:rsidR="00B22A09">
        <w:t>7</w:t>
      </w:r>
      <w:r w:rsidRPr="00FB1071">
        <w:t xml:space="preserve"> (1996).</w:t>
      </w:r>
    </w:p>
  </w:footnote>
  <w:footnote w:id="21">
    <w:p w:rsidR="0031230E" w:rsidP="0031230E" w14:paraId="6084B6EF" w14:textId="77777777">
      <w:pPr>
        <w:pStyle w:val="FootnoteText"/>
      </w:pPr>
      <w:r>
        <w:rPr>
          <w:rStyle w:val="FootnoteReference"/>
        </w:rPr>
        <w:footnoteRef/>
      </w:r>
      <w:r>
        <w:t xml:space="preserve"> </w:t>
      </w:r>
      <w:r>
        <w:rPr>
          <w:i/>
        </w:rPr>
        <w:t xml:space="preserve">See </w:t>
      </w:r>
      <w:r>
        <w:t xml:space="preserve">5 U.S.C. § 553(b)(B).  </w:t>
      </w:r>
    </w:p>
  </w:footnote>
  <w:footnote w:id="22">
    <w:p w:rsidR="0031230E" w:rsidRPr="003E7A01" w:rsidP="0031230E" w14:paraId="5E6AD09B" w14:textId="48B436AD">
      <w:pPr>
        <w:pStyle w:val="FootnoteText"/>
      </w:pPr>
      <w:r>
        <w:rPr>
          <w:rStyle w:val="FootnoteReference"/>
        </w:rPr>
        <w:footnoteRef/>
      </w:r>
      <w:r>
        <w:t xml:space="preserve"> </w:t>
      </w:r>
      <w:r w:rsidRPr="00D43840">
        <w:rPr>
          <w:i/>
        </w:rPr>
        <w:t>See</w:t>
      </w:r>
      <w:r>
        <w:t xml:space="preserve"> 47 CFR</w:t>
      </w:r>
      <w:r w:rsidRPr="00320E07">
        <w:t xml:space="preserve"> </w:t>
      </w:r>
      <w:r>
        <w:rPr>
          <w:color w:val="010101"/>
        </w:rPr>
        <w:t>§ 0.111(a)(22).</w:t>
      </w:r>
      <w:r w:rsidR="003E7A01">
        <w:rPr>
          <w:color w:val="010101"/>
        </w:rPr>
        <w:t xml:space="preserve">  </w:t>
      </w:r>
      <w:r w:rsidR="00533165">
        <w:rPr>
          <w:color w:val="010101"/>
        </w:rPr>
        <w:t>Bureau action is appropriate here, because this proceeding does not require</w:t>
      </w:r>
      <w:r w:rsidR="003E7A01">
        <w:rPr>
          <w:color w:val="010101"/>
        </w:rPr>
        <w:t xml:space="preserve"> notice and comment. </w:t>
      </w:r>
      <w:r w:rsidR="00C276BC">
        <w:rPr>
          <w:color w:val="010101"/>
        </w:rPr>
        <w:t xml:space="preserve"> </w:t>
      </w:r>
      <w:r w:rsidR="003E7A01">
        <w:rPr>
          <w:i/>
          <w:iCs/>
          <w:color w:val="010101"/>
        </w:rPr>
        <w:t>See</w:t>
      </w:r>
      <w:r w:rsidR="003E7A01">
        <w:rPr>
          <w:color w:val="010101"/>
        </w:rPr>
        <w:t xml:space="preserve"> </w:t>
      </w:r>
      <w:r w:rsidR="003E7A01">
        <w:t>47 CFR</w:t>
      </w:r>
      <w:r w:rsidRPr="00320E07" w:rsidR="003E7A01">
        <w:t xml:space="preserve"> </w:t>
      </w:r>
      <w:r w:rsidR="003E7A01">
        <w:rPr>
          <w:color w:val="010101"/>
        </w:rPr>
        <w:t xml:space="preserve">§ 0.311(a)(1); </w:t>
      </w:r>
      <w:r w:rsidR="003E7A01">
        <w:rPr>
          <w:i/>
          <w:iCs/>
          <w:color w:val="010101"/>
        </w:rPr>
        <w:t>see also</w:t>
      </w:r>
      <w:r w:rsidR="003E7A01">
        <w:rPr>
          <w:color w:val="010101"/>
        </w:rPr>
        <w:t xml:space="preserve"> </w:t>
      </w:r>
      <w:r w:rsidR="003E7A01">
        <w:rPr>
          <w:i/>
          <w:iCs/>
          <w:color w:val="010101"/>
        </w:rPr>
        <w:t>supra</w:t>
      </w:r>
      <w:r w:rsidR="003E7A01">
        <w:rPr>
          <w:color w:val="010101"/>
        </w:rPr>
        <w:t xml:space="preserve"> para. </w:t>
      </w:r>
      <w:r w:rsidR="0032188D">
        <w:rPr>
          <w:color w:val="010101"/>
        </w:rPr>
        <w:t>10</w:t>
      </w:r>
      <w:r w:rsidR="003E7A01">
        <w:rPr>
          <w:color w:val="010101"/>
        </w:rPr>
        <w:t>.</w:t>
      </w:r>
    </w:p>
  </w:footnote>
  <w:footnote w:id="23">
    <w:p w:rsidR="0031230E" w:rsidP="0031230E" w14:paraId="7FCF74C2" w14:textId="13F74142">
      <w:pPr>
        <w:pStyle w:val="FootnoteText"/>
      </w:pPr>
      <w:r>
        <w:rPr>
          <w:rStyle w:val="FootnoteReference"/>
        </w:rPr>
        <w:footnoteRef/>
      </w:r>
      <w:r>
        <w:t xml:space="preserve"> TRACED Act § 3, 133 Stat</w:t>
      </w:r>
      <w:r w:rsidR="0070064A">
        <w:t>.</w:t>
      </w:r>
      <w:r>
        <w:t xml:space="preserve"> at 3274-76.</w:t>
      </w:r>
    </w:p>
  </w:footnote>
  <w:footnote w:id="24">
    <w:p w:rsidR="0031230E" w:rsidP="0031230E" w14:paraId="54BF2C6A" w14:textId="244B4DA1">
      <w:pPr>
        <w:pStyle w:val="FootnoteText"/>
      </w:pPr>
      <w:r>
        <w:rPr>
          <w:rStyle w:val="FootnoteReference"/>
        </w:rPr>
        <w:footnoteRef/>
      </w:r>
      <w:r>
        <w:t xml:space="preserve"> Pub. L. No. 104-13, 109 Stat. 163 (codified at 13 U.S.C. § 91, 44 U.S.C. § 101 note, and 44 U.S.C. §§ 3501-20)</w:t>
      </w:r>
      <w:r w:rsidRPr="00344C0B">
        <w:t>.</w:t>
      </w:r>
    </w:p>
  </w:footnote>
  <w:footnote w:id="25">
    <w:p w:rsidR="0031230E" w:rsidP="0031230E" w14:paraId="4517B4C0" w14:textId="77777777">
      <w:pPr>
        <w:pStyle w:val="FootnoteText"/>
      </w:pPr>
      <w:r>
        <w:rPr>
          <w:rStyle w:val="FootnoteReference"/>
        </w:rPr>
        <w:footnoteRef/>
      </w:r>
      <w:r>
        <w:t xml:space="preserve"> Pub. L. No. 107-198, 116 Stat. 729 (codified at 5 U.S.C. § 601 note, 44 U.S.C. §§ 101 note, 3504, 3506, 3520, 3521)</w:t>
      </w:r>
      <w:r w:rsidRPr="00344C0B">
        <w:t>.</w:t>
      </w:r>
    </w:p>
  </w:footnote>
  <w:footnote w:id="26">
    <w:p w:rsidR="0031230E" w:rsidP="0031230E" w14:paraId="397E0636" w14:textId="77777777">
      <w:pPr>
        <w:pStyle w:val="FootnoteText"/>
      </w:pPr>
      <w:r>
        <w:rPr>
          <w:rStyle w:val="FootnoteReference"/>
        </w:rPr>
        <w:footnoteRef/>
      </w:r>
      <w:r>
        <w:t xml:space="preserve"> </w:t>
      </w:r>
      <w:r w:rsidRPr="00D43840">
        <w:rPr>
          <w:i/>
        </w:rPr>
        <w:t>See</w:t>
      </w:r>
      <w:r>
        <w:t xml:space="preserve"> 44 U.S.C.</w:t>
      </w:r>
      <w:r w:rsidRPr="00320E07">
        <w:t xml:space="preserve"> </w:t>
      </w:r>
      <w:r>
        <w:rPr>
          <w:color w:val="010101"/>
        </w:rPr>
        <w:t>§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60E08" w14:paraId="75F1F450" w14:textId="746BECE3">
    <w:pPr>
      <w:pStyle w:val="Header"/>
    </w:pPr>
    <w:r>
      <w:tab/>
      <w:t>Federal Communications Commission</w:t>
    </w:r>
    <w:r>
      <w:tab/>
    </w:r>
    <w:r w:rsidR="00F91082">
      <w:t xml:space="preserve">DA </w:t>
    </w:r>
    <w:r w:rsidR="003D49EA">
      <w:t>20</w:t>
    </w:r>
    <w:r w:rsidR="00F91082">
      <w:t>-</w:t>
    </w:r>
    <w:r w:rsidR="003D49EA">
      <w:t>460</w:t>
    </w:r>
  </w:p>
  <w:p w:rsidR="00D25FB5" w14:paraId="5E369FEA" w14:textId="47C4CA8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0A1C1C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60E08" w14:paraId="365FF81F" w14:textId="4A99D58E">
    <w:pPr>
      <w:pStyle w:val="Heade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C1148">
      <w:t xml:space="preserve">DA </w:t>
    </w:r>
    <w:r w:rsidR="003D49EA">
      <w:t>20</w:t>
    </w:r>
    <w:r w:rsidR="00CC1148">
      <w:t>-</w:t>
    </w:r>
    <w:r w:rsidR="003D49EA">
      <w:t>460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31230E"/>
    <w:rsid w:val="00017255"/>
    <w:rsid w:val="00027882"/>
    <w:rsid w:val="00036039"/>
    <w:rsid w:val="0003687F"/>
    <w:rsid w:val="00037F90"/>
    <w:rsid w:val="00045C8E"/>
    <w:rsid w:val="00080632"/>
    <w:rsid w:val="000875BF"/>
    <w:rsid w:val="000900A0"/>
    <w:rsid w:val="000947EA"/>
    <w:rsid w:val="00096D8C"/>
    <w:rsid w:val="00097003"/>
    <w:rsid w:val="000A25C3"/>
    <w:rsid w:val="000A6A8D"/>
    <w:rsid w:val="000C0B65"/>
    <w:rsid w:val="000D0B9F"/>
    <w:rsid w:val="000D4733"/>
    <w:rsid w:val="000E05FE"/>
    <w:rsid w:val="000E23C4"/>
    <w:rsid w:val="000E3D42"/>
    <w:rsid w:val="000F3C5F"/>
    <w:rsid w:val="000F5CFC"/>
    <w:rsid w:val="0010149F"/>
    <w:rsid w:val="00104DFD"/>
    <w:rsid w:val="00106743"/>
    <w:rsid w:val="0011000E"/>
    <w:rsid w:val="00122BD5"/>
    <w:rsid w:val="00122DEF"/>
    <w:rsid w:val="001261CF"/>
    <w:rsid w:val="00132F45"/>
    <w:rsid w:val="00133F79"/>
    <w:rsid w:val="001472A4"/>
    <w:rsid w:val="00157B2D"/>
    <w:rsid w:val="00160DC2"/>
    <w:rsid w:val="0016655F"/>
    <w:rsid w:val="00170D2F"/>
    <w:rsid w:val="00185E52"/>
    <w:rsid w:val="0019323A"/>
    <w:rsid w:val="00194A66"/>
    <w:rsid w:val="00194C9B"/>
    <w:rsid w:val="001A02D2"/>
    <w:rsid w:val="001D6BCF"/>
    <w:rsid w:val="001E01CA"/>
    <w:rsid w:val="001E6268"/>
    <w:rsid w:val="001F126E"/>
    <w:rsid w:val="002009F4"/>
    <w:rsid w:val="0020724B"/>
    <w:rsid w:val="002072AD"/>
    <w:rsid w:val="00223BE1"/>
    <w:rsid w:val="00223CDC"/>
    <w:rsid w:val="00240322"/>
    <w:rsid w:val="00260CA5"/>
    <w:rsid w:val="00267B75"/>
    <w:rsid w:val="00275CF5"/>
    <w:rsid w:val="00282952"/>
    <w:rsid w:val="0028301F"/>
    <w:rsid w:val="00285017"/>
    <w:rsid w:val="00285643"/>
    <w:rsid w:val="002974C6"/>
    <w:rsid w:val="002A2D2E"/>
    <w:rsid w:val="002C00E8"/>
    <w:rsid w:val="002C3064"/>
    <w:rsid w:val="002C6FF4"/>
    <w:rsid w:val="002D5322"/>
    <w:rsid w:val="002D7ADF"/>
    <w:rsid w:val="002E166D"/>
    <w:rsid w:val="002E5A08"/>
    <w:rsid w:val="002F26E1"/>
    <w:rsid w:val="003026FA"/>
    <w:rsid w:val="00304FC0"/>
    <w:rsid w:val="0031230E"/>
    <w:rsid w:val="00320E07"/>
    <w:rsid w:val="0032188D"/>
    <w:rsid w:val="00326F5A"/>
    <w:rsid w:val="00343749"/>
    <w:rsid w:val="00344C0B"/>
    <w:rsid w:val="00345FA6"/>
    <w:rsid w:val="003660ED"/>
    <w:rsid w:val="00366923"/>
    <w:rsid w:val="00382326"/>
    <w:rsid w:val="003927BA"/>
    <w:rsid w:val="00394EB8"/>
    <w:rsid w:val="003A0085"/>
    <w:rsid w:val="003A00C1"/>
    <w:rsid w:val="003B0550"/>
    <w:rsid w:val="003B694F"/>
    <w:rsid w:val="003C5A95"/>
    <w:rsid w:val="003C79BF"/>
    <w:rsid w:val="003D49EA"/>
    <w:rsid w:val="003D6A03"/>
    <w:rsid w:val="003E0652"/>
    <w:rsid w:val="003E7A01"/>
    <w:rsid w:val="003F171C"/>
    <w:rsid w:val="0040397B"/>
    <w:rsid w:val="0040714A"/>
    <w:rsid w:val="00410DF2"/>
    <w:rsid w:val="00411555"/>
    <w:rsid w:val="00412FC5"/>
    <w:rsid w:val="0041675F"/>
    <w:rsid w:val="00417F91"/>
    <w:rsid w:val="00422276"/>
    <w:rsid w:val="004227E2"/>
    <w:rsid w:val="004242F1"/>
    <w:rsid w:val="00430832"/>
    <w:rsid w:val="00445A00"/>
    <w:rsid w:val="00451B0F"/>
    <w:rsid w:val="00455A65"/>
    <w:rsid w:val="00463ADE"/>
    <w:rsid w:val="0046415B"/>
    <w:rsid w:val="00474567"/>
    <w:rsid w:val="00476B98"/>
    <w:rsid w:val="004906B1"/>
    <w:rsid w:val="004C2EE3"/>
    <w:rsid w:val="004E4A22"/>
    <w:rsid w:val="004E4AC4"/>
    <w:rsid w:val="005028AE"/>
    <w:rsid w:val="00511968"/>
    <w:rsid w:val="00511B19"/>
    <w:rsid w:val="005235D1"/>
    <w:rsid w:val="00533165"/>
    <w:rsid w:val="005403B4"/>
    <w:rsid w:val="0055614C"/>
    <w:rsid w:val="00563C7C"/>
    <w:rsid w:val="00566D06"/>
    <w:rsid w:val="005703DF"/>
    <w:rsid w:val="00576CCB"/>
    <w:rsid w:val="005911EB"/>
    <w:rsid w:val="005B205B"/>
    <w:rsid w:val="005B7F99"/>
    <w:rsid w:val="005C0CB4"/>
    <w:rsid w:val="005D7A51"/>
    <w:rsid w:val="005E0C95"/>
    <w:rsid w:val="005E14C2"/>
    <w:rsid w:val="00607BA5"/>
    <w:rsid w:val="0061180A"/>
    <w:rsid w:val="00626EB6"/>
    <w:rsid w:val="00627F55"/>
    <w:rsid w:val="006445D8"/>
    <w:rsid w:val="00655D03"/>
    <w:rsid w:val="00671AAA"/>
    <w:rsid w:val="00672A41"/>
    <w:rsid w:val="0067783D"/>
    <w:rsid w:val="00683388"/>
    <w:rsid w:val="00683F84"/>
    <w:rsid w:val="00687C81"/>
    <w:rsid w:val="00696332"/>
    <w:rsid w:val="006A6A81"/>
    <w:rsid w:val="006B10AE"/>
    <w:rsid w:val="006C1826"/>
    <w:rsid w:val="006C3CEE"/>
    <w:rsid w:val="006D6FC2"/>
    <w:rsid w:val="006E3160"/>
    <w:rsid w:val="006E4B0E"/>
    <w:rsid w:val="006F7393"/>
    <w:rsid w:val="0070064A"/>
    <w:rsid w:val="0070224F"/>
    <w:rsid w:val="00706257"/>
    <w:rsid w:val="007115F7"/>
    <w:rsid w:val="00713EDC"/>
    <w:rsid w:val="00726AB4"/>
    <w:rsid w:val="00766840"/>
    <w:rsid w:val="00785689"/>
    <w:rsid w:val="0079610E"/>
    <w:rsid w:val="00796DB9"/>
    <w:rsid w:val="0079754B"/>
    <w:rsid w:val="007A0256"/>
    <w:rsid w:val="007A0E39"/>
    <w:rsid w:val="007A1E6D"/>
    <w:rsid w:val="007A3074"/>
    <w:rsid w:val="007A37B0"/>
    <w:rsid w:val="007A4D26"/>
    <w:rsid w:val="007B0EB2"/>
    <w:rsid w:val="007B50B9"/>
    <w:rsid w:val="007B67A9"/>
    <w:rsid w:val="007C1AC4"/>
    <w:rsid w:val="007D1664"/>
    <w:rsid w:val="007D38BA"/>
    <w:rsid w:val="007D41FF"/>
    <w:rsid w:val="007F3854"/>
    <w:rsid w:val="007F4028"/>
    <w:rsid w:val="007F664E"/>
    <w:rsid w:val="00810B6F"/>
    <w:rsid w:val="00822CE0"/>
    <w:rsid w:val="00827808"/>
    <w:rsid w:val="00841AB1"/>
    <w:rsid w:val="00862F0D"/>
    <w:rsid w:val="00870473"/>
    <w:rsid w:val="0088685D"/>
    <w:rsid w:val="00890BED"/>
    <w:rsid w:val="008C68F1"/>
    <w:rsid w:val="008E73D1"/>
    <w:rsid w:val="008F0C06"/>
    <w:rsid w:val="00904FCF"/>
    <w:rsid w:val="00912E85"/>
    <w:rsid w:val="009172C3"/>
    <w:rsid w:val="00921803"/>
    <w:rsid w:val="00926503"/>
    <w:rsid w:val="00930EAA"/>
    <w:rsid w:val="009530D8"/>
    <w:rsid w:val="00957CA7"/>
    <w:rsid w:val="00964BF3"/>
    <w:rsid w:val="009659AF"/>
    <w:rsid w:val="009726D8"/>
    <w:rsid w:val="009C687D"/>
    <w:rsid w:val="009D7308"/>
    <w:rsid w:val="009E2084"/>
    <w:rsid w:val="009F76DB"/>
    <w:rsid w:val="009F7FF4"/>
    <w:rsid w:val="00A04AFC"/>
    <w:rsid w:val="00A25FE9"/>
    <w:rsid w:val="00A32C3B"/>
    <w:rsid w:val="00A44651"/>
    <w:rsid w:val="00A45F4F"/>
    <w:rsid w:val="00A5354F"/>
    <w:rsid w:val="00A600A9"/>
    <w:rsid w:val="00A60E08"/>
    <w:rsid w:val="00A65B4C"/>
    <w:rsid w:val="00A70BAE"/>
    <w:rsid w:val="00A74F3B"/>
    <w:rsid w:val="00AA55B7"/>
    <w:rsid w:val="00AA5B9E"/>
    <w:rsid w:val="00AA7C79"/>
    <w:rsid w:val="00AB2407"/>
    <w:rsid w:val="00AB53DF"/>
    <w:rsid w:val="00AB6B50"/>
    <w:rsid w:val="00AD2BB6"/>
    <w:rsid w:val="00AD5BA5"/>
    <w:rsid w:val="00AE151B"/>
    <w:rsid w:val="00B07E5C"/>
    <w:rsid w:val="00B10DF2"/>
    <w:rsid w:val="00B13316"/>
    <w:rsid w:val="00B22A09"/>
    <w:rsid w:val="00B3338C"/>
    <w:rsid w:val="00B3353D"/>
    <w:rsid w:val="00B33C3A"/>
    <w:rsid w:val="00B63D15"/>
    <w:rsid w:val="00B7099A"/>
    <w:rsid w:val="00B75EC9"/>
    <w:rsid w:val="00B811F7"/>
    <w:rsid w:val="00B86064"/>
    <w:rsid w:val="00B922F6"/>
    <w:rsid w:val="00BA5DC6"/>
    <w:rsid w:val="00BA6196"/>
    <w:rsid w:val="00BB6211"/>
    <w:rsid w:val="00BC189F"/>
    <w:rsid w:val="00BC6D8C"/>
    <w:rsid w:val="00BE4B12"/>
    <w:rsid w:val="00C12ED9"/>
    <w:rsid w:val="00C20626"/>
    <w:rsid w:val="00C276BC"/>
    <w:rsid w:val="00C32A90"/>
    <w:rsid w:val="00C34006"/>
    <w:rsid w:val="00C36B4C"/>
    <w:rsid w:val="00C426B1"/>
    <w:rsid w:val="00C45779"/>
    <w:rsid w:val="00C47BDD"/>
    <w:rsid w:val="00C51E9E"/>
    <w:rsid w:val="00C66160"/>
    <w:rsid w:val="00C721AC"/>
    <w:rsid w:val="00C7530A"/>
    <w:rsid w:val="00C77B10"/>
    <w:rsid w:val="00C90D6A"/>
    <w:rsid w:val="00C9282C"/>
    <w:rsid w:val="00CA247E"/>
    <w:rsid w:val="00CA354A"/>
    <w:rsid w:val="00CA6D21"/>
    <w:rsid w:val="00CC1148"/>
    <w:rsid w:val="00CC1649"/>
    <w:rsid w:val="00CC72B6"/>
    <w:rsid w:val="00CD5CA7"/>
    <w:rsid w:val="00D0218D"/>
    <w:rsid w:val="00D057B1"/>
    <w:rsid w:val="00D1086C"/>
    <w:rsid w:val="00D13282"/>
    <w:rsid w:val="00D14B96"/>
    <w:rsid w:val="00D24859"/>
    <w:rsid w:val="00D25FB5"/>
    <w:rsid w:val="00D27046"/>
    <w:rsid w:val="00D43840"/>
    <w:rsid w:val="00D44223"/>
    <w:rsid w:val="00D44600"/>
    <w:rsid w:val="00D5082C"/>
    <w:rsid w:val="00D63C94"/>
    <w:rsid w:val="00D85968"/>
    <w:rsid w:val="00D91BC2"/>
    <w:rsid w:val="00DA12D0"/>
    <w:rsid w:val="00DA2529"/>
    <w:rsid w:val="00DB130A"/>
    <w:rsid w:val="00DB1B28"/>
    <w:rsid w:val="00DB21EB"/>
    <w:rsid w:val="00DB2EBB"/>
    <w:rsid w:val="00DC0590"/>
    <w:rsid w:val="00DC10A1"/>
    <w:rsid w:val="00DC655F"/>
    <w:rsid w:val="00DD0B59"/>
    <w:rsid w:val="00DD3451"/>
    <w:rsid w:val="00DD7EBD"/>
    <w:rsid w:val="00DF5A84"/>
    <w:rsid w:val="00DF62B6"/>
    <w:rsid w:val="00E0313E"/>
    <w:rsid w:val="00E03BA0"/>
    <w:rsid w:val="00E07225"/>
    <w:rsid w:val="00E1009A"/>
    <w:rsid w:val="00E27FF4"/>
    <w:rsid w:val="00E47937"/>
    <w:rsid w:val="00E5409F"/>
    <w:rsid w:val="00E54F25"/>
    <w:rsid w:val="00E66A96"/>
    <w:rsid w:val="00E75FE1"/>
    <w:rsid w:val="00E8664C"/>
    <w:rsid w:val="00EB3596"/>
    <w:rsid w:val="00EE6488"/>
    <w:rsid w:val="00EF50F1"/>
    <w:rsid w:val="00EF68DB"/>
    <w:rsid w:val="00F021FA"/>
    <w:rsid w:val="00F02D4E"/>
    <w:rsid w:val="00F25FA6"/>
    <w:rsid w:val="00F33C3B"/>
    <w:rsid w:val="00F3454D"/>
    <w:rsid w:val="00F44D15"/>
    <w:rsid w:val="00F46125"/>
    <w:rsid w:val="00F57E02"/>
    <w:rsid w:val="00F62E97"/>
    <w:rsid w:val="00F64209"/>
    <w:rsid w:val="00F667A1"/>
    <w:rsid w:val="00F745FA"/>
    <w:rsid w:val="00F87D40"/>
    <w:rsid w:val="00F91082"/>
    <w:rsid w:val="00F93BF5"/>
    <w:rsid w:val="00FA101A"/>
    <w:rsid w:val="00FB046D"/>
    <w:rsid w:val="00FB1071"/>
    <w:rsid w:val="00FC7108"/>
    <w:rsid w:val="00FD0371"/>
    <w:rsid w:val="00FE3DA9"/>
    <w:rsid w:val="00FE3EC2"/>
    <w:rsid w:val="00FE4D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2EB4DBB-A688-4C7C-AE34-025C56E8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F2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E54F2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E54F25"/>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E54F25"/>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E54F25"/>
    <w:pPr>
      <w:keepNext/>
      <w:numPr>
        <w:ilvl w:val="3"/>
        <w:numId w:val="3"/>
      </w:numPr>
      <w:tabs>
        <w:tab w:val="left" w:pos="2880"/>
      </w:tabs>
      <w:spacing w:after="120"/>
      <w:outlineLvl w:val="3"/>
    </w:pPr>
    <w:rPr>
      <w:b/>
    </w:rPr>
  </w:style>
  <w:style w:type="paragraph" w:styleId="Heading5">
    <w:name w:val="heading 5"/>
    <w:basedOn w:val="Normal"/>
    <w:next w:val="ParaNum"/>
    <w:qFormat/>
    <w:rsid w:val="00E54F2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E54F25"/>
    <w:pPr>
      <w:numPr>
        <w:ilvl w:val="5"/>
        <w:numId w:val="3"/>
      </w:numPr>
      <w:tabs>
        <w:tab w:val="left" w:pos="4320"/>
      </w:tabs>
      <w:spacing w:after="120"/>
      <w:outlineLvl w:val="5"/>
    </w:pPr>
    <w:rPr>
      <w:b/>
    </w:rPr>
  </w:style>
  <w:style w:type="paragraph" w:styleId="Heading7">
    <w:name w:val="heading 7"/>
    <w:basedOn w:val="Normal"/>
    <w:next w:val="ParaNum"/>
    <w:qFormat/>
    <w:rsid w:val="00E54F2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54F25"/>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E54F2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54F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4F25"/>
  </w:style>
  <w:style w:type="paragraph" w:customStyle="1" w:styleId="ParaNum">
    <w:name w:val="ParaNum"/>
    <w:basedOn w:val="Normal"/>
    <w:link w:val="ParaNumCharChar1"/>
    <w:rsid w:val="00E54F25"/>
    <w:pPr>
      <w:numPr>
        <w:numId w:val="2"/>
      </w:numPr>
      <w:tabs>
        <w:tab w:val="clear" w:pos="1080"/>
        <w:tab w:val="num" w:pos="1440"/>
      </w:tabs>
      <w:spacing w:after="120"/>
    </w:pPr>
  </w:style>
  <w:style w:type="paragraph" w:styleId="EndnoteText">
    <w:name w:val="endnote text"/>
    <w:basedOn w:val="Normal"/>
    <w:semiHidden/>
    <w:rsid w:val="00E54F25"/>
    <w:rPr>
      <w:sz w:val="20"/>
    </w:rPr>
  </w:style>
  <w:style w:type="character" w:styleId="EndnoteReference">
    <w:name w:val="endnote reference"/>
    <w:semiHidden/>
    <w:rsid w:val="00E54F25"/>
    <w:rPr>
      <w:vertAlign w:val="superscript"/>
    </w:rPr>
  </w:style>
  <w:style w:type="paragraph" w:styleId="FootnoteText">
    <w:name w:val="footnote text"/>
    <w:aliases w:val="ALTS FOOTNOTE,ALTS FOOTNOTE Char Char,ALTS FOOTNOTE Char1,Footnote Text Char Char,Footnote Text Char Char Char Char,Footnote Text Char1 Char Char,Footnote Text Char2,Footnote Text Char2 Char Char Char Char,f,fn,fn ,fn Char Char,fn Char1"/>
    <w:link w:val="FootnoteTextChar"/>
    <w:rsid w:val="00E54F25"/>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54F25"/>
    <w:rPr>
      <w:rFonts w:ascii="Times New Roman" w:hAnsi="Times New Roman"/>
      <w:dstrike w:val="0"/>
      <w:color w:val="auto"/>
      <w:sz w:val="20"/>
      <w:vertAlign w:val="superscript"/>
    </w:rPr>
  </w:style>
  <w:style w:type="paragraph" w:styleId="TOC1">
    <w:name w:val="toc 1"/>
    <w:basedOn w:val="Normal"/>
    <w:next w:val="Normal"/>
    <w:semiHidden/>
    <w:rsid w:val="00E54F2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54F25"/>
    <w:pPr>
      <w:tabs>
        <w:tab w:val="left" w:pos="720"/>
        <w:tab w:val="right" w:leader="dot" w:pos="9360"/>
      </w:tabs>
      <w:suppressAutoHyphens/>
      <w:ind w:left="720" w:right="720" w:hanging="360"/>
    </w:pPr>
    <w:rPr>
      <w:noProof/>
    </w:rPr>
  </w:style>
  <w:style w:type="paragraph" w:styleId="TOC3">
    <w:name w:val="toc 3"/>
    <w:basedOn w:val="Normal"/>
    <w:next w:val="Normal"/>
    <w:semiHidden/>
    <w:rsid w:val="00E54F2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54F2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54F2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4F2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4F2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4F2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54F2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54F25"/>
    <w:pPr>
      <w:tabs>
        <w:tab w:val="right" w:pos="9360"/>
      </w:tabs>
      <w:suppressAutoHyphens/>
    </w:pPr>
  </w:style>
  <w:style w:type="character" w:customStyle="1" w:styleId="EquationCaption">
    <w:name w:val="_Equation Caption"/>
    <w:rsid w:val="00E54F25"/>
  </w:style>
  <w:style w:type="paragraph" w:styleId="Header">
    <w:name w:val="header"/>
    <w:basedOn w:val="Normal"/>
    <w:autoRedefine/>
    <w:rsid w:val="00E54F25"/>
    <w:pPr>
      <w:tabs>
        <w:tab w:val="center" w:pos="4680"/>
        <w:tab w:val="right" w:pos="9360"/>
      </w:tabs>
    </w:pPr>
    <w:rPr>
      <w:b/>
    </w:rPr>
  </w:style>
  <w:style w:type="paragraph" w:styleId="Footer">
    <w:name w:val="footer"/>
    <w:basedOn w:val="Normal"/>
    <w:link w:val="FooterChar"/>
    <w:uiPriority w:val="99"/>
    <w:rsid w:val="00E54F25"/>
    <w:pPr>
      <w:tabs>
        <w:tab w:val="center" w:pos="4320"/>
        <w:tab w:val="right" w:pos="8640"/>
      </w:tabs>
    </w:pPr>
  </w:style>
  <w:style w:type="character" w:styleId="PageNumber">
    <w:name w:val="page number"/>
    <w:basedOn w:val="DefaultParagraphFont"/>
    <w:rsid w:val="00E54F25"/>
  </w:style>
  <w:style w:type="paragraph" w:styleId="BlockText">
    <w:name w:val="Block Text"/>
    <w:basedOn w:val="Normal"/>
    <w:rsid w:val="00E54F25"/>
    <w:pPr>
      <w:spacing w:after="240"/>
      <w:ind w:left="1440" w:right="1440"/>
    </w:pPr>
  </w:style>
  <w:style w:type="paragraph" w:customStyle="1" w:styleId="Paratitle">
    <w:name w:val="Para title"/>
    <w:basedOn w:val="Normal"/>
    <w:rsid w:val="00E54F25"/>
    <w:pPr>
      <w:tabs>
        <w:tab w:val="center" w:pos="9270"/>
      </w:tabs>
      <w:spacing w:after="240"/>
    </w:pPr>
    <w:rPr>
      <w:spacing w:val="-2"/>
    </w:rPr>
  </w:style>
  <w:style w:type="paragraph" w:customStyle="1" w:styleId="Bullet">
    <w:name w:val="Bullet"/>
    <w:basedOn w:val="Normal"/>
    <w:rsid w:val="00E54F25"/>
    <w:pPr>
      <w:tabs>
        <w:tab w:val="left" w:pos="2160"/>
      </w:tabs>
      <w:spacing w:after="220"/>
      <w:ind w:left="2160" w:hanging="720"/>
    </w:pPr>
  </w:style>
  <w:style w:type="paragraph" w:customStyle="1" w:styleId="TableFormat">
    <w:name w:val="TableFormat"/>
    <w:basedOn w:val="Bullet"/>
    <w:rsid w:val="00E54F25"/>
    <w:pPr>
      <w:tabs>
        <w:tab w:val="clear" w:pos="2160"/>
        <w:tab w:val="left" w:pos="5040"/>
      </w:tabs>
      <w:ind w:left="5040" w:hanging="3600"/>
    </w:pPr>
  </w:style>
  <w:style w:type="paragraph" w:customStyle="1" w:styleId="TOCTitle">
    <w:name w:val="TOC Title"/>
    <w:basedOn w:val="Normal"/>
    <w:rsid w:val="00E54F2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54F25"/>
    <w:pPr>
      <w:jc w:val="center"/>
    </w:pPr>
    <w:rPr>
      <w:rFonts w:ascii="Times New Roman Bold" w:hAnsi="Times New Roman Bold"/>
      <w:b/>
      <w:bCs/>
      <w:caps/>
      <w:szCs w:val="22"/>
    </w:rPr>
  </w:style>
  <w:style w:type="character" w:styleId="Hyperlink">
    <w:name w:val="Hyperlink"/>
    <w:rsid w:val="00E54F25"/>
    <w:rPr>
      <w:color w:val="0000FF"/>
      <w:u w:val="single"/>
    </w:rPr>
  </w:style>
  <w:style w:type="character" w:customStyle="1" w:styleId="FooterChar">
    <w:name w:val="Footer Char"/>
    <w:link w:val="Footer"/>
    <w:uiPriority w:val="99"/>
    <w:rsid w:val="00E54F25"/>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31230E"/>
    <w:rPr>
      <w:rFonts w:ascii="Times New Roman Bold" w:hAnsi="Times New Roman Bold"/>
      <w:b/>
      <w:caps/>
      <w:snapToGrid w:val="0"/>
      <w:kern w:val="28"/>
      <w:sz w:val="22"/>
    </w:rPr>
  </w:style>
  <w:style w:type="character" w:customStyle="1" w:styleId="FootnoteTextChar">
    <w:name w:val="Footnote Text Char"/>
    <w:aliases w:val="ALTS FOOTNOTE Char Char Char,ALTS FOOTNOTE Char1 Char,Footnote Text Char Char Char,Footnote Text Char Char Char Char Char,Footnote Text Char1 Char Char Char,Footnote Text Char2 Char Char Char Char Char,fn Char Char Char,fn Char1 Char"/>
    <w:link w:val="FootnoteText"/>
    <w:rsid w:val="0031230E"/>
  </w:style>
  <w:style w:type="character" w:styleId="CommentReference">
    <w:name w:val="annotation reference"/>
    <w:rsid w:val="0031230E"/>
    <w:rPr>
      <w:sz w:val="16"/>
      <w:szCs w:val="16"/>
    </w:rPr>
  </w:style>
  <w:style w:type="paragraph" w:styleId="CommentText">
    <w:name w:val="annotation text"/>
    <w:basedOn w:val="Normal"/>
    <w:link w:val="CommentTextChar"/>
    <w:uiPriority w:val="99"/>
    <w:rsid w:val="0031230E"/>
    <w:rPr>
      <w:sz w:val="20"/>
    </w:rPr>
  </w:style>
  <w:style w:type="character" w:customStyle="1" w:styleId="CommentTextChar">
    <w:name w:val="Comment Text Char"/>
    <w:link w:val="CommentText"/>
    <w:uiPriority w:val="99"/>
    <w:rsid w:val="0031230E"/>
    <w:rPr>
      <w:snapToGrid w:val="0"/>
      <w:kern w:val="28"/>
    </w:rPr>
  </w:style>
  <w:style w:type="character" w:customStyle="1" w:styleId="ParaNumCharChar1">
    <w:name w:val="ParaNum Char Char1"/>
    <w:link w:val="ParaNum"/>
    <w:locked/>
    <w:rsid w:val="0031230E"/>
    <w:rPr>
      <w:snapToGrid w:val="0"/>
      <w:kern w:val="28"/>
      <w:sz w:val="22"/>
    </w:rPr>
  </w:style>
  <w:style w:type="paragraph" w:styleId="BalloonText">
    <w:name w:val="Balloon Text"/>
    <w:basedOn w:val="Normal"/>
    <w:link w:val="BalloonTextChar"/>
    <w:rsid w:val="0031230E"/>
    <w:rPr>
      <w:rFonts w:ascii="Segoe UI" w:hAnsi="Segoe UI" w:cs="Segoe UI"/>
      <w:sz w:val="18"/>
      <w:szCs w:val="18"/>
    </w:rPr>
  </w:style>
  <w:style w:type="character" w:customStyle="1" w:styleId="BalloonTextChar">
    <w:name w:val="Balloon Text Char"/>
    <w:link w:val="BalloonText"/>
    <w:rsid w:val="0031230E"/>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20724B"/>
    <w:rPr>
      <w:b/>
      <w:bCs/>
    </w:rPr>
  </w:style>
  <w:style w:type="character" w:customStyle="1" w:styleId="CommentSubjectChar">
    <w:name w:val="Comment Subject Char"/>
    <w:link w:val="CommentSubject"/>
    <w:rsid w:val="0020724B"/>
    <w:rPr>
      <w:b/>
      <w:bCs/>
      <w:snapToGrid w:val="0"/>
      <w:kern w:val="28"/>
    </w:rPr>
  </w:style>
  <w:style w:type="paragraph" w:styleId="Revision">
    <w:name w:val="Revision"/>
    <w:hidden/>
    <w:uiPriority w:val="99"/>
    <w:semiHidden/>
    <w:rsid w:val="00F44D15"/>
    <w:rPr>
      <w:snapToGrid w:val="0"/>
      <w:kern w:val="28"/>
      <w:sz w:val="22"/>
    </w:rPr>
  </w:style>
  <w:style w:type="paragraph" w:customStyle="1" w:styleId="Default">
    <w:name w:val="Default"/>
    <w:rsid w:val="00BB6211"/>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326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file:///D:\Users\Shannon.Lipp\AppData\Local\Microsoft\Windows\INetCache\Content.Outlook\4MMPGIGM\fcc504@fcc.gov" TargetMode="External" /><Relationship Id="rId6" Type="http://schemas.openxmlformats.org/officeDocument/2006/relationships/hyperlink" Target="file:///D:\Users\Shannon.Lipp\AppData\Local\Microsoft\Windows\INetCache\Content.Outlook\4MMPGIGM\Kimbarly.Taylo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