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6A8A953C" w14:textId="77777777">
      <w:pPr>
        <w:jc w:val="right"/>
        <w:rPr>
          <w:sz w:val="24"/>
        </w:rPr>
      </w:pPr>
    </w:p>
    <w:p w:rsidR="00013A8B" w:rsidRPr="00B20363" w:rsidP="00013A8B" w14:paraId="573AB86C" w14:textId="12EACD31">
      <w:pPr>
        <w:jc w:val="right"/>
        <w:rPr>
          <w:b/>
          <w:sz w:val="24"/>
        </w:rPr>
      </w:pPr>
      <w:r>
        <w:rPr>
          <w:b/>
          <w:sz w:val="24"/>
        </w:rPr>
        <w:t>DA 20-475</w:t>
      </w:r>
    </w:p>
    <w:p w:rsidR="00013A8B" w:rsidRPr="00B20363" w:rsidP="00013A8B" w14:paraId="02C1E50C" w14:textId="5FFFA04B">
      <w:pPr>
        <w:spacing w:before="60"/>
        <w:jc w:val="right"/>
        <w:rPr>
          <w:b/>
          <w:sz w:val="24"/>
        </w:rPr>
      </w:pPr>
      <w:r>
        <w:rPr>
          <w:b/>
          <w:sz w:val="24"/>
        </w:rPr>
        <w:t xml:space="preserve">Released:  </w:t>
      </w:r>
      <w:r w:rsidR="003061DB">
        <w:rPr>
          <w:b/>
          <w:sz w:val="24"/>
        </w:rPr>
        <w:t>May 1, 2020</w:t>
      </w:r>
    </w:p>
    <w:p w:rsidR="00013A8B" w:rsidP="00013A8B" w14:paraId="637CC0B8" w14:textId="77777777">
      <w:pPr>
        <w:jc w:val="right"/>
        <w:rPr>
          <w:sz w:val="24"/>
        </w:rPr>
      </w:pPr>
    </w:p>
    <w:p w:rsidR="003061DB" w:rsidRPr="003061DB" w:rsidP="003061DB" w14:paraId="3BB1AC08" w14:textId="150C9692">
      <w:pPr>
        <w:pStyle w:val="BodyText"/>
      </w:pPr>
      <w:bookmarkStart w:id="0" w:name="TOChere"/>
      <w:r w:rsidRPr="003061DB">
        <w:t xml:space="preserve">ANONYMIZED DATA DERIVED FROM NUMBERING RESOURCE UTILIZATION AND FORECAST REPORTS TO BE PLACED INTO THE </w:t>
      </w:r>
      <w:r>
        <w:t>5G</w:t>
      </w:r>
      <w:r>
        <w:t xml:space="preserve"> FUND </w:t>
      </w:r>
      <w:r w:rsidRPr="003061DB">
        <w:t xml:space="preserve">RECORD </w:t>
      </w:r>
    </w:p>
    <w:p w:rsidR="003061DB" w:rsidRPr="003061DB" w:rsidP="003061DB" w14:paraId="2A21751E" w14:textId="77777777">
      <w:pPr>
        <w:pStyle w:val="BodyText"/>
      </w:pPr>
      <w:r w:rsidRPr="003061DB">
        <w:t>SUBJECT TO PROTECTIVE ORDER</w:t>
      </w:r>
    </w:p>
    <w:p w:rsidR="003061DB" w:rsidRPr="003061DB" w:rsidP="003061DB" w14:paraId="6096BAF1" w14:textId="6C2DA9D0">
      <w:pPr>
        <w:jc w:val="center"/>
        <w:rPr>
          <w:b/>
          <w:sz w:val="24"/>
          <w:szCs w:val="24"/>
        </w:rPr>
      </w:pPr>
      <w:r w:rsidRPr="003061DB">
        <w:rPr>
          <w:b/>
          <w:sz w:val="24"/>
          <w:szCs w:val="24"/>
        </w:rPr>
        <w:br/>
      </w:r>
      <w:r w:rsidRPr="003061DB">
        <w:rPr>
          <w:b/>
          <w:sz w:val="24"/>
          <w:szCs w:val="24"/>
        </w:rPr>
        <w:t>GN</w:t>
      </w:r>
      <w:r w:rsidRPr="003061DB">
        <w:rPr>
          <w:b/>
          <w:sz w:val="24"/>
          <w:szCs w:val="24"/>
        </w:rPr>
        <w:t xml:space="preserve"> Docket </w:t>
      </w:r>
      <w:r w:rsidR="00AB2F0A">
        <w:rPr>
          <w:b/>
          <w:sz w:val="24"/>
          <w:szCs w:val="24"/>
        </w:rPr>
        <w:t xml:space="preserve">No. </w:t>
      </w:r>
      <w:r w:rsidRPr="003061DB">
        <w:rPr>
          <w:b/>
          <w:sz w:val="24"/>
          <w:szCs w:val="24"/>
        </w:rPr>
        <w:t>20-32</w:t>
      </w:r>
    </w:p>
    <w:p w:rsidR="003061DB" w:rsidP="003061DB" w14:paraId="118E8E7D" w14:textId="0D25EA79">
      <w:pPr>
        <w:spacing w:after="240"/>
        <w:jc w:val="center"/>
        <w:rPr>
          <w:b/>
          <w:sz w:val="24"/>
          <w:szCs w:val="24"/>
        </w:rPr>
      </w:pPr>
      <w:r w:rsidRPr="003061DB">
        <w:rPr>
          <w:b/>
          <w:sz w:val="24"/>
          <w:szCs w:val="24"/>
        </w:rPr>
        <w:t xml:space="preserve">CC Docket </w:t>
      </w:r>
      <w:r w:rsidR="00AB2F0A">
        <w:rPr>
          <w:b/>
          <w:sz w:val="24"/>
          <w:szCs w:val="24"/>
        </w:rPr>
        <w:t xml:space="preserve">No. </w:t>
      </w:r>
      <w:r w:rsidRPr="003061DB">
        <w:rPr>
          <w:b/>
          <w:sz w:val="24"/>
          <w:szCs w:val="24"/>
        </w:rPr>
        <w:t>99-200</w:t>
      </w:r>
    </w:p>
    <w:p w:rsidR="003061DB" w:rsidP="003061DB" w14:paraId="540F4E4F" w14:textId="77777777">
      <w:pPr>
        <w:spacing w:after="120"/>
        <w:ind w:firstLine="720"/>
        <w:rPr>
          <w:szCs w:val="22"/>
        </w:rPr>
      </w:pPr>
      <w:r>
        <w:t xml:space="preserve">On April 23, 2020, the Commission adopted a Notice of Proposed Rulemaking proposing to establish the </w:t>
      </w:r>
      <w:r>
        <w:t>5G</w:t>
      </w:r>
      <w:r>
        <w:t xml:space="preserve"> Fund for Rural America, which would use multi-round reverse auctions to distribute up to $9 billion in two phases over the next decade and beyond to bring voice and </w:t>
      </w:r>
      <w:r>
        <w:t>5G</w:t>
      </w:r>
      <w:r>
        <w:t xml:space="preserve"> broadband service to rural areas of our country that are unlikely to see unsubsidized deployment of </w:t>
      </w:r>
      <w:r>
        <w:t>5G</w:t>
      </w:r>
      <w:r>
        <w:t>-capable networks.</w:t>
      </w:r>
      <w:r>
        <w:rPr>
          <w:rStyle w:val="FootnoteReference"/>
          <w:sz w:val="20"/>
        </w:rPr>
        <w:footnoteReference w:id="3"/>
      </w:r>
      <w:r>
        <w:t xml:space="preserve">  In the </w:t>
      </w:r>
      <w:r w:rsidRPr="007002B4">
        <w:rPr>
          <w:i/>
          <w:iCs/>
        </w:rPr>
        <w:t>5G</w:t>
      </w:r>
      <w:r w:rsidRPr="007002B4">
        <w:rPr>
          <w:i/>
          <w:iCs/>
        </w:rPr>
        <w:t xml:space="preserve"> Fund </w:t>
      </w:r>
      <w:r w:rsidRPr="007002B4">
        <w:rPr>
          <w:i/>
          <w:iCs/>
        </w:rPr>
        <w:t>NPRM</w:t>
      </w:r>
      <w:r w:rsidRPr="007002B4">
        <w:rPr>
          <w:i/>
          <w:iCs/>
        </w:rPr>
        <w:t xml:space="preserve"> and Order</w:t>
      </w:r>
      <w:r>
        <w:t xml:space="preserve">, the Commission </w:t>
      </w:r>
      <w:r w:rsidRPr="00685143">
        <w:t xml:space="preserve">directed the Office of Economics and Analytics </w:t>
      </w:r>
      <w:r>
        <w:t xml:space="preserve">(Office) </w:t>
      </w:r>
      <w:r w:rsidRPr="00685143">
        <w:t>and the Wireline Competition Bureau (Bureau) to propose and seek comment on appropriate adjustment factor values</w:t>
      </w:r>
      <w:r>
        <w:t xml:space="preserve"> to be incorporated into the </w:t>
      </w:r>
      <w:r>
        <w:t>5G</w:t>
      </w:r>
      <w:r>
        <w:t xml:space="preserve"> Fund Phase I auction design </w:t>
      </w:r>
      <w:r w:rsidRPr="001143A8">
        <w:t xml:space="preserve">to </w:t>
      </w:r>
      <w:r>
        <w:t>account for</w:t>
      </w:r>
      <w:r w:rsidRPr="001143A8">
        <w:t xml:space="preserve"> the relative cost of serving areas with differing terrain characteristics as well as the potential business case for each area.</w:t>
      </w:r>
      <w:r>
        <w:rPr>
          <w:rStyle w:val="FootnoteReference"/>
        </w:rPr>
        <w:footnoteReference w:id="4"/>
      </w:r>
      <w:r>
        <w:t xml:space="preserve">  The Commission also proposed that the adjustment factor would apply to the disaggregation of legacy high-cost support in connection with the transition to </w:t>
      </w:r>
      <w:r>
        <w:t>5G</w:t>
      </w:r>
      <w:r>
        <w:t xml:space="preserve"> Fund support.</w:t>
      </w:r>
      <w:r>
        <w:rPr>
          <w:rStyle w:val="FootnoteReference"/>
        </w:rPr>
        <w:footnoteReference w:id="5"/>
      </w:r>
      <w:r>
        <w:t xml:space="preserve">  The Office and the Bureau intend to issue a Public Notice to propose and seek comment on specific adjustment factor values for purposes of bidding in the </w:t>
      </w:r>
      <w:r>
        <w:t>5G</w:t>
      </w:r>
      <w:r>
        <w:t xml:space="preserve"> Fund auction as well as the disaggregation of legacy support.</w:t>
      </w:r>
    </w:p>
    <w:p w:rsidR="003061DB" w:rsidP="003061DB" w14:paraId="6A3C07F6" w14:textId="77777777">
      <w:pPr>
        <w:spacing w:after="120"/>
        <w:ind w:firstLine="720"/>
      </w:pPr>
      <w:r>
        <w:rPr>
          <w:szCs w:val="22"/>
        </w:rPr>
        <w:t>In</w:t>
      </w:r>
      <w:r>
        <w:t xml:space="preserve"> developing the </w:t>
      </w:r>
      <w:r>
        <w:t>5G</w:t>
      </w:r>
      <w:r>
        <w:t xml:space="preserve"> Fund adjustment factor values, the Commission intends to examine anonymized data derived from information contained in the biannual Numbering Resource Utilization and Forecast (</w:t>
      </w:r>
      <w:r>
        <w:t>NRUF</w:t>
      </w:r>
      <w:r>
        <w:t>) reports filed by wireless telecommunications carriers, carrier-specific local number portability (</w:t>
      </w:r>
      <w:r>
        <w:t>LNP</w:t>
      </w:r>
      <w:r>
        <w:t xml:space="preserve">) data related to wireless telecommunications carriers, and further disaggregated monthly carrier-specific local number portability data (Carrier-to-Carrier </w:t>
      </w:r>
      <w:r>
        <w:t>LNP</w:t>
      </w:r>
      <w:r>
        <w:t xml:space="preserve"> Data) related to wireless telecommunications carriers.</w:t>
      </w:r>
      <w:r>
        <w:rPr>
          <w:rStyle w:val="FootnoteReference"/>
          <w:sz w:val="20"/>
        </w:rPr>
        <w:footnoteReference w:id="6"/>
      </w:r>
      <w:r>
        <w:t xml:space="preserve">  Specifically, the Commission intends to examine anonymized wireless telecommunications carriers’ number of subscribers per megahertz of deployed spectrum at the Cellular Market Area level (</w:t>
      </w:r>
      <w:r>
        <w:t>NRUF</w:t>
      </w:r>
      <w:r>
        <w:t xml:space="preserve"> CMA data).  </w:t>
      </w:r>
    </w:p>
    <w:p w:rsidR="003061DB" w:rsidP="003061DB" w14:paraId="1C0A4B5A" w14:textId="77777777">
      <w:pPr>
        <w:keepNext/>
        <w:keepLines/>
        <w:spacing w:after="120"/>
        <w:ind w:firstLine="720"/>
        <w:rPr>
          <w:szCs w:val="22"/>
        </w:rPr>
      </w:pPr>
      <w:r>
        <w:t>Accordingly, subject to the provisions of a protective order being adopted this day,</w:t>
      </w:r>
      <w:r>
        <w:rPr>
          <w:rStyle w:val="FootnoteReference"/>
          <w:sz w:val="20"/>
        </w:rPr>
        <w:footnoteReference w:id="7"/>
      </w:r>
      <w:r>
        <w:t xml:space="preserve"> the Commission intends to place into the record in this proceeding:</w:t>
      </w:r>
    </w:p>
    <w:p w:rsidR="003061DB" w:rsidP="003061DB" w14:paraId="51F96D26" w14:textId="77777777">
      <w:pPr>
        <w:widowControl/>
        <w:numPr>
          <w:ilvl w:val="0"/>
          <w:numId w:val="8"/>
        </w:numPr>
        <w:tabs>
          <w:tab w:val="clear" w:pos="576"/>
          <w:tab w:val="num" w:pos="720"/>
        </w:tabs>
        <w:spacing w:after="120"/>
        <w:ind w:left="720" w:hanging="360"/>
      </w:pPr>
      <w:r>
        <w:t xml:space="preserve">The number of wireless telecommunications carriers’ subscribers per deployed megahertz of spectrum by CMA.  The subscriber numbers by CMA are derived from the </w:t>
      </w:r>
      <w:r>
        <w:t>NRUF</w:t>
      </w:r>
      <w:r>
        <w:t xml:space="preserve"> reports and </w:t>
      </w:r>
      <w:r>
        <w:t>LNP</w:t>
      </w:r>
      <w:r>
        <w:t xml:space="preserve"> data as of</w:t>
      </w:r>
      <w:r w:rsidRPr="00AF10A9">
        <w:t xml:space="preserve"> </w:t>
      </w:r>
      <w:r w:rsidRPr="00746DFD">
        <w:t>December 31, 2013.</w:t>
      </w:r>
      <w:r>
        <w:t xml:space="preserve">  Carriers will be anonymized in the dataset.</w:t>
      </w:r>
    </w:p>
    <w:p w:rsidR="003061DB" w:rsidP="003061DB" w14:paraId="68DD2025" w14:textId="77777777">
      <w:pPr>
        <w:spacing w:after="120"/>
        <w:ind w:firstLine="720"/>
      </w:pPr>
      <w:r>
        <w:t>Section 251 of the Communications Act grants the Commission jurisdiction over the North American Numbering Plan (</w:t>
      </w:r>
      <w:r>
        <w:t>NANP</w:t>
      </w:r>
      <w:r>
        <w:t>) and related telephone numbering issues.</w:t>
      </w:r>
      <w:r>
        <w:rPr>
          <w:rStyle w:val="FootnoteReference"/>
          <w:sz w:val="20"/>
        </w:rPr>
        <w:footnoteReference w:id="8"/>
      </w:r>
      <w:r>
        <w:t xml:space="preserve">  To better monitor the way numbering resources are used within the </w:t>
      </w:r>
      <w:r>
        <w:t>NANP</w:t>
      </w:r>
      <w:r>
        <w:t xml:space="preserve"> and allocate </w:t>
      </w:r>
      <w:r>
        <w:t>NANP</w:t>
      </w:r>
      <w:r>
        <w:t xml:space="preserve">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9"/>
      </w:r>
      <w:r>
        <w:t xml:space="preserve">  </w:t>
      </w:r>
      <w:r w:rsidRPr="00090C6D">
        <w:t>LNP</w:t>
      </w:r>
      <w:r w:rsidRPr="00090C6D">
        <w:t xml:space="preserve"> data are collected by the </w:t>
      </w:r>
      <w:r w:rsidRPr="00090C6D">
        <w:t>LNP</w:t>
      </w:r>
      <w:r w:rsidRPr="00090C6D">
        <w:t xml:space="preserve"> Administrator and provided to the Commission</w:t>
      </w:r>
      <w:r>
        <w:t xml:space="preserve">.  </w:t>
      </w:r>
    </w:p>
    <w:p w:rsidR="003061DB" w:rsidP="003061DB" w14:paraId="06272760" w14:textId="77777777">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10"/>
      </w:r>
      <w:r>
        <w:t xml:space="preserve">  Although the </w:t>
      </w:r>
      <w:r>
        <w:t>NRUF</w:t>
      </w:r>
      <w:r>
        <w:t xml:space="preserve"> CMA data will be anonymized, it might be possible in some circumstances to determine the identity of a carrier in a specific CMA.  Accordingly, the anonymized </w:t>
      </w:r>
      <w:r>
        <w:t>NRUF</w:t>
      </w:r>
      <w:r>
        <w:t xml:space="preserve"> CMA data will be placed into the record subject to the provisions of the Protective Order.  As such, the </w:t>
      </w:r>
      <w:r>
        <w:t>NRUF</w:t>
      </w:r>
      <w:r>
        <w:t xml:space="preserve"> CMA data will not be available to the public except pursuant to the terms of the Protective Order, as outlined below.</w:t>
      </w:r>
    </w:p>
    <w:p w:rsidR="003061DB" w:rsidP="003061DB" w14:paraId="271E51FD" w14:textId="77777777">
      <w:pPr>
        <w:spacing w:after="120"/>
        <w:ind w:firstLine="720"/>
      </w:pPr>
      <w:r>
        <w:t xml:space="preserve">Persons seeking to review the </w:t>
      </w:r>
      <w:r>
        <w:t>NRUF</w:t>
      </w:r>
      <w:r>
        <w:t xml:space="preserve"> CMA data may do so only for purposes of participating in this proceeding.  Pursuant to the Protective Order, outside persons participating or intending to participate in the proceeding who are not involved in competitive decision-making activities and who have signed the Acknowledgment of Confidentiality attached to the Protective Order may review the </w:t>
      </w:r>
      <w:r>
        <w:t>NRUF</w:t>
      </w:r>
      <w:r>
        <w:t xml:space="preserve"> CMA data.  We emphasize that persons seeking to review the </w:t>
      </w:r>
      <w:r>
        <w:t>NRUF</w:t>
      </w:r>
      <w:r>
        <w:t xml:space="preserve"> data must have adequate protections in place to prevent improper use or disclosure of the information.</w:t>
      </w:r>
    </w:p>
    <w:p w:rsidR="003061DB" w:rsidP="003061DB" w14:paraId="513C0EA8" w14:textId="77777777">
      <w:pPr>
        <w:spacing w:after="120"/>
        <w:ind w:firstLine="720"/>
      </w:pPr>
      <w:r>
        <w:t xml:space="preserve">Affected parties have until </w:t>
      </w:r>
      <w:r w:rsidRPr="00591559">
        <w:rPr>
          <w:b/>
          <w:bCs/>
          <w:u w:val="single"/>
        </w:rPr>
        <w:t xml:space="preserve">May </w:t>
      </w:r>
      <w:r>
        <w:rPr>
          <w:b/>
          <w:bCs/>
          <w:u w:val="single"/>
        </w:rPr>
        <w:t>11</w:t>
      </w:r>
      <w:r w:rsidRPr="00591559">
        <w:rPr>
          <w:b/>
          <w:bCs/>
          <w:u w:val="single"/>
        </w:rPr>
        <w:t>,</w:t>
      </w:r>
      <w:r w:rsidRPr="001E0CF7">
        <w:rPr>
          <w:b/>
          <w:bCs/>
          <w:u w:val="single"/>
        </w:rPr>
        <w:t xml:space="preserve"> 2020</w:t>
      </w:r>
      <w:r>
        <w:t xml:space="preserve">, to oppose disclosure of their anonymized </w:t>
      </w:r>
      <w:r>
        <w:t>NRUF</w:t>
      </w:r>
      <w:r>
        <w:t xml:space="preserve"> CMA data.  In addition, affected parties will have three business days after the filing of an Acknowledgment of Confidentiality to object to the release of the data to a </w:t>
      </w:r>
      <w:r>
        <w:t>particular person</w:t>
      </w:r>
      <w:r>
        <w:t xml:space="preserve"> who requests permission to review it.</w:t>
      </w:r>
    </w:p>
    <w:p w:rsidR="003061DB" w:rsidP="003061DB" w14:paraId="080B2245" w14:textId="77777777">
      <w:pPr>
        <w:spacing w:after="120"/>
        <w:ind w:firstLine="720"/>
      </w:pPr>
      <w:r>
        <w:t xml:space="preserve">If the Commission receives no opposition from affected parties by </w:t>
      </w:r>
      <w:r w:rsidRPr="00591559">
        <w:rPr>
          <w:b/>
          <w:bCs/>
          <w:u w:val="single"/>
        </w:rPr>
        <w:t xml:space="preserve">May </w:t>
      </w:r>
      <w:r>
        <w:rPr>
          <w:b/>
          <w:bCs/>
          <w:u w:val="single"/>
        </w:rPr>
        <w:t>11</w:t>
      </w:r>
      <w:r>
        <w:rPr>
          <w:b/>
          <w:u w:val="single"/>
        </w:rPr>
        <w:t>, 2020</w:t>
      </w:r>
      <w:r>
        <w:t xml:space="preserve">, the Commission will place the anonymized </w:t>
      </w:r>
      <w:r>
        <w:t>NRUF</w:t>
      </w:r>
      <w:r>
        <w:t xml:space="preserve"> CMA data into the record subject to the safeguards contained in the Protective Order.  If disclosure is opposed, the procedures set forth in 47 CFR § 0.461(i) shall apply.  All filings should refer to </w:t>
      </w:r>
      <w:r>
        <w:t>GN</w:t>
      </w:r>
      <w:r>
        <w:t xml:space="preserve"> Docket 20-32.</w:t>
      </w:r>
    </w:p>
    <w:p w:rsidR="003061DB" w:rsidP="003061DB" w14:paraId="2E2E5F60" w14:textId="77777777">
      <w:pPr>
        <w:spacing w:after="120"/>
        <w:ind w:firstLine="720"/>
        <w:rPr>
          <w:szCs w:val="22"/>
        </w:rPr>
      </w:pPr>
      <w:r>
        <w:rPr>
          <w:szCs w:val="22"/>
        </w:rPr>
        <w:t>Under the Commission’s current procedures for the submission of filings and other documents,</w:t>
      </w:r>
      <w:r>
        <w:rPr>
          <w:rStyle w:val="FootnoteReference"/>
          <w:sz w:val="20"/>
        </w:rPr>
        <w:footnoteReference w:id="11"/>
      </w:r>
      <w:r>
        <w:rPr>
          <w:szCs w:val="22"/>
        </w:rPr>
        <w:t xml:space="preserve"> submissions in this matter may be filed electronically through the Commission’s Electronic Comment Filing System (</w:t>
      </w:r>
      <w:r>
        <w:rPr>
          <w:szCs w:val="22"/>
        </w:rPr>
        <w:t>ECFS</w:t>
      </w:r>
      <w:r>
        <w:rPr>
          <w:szCs w:val="22"/>
        </w:rPr>
        <w:t>).</w:t>
      </w:r>
    </w:p>
    <w:p w:rsidR="003061DB" w:rsidRPr="00591559" w:rsidP="003061DB" w14:paraId="440DA317" w14:textId="77777777">
      <w:pPr>
        <w:keepNext/>
        <w:keepLines/>
        <w:widowControl/>
        <w:numPr>
          <w:ilvl w:val="0"/>
          <w:numId w:val="8"/>
        </w:numPr>
        <w:tabs>
          <w:tab w:val="clear" w:pos="576"/>
          <w:tab w:val="num" w:pos="720"/>
        </w:tabs>
        <w:spacing w:after="120"/>
        <w:ind w:left="720" w:hanging="360"/>
      </w:pPr>
      <w:r w:rsidRPr="00591559">
        <w:rPr>
          <w:b/>
          <w:szCs w:val="22"/>
        </w:rPr>
        <w:t>To file electronically</w:t>
      </w:r>
      <w:r w:rsidRPr="00591559">
        <w:rPr>
          <w:szCs w:val="22"/>
        </w:rPr>
        <w:t>,</w:t>
      </w:r>
      <w:r>
        <w:rPr>
          <w:sz w:val="20"/>
          <w:vertAlign w:val="superscript"/>
        </w:rPr>
        <w:footnoteReference w:id="12"/>
      </w:r>
      <w:r w:rsidRPr="00591559">
        <w:rPr>
          <w:b/>
          <w:szCs w:val="22"/>
        </w:rPr>
        <w:t xml:space="preserve"> </w:t>
      </w:r>
      <w:r w:rsidRPr="00591559">
        <w:rPr>
          <w:szCs w:val="22"/>
        </w:rPr>
        <w:t>filings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BF43CA" w:rsidRPr="00591559" w:rsidP="007A7463" w14:paraId="5894378B" w14:textId="79B0BDA0">
      <w:pPr>
        <w:pStyle w:val="ListParagraph"/>
        <w:keepNext/>
        <w:keepLines/>
        <w:numPr>
          <w:ilvl w:val="0"/>
          <w:numId w:val="8"/>
        </w:numPr>
        <w:tabs>
          <w:tab w:val="clear" w:pos="576"/>
          <w:tab w:val="num" w:pos="720"/>
        </w:tabs>
        <w:spacing w:after="120"/>
        <w:ind w:left="720" w:hanging="360"/>
        <w:contextualSpacing w:val="0"/>
      </w:pPr>
      <w:r w:rsidRPr="00591559">
        <w:rPr>
          <w:rFonts w:cs="TmsRmn"/>
          <w:b/>
          <w:bCs/>
          <w:color w:val="000000"/>
          <w:szCs w:val="22"/>
        </w:rPr>
        <w:t>To file by paper</w:t>
      </w:r>
      <w:r w:rsidRPr="00591559">
        <w:rPr>
          <w:rFonts w:cs="TmsRmn"/>
          <w:color w:val="000000"/>
          <w:szCs w:val="22"/>
        </w:rPr>
        <w:t xml:space="preserve">, the original and </w:t>
      </w:r>
      <w:r>
        <w:rPr>
          <w:rFonts w:cs="TmsRmn"/>
          <w:color w:val="000000"/>
          <w:szCs w:val="22"/>
        </w:rPr>
        <w:t>one copy</w:t>
      </w:r>
      <w:r w:rsidRPr="00591559">
        <w:rPr>
          <w:rFonts w:cs="TmsRmn"/>
          <w:color w:val="000000"/>
          <w:szCs w:val="22"/>
        </w:rPr>
        <w:t xml:space="preserve"> of each filing must be filed by commercial overnight courier, or by first-class or overnight U.S. Postal Service mail.  </w:t>
      </w:r>
      <w:r w:rsidRPr="00591559">
        <w:rPr>
          <w:spacing w:val="-2"/>
          <w:szCs w:val="22"/>
        </w:rPr>
        <w:t xml:space="preserve">All filings must be addressed to the Commission’s Secretary, Office of the Secretary, Federal Communications Commission.  </w:t>
      </w:r>
    </w:p>
    <w:p w:rsidR="003061DB" w:rsidRPr="00591559" w:rsidP="003061DB" w14:paraId="142E44B8" w14:textId="77777777">
      <w:pPr>
        <w:widowControl/>
        <w:numPr>
          <w:ilvl w:val="0"/>
          <w:numId w:val="9"/>
        </w:numPr>
        <w:ind w:left="1080"/>
        <w:rPr>
          <w:spacing w:val="-2"/>
          <w:szCs w:val="22"/>
        </w:rPr>
      </w:pPr>
      <w:r w:rsidRPr="00591559">
        <w:rPr>
          <w:spacing w:val="-2"/>
          <w:szCs w:val="22"/>
        </w:rPr>
        <w:t>Commercial overnight mail (other than U.S. Postal Service Express Mail and Priority Mail) must be sent to 9050 Junction Dr., Annapolis Junction, Annapolis MD 20701.</w:t>
      </w:r>
    </w:p>
    <w:p w:rsidR="003061DB" w:rsidRPr="00591559" w:rsidP="003061DB" w14:paraId="4E0F154B" w14:textId="77777777">
      <w:pPr>
        <w:rPr>
          <w:spacing w:val="-2"/>
          <w:szCs w:val="22"/>
        </w:rPr>
      </w:pPr>
    </w:p>
    <w:p w:rsidR="007A7463" w:rsidP="007A7463" w14:paraId="05930767" w14:textId="41BE9719">
      <w:pPr>
        <w:widowControl/>
        <w:numPr>
          <w:ilvl w:val="0"/>
          <w:numId w:val="9"/>
        </w:numPr>
        <w:ind w:left="1080"/>
        <w:rPr>
          <w:spacing w:val="-2"/>
          <w:szCs w:val="22"/>
        </w:rPr>
      </w:pPr>
      <w:r w:rsidRPr="00591559">
        <w:rPr>
          <w:spacing w:val="-2"/>
          <w:szCs w:val="22"/>
        </w:rPr>
        <w:t>U.S. Postal Service first-class, Express, and Priority mail must be addressed to 445 12th Street, SW, Washington DC  20554.</w:t>
      </w:r>
    </w:p>
    <w:p w:rsidR="007A7463" w:rsidP="007A7463" w14:paraId="47B76AA1" w14:textId="77777777">
      <w:pPr>
        <w:widowControl/>
        <w:ind w:left="1080"/>
        <w:rPr>
          <w:spacing w:val="-2"/>
          <w:szCs w:val="22"/>
        </w:rPr>
      </w:pPr>
      <w:bookmarkStart w:id="2" w:name="_GoBack"/>
      <w:bookmarkEnd w:id="2"/>
    </w:p>
    <w:p w:rsidR="007A7463" w:rsidRPr="007A7463" w:rsidP="007A7463" w14:paraId="7F8CD846" w14:textId="2608FC2A">
      <w:pPr>
        <w:widowControl/>
        <w:numPr>
          <w:ilvl w:val="0"/>
          <w:numId w:val="9"/>
        </w:numPr>
        <w:ind w:left="1080"/>
      </w:pPr>
      <w:r w:rsidRPr="00591559">
        <w:rPr>
          <w:rFonts w:eastAsia="Calibri"/>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vertAlign w:val="superscript"/>
        </w:rPr>
        <w:footnoteReference w:id="13"/>
      </w:r>
      <w:r w:rsidRPr="00591559">
        <w:rPr>
          <w:rFonts w:eastAsia="Calibri"/>
          <w:szCs w:val="22"/>
        </w:rPr>
        <w:t xml:space="preserve">  </w:t>
      </w:r>
    </w:p>
    <w:p w:rsidR="007A7463" w:rsidP="007A7463" w14:paraId="45379113" w14:textId="77777777">
      <w:pPr>
        <w:widowControl/>
        <w:ind w:left="1080"/>
        <w:rPr>
          <w:spacing w:val="-2"/>
          <w:szCs w:val="22"/>
        </w:rPr>
      </w:pPr>
    </w:p>
    <w:p w:rsidR="007A7463" w:rsidRPr="007A7463" w:rsidP="007A7463" w14:paraId="608C509D" w14:textId="613D7B05">
      <w:pPr>
        <w:widowControl/>
        <w:numPr>
          <w:ilvl w:val="0"/>
          <w:numId w:val="9"/>
        </w:numPr>
        <w:ind w:left="1080"/>
        <w:rPr>
          <w:spacing w:val="-2"/>
          <w:szCs w:val="22"/>
        </w:rPr>
      </w:pPr>
      <w:r w:rsidRPr="007A7463">
        <w:rPr>
          <w:spacing w:val="-2"/>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3061DB" w:rsidRPr="00591559" w:rsidP="003061DB" w14:paraId="1E9889E6" w14:textId="77777777">
      <w:pPr>
        <w:rPr>
          <w:spacing w:val="-2"/>
          <w:szCs w:val="22"/>
        </w:rPr>
      </w:pPr>
    </w:p>
    <w:p w:rsidR="003061DB" w:rsidRPr="00591559" w:rsidP="003061DB" w14:paraId="5CEEF832" w14:textId="77777777">
      <w:pPr>
        <w:pStyle w:val="ListParagraph"/>
        <w:spacing w:after="120"/>
        <w:ind w:left="0" w:firstLine="720"/>
        <w:contextualSpacing w:val="0"/>
        <w:rPr>
          <w:szCs w:val="22"/>
        </w:rPr>
      </w:pPr>
      <w:r w:rsidRPr="00591559">
        <w:rPr>
          <w:color w:val="000000"/>
          <w:szCs w:val="22"/>
        </w:rPr>
        <w:t>One copy of each filing also must be delivered electronically, by email, or if delivered as paper copy, by commercial overnight courier, or by first-class or overnight U.S. Postal Service mail (according to the procedures set forth above for paper filings), to:  (1)</w:t>
      </w:r>
      <w:r w:rsidRPr="00591559">
        <w:rPr>
          <w:szCs w:val="22"/>
        </w:rPr>
        <w:t xml:space="preserve"> Kate Matraves, </w:t>
      </w:r>
      <w:r>
        <w:rPr>
          <w:szCs w:val="22"/>
        </w:rPr>
        <w:t>Economic Analysis Division</w:t>
      </w:r>
      <w:r w:rsidRPr="00591559">
        <w:rPr>
          <w:szCs w:val="22"/>
        </w:rPr>
        <w:t xml:space="preserve">, Office of Economics and Analytics, at </w:t>
      </w:r>
      <w:hyperlink r:id="rId5" w:history="1">
        <w:r w:rsidRPr="00533D39">
          <w:rPr>
            <w:rStyle w:val="Hyperlink"/>
            <w:rFonts w:cs="TmsRmn"/>
            <w:szCs w:val="22"/>
          </w:rPr>
          <w:t>catherine.matraves@fcc.gov</w:t>
        </w:r>
      </w:hyperlink>
      <w:r w:rsidRPr="00591559">
        <w:rPr>
          <w:szCs w:val="22"/>
        </w:rPr>
        <w:t xml:space="preserve">; and </w:t>
      </w:r>
      <w:r w:rsidRPr="00591559">
        <w:rPr>
          <w:color w:val="000000"/>
          <w:szCs w:val="22"/>
        </w:rPr>
        <w:t xml:space="preserve">(2) Joel </w:t>
      </w:r>
      <w:r w:rsidRPr="00591559">
        <w:rPr>
          <w:color w:val="000000"/>
          <w:szCs w:val="22"/>
        </w:rPr>
        <w:t>Rabinovitz</w:t>
      </w:r>
      <w:r w:rsidRPr="00591559">
        <w:rPr>
          <w:color w:val="000000"/>
          <w:szCs w:val="22"/>
        </w:rPr>
        <w:t xml:space="preserve">, Office of General Counsel, at </w:t>
      </w:r>
      <w:hyperlink r:id="rId6" w:history="1">
        <w:r w:rsidRPr="009E3361">
          <w:rPr>
            <w:rStyle w:val="Hyperlink"/>
            <w:szCs w:val="22"/>
          </w:rPr>
          <w:t>Joel.Rabinovitz@fcc.gov</w:t>
        </w:r>
      </w:hyperlink>
      <w:r w:rsidRPr="00591559">
        <w:rPr>
          <w:szCs w:val="22"/>
        </w:rPr>
        <w:t xml:space="preserve">.  Any submission emailed to these individuals should include in the subject line of the email:  (1) </w:t>
      </w:r>
      <w:r w:rsidRPr="00591559">
        <w:rPr>
          <w:szCs w:val="22"/>
        </w:rPr>
        <w:t>GN</w:t>
      </w:r>
      <w:r w:rsidRPr="00591559">
        <w:rPr>
          <w:szCs w:val="22"/>
        </w:rPr>
        <w:t xml:space="preserve"> Docket 20-32; (2) the name of the submitting party; and (3) a brief description or title identifying the type of document being submitted (e.g., </w:t>
      </w:r>
      <w:r w:rsidRPr="00591559">
        <w:rPr>
          <w:szCs w:val="22"/>
        </w:rPr>
        <w:t>GN</w:t>
      </w:r>
      <w:r w:rsidRPr="00591559">
        <w:rPr>
          <w:szCs w:val="22"/>
        </w:rPr>
        <w:t xml:space="preserve"> Docket 20-32, Widget Corp., </w:t>
      </w:r>
      <w:r w:rsidRPr="00591559">
        <w:rPr>
          <w:szCs w:val="22"/>
        </w:rPr>
        <w:t>NRUF</w:t>
      </w:r>
      <w:r w:rsidRPr="00591559">
        <w:rPr>
          <w:szCs w:val="22"/>
        </w:rPr>
        <w:t xml:space="preserve"> Objection)</w:t>
      </w:r>
      <w:r w:rsidRPr="00591559">
        <w:rPr>
          <w:color w:val="000000"/>
          <w:szCs w:val="22"/>
        </w:rPr>
        <w:t>.</w:t>
      </w:r>
    </w:p>
    <w:p w:rsidR="003061DB" w:rsidRPr="00591559" w:rsidP="003061DB" w14:paraId="56B4867B" w14:textId="77777777">
      <w:pPr>
        <w:spacing w:after="120"/>
        <w:ind w:firstLine="720"/>
      </w:pPr>
      <w:r w:rsidRPr="00591559">
        <w:t>This action is taken pursuant to Sections 4(j) and 310(d) of the Communications Act, 47 U.S.C. §§ 154(j), 310(d), Section 4 of the Freedom of Information Act, 5 U.S.C. § 552(b)(4), and authority delegated under Sections 0.271 and 0.291 of the Commission’s rules, 47 CFR §§ 0.271, 0.291, and is effective upon its adoption.</w:t>
      </w:r>
    </w:p>
    <w:p w:rsidR="003061DB" w:rsidP="003061DB" w14:paraId="6698013C" w14:textId="77777777">
      <w:pPr>
        <w:spacing w:after="120"/>
        <w:ind w:firstLine="720"/>
        <w:rPr>
          <w:rStyle w:val="Normal10"/>
          <w:szCs w:val="22"/>
        </w:rPr>
      </w:pPr>
      <w:r w:rsidRPr="00591559">
        <w:rPr>
          <w:szCs w:val="22"/>
        </w:rPr>
        <w:t xml:space="preserve">For further information, </w:t>
      </w:r>
      <w:r>
        <w:rPr>
          <w:szCs w:val="22"/>
        </w:rPr>
        <w:t>contact Kate Matraves at (202) 391-6272 or</w:t>
      </w:r>
      <w:r w:rsidRPr="00591559">
        <w:rPr>
          <w:szCs w:val="22"/>
        </w:rPr>
        <w:t xml:space="preserve"> </w:t>
      </w:r>
      <w:hyperlink r:id="rId5" w:history="1">
        <w:r w:rsidRPr="00162DDA">
          <w:rPr>
            <w:rStyle w:val="Hyperlink"/>
            <w:rFonts w:cs="TmsRmn"/>
            <w:szCs w:val="22"/>
          </w:rPr>
          <w:t>catherine.matraves@fcc.gov</w:t>
        </w:r>
      </w:hyperlink>
      <w:r>
        <w:rPr>
          <w:rStyle w:val="Hyperlink"/>
          <w:rFonts w:cs="TmsRmn"/>
          <w:szCs w:val="22"/>
        </w:rPr>
        <w:t>,</w:t>
      </w:r>
      <w:r>
        <w:rPr>
          <w:szCs w:val="22"/>
        </w:rPr>
        <w:t xml:space="preserve"> or Joel </w:t>
      </w:r>
      <w:r>
        <w:rPr>
          <w:szCs w:val="22"/>
        </w:rPr>
        <w:t>Rabinovitz</w:t>
      </w:r>
      <w:r>
        <w:rPr>
          <w:szCs w:val="22"/>
        </w:rPr>
        <w:t xml:space="preserve"> at (202) 418-0689 or </w:t>
      </w:r>
      <w:hyperlink r:id="rId6" w:history="1">
        <w:r w:rsidRPr="00533D39">
          <w:rPr>
            <w:rStyle w:val="Hyperlink"/>
            <w:szCs w:val="22"/>
          </w:rPr>
          <w:t>joel.rabinovitz@fcc.gov</w:t>
        </w:r>
      </w:hyperlink>
      <w:r>
        <w:rPr>
          <w:color w:val="000000"/>
          <w:szCs w:val="22"/>
        </w:rPr>
        <w:t xml:space="preserve">. </w:t>
      </w:r>
    </w:p>
    <w:p w:rsidR="003061DB" w:rsidRPr="00BF7452" w:rsidP="003061DB" w14:paraId="707451DB" w14:textId="77777777">
      <w:pPr>
        <w:spacing w:after="120"/>
        <w:jc w:val="center"/>
        <w:rPr>
          <w:b/>
          <w:szCs w:val="22"/>
        </w:rPr>
      </w:pPr>
      <w:r>
        <w:rPr>
          <w:b/>
          <w:szCs w:val="22"/>
        </w:rPr>
        <w:t>-FCC-</w:t>
      </w:r>
    </w:p>
    <w:p w:rsidR="003061DB" w:rsidRPr="003061DB" w:rsidP="003061DB" w14:paraId="5607E7D4" w14:textId="77777777">
      <w:pPr>
        <w:spacing w:after="240"/>
        <w:rPr>
          <w:b/>
          <w:sz w:val="24"/>
          <w:szCs w:val="24"/>
        </w:rPr>
      </w:pPr>
    </w:p>
    <w:p w:rsidR="00F96F63" w:rsidRPr="00930ECF" w:rsidP="00F96F63" w14:paraId="55AA1E25" w14:textId="77777777">
      <w:pPr>
        <w:rPr>
          <w:sz w:val="24"/>
        </w:rPr>
      </w:pPr>
    </w:p>
    <w:bookmarkEnd w:id="0"/>
    <w:p w:rsidR="00F96F63" w:rsidP="00F96F63" w14:paraId="7A534967" w14:textId="77777777">
      <w:pPr>
        <w:rPr>
          <w:sz w:val="24"/>
        </w:rPr>
      </w:pPr>
    </w:p>
    <w:p w:rsidR="00930ECF" w:rsidRPr="00930ECF" w:rsidP="00F96F63" w14:paraId="6833FE0F"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DB6BB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638B8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6FD599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0E8CAF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1DB" w14:paraId="2DA67937" w14:textId="77777777">
      <w:r>
        <w:separator/>
      </w:r>
    </w:p>
  </w:footnote>
  <w:footnote w:type="continuationSeparator" w:id="1">
    <w:p w:rsidR="003061DB" w14:paraId="17301E26" w14:textId="77777777">
      <w:pPr>
        <w:rPr>
          <w:sz w:val="20"/>
        </w:rPr>
      </w:pPr>
      <w:r>
        <w:rPr>
          <w:sz w:val="20"/>
        </w:rPr>
        <w:t xml:space="preserve">(Continued from previous page)  </w:t>
      </w:r>
      <w:r>
        <w:rPr>
          <w:sz w:val="20"/>
        </w:rPr>
        <w:separator/>
      </w:r>
    </w:p>
  </w:footnote>
  <w:footnote w:type="continuationNotice" w:id="2">
    <w:p w:rsidR="003061DB" w:rsidP="00910F12" w14:paraId="4921F5C9" w14:textId="77777777">
      <w:pPr>
        <w:jc w:val="right"/>
        <w:rPr>
          <w:sz w:val="20"/>
        </w:rPr>
      </w:pPr>
      <w:r>
        <w:rPr>
          <w:sz w:val="20"/>
        </w:rPr>
        <w:t>(continued….)</w:t>
      </w:r>
    </w:p>
  </w:footnote>
  <w:footnote w:id="3">
    <w:p w:rsidR="003061DB" w:rsidRPr="00B52794" w:rsidP="003061DB" w14:paraId="39753073" w14:textId="77777777">
      <w:pPr>
        <w:pStyle w:val="FootnoteText"/>
        <w:rPr>
          <w:iCs/>
        </w:rPr>
      </w:pPr>
      <w:r>
        <w:rPr>
          <w:rStyle w:val="FootnoteReference"/>
        </w:rPr>
        <w:footnoteRef/>
      </w:r>
      <w:r>
        <w:t xml:space="preserve"> </w:t>
      </w:r>
      <w:bookmarkStart w:id="1" w:name="_Hlk38924016"/>
      <w:r>
        <w:rPr>
          <w:i/>
          <w:iCs/>
        </w:rPr>
        <w:t xml:space="preserve">Establishing a </w:t>
      </w:r>
      <w:r>
        <w:rPr>
          <w:i/>
          <w:iCs/>
        </w:rPr>
        <w:t>5G</w:t>
      </w:r>
      <w:r>
        <w:rPr>
          <w:i/>
          <w:iCs/>
        </w:rPr>
        <w:t xml:space="preserve"> Fund for Rural America</w:t>
      </w:r>
      <w:r>
        <w:t xml:space="preserve">, </w:t>
      </w:r>
      <w:r>
        <w:t>GN</w:t>
      </w:r>
      <w:r>
        <w:t xml:space="preserve"> Docket No. 20-32, Notice of Proposed Rulemaking and Order, FCC 20-52 (Apr. 23, 2020) (</w:t>
      </w:r>
      <w:r w:rsidRPr="00715EDE">
        <w:rPr>
          <w:i/>
          <w:iCs/>
        </w:rPr>
        <w:t>5G</w:t>
      </w:r>
      <w:r>
        <w:rPr>
          <w:i/>
        </w:rPr>
        <w:t xml:space="preserve"> Fund </w:t>
      </w:r>
      <w:r>
        <w:rPr>
          <w:i/>
        </w:rPr>
        <w:t>NPRM</w:t>
      </w:r>
      <w:r>
        <w:rPr>
          <w:i/>
        </w:rPr>
        <w:t xml:space="preserve"> and Order</w:t>
      </w:r>
      <w:r>
        <w:t>).</w:t>
      </w:r>
      <w:bookmarkEnd w:id="1"/>
    </w:p>
  </w:footnote>
  <w:footnote w:id="4">
    <w:p w:rsidR="003061DB" w:rsidRPr="001143A8" w:rsidP="003061DB" w14:paraId="5FD08936" w14:textId="77777777">
      <w:pPr>
        <w:pStyle w:val="FootnoteText"/>
      </w:pPr>
      <w:r>
        <w:rPr>
          <w:rStyle w:val="FootnoteReference"/>
        </w:rPr>
        <w:footnoteRef/>
      </w:r>
      <w:r>
        <w:t xml:space="preserve"> </w:t>
      </w:r>
      <w:r w:rsidRPr="00715EDE">
        <w:rPr>
          <w:i/>
          <w:iCs/>
        </w:rPr>
        <w:t>5G</w:t>
      </w:r>
      <w:r>
        <w:rPr>
          <w:i/>
        </w:rPr>
        <w:t xml:space="preserve"> Fund </w:t>
      </w:r>
      <w:r>
        <w:rPr>
          <w:i/>
        </w:rPr>
        <w:t>NPRM</w:t>
      </w:r>
      <w:r>
        <w:rPr>
          <w:i/>
        </w:rPr>
        <w:t xml:space="preserve"> and Order</w:t>
      </w:r>
      <w:r>
        <w:t xml:space="preserve"> at para. 202.</w:t>
      </w:r>
    </w:p>
  </w:footnote>
  <w:footnote w:id="5">
    <w:p w:rsidR="003061DB" w:rsidRPr="00A57ADC" w:rsidP="003061DB" w14:paraId="5E2CC9DC" w14:textId="654E7151">
      <w:pPr>
        <w:pStyle w:val="FootnoteText"/>
        <w:rPr>
          <w:iCs/>
        </w:rPr>
      </w:pPr>
      <w:r>
        <w:rPr>
          <w:rStyle w:val="FootnoteReference"/>
        </w:rPr>
        <w:footnoteRef/>
      </w:r>
      <w:r>
        <w:t xml:space="preserve"> </w:t>
      </w:r>
      <w:r w:rsidR="00516C68">
        <w:rPr>
          <w:i/>
          <w:iCs/>
        </w:rPr>
        <w:t>Id.</w:t>
      </w:r>
      <w:r>
        <w:rPr>
          <w:i/>
        </w:rPr>
        <w:t xml:space="preserve"> </w:t>
      </w:r>
      <w:r>
        <w:rPr>
          <w:iCs/>
        </w:rPr>
        <w:t>at para. 203.</w:t>
      </w:r>
    </w:p>
  </w:footnote>
  <w:footnote w:id="6">
    <w:p w:rsidR="003061DB" w:rsidP="003061DB" w14:paraId="7748F6AD" w14:textId="77777777">
      <w:pPr>
        <w:pStyle w:val="FootnoteText"/>
        <w:rPr>
          <w:i/>
        </w:rPr>
      </w:pPr>
      <w:r>
        <w:rPr>
          <w:rStyle w:val="FootnoteReference"/>
        </w:rPr>
        <w:footnoteRef/>
      </w:r>
      <w:r>
        <w:t xml:space="preserve"> 47 CFR §§ 1.907, 52.5.</w:t>
      </w:r>
    </w:p>
  </w:footnote>
  <w:footnote w:id="7">
    <w:p w:rsidR="003061DB" w:rsidP="003061DB" w14:paraId="452C516B" w14:textId="2DF8FEF6">
      <w:pPr>
        <w:pStyle w:val="FootnoteText"/>
      </w:pPr>
      <w:r>
        <w:rPr>
          <w:rStyle w:val="FootnoteReference"/>
        </w:rPr>
        <w:footnoteRef/>
      </w:r>
      <w:r>
        <w:t xml:space="preserve"> </w:t>
      </w:r>
      <w:r w:rsidRPr="008B4722">
        <w:rPr>
          <w:i/>
          <w:iCs/>
        </w:rPr>
        <w:t xml:space="preserve">Establishing a </w:t>
      </w:r>
      <w:r w:rsidRPr="008B4722">
        <w:rPr>
          <w:i/>
          <w:iCs/>
        </w:rPr>
        <w:t>5G</w:t>
      </w:r>
      <w:r w:rsidRPr="008B4722">
        <w:rPr>
          <w:i/>
          <w:iCs/>
        </w:rPr>
        <w:t xml:space="preserve"> Fund for Rural America</w:t>
      </w:r>
      <w:r w:rsidRPr="008B4722">
        <w:t xml:space="preserve">, </w:t>
      </w:r>
      <w:r w:rsidRPr="008B4722">
        <w:t>GN</w:t>
      </w:r>
      <w:r w:rsidRPr="008B4722">
        <w:t xml:space="preserve"> Docket No. 20-3</w:t>
      </w:r>
      <w:r>
        <w:t>2</w:t>
      </w:r>
      <w:r w:rsidRPr="008B4722">
        <w:t xml:space="preserve">, </w:t>
      </w:r>
      <w:r>
        <w:t>Protective</w:t>
      </w:r>
      <w:r w:rsidRPr="008B4722">
        <w:t xml:space="preserve"> </w:t>
      </w:r>
      <w:r w:rsidRPr="003061DB">
        <w:t>Order, DA 20-474</w:t>
      </w:r>
      <w:r>
        <w:t xml:space="preserve"> (</w:t>
      </w:r>
      <w:r w:rsidRPr="00C2222A">
        <w:t>May 1</w:t>
      </w:r>
      <w:r w:rsidRPr="008B4722">
        <w:t>, 2020) (</w:t>
      </w:r>
      <w:r w:rsidRPr="008B4722">
        <w:rPr>
          <w:i/>
          <w:iCs/>
        </w:rPr>
        <w:t xml:space="preserve">Protective </w:t>
      </w:r>
      <w:r w:rsidRPr="008B4722">
        <w:rPr>
          <w:i/>
        </w:rPr>
        <w:t>Order</w:t>
      </w:r>
      <w:r w:rsidRPr="008B4722">
        <w:t>).</w:t>
      </w:r>
    </w:p>
  </w:footnote>
  <w:footnote w:id="8">
    <w:p w:rsidR="003061DB" w:rsidP="003061DB" w14:paraId="503C5867" w14:textId="77777777">
      <w:pPr>
        <w:pStyle w:val="FootnoteText"/>
      </w:pPr>
      <w:r>
        <w:rPr>
          <w:rStyle w:val="FootnoteReference"/>
        </w:rPr>
        <w:footnoteRef/>
      </w:r>
      <w:r>
        <w:t xml:space="preserve"> 47 U.S.C. § 251.</w:t>
      </w:r>
    </w:p>
  </w:footnote>
  <w:footnote w:id="9">
    <w:p w:rsidR="003061DB" w:rsidP="003061DB" w14:paraId="36183BCA" w14:textId="77777777">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7578-79, para. 5 (2000) (</w:t>
      </w:r>
      <w:r>
        <w:rPr>
          <w:i/>
        </w:rPr>
        <w:t>Numbering Report and Order</w:t>
      </w:r>
      <w:r w:rsidRPr="007B16B0">
        <w:t>)</w:t>
      </w:r>
      <w:r>
        <w:t>.</w:t>
      </w:r>
    </w:p>
  </w:footnote>
  <w:footnote w:id="10">
    <w:p w:rsidR="003061DB" w:rsidP="003061DB" w14:paraId="5ABA7C16" w14:textId="77777777">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11">
    <w:p w:rsidR="003061DB" w:rsidP="003061DB" w14:paraId="3F3751AD" w14:textId="77777777">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2">
    <w:p w:rsidR="003061DB" w:rsidP="003061DB" w14:paraId="48453316" w14:textId="77777777">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 w:id="13">
    <w:p w:rsidR="007A7463" w:rsidP="007A7463" w14:paraId="3A686115" w14:textId="77777777">
      <w:pPr>
        <w:pStyle w:val="FootnoteText"/>
      </w:pPr>
      <w:r>
        <w:rPr>
          <w:rStyle w:val="FootnoteReference"/>
        </w:rPr>
        <w:footnoteRef/>
      </w:r>
      <w:r>
        <w:t xml:space="preserve"> </w:t>
      </w:r>
      <w:r w:rsidRPr="002C13F5">
        <w:rPr>
          <w:rFonts w:eastAsia="Calibri"/>
          <w:i/>
          <w:iCs/>
          <w:szCs w:val="22"/>
        </w:rPr>
        <w:t>See</w:t>
      </w:r>
      <w:r w:rsidRPr="00EF0F1B">
        <w:rPr>
          <w:rFonts w:eastAsia="Calibri"/>
          <w:szCs w:val="22"/>
        </w:rPr>
        <w:t xml:space="preserve"> </w:t>
      </w:r>
      <w:r w:rsidRPr="00EF0F1B">
        <w:rPr>
          <w:rFonts w:eastAsia="Calibri"/>
          <w:i/>
          <w:iCs/>
          <w:szCs w:val="22"/>
        </w:rPr>
        <w:t>FCC Announces Closure of FCC Headquarters Open Window and Change in Hand-Delivery Policy</w:t>
      </w:r>
      <w:r w:rsidRPr="00EF0F1B">
        <w:rPr>
          <w:rFonts w:eastAsia="Calibri"/>
          <w:szCs w:val="22"/>
        </w:rPr>
        <w:t>, Public Notice, DA 20-304 (Ma</w:t>
      </w:r>
      <w:r>
        <w:rPr>
          <w:rFonts w:eastAsia="Calibri"/>
          <w:szCs w:val="22"/>
        </w:rPr>
        <w:t>r.</w:t>
      </w:r>
      <w:r w:rsidRPr="00EF0F1B">
        <w:rPr>
          <w:rFonts w:eastAsia="Calibri"/>
          <w:szCs w:val="22"/>
        </w:rPr>
        <w:t xml:space="preserve"> 19, 2020)</w:t>
      </w:r>
      <w:r>
        <w:rPr>
          <w:rFonts w:eastAsia="Calibri"/>
          <w:szCs w:val="22"/>
        </w:rPr>
        <w:t>,</w:t>
      </w:r>
      <w:r w:rsidRPr="00EF0F1B">
        <w:rPr>
          <w:rFonts w:eastAsia="Calibri"/>
          <w:szCs w:val="22"/>
        </w:rPr>
        <w:t xml:space="preserve"> </w:t>
      </w:r>
      <w:hyperlink r:id="rId1" w:history="1">
        <w:r w:rsidRPr="00EF0F1B">
          <w:rPr>
            <w:rFonts w:eastAsia="Calibri"/>
            <w:color w:val="0563C1"/>
            <w:szCs w:val="22"/>
            <w:u w:val="single"/>
          </w:rPr>
          <w:t>https://www.fcc.gov/document/fcc-closes-headquarters-open-window-and-changes-hand-delivery-policy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006FD86" w14:textId="4AA0CEAD">
    <w:pPr>
      <w:tabs>
        <w:tab w:val="center" w:pos="4680"/>
        <w:tab w:val="right" w:pos="9360"/>
      </w:tabs>
    </w:pPr>
    <w:r w:rsidRPr="009838BC">
      <w:rPr>
        <w:b/>
      </w:rPr>
      <w:tab/>
      <w:t>Federal Communications Commission</w:t>
    </w:r>
    <w:r w:rsidRPr="009838BC">
      <w:rPr>
        <w:b/>
      </w:rPr>
      <w:tab/>
    </w:r>
    <w:r w:rsidR="003061DB">
      <w:rPr>
        <w:b/>
      </w:rPr>
      <w:t>DA 20-475</w:t>
    </w:r>
  </w:p>
  <w:p w:rsidR="009838BC" w:rsidRPr="009838BC" w:rsidP="009838BC" w14:paraId="4738D25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9EA83E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D5970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19884857" w14:textId="77777777">
                <w:pPr>
                  <w:rPr>
                    <w:rFonts w:ascii="Arial" w:hAnsi="Arial"/>
                    <w:b/>
                  </w:rPr>
                </w:pPr>
                <w:r>
                  <w:rPr>
                    <w:rFonts w:ascii="Arial" w:hAnsi="Arial"/>
                    <w:b/>
                  </w:rPr>
                  <w:t>Federal Communications Commission</w:t>
                </w:r>
              </w:p>
              <w:p w:rsidR="009838BC" w:rsidP="009838BC" w14:paraId="1C4BE0E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5FF2F8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E0F6BD1"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23E91A8" w14:textId="77777777">
                <w:pPr>
                  <w:spacing w:before="40"/>
                  <w:jc w:val="right"/>
                  <w:rPr>
                    <w:rFonts w:ascii="Arial" w:hAnsi="Arial"/>
                    <w:b/>
                    <w:sz w:val="16"/>
                  </w:rPr>
                </w:pPr>
                <w:r>
                  <w:rPr>
                    <w:rFonts w:ascii="Arial" w:hAnsi="Arial"/>
                    <w:b/>
                    <w:sz w:val="16"/>
                  </w:rPr>
                  <w:t>News Media Information 202 / 418-0500</w:t>
                </w:r>
              </w:p>
              <w:p w:rsidR="009838BC" w:rsidP="009838BC" w14:paraId="7566AB2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7EC1D2AF" w14:textId="77777777">
                <w:pPr>
                  <w:jc w:val="right"/>
                </w:pPr>
                <w:r>
                  <w:rPr>
                    <w:rFonts w:ascii="Arial" w:hAnsi="Arial"/>
                    <w:b/>
                    <w:sz w:val="16"/>
                  </w:rPr>
                  <w:t>TTY: 1-888-835-5322</w:t>
                </w:r>
              </w:p>
            </w:txbxContent>
          </v:textbox>
        </v:shape>
      </w:pict>
    </w:r>
  </w:p>
  <w:p w:rsidR="006F7393" w:rsidRPr="009838BC" w:rsidP="009838BC" w14:paraId="00A7F1F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963A0E"/>
    <w:multiLevelType w:val="hybridMultilevel"/>
    <w:tmpl w:val="52BC6EB0"/>
    <w:lvl w:ilvl="0">
      <w:start w:val="1"/>
      <w:numFmt w:val="bullet"/>
      <w:lvlText w:val=""/>
      <w:lvlJc w:val="left"/>
      <w:pPr>
        <w:tabs>
          <w:tab w:val="num" w:pos="576"/>
        </w:tabs>
        <w:ind w:left="576" w:hanging="288"/>
      </w:pPr>
      <w:rPr>
        <w:rFonts w:ascii="Symbol" w:hAnsi="Symbol" w:hint="default"/>
        <w:color w:val="auto"/>
      </w:rPr>
    </w:lvl>
    <w:lvl w:ilvl="1">
      <w:start w:val="1"/>
      <w:numFmt w:val="bullet"/>
      <w:lvlText w:val="o"/>
      <w:lvlJc w:val="left"/>
      <w:pPr>
        <w:tabs>
          <w:tab w:val="num" w:pos="1728"/>
        </w:tabs>
        <w:ind w:left="1728" w:hanging="360"/>
      </w:pPr>
      <w:rPr>
        <w:rFonts w:ascii="Courier New" w:hAnsi="Courier New" w:cs="Courier New" w:hint="default"/>
      </w:rPr>
    </w:lvl>
    <w:lvl w:ilvl="2" w:tentative="1">
      <w:start w:val="1"/>
      <w:numFmt w:val="bullet"/>
      <w:lvlText w:val=""/>
      <w:lvlJc w:val="left"/>
      <w:pPr>
        <w:tabs>
          <w:tab w:val="num" w:pos="2448"/>
        </w:tabs>
        <w:ind w:left="2448" w:hanging="360"/>
      </w:pPr>
      <w:rPr>
        <w:rFonts w:ascii="Wingdings" w:hAnsi="Wingdings" w:hint="default"/>
      </w:rPr>
    </w:lvl>
    <w:lvl w:ilvl="3" w:tentative="1">
      <w:start w:val="1"/>
      <w:numFmt w:val="bullet"/>
      <w:lvlText w:val=""/>
      <w:lvlJc w:val="left"/>
      <w:pPr>
        <w:tabs>
          <w:tab w:val="num" w:pos="3168"/>
        </w:tabs>
        <w:ind w:left="3168" w:hanging="360"/>
      </w:pPr>
      <w:rPr>
        <w:rFonts w:ascii="Symbol" w:hAnsi="Symbol" w:hint="default"/>
      </w:rPr>
    </w:lvl>
    <w:lvl w:ilvl="4" w:tentative="1">
      <w:start w:val="1"/>
      <w:numFmt w:val="bullet"/>
      <w:lvlText w:val="o"/>
      <w:lvlJc w:val="left"/>
      <w:pPr>
        <w:tabs>
          <w:tab w:val="num" w:pos="3888"/>
        </w:tabs>
        <w:ind w:left="3888" w:hanging="360"/>
      </w:pPr>
      <w:rPr>
        <w:rFonts w:ascii="Courier New" w:hAnsi="Courier New" w:cs="Courier New" w:hint="default"/>
      </w:rPr>
    </w:lvl>
    <w:lvl w:ilvl="5" w:tentative="1">
      <w:start w:val="1"/>
      <w:numFmt w:val="bullet"/>
      <w:lvlText w:val=""/>
      <w:lvlJc w:val="left"/>
      <w:pPr>
        <w:tabs>
          <w:tab w:val="num" w:pos="4608"/>
        </w:tabs>
        <w:ind w:left="4608" w:hanging="360"/>
      </w:pPr>
      <w:rPr>
        <w:rFonts w:ascii="Wingdings" w:hAnsi="Wingdings" w:hint="default"/>
      </w:rPr>
    </w:lvl>
    <w:lvl w:ilvl="6" w:tentative="1">
      <w:start w:val="1"/>
      <w:numFmt w:val="bullet"/>
      <w:lvlText w:val=""/>
      <w:lvlJc w:val="left"/>
      <w:pPr>
        <w:tabs>
          <w:tab w:val="num" w:pos="5328"/>
        </w:tabs>
        <w:ind w:left="5328" w:hanging="360"/>
      </w:pPr>
      <w:rPr>
        <w:rFonts w:ascii="Symbol" w:hAnsi="Symbol" w:hint="default"/>
      </w:rPr>
    </w:lvl>
    <w:lvl w:ilvl="7" w:tentative="1">
      <w:start w:val="1"/>
      <w:numFmt w:val="bullet"/>
      <w:lvlText w:val="o"/>
      <w:lvlJc w:val="left"/>
      <w:pPr>
        <w:tabs>
          <w:tab w:val="num" w:pos="6048"/>
        </w:tabs>
        <w:ind w:left="6048" w:hanging="360"/>
      </w:pPr>
      <w:rPr>
        <w:rFonts w:ascii="Courier New" w:hAnsi="Courier New" w:cs="Courier New" w:hint="default"/>
      </w:rPr>
    </w:lvl>
    <w:lvl w:ilvl="8" w:tentative="1">
      <w:start w:val="1"/>
      <w:numFmt w:val="bullet"/>
      <w:lvlText w:val=""/>
      <w:lvlJc w:val="left"/>
      <w:pPr>
        <w:tabs>
          <w:tab w:val="num" w:pos="6768"/>
        </w:tabs>
        <w:ind w:left="6768"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A86CD3"/>
    <w:multiLevelType w:val="hybridMultilevel"/>
    <w:tmpl w:val="6B6435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3"/>
  </w:num>
  <w:num w:numId="2">
    <w:abstractNumId w:val="8"/>
  </w:num>
  <w:num w:numId="3">
    <w:abstractNumId w:val="5"/>
  </w:num>
  <w:num w:numId="4">
    <w:abstractNumId w:val="6"/>
  </w:num>
  <w:num w:numId="5">
    <w:abstractNumId w:val="4"/>
  </w:num>
  <w:num w:numId="6">
    <w:abstractNumId w:val="1"/>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DB"/>
    <w:rsid w:val="000072CE"/>
    <w:rsid w:val="00013A8B"/>
    <w:rsid w:val="00021445"/>
    <w:rsid w:val="00036039"/>
    <w:rsid w:val="00037F90"/>
    <w:rsid w:val="000875BF"/>
    <w:rsid w:val="00090C6D"/>
    <w:rsid w:val="00096D8C"/>
    <w:rsid w:val="000C0B65"/>
    <w:rsid w:val="000E3D42"/>
    <w:rsid w:val="000E5884"/>
    <w:rsid w:val="001143A8"/>
    <w:rsid w:val="00122BD5"/>
    <w:rsid w:val="00162DDA"/>
    <w:rsid w:val="001979D9"/>
    <w:rsid w:val="001B20B4"/>
    <w:rsid w:val="001D6BCF"/>
    <w:rsid w:val="001E01CA"/>
    <w:rsid w:val="001E0CF7"/>
    <w:rsid w:val="002060D9"/>
    <w:rsid w:val="00226822"/>
    <w:rsid w:val="00260594"/>
    <w:rsid w:val="00285017"/>
    <w:rsid w:val="002A2D2E"/>
    <w:rsid w:val="002C13F5"/>
    <w:rsid w:val="003061DB"/>
    <w:rsid w:val="00343749"/>
    <w:rsid w:val="00357D50"/>
    <w:rsid w:val="003925DC"/>
    <w:rsid w:val="003B0550"/>
    <w:rsid w:val="003B694F"/>
    <w:rsid w:val="003F171C"/>
    <w:rsid w:val="00412FC5"/>
    <w:rsid w:val="00422276"/>
    <w:rsid w:val="004242F1"/>
    <w:rsid w:val="004401D3"/>
    <w:rsid w:val="00445A00"/>
    <w:rsid w:val="00451B0F"/>
    <w:rsid w:val="0046125F"/>
    <w:rsid w:val="00487524"/>
    <w:rsid w:val="00491E7C"/>
    <w:rsid w:val="00496106"/>
    <w:rsid w:val="004C12D0"/>
    <w:rsid w:val="004C2EE3"/>
    <w:rsid w:val="004E4A22"/>
    <w:rsid w:val="00511968"/>
    <w:rsid w:val="00516C68"/>
    <w:rsid w:val="00533D39"/>
    <w:rsid w:val="0055614C"/>
    <w:rsid w:val="00591559"/>
    <w:rsid w:val="00607BA5"/>
    <w:rsid w:val="00626EB6"/>
    <w:rsid w:val="006353A3"/>
    <w:rsid w:val="00655D03"/>
    <w:rsid w:val="00683F84"/>
    <w:rsid w:val="00685143"/>
    <w:rsid w:val="006A6A81"/>
    <w:rsid w:val="006E26AF"/>
    <w:rsid w:val="006F7393"/>
    <w:rsid w:val="007002B4"/>
    <w:rsid w:val="0070224F"/>
    <w:rsid w:val="007115F7"/>
    <w:rsid w:val="00715EDE"/>
    <w:rsid w:val="00746DFD"/>
    <w:rsid w:val="00785689"/>
    <w:rsid w:val="0079754B"/>
    <w:rsid w:val="007A1E6D"/>
    <w:rsid w:val="007A7463"/>
    <w:rsid w:val="007B16B0"/>
    <w:rsid w:val="00822CE0"/>
    <w:rsid w:val="00837C62"/>
    <w:rsid w:val="00841AB1"/>
    <w:rsid w:val="008B4722"/>
    <w:rsid w:val="008C22FD"/>
    <w:rsid w:val="00910F12"/>
    <w:rsid w:val="00926503"/>
    <w:rsid w:val="00930ECF"/>
    <w:rsid w:val="009838BC"/>
    <w:rsid w:val="009E3361"/>
    <w:rsid w:val="00A45F4F"/>
    <w:rsid w:val="00A57ADC"/>
    <w:rsid w:val="00A600A9"/>
    <w:rsid w:val="00A866AC"/>
    <w:rsid w:val="00AA55B7"/>
    <w:rsid w:val="00AA5B9E"/>
    <w:rsid w:val="00AB2407"/>
    <w:rsid w:val="00AB2F0A"/>
    <w:rsid w:val="00AB53DF"/>
    <w:rsid w:val="00AF10A9"/>
    <w:rsid w:val="00B07E5C"/>
    <w:rsid w:val="00B20363"/>
    <w:rsid w:val="00B326E3"/>
    <w:rsid w:val="00B52794"/>
    <w:rsid w:val="00B811F7"/>
    <w:rsid w:val="00BA5DC6"/>
    <w:rsid w:val="00BA6196"/>
    <w:rsid w:val="00BC6D8C"/>
    <w:rsid w:val="00BF43CA"/>
    <w:rsid w:val="00BF7452"/>
    <w:rsid w:val="00C16AF2"/>
    <w:rsid w:val="00C2222A"/>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EF0F1B"/>
    <w:rsid w:val="00F021FA"/>
    <w:rsid w:val="00F05AD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2B7FAA2-96E6-4565-B6BB-C8E5C23D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CA"/>
    <w:pPr>
      <w:widowControl w:val="0"/>
    </w:pPr>
    <w:rPr>
      <w:snapToGrid w:val="0"/>
      <w:kern w:val="28"/>
      <w:sz w:val="22"/>
    </w:rPr>
  </w:style>
  <w:style w:type="paragraph" w:styleId="Heading1">
    <w:name w:val="heading 1"/>
    <w:basedOn w:val="Normal"/>
    <w:next w:val="ParaNum"/>
    <w:qFormat/>
    <w:rsid w:val="00BF43C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F43CA"/>
    <w:pPr>
      <w:keepNext/>
      <w:numPr>
        <w:ilvl w:val="1"/>
        <w:numId w:val="3"/>
      </w:numPr>
      <w:spacing w:after="120"/>
      <w:outlineLvl w:val="1"/>
    </w:pPr>
    <w:rPr>
      <w:b/>
    </w:rPr>
  </w:style>
  <w:style w:type="paragraph" w:styleId="Heading3">
    <w:name w:val="heading 3"/>
    <w:basedOn w:val="Normal"/>
    <w:next w:val="ParaNum"/>
    <w:qFormat/>
    <w:rsid w:val="00BF43CA"/>
    <w:pPr>
      <w:keepNext/>
      <w:numPr>
        <w:ilvl w:val="2"/>
        <w:numId w:val="3"/>
      </w:numPr>
      <w:tabs>
        <w:tab w:val="left" w:pos="2160"/>
      </w:tabs>
      <w:spacing w:after="120"/>
      <w:outlineLvl w:val="2"/>
    </w:pPr>
    <w:rPr>
      <w:b/>
    </w:rPr>
  </w:style>
  <w:style w:type="paragraph" w:styleId="Heading4">
    <w:name w:val="heading 4"/>
    <w:basedOn w:val="Normal"/>
    <w:next w:val="ParaNum"/>
    <w:qFormat/>
    <w:rsid w:val="00BF43CA"/>
    <w:pPr>
      <w:keepNext/>
      <w:numPr>
        <w:ilvl w:val="3"/>
        <w:numId w:val="3"/>
      </w:numPr>
      <w:tabs>
        <w:tab w:val="left" w:pos="2880"/>
      </w:tabs>
      <w:spacing w:after="120"/>
      <w:outlineLvl w:val="3"/>
    </w:pPr>
    <w:rPr>
      <w:b/>
    </w:rPr>
  </w:style>
  <w:style w:type="paragraph" w:styleId="Heading5">
    <w:name w:val="heading 5"/>
    <w:basedOn w:val="Normal"/>
    <w:next w:val="ParaNum"/>
    <w:qFormat/>
    <w:rsid w:val="00BF43C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F43CA"/>
    <w:pPr>
      <w:numPr>
        <w:ilvl w:val="5"/>
        <w:numId w:val="3"/>
      </w:numPr>
      <w:tabs>
        <w:tab w:val="left" w:pos="4320"/>
      </w:tabs>
      <w:spacing w:after="120"/>
      <w:outlineLvl w:val="5"/>
    </w:pPr>
    <w:rPr>
      <w:b/>
    </w:rPr>
  </w:style>
  <w:style w:type="paragraph" w:styleId="Heading7">
    <w:name w:val="heading 7"/>
    <w:basedOn w:val="Normal"/>
    <w:next w:val="ParaNum"/>
    <w:qFormat/>
    <w:rsid w:val="00BF43C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F43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F43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F43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F43CA"/>
  </w:style>
  <w:style w:type="paragraph" w:customStyle="1" w:styleId="ParaNum">
    <w:name w:val="ParaNum"/>
    <w:basedOn w:val="Normal"/>
    <w:rsid w:val="00BF43CA"/>
    <w:pPr>
      <w:numPr>
        <w:numId w:val="2"/>
      </w:numPr>
      <w:tabs>
        <w:tab w:val="clear" w:pos="1080"/>
        <w:tab w:val="num" w:pos="1440"/>
      </w:tabs>
      <w:spacing w:after="120"/>
    </w:pPr>
  </w:style>
  <w:style w:type="paragraph" w:styleId="EndnoteText">
    <w:name w:val="endnote text"/>
    <w:basedOn w:val="Normal"/>
    <w:semiHidden/>
    <w:rsid w:val="00BF43CA"/>
    <w:rPr>
      <w:sz w:val="20"/>
    </w:rPr>
  </w:style>
  <w:style w:type="character" w:styleId="EndnoteReference">
    <w:name w:val="endnote reference"/>
    <w:semiHidden/>
    <w:rsid w:val="00BF43CA"/>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BF43CA"/>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BF43CA"/>
    <w:rPr>
      <w:rFonts w:ascii="Times New Roman" w:hAnsi="Times New Roman"/>
      <w:dstrike w:val="0"/>
      <w:color w:val="auto"/>
      <w:sz w:val="22"/>
      <w:vertAlign w:val="superscript"/>
    </w:rPr>
  </w:style>
  <w:style w:type="paragraph" w:styleId="TOC1">
    <w:name w:val="toc 1"/>
    <w:basedOn w:val="Normal"/>
    <w:next w:val="Normal"/>
    <w:uiPriority w:val="39"/>
    <w:rsid w:val="00BF43C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F43CA"/>
    <w:pPr>
      <w:tabs>
        <w:tab w:val="left" w:pos="720"/>
        <w:tab w:val="right" w:leader="dot" w:pos="9360"/>
      </w:tabs>
      <w:suppressAutoHyphens/>
      <w:ind w:left="720" w:right="720" w:hanging="360"/>
    </w:pPr>
    <w:rPr>
      <w:noProof/>
    </w:rPr>
  </w:style>
  <w:style w:type="paragraph" w:styleId="TOC3">
    <w:name w:val="toc 3"/>
    <w:basedOn w:val="Normal"/>
    <w:next w:val="Normal"/>
    <w:semiHidden/>
    <w:rsid w:val="00BF43C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F43C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F43C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F43C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F43C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F43C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F43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F43CA"/>
    <w:pPr>
      <w:tabs>
        <w:tab w:val="right" w:pos="9360"/>
      </w:tabs>
      <w:suppressAutoHyphens/>
    </w:pPr>
  </w:style>
  <w:style w:type="character" w:customStyle="1" w:styleId="EquationCaption">
    <w:name w:val="_Equation Caption"/>
    <w:rsid w:val="00BF43CA"/>
  </w:style>
  <w:style w:type="paragraph" w:styleId="Header">
    <w:name w:val="header"/>
    <w:basedOn w:val="Normal"/>
    <w:autoRedefine/>
    <w:rsid w:val="00BF43C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F43CA"/>
    <w:pPr>
      <w:tabs>
        <w:tab w:val="center" w:pos="4320"/>
        <w:tab w:val="right" w:pos="8640"/>
      </w:tabs>
    </w:pPr>
  </w:style>
  <w:style w:type="character" w:styleId="PageNumber">
    <w:name w:val="page number"/>
    <w:basedOn w:val="DefaultParagraphFont"/>
    <w:rsid w:val="00BF43CA"/>
  </w:style>
  <w:style w:type="paragraph" w:styleId="BlockText">
    <w:name w:val="Block Text"/>
    <w:basedOn w:val="Normal"/>
    <w:rsid w:val="00BF43CA"/>
    <w:pPr>
      <w:spacing w:after="240"/>
      <w:ind w:left="1440" w:right="1440"/>
    </w:pPr>
  </w:style>
  <w:style w:type="paragraph" w:customStyle="1" w:styleId="Paratitle">
    <w:name w:val="Para title"/>
    <w:basedOn w:val="Normal"/>
    <w:rsid w:val="00BF43CA"/>
    <w:pPr>
      <w:tabs>
        <w:tab w:val="center" w:pos="9270"/>
      </w:tabs>
      <w:spacing w:after="240"/>
    </w:pPr>
    <w:rPr>
      <w:spacing w:val="-2"/>
    </w:rPr>
  </w:style>
  <w:style w:type="paragraph" w:customStyle="1" w:styleId="Bullet">
    <w:name w:val="Bullet"/>
    <w:basedOn w:val="Normal"/>
    <w:rsid w:val="00BF43CA"/>
    <w:pPr>
      <w:numPr>
        <w:numId w:val="1"/>
      </w:numPr>
      <w:tabs>
        <w:tab w:val="clear" w:pos="360"/>
        <w:tab w:val="left" w:pos="2160"/>
      </w:tabs>
      <w:spacing w:after="220"/>
      <w:ind w:left="2160" w:hanging="720"/>
    </w:pPr>
  </w:style>
  <w:style w:type="paragraph" w:customStyle="1" w:styleId="TableFormat">
    <w:name w:val="TableFormat"/>
    <w:basedOn w:val="Bullet"/>
    <w:rsid w:val="00BF43CA"/>
    <w:pPr>
      <w:numPr>
        <w:numId w:val="0"/>
      </w:numPr>
      <w:tabs>
        <w:tab w:val="clear" w:pos="2160"/>
        <w:tab w:val="left" w:pos="5040"/>
      </w:tabs>
      <w:ind w:left="5040" w:hanging="3600"/>
    </w:pPr>
  </w:style>
  <w:style w:type="paragraph" w:customStyle="1" w:styleId="TOCTitle">
    <w:name w:val="TOC Title"/>
    <w:basedOn w:val="Normal"/>
    <w:rsid w:val="00BF43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F43CA"/>
    <w:pPr>
      <w:jc w:val="center"/>
    </w:pPr>
    <w:rPr>
      <w:rFonts w:ascii="Times New Roman Bold" w:hAnsi="Times New Roman Bold"/>
      <w:b/>
      <w:bCs/>
      <w:caps/>
      <w:szCs w:val="22"/>
    </w:rPr>
  </w:style>
  <w:style w:type="character" w:styleId="Hyperlink">
    <w:name w:val="Hyperlink"/>
    <w:rsid w:val="00BF43CA"/>
    <w:rPr>
      <w:color w:val="0000FF"/>
      <w:u w:val="single"/>
    </w:rPr>
  </w:style>
  <w:style w:type="character" w:customStyle="1" w:styleId="FooterChar">
    <w:name w:val="Footer Char"/>
    <w:link w:val="Footer"/>
    <w:uiPriority w:val="99"/>
    <w:rsid w:val="00BF43CA"/>
    <w:rPr>
      <w:snapToGrid w:val="0"/>
      <w:kern w:val="28"/>
      <w:sz w:val="22"/>
    </w:rPr>
  </w:style>
  <w:style w:type="paragraph" w:styleId="BodyText">
    <w:name w:val="Body Text"/>
    <w:basedOn w:val="Normal"/>
    <w:link w:val="BodyTextChar"/>
    <w:rsid w:val="003061DB"/>
    <w:pPr>
      <w:tabs>
        <w:tab w:val="center" w:pos="4680"/>
      </w:tabs>
      <w:suppressAutoHyphens/>
      <w:jc w:val="center"/>
    </w:pPr>
    <w:rPr>
      <w:b/>
      <w:bCs/>
      <w:kern w:val="0"/>
      <w:sz w:val="24"/>
      <w:szCs w:val="24"/>
    </w:rPr>
  </w:style>
  <w:style w:type="character" w:customStyle="1" w:styleId="BodyTextChar">
    <w:name w:val="Body Text Char"/>
    <w:basedOn w:val="DefaultParagraphFont"/>
    <w:link w:val="BodyText"/>
    <w:rsid w:val="003061DB"/>
    <w:rPr>
      <w:b/>
      <w:bCs/>
      <w:snapToGrid w:val="0"/>
      <w:sz w:val="24"/>
      <w:szCs w:val="24"/>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061DB"/>
  </w:style>
  <w:style w:type="character" w:customStyle="1" w:styleId="Normal10">
    <w:name w:val="Normal1_0"/>
    <w:rsid w:val="003061DB"/>
    <w:rPr>
      <w:rFonts w:ascii="Times New Roman" w:hAnsi="Times New Roman"/>
      <w:noProof w:val="0"/>
      <w:sz w:val="20"/>
      <w:lang w:val="en-US"/>
    </w:rPr>
  </w:style>
  <w:style w:type="paragraph" w:styleId="ListParagraph">
    <w:name w:val="List Paragraph"/>
    <w:basedOn w:val="Normal"/>
    <w:uiPriority w:val="34"/>
    <w:qFormat/>
    <w:rsid w:val="003061DB"/>
    <w:pPr>
      <w:widowControl/>
      <w:ind w:left="720"/>
      <w:contextualSpacing/>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atherine.matraves@fcc.gov" TargetMode="External" /><Relationship Id="rId6" Type="http://schemas.openxmlformats.org/officeDocument/2006/relationships/hyperlink" Target="mailto:Joel.Rabinovitz@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