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71C8F2EC"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451C2F0F" w14:textId="77777777">
      <w:pPr>
        <w:pStyle w:val="StyleBoldCentered"/>
      </w:pPr>
      <w:r>
        <w:t>F</w:t>
      </w:r>
      <w:r>
        <w:rPr>
          <w:caps w:val="0"/>
        </w:rPr>
        <w:t>ederal Communications Commission</w:t>
      </w:r>
    </w:p>
    <w:p w:rsidR="004C2EE3" w:rsidP="00096D8C" w14:paraId="65463EDE" w14:textId="77777777">
      <w:pPr>
        <w:pStyle w:val="StyleBoldCentered"/>
      </w:pPr>
      <w:r>
        <w:rPr>
          <w:caps w:val="0"/>
        </w:rPr>
        <w:t>Washington, D.C. 20554</w:t>
      </w:r>
    </w:p>
    <w:p w:rsidR="004C2EE3" w:rsidP="0070224F" w14:paraId="52E6C47B" w14:textId="77777777"/>
    <w:tbl>
      <w:tblPr>
        <w:tblW w:w="0" w:type="auto"/>
        <w:tblLayout w:type="fixed"/>
        <w:tblLook w:val="0000"/>
      </w:tblPr>
      <w:tblGrid>
        <w:gridCol w:w="4698"/>
        <w:gridCol w:w="630"/>
        <w:gridCol w:w="4248"/>
      </w:tblGrid>
      <w:tr w14:paraId="413972E4" w14:textId="77777777">
        <w:tblPrEx>
          <w:tblW w:w="0" w:type="auto"/>
          <w:tblLayout w:type="fixed"/>
          <w:tblLook w:val="0000"/>
        </w:tblPrEx>
        <w:tc>
          <w:tcPr>
            <w:tcW w:w="4698" w:type="dxa"/>
          </w:tcPr>
          <w:p w:rsidR="004C2EE3" w14:paraId="7A0C89DB" w14:textId="77777777">
            <w:pPr>
              <w:tabs>
                <w:tab w:val="center" w:pos="4680"/>
              </w:tabs>
              <w:suppressAutoHyphens/>
              <w:rPr>
                <w:spacing w:val="-2"/>
              </w:rPr>
            </w:pPr>
            <w:r>
              <w:rPr>
                <w:spacing w:val="-2"/>
              </w:rPr>
              <w:t>In the Matter of</w:t>
            </w:r>
          </w:p>
          <w:p w:rsidR="004C2EE3" w14:paraId="4E119B55" w14:textId="77777777">
            <w:pPr>
              <w:tabs>
                <w:tab w:val="center" w:pos="4680"/>
              </w:tabs>
              <w:suppressAutoHyphens/>
              <w:rPr>
                <w:spacing w:val="-2"/>
              </w:rPr>
            </w:pPr>
          </w:p>
          <w:p w:rsidR="004C2EE3" w:rsidRPr="007115F7" w:rsidP="007115F7" w14:paraId="1480E0A0" w14:textId="77777777">
            <w:pPr>
              <w:tabs>
                <w:tab w:val="center" w:pos="4680"/>
              </w:tabs>
              <w:suppressAutoHyphens/>
              <w:rPr>
                <w:spacing w:val="-2"/>
              </w:rPr>
            </w:pPr>
            <w:r w:rsidRPr="00F9441A">
              <w:rPr>
                <w:spacing w:val="-2"/>
              </w:rPr>
              <w:t>Equal Employment Opportunity Recruitment Requirements for Broadcast Licensees and Multi-Channel Video Programming Distributors</w:t>
            </w:r>
          </w:p>
        </w:tc>
        <w:tc>
          <w:tcPr>
            <w:tcW w:w="630" w:type="dxa"/>
          </w:tcPr>
          <w:p w:rsidR="004C2EE3" w14:paraId="2F361E50" w14:textId="77777777">
            <w:pPr>
              <w:tabs>
                <w:tab w:val="center" w:pos="4680"/>
              </w:tabs>
              <w:suppressAutoHyphens/>
              <w:rPr>
                <w:b/>
                <w:spacing w:val="-2"/>
              </w:rPr>
            </w:pPr>
            <w:r>
              <w:rPr>
                <w:b/>
                <w:spacing w:val="-2"/>
              </w:rPr>
              <w:t>)</w:t>
            </w:r>
          </w:p>
          <w:p w:rsidR="004C2EE3" w14:paraId="4A35A1C7" w14:textId="77777777">
            <w:pPr>
              <w:tabs>
                <w:tab w:val="center" w:pos="4680"/>
              </w:tabs>
              <w:suppressAutoHyphens/>
              <w:rPr>
                <w:b/>
                <w:spacing w:val="-2"/>
              </w:rPr>
            </w:pPr>
            <w:r>
              <w:rPr>
                <w:b/>
                <w:spacing w:val="-2"/>
              </w:rPr>
              <w:t>)</w:t>
            </w:r>
          </w:p>
          <w:p w:rsidR="004C2EE3" w14:paraId="068C2A69" w14:textId="77777777">
            <w:pPr>
              <w:tabs>
                <w:tab w:val="center" w:pos="4680"/>
              </w:tabs>
              <w:suppressAutoHyphens/>
              <w:rPr>
                <w:b/>
                <w:spacing w:val="-2"/>
              </w:rPr>
            </w:pPr>
            <w:r>
              <w:rPr>
                <w:b/>
                <w:spacing w:val="-2"/>
              </w:rPr>
              <w:t>)</w:t>
            </w:r>
          </w:p>
          <w:p w:rsidR="004C2EE3" w14:paraId="4A43ACD3" w14:textId="77777777">
            <w:pPr>
              <w:tabs>
                <w:tab w:val="center" w:pos="4680"/>
              </w:tabs>
              <w:suppressAutoHyphens/>
              <w:rPr>
                <w:b/>
                <w:spacing w:val="-2"/>
              </w:rPr>
            </w:pPr>
            <w:r>
              <w:rPr>
                <w:b/>
                <w:spacing w:val="-2"/>
              </w:rPr>
              <w:t>)</w:t>
            </w:r>
          </w:p>
          <w:p w:rsidR="004C2EE3" w:rsidRPr="00F9441A" w14:paraId="2149FAB6" w14:textId="77777777">
            <w:pPr>
              <w:tabs>
                <w:tab w:val="center" w:pos="4680"/>
              </w:tabs>
              <w:suppressAutoHyphens/>
              <w:rPr>
                <w:b/>
                <w:spacing w:val="-2"/>
              </w:rPr>
            </w:pPr>
            <w:r>
              <w:rPr>
                <w:b/>
                <w:spacing w:val="-2"/>
              </w:rPr>
              <w:t>)</w:t>
            </w:r>
          </w:p>
        </w:tc>
        <w:tc>
          <w:tcPr>
            <w:tcW w:w="4248" w:type="dxa"/>
          </w:tcPr>
          <w:p w:rsidR="004C2EE3" w14:paraId="2E23ECB6" w14:textId="77777777">
            <w:pPr>
              <w:tabs>
                <w:tab w:val="center" w:pos="4680"/>
              </w:tabs>
              <w:suppressAutoHyphens/>
              <w:rPr>
                <w:spacing w:val="-2"/>
              </w:rPr>
            </w:pPr>
          </w:p>
          <w:p w:rsidR="004C2EE3" w14:paraId="333CDEBB" w14:textId="77777777">
            <w:pPr>
              <w:tabs>
                <w:tab w:val="center" w:pos="4680"/>
              </w:tabs>
              <w:suppressAutoHyphens/>
              <w:rPr>
                <w:spacing w:val="-2"/>
              </w:rPr>
            </w:pPr>
          </w:p>
        </w:tc>
      </w:tr>
    </w:tbl>
    <w:p w:rsidR="004C2EE3" w:rsidP="0070224F" w14:paraId="53F96F31" w14:textId="77777777"/>
    <w:p w:rsidR="00841AB1" w:rsidP="00F021FA" w14:paraId="232B86E4" w14:textId="77777777">
      <w:pPr>
        <w:pStyle w:val="StyleBoldCentered"/>
      </w:pPr>
      <w:r>
        <w:t>order</w:t>
      </w:r>
    </w:p>
    <w:p w:rsidR="004C2EE3" w14:paraId="57E2955E" w14:textId="77777777">
      <w:pPr>
        <w:tabs>
          <w:tab w:val="left" w:pos="-720"/>
        </w:tabs>
        <w:suppressAutoHyphens/>
        <w:spacing w:line="227" w:lineRule="auto"/>
        <w:rPr>
          <w:spacing w:val="-2"/>
        </w:rPr>
      </w:pPr>
    </w:p>
    <w:p w:rsidR="004C2EE3" w:rsidP="00133F79" w14:paraId="2A892E5C" w14:textId="77777777">
      <w:pPr>
        <w:tabs>
          <w:tab w:val="left" w:pos="720"/>
          <w:tab w:val="right" w:pos="9360"/>
        </w:tabs>
        <w:suppressAutoHyphens/>
        <w:spacing w:line="227" w:lineRule="auto"/>
        <w:rPr>
          <w:spacing w:val="-2"/>
        </w:rPr>
      </w:pPr>
      <w:r>
        <w:rPr>
          <w:b/>
          <w:spacing w:val="-2"/>
        </w:rPr>
        <w:t xml:space="preserve">Adopted:  </w:t>
      </w:r>
      <w:r w:rsidR="00F9441A">
        <w:rPr>
          <w:b/>
          <w:spacing w:val="-2"/>
        </w:rPr>
        <w:t>May 4,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9441A">
        <w:rPr>
          <w:b/>
          <w:spacing w:val="-2"/>
        </w:rPr>
        <w:t>May 4, 2020</w:t>
      </w:r>
    </w:p>
    <w:p w:rsidR="00822CE0" w14:paraId="6BC458E2" w14:textId="77777777"/>
    <w:p w:rsidR="004C2EE3" w14:paraId="6692D1A8" w14:textId="77777777">
      <w:pPr>
        <w:rPr>
          <w:spacing w:val="-2"/>
        </w:rPr>
      </w:pPr>
      <w:r>
        <w:t xml:space="preserve">By </w:t>
      </w:r>
      <w:r w:rsidR="004E4A22">
        <w:t>the</w:t>
      </w:r>
      <w:r w:rsidR="002A2D2E">
        <w:t xml:space="preserve"> </w:t>
      </w:r>
      <w:r w:rsidR="00F9441A">
        <w:rPr>
          <w:spacing w:val="-2"/>
        </w:rPr>
        <w:t>Chief, Media Bureau</w:t>
      </w:r>
      <w:r>
        <w:rPr>
          <w:spacing w:val="-2"/>
        </w:rPr>
        <w:t>:</w:t>
      </w:r>
    </w:p>
    <w:p w:rsidR="00822CE0" w14:paraId="2982081A" w14:textId="77777777">
      <w:pPr>
        <w:rPr>
          <w:spacing w:val="-2"/>
        </w:rPr>
      </w:pPr>
    </w:p>
    <w:p w:rsidR="00F9441A" w:rsidP="00F9441A" w14:paraId="7C7DA0C3" w14:textId="77777777">
      <w:pPr>
        <w:pStyle w:val="ParaNum"/>
        <w:rPr>
          <w:bCs/>
          <w:szCs w:val="22"/>
        </w:rPr>
      </w:pPr>
      <w:r>
        <w:rPr>
          <w:szCs w:val="22"/>
        </w:rPr>
        <w:t xml:space="preserve">In this Order, the Media Bureau (Bureau), in consultation with the Enforcement Bureau, waives the broad outreach requirements of the Federal Communications Commission’s (Commission) Equal Employment Opportunity (EEO) recruitment rules found in sections 73.2080(c)(1) and 76.75(b)(1) of the Commission’s rules </w:t>
      </w:r>
      <w:r>
        <w:t>in the limited circumstances described below relating to the COVID-19 pandemic</w:t>
      </w:r>
      <w:r>
        <w:rPr>
          <w:szCs w:val="22"/>
        </w:rPr>
        <w:t>.</w:t>
      </w:r>
      <w:r>
        <w:rPr>
          <w:rStyle w:val="FootnoteReference"/>
          <w:szCs w:val="22"/>
        </w:rPr>
        <w:footnoteReference w:id="3"/>
      </w:r>
      <w:r>
        <w:rPr>
          <w:szCs w:val="22"/>
        </w:rPr>
        <w:t xml:space="preserve">  </w:t>
      </w:r>
    </w:p>
    <w:p w:rsidR="00F9441A" w:rsidP="00F9441A" w14:paraId="7A8D5871" w14:textId="77777777">
      <w:pPr>
        <w:pStyle w:val="ParaNum"/>
      </w:pPr>
      <w:r>
        <w:t xml:space="preserve">The Commission’s EEO rules ordinarily require broadcast stations employing five or more full-time employees and multichannel video programming distributors (MVPDs) employing six or more full-time employees to engage in broad recruitment outreach for all full-time </w:t>
      </w:r>
      <w:r>
        <w:rPr>
          <w:bCs/>
          <w:szCs w:val="22"/>
        </w:rPr>
        <w:t>job vacancies.</w:t>
      </w:r>
      <w:r>
        <w:rPr>
          <w:rStyle w:val="FootnoteReference"/>
          <w:bCs/>
          <w:szCs w:val="22"/>
        </w:rPr>
        <w:footnoteReference w:id="4"/>
      </w:r>
      <w:r>
        <w:rPr>
          <w:bCs/>
          <w:szCs w:val="22"/>
        </w:rPr>
        <w:t xml:space="preserve">  </w:t>
      </w:r>
      <w:r>
        <w:t xml:space="preserve">The Bureau finds good cause to waive this requirement to allow affected broadcast licensees and MVPDs to return operations to full strength once circumstances permit the re-hiring of released employees.  </w:t>
      </w:r>
      <w:r>
        <w:rPr>
          <w:bCs/>
          <w:szCs w:val="22"/>
        </w:rPr>
        <w:t>Specifically, broadcast licensees and MVPDs may re-hire full-time employees who were laid off due to circumstances related to the ongoing COVID-19 pandemic without first conducting broad recruitment outreach, if they re-hire such employees within nine months after the date they were laid off.  This partial waiver of the outreach requirement pertains only to employees who were released due to circumstances related to the COVID-19 pandemic.</w:t>
      </w:r>
      <w:r>
        <w:t xml:space="preserve"> </w:t>
      </w:r>
    </w:p>
    <w:p w:rsidR="00F9441A" w:rsidP="00F9441A" w14:paraId="1B86CDC8" w14:textId="77777777">
      <w:pPr>
        <w:pStyle w:val="ParaNum"/>
      </w:pPr>
      <w:r>
        <w:t>Due to challenging economic conditions directly resulting from the COVID-19 pandemic, including significant layoffs and workforce reductions in the media industry,</w:t>
      </w:r>
      <w:r>
        <w:rPr>
          <w:rStyle w:val="FootnoteReference"/>
        </w:rPr>
        <w:footnoteReference w:id="5"/>
      </w:r>
      <w:r>
        <w:t xml:space="preserve"> the Bureau has determined that good cause exists to relieve broadcast licensees and MVPDs from EEO recruitment requirements in the limited circumstances described above.  Given the unique importance of broadcasters and MVPDs in providing access to breaking news and critical information relating to the pandemic, the public interest, convenience, and necessity would be best served by encouraging these entities to maintain, or quickly resume, normal operations.  Facilitating the expeditious re-hiring of full-time employees laid off as a result of the pandemic to job vacancies created by the pandemic supports this important goal.  </w:t>
      </w:r>
    </w:p>
    <w:p w:rsidR="00F9441A" w:rsidP="00F9441A" w14:paraId="1D912655" w14:textId="77777777">
      <w:pPr>
        <w:pStyle w:val="ParaNum"/>
        <w:widowControl/>
      </w:pPr>
      <w:r>
        <w:t xml:space="preserve">Because the Bureau’s waiver will be limited to the re-hiring of employees laid off due to circumstances related to the COVID-19 pandemic, it will not have a material adverse impact on the Commission’s goals of ensuring equal employment opportunity and nondiscrimination.  This partial waiver is effective immediately.   </w:t>
      </w:r>
    </w:p>
    <w:p w:rsidR="00F9441A" w:rsidP="00F9441A" w14:paraId="647858F4" w14:textId="77777777">
      <w:pPr>
        <w:pStyle w:val="ParaNum"/>
        <w:rPr>
          <w:szCs w:val="22"/>
        </w:rPr>
      </w:pPr>
      <w:r>
        <w:rPr>
          <w:szCs w:val="22"/>
        </w:rPr>
        <w:t xml:space="preserve">Accordingly, </w:t>
      </w:r>
      <w:r>
        <w:rPr>
          <w:b/>
          <w:bCs/>
          <w:szCs w:val="22"/>
        </w:rPr>
        <w:t>IT IS ORDERED</w:t>
      </w:r>
      <w:r>
        <w:rPr>
          <w:szCs w:val="22"/>
        </w:rPr>
        <w:t xml:space="preserve">, pursuant to the authority found in sections 4(i) and 4(j) of the Communications Act of 1934, as amended, 47 USC §§ 154(i) and 154(j), and sections 0.61, 0.283, and 1.3 of the Commission’s rules, 47 CFR §§ 0.61, 0.283, and 1.3, this Order </w:t>
      </w:r>
      <w:r>
        <w:rPr>
          <w:b/>
          <w:bCs/>
          <w:szCs w:val="22"/>
        </w:rPr>
        <w:t>IS ADOPTED</w:t>
      </w:r>
      <w:r>
        <w:rPr>
          <w:szCs w:val="22"/>
        </w:rPr>
        <w:t>.</w:t>
      </w:r>
    </w:p>
    <w:p w:rsidR="00412FC5" w:rsidP="00F9441A" w14:paraId="77F96CD1" w14:textId="77777777">
      <w:pPr>
        <w:pStyle w:val="ParaNum"/>
        <w:tabs>
          <w:tab w:val="num" w:pos="1080"/>
          <w:tab w:val="clear" w:pos="1440"/>
        </w:tabs>
        <w:rPr>
          <w:szCs w:val="22"/>
        </w:rPr>
      </w:pPr>
      <w:r>
        <w:rPr>
          <w:b/>
          <w:bCs/>
          <w:szCs w:val="22"/>
        </w:rPr>
        <w:t>IT IS FURTHER ORDERED</w:t>
      </w:r>
      <w:r>
        <w:rPr>
          <w:szCs w:val="22"/>
        </w:rPr>
        <w:t xml:space="preserve">, that pursuant to section 1.102(b)(1) of the Commission’s rules, 47 CFR § 1.102(b)(1), this Order </w:t>
      </w:r>
      <w:r>
        <w:rPr>
          <w:b/>
          <w:bCs/>
          <w:szCs w:val="22"/>
        </w:rPr>
        <w:t>SHALL BE EFFECTIVE</w:t>
      </w:r>
      <w:r>
        <w:rPr>
          <w:szCs w:val="22"/>
        </w:rPr>
        <w:t xml:space="preserve"> upon release.</w:t>
      </w:r>
      <w:r w:rsidRPr="00F9441A">
        <w:rPr>
          <w:szCs w:val="22"/>
        </w:rPr>
        <w:t xml:space="preserve"> </w:t>
      </w:r>
    </w:p>
    <w:p w:rsidR="00F9441A" w:rsidP="00F9441A" w14:paraId="36D08882" w14:textId="77777777">
      <w:r>
        <w:tab/>
      </w:r>
      <w:r>
        <w:tab/>
      </w:r>
      <w:r>
        <w:tab/>
      </w:r>
      <w:r>
        <w:tab/>
      </w:r>
      <w:r>
        <w:tab/>
      </w:r>
      <w:r>
        <w:tab/>
        <w:t>FEDERAL COMMUNICATIONS COMMISSION</w:t>
      </w:r>
    </w:p>
    <w:p w:rsidR="00F9441A" w:rsidP="00F9441A" w14:paraId="7911C35B" w14:textId="77777777"/>
    <w:p w:rsidR="00F9441A" w:rsidP="00F9441A" w14:paraId="39807BFC" w14:textId="77777777"/>
    <w:p w:rsidR="00F9441A" w:rsidP="00F9441A" w14:paraId="11214B31" w14:textId="77777777"/>
    <w:p w:rsidR="00F9441A" w:rsidP="00F9441A" w14:paraId="454E45B5" w14:textId="77777777"/>
    <w:p w:rsidR="00F9441A" w:rsidP="00F9441A" w14:paraId="66D4FF5A" w14:textId="060FCE2F">
      <w:r>
        <w:tab/>
      </w:r>
      <w:r>
        <w:tab/>
      </w:r>
      <w:r>
        <w:tab/>
      </w:r>
      <w:r>
        <w:tab/>
      </w:r>
      <w:r>
        <w:tab/>
      </w:r>
      <w:r>
        <w:tab/>
      </w:r>
      <w:r w:rsidR="00901EA3">
        <w:t>Michelle M. Carey</w:t>
      </w:r>
    </w:p>
    <w:p w:rsidR="00F9441A" w:rsidRPr="00F9441A" w:rsidP="00F9441A" w14:paraId="14550E4B" w14:textId="69113234">
      <w:r>
        <w:tab/>
      </w:r>
      <w:r>
        <w:tab/>
      </w:r>
      <w:r>
        <w:tab/>
      </w:r>
      <w:r>
        <w:tab/>
      </w:r>
      <w:r>
        <w:tab/>
      </w:r>
      <w:r>
        <w:tab/>
      </w:r>
      <w:r w:rsidR="00901EA3">
        <w:t>Chief, Media Bureau</w:t>
      </w: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8B9179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FCA312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9441A" w14:paraId="51A747A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2C34DB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175ED" w14:paraId="638B8451" w14:textId="77777777">
      <w:r>
        <w:separator/>
      </w:r>
    </w:p>
  </w:footnote>
  <w:footnote w:type="continuationSeparator" w:id="1">
    <w:p w:rsidR="000175ED" w:rsidP="00C721AC" w14:paraId="4FDF768B" w14:textId="77777777">
      <w:pPr>
        <w:spacing w:before="120"/>
        <w:rPr>
          <w:sz w:val="20"/>
        </w:rPr>
      </w:pPr>
      <w:r>
        <w:rPr>
          <w:sz w:val="20"/>
        </w:rPr>
        <w:t xml:space="preserve">(Continued from previous page)  </w:t>
      </w:r>
      <w:r>
        <w:rPr>
          <w:sz w:val="20"/>
        </w:rPr>
        <w:separator/>
      </w:r>
    </w:p>
  </w:footnote>
  <w:footnote w:type="continuationNotice" w:id="2">
    <w:p w:rsidR="000175ED" w:rsidP="00C721AC" w14:paraId="32D7F89A" w14:textId="77777777">
      <w:pPr>
        <w:jc w:val="right"/>
        <w:rPr>
          <w:sz w:val="20"/>
        </w:rPr>
      </w:pPr>
      <w:r>
        <w:rPr>
          <w:sz w:val="20"/>
        </w:rPr>
        <w:t>(continued….)</w:t>
      </w:r>
    </w:p>
  </w:footnote>
  <w:footnote w:id="3">
    <w:p w:rsidR="00F9441A" w:rsidP="00F9441A" w14:paraId="6F482BA0" w14:textId="77777777">
      <w:pPr>
        <w:pStyle w:val="FootnoteText"/>
        <w:widowControl w:val="0"/>
      </w:pPr>
      <w:r>
        <w:rPr>
          <w:rStyle w:val="FootnoteReference"/>
        </w:rPr>
        <w:footnoteRef/>
      </w:r>
      <w:r>
        <w:t xml:space="preserve"> </w:t>
      </w:r>
      <w:r>
        <w:rPr>
          <w:i/>
          <w:iCs/>
        </w:rPr>
        <w:t>See</w:t>
      </w:r>
      <w:r>
        <w:t xml:space="preserve"> 47 CFR §§ 73.2080(c)(1) and 76.75(b)(1).</w:t>
      </w:r>
    </w:p>
  </w:footnote>
  <w:footnote w:id="4">
    <w:p w:rsidR="00F9441A" w:rsidP="00F9441A" w14:paraId="3EBE8E77" w14:textId="77777777">
      <w:pPr>
        <w:pStyle w:val="FootnoteText"/>
        <w:widowControl w:val="0"/>
      </w:pPr>
      <w:r>
        <w:rPr>
          <w:rStyle w:val="FootnoteReference"/>
        </w:rPr>
        <w:footnoteRef/>
      </w:r>
      <w:r>
        <w:t xml:space="preserve"> </w:t>
      </w:r>
      <w:r>
        <w:rPr>
          <w:i/>
          <w:iCs/>
        </w:rPr>
        <w:t>See</w:t>
      </w:r>
      <w:r>
        <w:t xml:space="preserve"> 47 CFR §§ 73.2080(c)(1), (d) and 76.75(b)(1), (i).</w:t>
      </w:r>
    </w:p>
  </w:footnote>
  <w:footnote w:id="5">
    <w:p w:rsidR="00F9441A" w:rsidP="00F9441A" w14:paraId="2F6C3017" w14:textId="77777777">
      <w:pPr>
        <w:pStyle w:val="FootnoteText"/>
        <w:widowControl w:val="0"/>
      </w:pPr>
      <w:r>
        <w:rPr>
          <w:rStyle w:val="FootnoteReference"/>
        </w:rPr>
        <w:footnoteRef/>
      </w:r>
      <w:r>
        <w:t xml:space="preserve"> Kristen Hare, </w:t>
      </w:r>
      <w:r>
        <w:rPr>
          <w:i/>
          <w:iCs/>
        </w:rPr>
        <w:t>Here are the newsroom layoffs, furloughs and closures caused by the coronavirus</w:t>
      </w:r>
      <w:r>
        <w:t xml:space="preserve">, Poynter (Apr. 29, 2020), </w:t>
      </w:r>
      <w:hyperlink r:id="rId1" w:history="1">
        <w:r>
          <w:rPr>
            <w:rStyle w:val="Hyperlink"/>
            <w:snapToGrid w:val="0"/>
            <w:kern w:val="28"/>
          </w:rPr>
          <w:t>https://www.poynter.org/business-work/2020/here-are-the-newsroom-layoffs-furloughs-and-closures-caused-by-the-coronavirus/</w:t>
        </w:r>
      </w:hyperlink>
      <w:r>
        <w:rPr>
          <w:snapToGrid w:val="0"/>
          <w:kern w:val="2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49A0" w14:paraId="01AFBC0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F0B0CEC" w14:textId="77777777">
    <w:pPr>
      <w:pStyle w:val="Header"/>
      <w:rPr>
        <w:b w:val="0"/>
      </w:rPr>
    </w:pPr>
    <w:r>
      <w:tab/>
      <w:t>Federal Communications Commission</w:t>
    </w:r>
    <w:r>
      <w:tab/>
    </w:r>
    <w:r w:rsidR="00F9441A">
      <w:t>DA 20-</w:t>
    </w:r>
    <w:r w:rsidR="00A549A0">
      <w:t>482</w:t>
    </w:r>
  </w:p>
  <w:p w:rsidR="00D25FB5" w14:paraId="45FBAC0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30255EA"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602A6CC" w14:textId="7777777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F9441A">
      <w:rPr>
        <w:spacing w:val="-2"/>
      </w:rPr>
      <w:t>DA 20-</w:t>
    </w:r>
    <w:r>
      <w:rPr>
        <w:spacing w:val="-2"/>
      </w:rPr>
      <w:t>482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1A"/>
    <w:rsid w:val="000175ED"/>
    <w:rsid w:val="00036039"/>
    <w:rsid w:val="00037F90"/>
    <w:rsid w:val="000543E8"/>
    <w:rsid w:val="000875BF"/>
    <w:rsid w:val="00096D8C"/>
    <w:rsid w:val="000C0B65"/>
    <w:rsid w:val="000D47F4"/>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02EF0"/>
    <w:rsid w:val="00511968"/>
    <w:rsid w:val="0055614C"/>
    <w:rsid w:val="00566D06"/>
    <w:rsid w:val="005770E1"/>
    <w:rsid w:val="005E14C2"/>
    <w:rsid w:val="00607BA5"/>
    <w:rsid w:val="00610B20"/>
    <w:rsid w:val="0061180A"/>
    <w:rsid w:val="00626EB6"/>
    <w:rsid w:val="00655D03"/>
    <w:rsid w:val="00683388"/>
    <w:rsid w:val="00683F84"/>
    <w:rsid w:val="00687658"/>
    <w:rsid w:val="006A6A81"/>
    <w:rsid w:val="006F7393"/>
    <w:rsid w:val="0070224F"/>
    <w:rsid w:val="007115F7"/>
    <w:rsid w:val="00785689"/>
    <w:rsid w:val="0079754B"/>
    <w:rsid w:val="007A1E6D"/>
    <w:rsid w:val="007B0EB2"/>
    <w:rsid w:val="00810B6F"/>
    <w:rsid w:val="00822CE0"/>
    <w:rsid w:val="00823895"/>
    <w:rsid w:val="00841AB1"/>
    <w:rsid w:val="008C68F1"/>
    <w:rsid w:val="00901EA3"/>
    <w:rsid w:val="00921803"/>
    <w:rsid w:val="00926503"/>
    <w:rsid w:val="009726D8"/>
    <w:rsid w:val="009B2A12"/>
    <w:rsid w:val="009D7308"/>
    <w:rsid w:val="009F76DB"/>
    <w:rsid w:val="00A32C3B"/>
    <w:rsid w:val="00A45F4F"/>
    <w:rsid w:val="00A549A0"/>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34E3"/>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944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D115032-45E0-435E-81C1-89BE788C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95"/>
    <w:pPr>
      <w:widowControl w:val="0"/>
    </w:pPr>
    <w:rPr>
      <w:snapToGrid w:val="0"/>
      <w:kern w:val="28"/>
      <w:sz w:val="22"/>
    </w:rPr>
  </w:style>
  <w:style w:type="paragraph" w:styleId="Heading1">
    <w:name w:val="heading 1"/>
    <w:basedOn w:val="Normal"/>
    <w:next w:val="ParaNum"/>
    <w:qFormat/>
    <w:rsid w:val="0082389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23895"/>
    <w:pPr>
      <w:keepNext/>
      <w:numPr>
        <w:ilvl w:val="1"/>
        <w:numId w:val="3"/>
      </w:numPr>
      <w:spacing w:after="120"/>
      <w:outlineLvl w:val="1"/>
    </w:pPr>
    <w:rPr>
      <w:b/>
    </w:rPr>
  </w:style>
  <w:style w:type="paragraph" w:styleId="Heading3">
    <w:name w:val="heading 3"/>
    <w:basedOn w:val="Normal"/>
    <w:next w:val="ParaNum"/>
    <w:qFormat/>
    <w:rsid w:val="00823895"/>
    <w:pPr>
      <w:keepNext/>
      <w:numPr>
        <w:ilvl w:val="2"/>
        <w:numId w:val="3"/>
      </w:numPr>
      <w:tabs>
        <w:tab w:val="left" w:pos="2160"/>
      </w:tabs>
      <w:spacing w:after="120"/>
      <w:outlineLvl w:val="2"/>
    </w:pPr>
    <w:rPr>
      <w:b/>
    </w:rPr>
  </w:style>
  <w:style w:type="paragraph" w:styleId="Heading4">
    <w:name w:val="heading 4"/>
    <w:basedOn w:val="Normal"/>
    <w:next w:val="ParaNum"/>
    <w:qFormat/>
    <w:rsid w:val="00823895"/>
    <w:pPr>
      <w:keepNext/>
      <w:numPr>
        <w:ilvl w:val="3"/>
        <w:numId w:val="3"/>
      </w:numPr>
      <w:tabs>
        <w:tab w:val="left" w:pos="2880"/>
      </w:tabs>
      <w:spacing w:after="120"/>
      <w:outlineLvl w:val="3"/>
    </w:pPr>
    <w:rPr>
      <w:b/>
    </w:rPr>
  </w:style>
  <w:style w:type="paragraph" w:styleId="Heading5">
    <w:name w:val="heading 5"/>
    <w:basedOn w:val="Normal"/>
    <w:next w:val="ParaNum"/>
    <w:qFormat/>
    <w:rsid w:val="0082389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23895"/>
    <w:pPr>
      <w:numPr>
        <w:ilvl w:val="5"/>
        <w:numId w:val="3"/>
      </w:numPr>
      <w:tabs>
        <w:tab w:val="left" w:pos="4320"/>
      </w:tabs>
      <w:spacing w:after="120"/>
      <w:outlineLvl w:val="5"/>
    </w:pPr>
    <w:rPr>
      <w:b/>
    </w:rPr>
  </w:style>
  <w:style w:type="paragraph" w:styleId="Heading7">
    <w:name w:val="heading 7"/>
    <w:basedOn w:val="Normal"/>
    <w:next w:val="ParaNum"/>
    <w:qFormat/>
    <w:rsid w:val="0082389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2389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2389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238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3895"/>
  </w:style>
  <w:style w:type="paragraph" w:customStyle="1" w:styleId="ParaNum">
    <w:name w:val="ParaNum"/>
    <w:basedOn w:val="Normal"/>
    <w:rsid w:val="00823895"/>
    <w:pPr>
      <w:numPr>
        <w:numId w:val="2"/>
      </w:numPr>
      <w:tabs>
        <w:tab w:val="clear" w:pos="1080"/>
        <w:tab w:val="num" w:pos="1440"/>
      </w:tabs>
      <w:spacing w:after="120"/>
    </w:pPr>
  </w:style>
  <w:style w:type="paragraph" w:styleId="EndnoteText">
    <w:name w:val="endnote text"/>
    <w:basedOn w:val="Normal"/>
    <w:semiHidden/>
    <w:rsid w:val="00823895"/>
    <w:rPr>
      <w:sz w:val="20"/>
    </w:rPr>
  </w:style>
  <w:style w:type="character" w:styleId="EndnoteReference">
    <w:name w:val="endnote reference"/>
    <w:semiHidden/>
    <w:rsid w:val="00823895"/>
    <w:rPr>
      <w:vertAlign w:val="superscript"/>
    </w:rPr>
  </w:style>
  <w:style w:type="paragraph" w:styleId="FootnoteText">
    <w:name w:val="footnote text"/>
    <w:rsid w:val="00823895"/>
    <w:pPr>
      <w:spacing w:after="120"/>
    </w:pPr>
  </w:style>
  <w:style w:type="character" w:styleId="FootnoteReference">
    <w:name w:val="footnote reference"/>
    <w:rsid w:val="00823895"/>
    <w:rPr>
      <w:rFonts w:ascii="Times New Roman" w:hAnsi="Times New Roman"/>
      <w:dstrike w:val="0"/>
      <w:color w:val="auto"/>
      <w:sz w:val="20"/>
      <w:vertAlign w:val="superscript"/>
    </w:rPr>
  </w:style>
  <w:style w:type="paragraph" w:styleId="TOC1">
    <w:name w:val="toc 1"/>
    <w:basedOn w:val="Normal"/>
    <w:next w:val="Normal"/>
    <w:semiHidden/>
    <w:rsid w:val="0082389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23895"/>
    <w:pPr>
      <w:tabs>
        <w:tab w:val="left" w:pos="720"/>
        <w:tab w:val="right" w:leader="dot" w:pos="9360"/>
      </w:tabs>
      <w:suppressAutoHyphens/>
      <w:ind w:left="720" w:right="720" w:hanging="360"/>
    </w:pPr>
    <w:rPr>
      <w:noProof/>
    </w:rPr>
  </w:style>
  <w:style w:type="paragraph" w:styleId="TOC3">
    <w:name w:val="toc 3"/>
    <w:basedOn w:val="Normal"/>
    <w:next w:val="Normal"/>
    <w:semiHidden/>
    <w:rsid w:val="0082389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2389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2389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2389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2389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2389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2389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23895"/>
    <w:pPr>
      <w:tabs>
        <w:tab w:val="right" w:pos="9360"/>
      </w:tabs>
      <w:suppressAutoHyphens/>
    </w:pPr>
  </w:style>
  <w:style w:type="character" w:customStyle="1" w:styleId="EquationCaption">
    <w:name w:val="_Equation Caption"/>
    <w:rsid w:val="00823895"/>
  </w:style>
  <w:style w:type="paragraph" w:styleId="Header">
    <w:name w:val="header"/>
    <w:basedOn w:val="Normal"/>
    <w:autoRedefine/>
    <w:rsid w:val="00823895"/>
    <w:pPr>
      <w:tabs>
        <w:tab w:val="center" w:pos="4680"/>
        <w:tab w:val="right" w:pos="9360"/>
      </w:tabs>
    </w:pPr>
    <w:rPr>
      <w:b/>
    </w:rPr>
  </w:style>
  <w:style w:type="paragraph" w:styleId="Footer">
    <w:name w:val="footer"/>
    <w:basedOn w:val="Normal"/>
    <w:link w:val="FooterChar"/>
    <w:uiPriority w:val="99"/>
    <w:rsid w:val="00823895"/>
    <w:pPr>
      <w:tabs>
        <w:tab w:val="center" w:pos="4320"/>
        <w:tab w:val="right" w:pos="8640"/>
      </w:tabs>
    </w:pPr>
  </w:style>
  <w:style w:type="character" w:styleId="PageNumber">
    <w:name w:val="page number"/>
    <w:basedOn w:val="DefaultParagraphFont"/>
    <w:rsid w:val="00823895"/>
  </w:style>
  <w:style w:type="paragraph" w:styleId="BlockText">
    <w:name w:val="Block Text"/>
    <w:basedOn w:val="Normal"/>
    <w:rsid w:val="00823895"/>
    <w:pPr>
      <w:spacing w:after="240"/>
      <w:ind w:left="1440" w:right="1440"/>
    </w:pPr>
  </w:style>
  <w:style w:type="paragraph" w:customStyle="1" w:styleId="Paratitle">
    <w:name w:val="Para title"/>
    <w:basedOn w:val="Normal"/>
    <w:rsid w:val="00823895"/>
    <w:pPr>
      <w:tabs>
        <w:tab w:val="center" w:pos="9270"/>
      </w:tabs>
      <w:spacing w:after="240"/>
    </w:pPr>
    <w:rPr>
      <w:spacing w:val="-2"/>
    </w:rPr>
  </w:style>
  <w:style w:type="paragraph" w:customStyle="1" w:styleId="Bullet">
    <w:name w:val="Bullet"/>
    <w:basedOn w:val="Normal"/>
    <w:rsid w:val="00823895"/>
    <w:pPr>
      <w:tabs>
        <w:tab w:val="left" w:pos="2160"/>
      </w:tabs>
      <w:spacing w:after="220"/>
      <w:ind w:left="2160" w:hanging="720"/>
    </w:pPr>
  </w:style>
  <w:style w:type="paragraph" w:customStyle="1" w:styleId="TableFormat">
    <w:name w:val="TableFormat"/>
    <w:basedOn w:val="Bullet"/>
    <w:rsid w:val="00823895"/>
    <w:pPr>
      <w:tabs>
        <w:tab w:val="clear" w:pos="2160"/>
        <w:tab w:val="left" w:pos="5040"/>
      </w:tabs>
      <w:ind w:left="5040" w:hanging="3600"/>
    </w:pPr>
  </w:style>
  <w:style w:type="paragraph" w:customStyle="1" w:styleId="TOCTitle">
    <w:name w:val="TOC Title"/>
    <w:basedOn w:val="Normal"/>
    <w:rsid w:val="0082389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23895"/>
    <w:pPr>
      <w:jc w:val="center"/>
    </w:pPr>
    <w:rPr>
      <w:rFonts w:ascii="Times New Roman Bold" w:hAnsi="Times New Roman Bold"/>
      <w:b/>
      <w:bCs/>
      <w:caps/>
      <w:szCs w:val="22"/>
    </w:rPr>
  </w:style>
  <w:style w:type="character" w:styleId="Hyperlink">
    <w:name w:val="Hyperlink"/>
    <w:rsid w:val="00823895"/>
    <w:rPr>
      <w:color w:val="0000FF"/>
      <w:u w:val="single"/>
    </w:rPr>
  </w:style>
  <w:style w:type="character" w:customStyle="1" w:styleId="FooterChar">
    <w:name w:val="Footer Char"/>
    <w:link w:val="Footer"/>
    <w:uiPriority w:val="99"/>
    <w:rsid w:val="0082389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poynter.org/business-work/2020/here-are-the-newsroom-layoffs-furloughs-and-closures-caused-by-the-coronavirus/"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