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75FF1" w:rsidRPr="00B20363" w:rsidP="00B75FF1" w14:paraId="4580DE93" w14:textId="22B4B1BC">
      <w:pPr>
        <w:spacing w:before="120" w:after="240"/>
        <w:rPr>
          <w:b/>
          <w:sz w:val="24"/>
        </w:rPr>
      </w:pPr>
    </w:p>
    <w:p w:rsidR="00B75FF1" w:rsidRPr="00B20363" w:rsidP="00B75FF1" w14:paraId="7BE776E7" w14:textId="0A504346">
      <w:pPr>
        <w:jc w:val="right"/>
        <w:rPr>
          <w:b/>
          <w:sz w:val="24"/>
        </w:rPr>
      </w:pPr>
      <w:r>
        <w:rPr>
          <w:b/>
          <w:sz w:val="24"/>
        </w:rPr>
        <w:t xml:space="preserve">DA No. </w:t>
      </w:r>
      <w:r w:rsidRPr="00A16BAD" w:rsidR="004D20DC">
        <w:rPr>
          <w:b/>
          <w:sz w:val="24"/>
        </w:rPr>
        <w:t>20</w:t>
      </w:r>
      <w:r w:rsidRPr="00A16BAD">
        <w:rPr>
          <w:b/>
          <w:sz w:val="24"/>
        </w:rPr>
        <w:t>-</w:t>
      </w:r>
      <w:r w:rsidR="00A16BAD">
        <w:rPr>
          <w:b/>
          <w:sz w:val="24"/>
        </w:rPr>
        <w:t>488</w:t>
      </w:r>
    </w:p>
    <w:p w:rsidR="00B75FF1" w:rsidRPr="00B20363" w:rsidP="00B75FF1" w14:paraId="79C98363" w14:textId="4F704A57">
      <w:pPr>
        <w:spacing w:before="60"/>
        <w:jc w:val="right"/>
        <w:rPr>
          <w:b/>
          <w:sz w:val="24"/>
        </w:rPr>
      </w:pPr>
      <w:r>
        <w:rPr>
          <w:b/>
          <w:sz w:val="24"/>
        </w:rPr>
        <w:t xml:space="preserve">Released:  </w:t>
      </w:r>
      <w:r w:rsidR="00E248ED">
        <w:rPr>
          <w:b/>
          <w:sz w:val="24"/>
        </w:rPr>
        <w:t>May 5, 2020</w:t>
      </w:r>
    </w:p>
    <w:p w:rsidR="00B75FF1" w:rsidP="00B75FF1" w14:paraId="42C25664" w14:textId="77777777">
      <w:pPr>
        <w:jc w:val="right"/>
        <w:rPr>
          <w:sz w:val="24"/>
        </w:rPr>
      </w:pPr>
    </w:p>
    <w:p w:rsidR="00B75FF1" w:rsidRPr="00B20363" w:rsidP="00B75FF1" w14:paraId="347903AF" w14:textId="1F80BF73">
      <w:pPr>
        <w:spacing w:after="240"/>
        <w:jc w:val="center"/>
        <w:rPr>
          <w:rFonts w:ascii="Times New Roman Bold" w:hAnsi="Times New Roman Bold"/>
          <w:b/>
          <w:caps/>
          <w:sz w:val="24"/>
        </w:rPr>
      </w:pPr>
      <w:bookmarkStart w:id="0" w:name="_Hlk1037059"/>
      <w:r>
        <w:rPr>
          <w:b/>
          <w:szCs w:val="18"/>
        </w:rPr>
        <w:t xml:space="preserve">MEDIA BUREAU ANNOUNCES FILING OF PETITION FOR DECLARATORY RULING BY </w:t>
      </w:r>
      <w:r w:rsidR="004D20DC">
        <w:rPr>
          <w:b/>
          <w:szCs w:val="18"/>
        </w:rPr>
        <w:t>UNIVISION HOLDINGS,</w:t>
      </w:r>
      <w:r>
        <w:rPr>
          <w:b/>
          <w:szCs w:val="18"/>
        </w:rPr>
        <w:t xml:space="preserve"> INC.</w:t>
      </w:r>
      <w:bookmarkEnd w:id="0"/>
    </w:p>
    <w:p w:rsidR="00B75FF1" w:rsidP="00B75FF1" w14:paraId="218F23BF" w14:textId="1B19EFC3">
      <w:pPr>
        <w:jc w:val="center"/>
        <w:rPr>
          <w:b/>
          <w:sz w:val="24"/>
        </w:rPr>
      </w:pPr>
      <w:r>
        <w:rPr>
          <w:b/>
          <w:sz w:val="24"/>
        </w:rPr>
        <w:t xml:space="preserve">MB Docket No. </w:t>
      </w:r>
      <w:r w:rsidRPr="00E248ED" w:rsidR="004D20DC">
        <w:rPr>
          <w:b/>
          <w:sz w:val="24"/>
        </w:rPr>
        <w:t>20</w:t>
      </w:r>
      <w:r w:rsidRPr="00E248ED">
        <w:rPr>
          <w:b/>
          <w:sz w:val="24"/>
        </w:rPr>
        <w:t>-</w:t>
      </w:r>
      <w:r w:rsidR="00E248ED">
        <w:rPr>
          <w:b/>
          <w:sz w:val="24"/>
        </w:rPr>
        <w:t>122</w:t>
      </w:r>
    </w:p>
    <w:p w:rsidR="00B75FF1" w:rsidP="00B75FF1" w14:paraId="0B5B21B1" w14:textId="77777777">
      <w:pPr>
        <w:rPr>
          <w:sz w:val="24"/>
        </w:rPr>
      </w:pPr>
    </w:p>
    <w:p w:rsidR="00B75FF1" w:rsidRPr="00B53F9E" w:rsidP="00B75FF1" w14:paraId="42284BD5" w14:textId="17CEF34F">
      <w:pPr>
        <w:widowControl/>
        <w:rPr>
          <w:b/>
          <w:snapToGrid/>
          <w:kern w:val="0"/>
          <w:szCs w:val="18"/>
        </w:rPr>
      </w:pPr>
      <w:r w:rsidRPr="00B53F9E">
        <w:rPr>
          <w:b/>
          <w:snapToGrid/>
          <w:kern w:val="0"/>
          <w:szCs w:val="18"/>
        </w:rPr>
        <w:t xml:space="preserve">Comment Date:  </w:t>
      </w:r>
      <w:r w:rsidR="00A16BAD">
        <w:rPr>
          <w:b/>
          <w:snapToGrid/>
          <w:kern w:val="0"/>
          <w:szCs w:val="18"/>
        </w:rPr>
        <w:t>June 4, 2020</w:t>
      </w:r>
    </w:p>
    <w:p w:rsidR="00B75FF1" w:rsidP="00B75FF1" w14:paraId="1EF1FDA0" w14:textId="6B3DD225">
      <w:pPr>
        <w:widowControl/>
        <w:rPr>
          <w:snapToGrid/>
          <w:kern w:val="0"/>
          <w:szCs w:val="18"/>
        </w:rPr>
      </w:pPr>
      <w:r w:rsidRPr="00B53F9E">
        <w:rPr>
          <w:b/>
          <w:snapToGrid/>
          <w:kern w:val="0"/>
          <w:szCs w:val="18"/>
        </w:rPr>
        <w:t xml:space="preserve">Reply Date:  </w:t>
      </w:r>
      <w:r w:rsidR="00A16BAD">
        <w:rPr>
          <w:b/>
          <w:snapToGrid/>
          <w:kern w:val="0"/>
          <w:szCs w:val="18"/>
        </w:rPr>
        <w:t>June 19, 2020</w:t>
      </w:r>
    </w:p>
    <w:p w:rsidR="00B75FF1" w:rsidP="00B75FF1" w14:paraId="449BB565" w14:textId="77777777">
      <w:pPr>
        <w:widowControl/>
        <w:rPr>
          <w:snapToGrid/>
          <w:kern w:val="0"/>
          <w:szCs w:val="18"/>
        </w:rPr>
      </w:pPr>
    </w:p>
    <w:p w:rsidR="003F4243" w:rsidP="00B75FF1" w14:paraId="248ACE77" w14:textId="50FFFA46">
      <w:pPr>
        <w:widowControl/>
        <w:rPr>
          <w:snapToGrid/>
          <w:kern w:val="0"/>
          <w:szCs w:val="18"/>
        </w:rPr>
      </w:pPr>
      <w:r>
        <w:rPr>
          <w:snapToGrid/>
          <w:kern w:val="0"/>
          <w:szCs w:val="18"/>
        </w:rPr>
        <w:tab/>
      </w:r>
      <w:r w:rsidR="00D67912">
        <w:rPr>
          <w:snapToGrid/>
          <w:kern w:val="0"/>
          <w:szCs w:val="18"/>
        </w:rPr>
        <w:t>Univision Holdings</w:t>
      </w:r>
      <w:r>
        <w:rPr>
          <w:snapToGrid/>
          <w:kern w:val="0"/>
          <w:szCs w:val="18"/>
        </w:rPr>
        <w:t>, Inc. (</w:t>
      </w:r>
      <w:r w:rsidR="00D67912">
        <w:rPr>
          <w:snapToGrid/>
          <w:kern w:val="0"/>
          <w:szCs w:val="18"/>
        </w:rPr>
        <w:t>Univision</w:t>
      </w:r>
      <w:r>
        <w:rPr>
          <w:snapToGrid/>
          <w:kern w:val="0"/>
          <w:szCs w:val="18"/>
        </w:rPr>
        <w:t>)</w:t>
      </w:r>
      <w:r w:rsidR="003A2491">
        <w:rPr>
          <w:snapToGrid/>
          <w:kern w:val="0"/>
          <w:szCs w:val="18"/>
        </w:rPr>
        <w:t xml:space="preserve">, </w:t>
      </w:r>
      <w:r w:rsidR="00081F5F">
        <w:rPr>
          <w:snapToGrid/>
          <w:kern w:val="0"/>
          <w:szCs w:val="18"/>
        </w:rPr>
        <w:t>the indirect parent of subsidiaries that hold broadcast television, radio, and other Commission licenses</w:t>
      </w:r>
      <w:r w:rsidR="003A2491">
        <w:rPr>
          <w:snapToGrid/>
          <w:kern w:val="0"/>
          <w:szCs w:val="18"/>
        </w:rPr>
        <w:t>,</w:t>
      </w:r>
      <w:r>
        <w:rPr>
          <w:snapToGrid/>
          <w:kern w:val="0"/>
          <w:szCs w:val="18"/>
        </w:rPr>
        <w:t xml:space="preserve"> has filed a petition for declaratory ruling</w:t>
      </w:r>
      <w:r>
        <w:rPr>
          <w:rStyle w:val="FootnoteReference"/>
          <w:snapToGrid/>
          <w:kern w:val="0"/>
          <w:szCs w:val="18"/>
        </w:rPr>
        <w:footnoteReference w:id="3"/>
      </w:r>
      <w:r>
        <w:rPr>
          <w:snapToGrid/>
          <w:kern w:val="0"/>
          <w:szCs w:val="18"/>
        </w:rPr>
        <w:t xml:space="preserve"> (Petition) asking the </w:t>
      </w:r>
      <w:r w:rsidR="00AE689C">
        <w:rPr>
          <w:snapToGrid/>
          <w:kern w:val="0"/>
          <w:szCs w:val="18"/>
        </w:rPr>
        <w:t xml:space="preserve">Federal </w:t>
      </w:r>
      <w:r w:rsidR="00A26AFF">
        <w:rPr>
          <w:snapToGrid/>
          <w:kern w:val="0"/>
          <w:szCs w:val="18"/>
        </w:rPr>
        <w:t xml:space="preserve">Communications </w:t>
      </w:r>
      <w:r>
        <w:rPr>
          <w:snapToGrid/>
          <w:kern w:val="0"/>
          <w:szCs w:val="18"/>
        </w:rPr>
        <w:t>Commission</w:t>
      </w:r>
      <w:r w:rsidR="008F4084">
        <w:rPr>
          <w:snapToGrid/>
          <w:kern w:val="0"/>
          <w:szCs w:val="18"/>
        </w:rPr>
        <w:t xml:space="preserve"> (Commission)</w:t>
      </w:r>
      <w:r>
        <w:rPr>
          <w:snapToGrid/>
          <w:kern w:val="0"/>
          <w:szCs w:val="18"/>
        </w:rPr>
        <w:t xml:space="preserve"> </w:t>
      </w:r>
      <w:r w:rsidR="00C802A0">
        <w:rPr>
          <w:snapToGrid/>
          <w:kern w:val="0"/>
          <w:szCs w:val="18"/>
        </w:rPr>
        <w:t xml:space="preserve">to allow </w:t>
      </w:r>
      <w:r w:rsidR="00267938">
        <w:rPr>
          <w:snapToGrid/>
          <w:kern w:val="0"/>
          <w:szCs w:val="18"/>
        </w:rPr>
        <w:t>it</w:t>
      </w:r>
      <w:r w:rsidR="00C802A0">
        <w:rPr>
          <w:snapToGrid/>
          <w:kern w:val="0"/>
          <w:szCs w:val="18"/>
        </w:rPr>
        <w:t xml:space="preserve"> to accept foreign investment in excess of the 25</w:t>
      </w:r>
      <w:r w:rsidR="00F1278D">
        <w:rPr>
          <w:snapToGrid/>
          <w:kern w:val="0"/>
          <w:szCs w:val="18"/>
        </w:rPr>
        <w:t xml:space="preserve">% </w:t>
      </w:r>
      <w:r w:rsidR="00C802A0">
        <w:rPr>
          <w:snapToGrid/>
          <w:kern w:val="0"/>
          <w:szCs w:val="18"/>
        </w:rPr>
        <w:t xml:space="preserve">benchmark set forth </w:t>
      </w:r>
      <w:r>
        <w:rPr>
          <w:snapToGrid/>
          <w:kern w:val="0"/>
          <w:szCs w:val="18"/>
        </w:rPr>
        <w:t xml:space="preserve">in </w:t>
      </w:r>
      <w:r w:rsidR="00247150">
        <w:rPr>
          <w:snapToGrid/>
          <w:kern w:val="0"/>
          <w:szCs w:val="18"/>
        </w:rPr>
        <w:t>s</w:t>
      </w:r>
      <w:r>
        <w:rPr>
          <w:snapToGrid/>
          <w:kern w:val="0"/>
          <w:szCs w:val="18"/>
        </w:rPr>
        <w:t>ection 310(b)(4) of the Communications Act of 1934, as amended (the Act).</w:t>
      </w:r>
      <w:r>
        <w:rPr>
          <w:rStyle w:val="FootnoteReference"/>
          <w:snapToGrid/>
          <w:kern w:val="0"/>
          <w:szCs w:val="18"/>
        </w:rPr>
        <w:footnoteReference w:id="4"/>
      </w:r>
      <w:r>
        <w:rPr>
          <w:snapToGrid/>
          <w:kern w:val="0"/>
          <w:szCs w:val="18"/>
        </w:rPr>
        <w:t xml:space="preserve">  </w:t>
      </w:r>
      <w:r w:rsidR="00C802A0">
        <w:rPr>
          <w:snapToGrid/>
          <w:kern w:val="0"/>
          <w:szCs w:val="18"/>
        </w:rPr>
        <w:t xml:space="preserve">Specifically, </w:t>
      </w:r>
      <w:r w:rsidR="00081F5F">
        <w:rPr>
          <w:snapToGrid/>
          <w:kern w:val="0"/>
          <w:szCs w:val="18"/>
        </w:rPr>
        <w:t>Univision</w:t>
      </w:r>
      <w:r>
        <w:rPr>
          <w:snapToGrid/>
          <w:kern w:val="0"/>
          <w:szCs w:val="18"/>
        </w:rPr>
        <w:t xml:space="preserve"> seeks Commission authorization for foreign investors to own up to 100% of </w:t>
      </w:r>
      <w:r w:rsidR="00C231AD">
        <w:rPr>
          <w:snapToGrid/>
          <w:kern w:val="0"/>
          <w:szCs w:val="18"/>
        </w:rPr>
        <w:t>its</w:t>
      </w:r>
      <w:r>
        <w:rPr>
          <w:snapToGrid/>
          <w:kern w:val="0"/>
          <w:szCs w:val="18"/>
        </w:rPr>
        <w:t xml:space="preserve"> </w:t>
      </w:r>
      <w:r w:rsidR="008F4084">
        <w:rPr>
          <w:snapToGrid/>
          <w:kern w:val="0"/>
          <w:szCs w:val="18"/>
        </w:rPr>
        <w:t>voting and equity</w:t>
      </w:r>
      <w:r>
        <w:rPr>
          <w:snapToGrid/>
          <w:kern w:val="0"/>
          <w:szCs w:val="18"/>
        </w:rPr>
        <w:t xml:space="preserve"> interests</w:t>
      </w:r>
      <w:r w:rsidR="00575AEA">
        <w:rPr>
          <w:snapToGrid/>
          <w:kern w:val="0"/>
          <w:szCs w:val="18"/>
        </w:rPr>
        <w:t>, as well as</w:t>
      </w:r>
      <w:r>
        <w:rPr>
          <w:snapToGrid/>
          <w:kern w:val="0"/>
          <w:szCs w:val="18"/>
        </w:rPr>
        <w:t xml:space="preserve"> </w:t>
      </w:r>
      <w:r w:rsidR="00483139">
        <w:rPr>
          <w:snapToGrid/>
          <w:kern w:val="0"/>
          <w:szCs w:val="18"/>
        </w:rPr>
        <w:t>specific approval</w:t>
      </w:r>
      <w:r>
        <w:rPr>
          <w:rStyle w:val="FootnoteReference"/>
          <w:snapToGrid/>
          <w:kern w:val="0"/>
          <w:szCs w:val="18"/>
        </w:rPr>
        <w:footnoteReference w:id="5"/>
      </w:r>
      <w:r w:rsidR="00483139">
        <w:rPr>
          <w:snapToGrid/>
          <w:kern w:val="0"/>
          <w:szCs w:val="18"/>
        </w:rPr>
        <w:t xml:space="preserve"> </w:t>
      </w:r>
      <w:r w:rsidR="00C94161">
        <w:rPr>
          <w:snapToGrid/>
          <w:kern w:val="0"/>
          <w:szCs w:val="18"/>
        </w:rPr>
        <w:t>for certain foreign investors</w:t>
      </w:r>
      <w:r w:rsidR="00C334F8">
        <w:rPr>
          <w:snapToGrid/>
          <w:kern w:val="0"/>
          <w:szCs w:val="18"/>
        </w:rPr>
        <w:t xml:space="preserve"> </w:t>
      </w:r>
      <w:r w:rsidR="00C94161">
        <w:rPr>
          <w:snapToGrid/>
          <w:kern w:val="0"/>
          <w:szCs w:val="18"/>
        </w:rPr>
        <w:t xml:space="preserve">that seek to </w:t>
      </w:r>
      <w:r w:rsidR="00575AEA">
        <w:rPr>
          <w:snapToGrid/>
          <w:kern w:val="0"/>
          <w:szCs w:val="18"/>
        </w:rPr>
        <w:t xml:space="preserve">hold </w:t>
      </w:r>
      <w:r w:rsidR="00C94161">
        <w:rPr>
          <w:snapToGrid/>
          <w:kern w:val="0"/>
          <w:szCs w:val="18"/>
        </w:rPr>
        <w:t xml:space="preserve">directly or indirectly more than 10% of </w:t>
      </w:r>
      <w:r w:rsidR="00C231AD">
        <w:rPr>
          <w:snapToGrid/>
          <w:kern w:val="0"/>
          <w:szCs w:val="18"/>
        </w:rPr>
        <w:t>the company’s</w:t>
      </w:r>
      <w:r w:rsidR="00C425C6">
        <w:rPr>
          <w:snapToGrid/>
          <w:kern w:val="0"/>
          <w:szCs w:val="18"/>
        </w:rPr>
        <w:t xml:space="preserve"> equity</w:t>
      </w:r>
      <w:r w:rsidR="00C55516">
        <w:rPr>
          <w:snapToGrid/>
          <w:kern w:val="0"/>
          <w:szCs w:val="18"/>
        </w:rPr>
        <w:t xml:space="preserve"> interests</w:t>
      </w:r>
      <w:r w:rsidR="00C425C6">
        <w:rPr>
          <w:snapToGrid/>
          <w:kern w:val="0"/>
          <w:szCs w:val="18"/>
        </w:rPr>
        <w:t xml:space="preserve"> and/or hold equity interests that </w:t>
      </w:r>
      <w:r w:rsidR="00C55516">
        <w:rPr>
          <w:snapToGrid/>
          <w:kern w:val="0"/>
          <w:szCs w:val="18"/>
        </w:rPr>
        <w:t>would</w:t>
      </w:r>
      <w:r w:rsidR="00C425C6">
        <w:rPr>
          <w:snapToGrid/>
          <w:kern w:val="0"/>
          <w:szCs w:val="18"/>
        </w:rPr>
        <w:t xml:space="preserve"> cause them to be deemed to hold more than 10% of </w:t>
      </w:r>
      <w:r w:rsidR="00B036CA">
        <w:rPr>
          <w:snapToGrid/>
          <w:kern w:val="0"/>
          <w:szCs w:val="18"/>
        </w:rPr>
        <w:t>Univision’s</w:t>
      </w:r>
      <w:r w:rsidR="00C425C6">
        <w:rPr>
          <w:snapToGrid/>
          <w:kern w:val="0"/>
          <w:szCs w:val="18"/>
        </w:rPr>
        <w:t xml:space="preserve"> voting rights</w:t>
      </w:r>
      <w:r>
        <w:rPr>
          <w:snapToGrid/>
          <w:kern w:val="0"/>
          <w:szCs w:val="18"/>
        </w:rPr>
        <w:t>.</w:t>
      </w:r>
      <w:r>
        <w:rPr>
          <w:rStyle w:val="FootnoteReference"/>
          <w:snapToGrid/>
          <w:kern w:val="0"/>
          <w:szCs w:val="18"/>
        </w:rPr>
        <w:footnoteReference w:id="6"/>
      </w:r>
      <w:r>
        <w:rPr>
          <w:snapToGrid/>
          <w:kern w:val="0"/>
          <w:szCs w:val="18"/>
        </w:rPr>
        <w:t xml:space="preserve">  </w:t>
      </w:r>
      <w:bookmarkStart w:id="3" w:name="_Hlk39225405"/>
      <w:r w:rsidR="00044E79">
        <w:rPr>
          <w:snapToGrid/>
          <w:kern w:val="0"/>
          <w:szCs w:val="18"/>
        </w:rPr>
        <w:t>Univision</w:t>
      </w:r>
      <w:r w:rsidR="008B1CBF">
        <w:rPr>
          <w:snapToGrid/>
          <w:kern w:val="0"/>
          <w:szCs w:val="18"/>
        </w:rPr>
        <w:t xml:space="preserve"> </w:t>
      </w:r>
      <w:r w:rsidR="00575AEA">
        <w:rPr>
          <w:snapToGrid/>
          <w:kern w:val="0"/>
          <w:szCs w:val="18"/>
        </w:rPr>
        <w:t>contends</w:t>
      </w:r>
      <w:r w:rsidR="008B1CBF">
        <w:rPr>
          <w:snapToGrid/>
          <w:kern w:val="0"/>
          <w:szCs w:val="18"/>
        </w:rPr>
        <w:t xml:space="preserve"> that granting the Petition is in the public interest</w:t>
      </w:r>
      <w:r w:rsidR="00283508">
        <w:rPr>
          <w:snapToGrid/>
          <w:kern w:val="0"/>
          <w:szCs w:val="18"/>
        </w:rPr>
        <w:t xml:space="preserve"> because </w:t>
      </w:r>
      <w:r w:rsidR="00496470">
        <w:rPr>
          <w:snapToGrid/>
          <w:kern w:val="0"/>
          <w:szCs w:val="18"/>
        </w:rPr>
        <w:t xml:space="preserve">it </w:t>
      </w:r>
      <w:r w:rsidR="00283508">
        <w:t>will further the Commission’s goal of encouraging foreign investment in the broadc</w:t>
      </w:r>
      <w:r w:rsidR="00C868B8">
        <w:t>a</w:t>
      </w:r>
      <w:r w:rsidR="00283508">
        <w:t>st industry and promote U.S. trade policy</w:t>
      </w:r>
      <w:bookmarkEnd w:id="3"/>
      <w:r w:rsidR="008B1CBF">
        <w:rPr>
          <w:snapToGrid/>
          <w:kern w:val="0"/>
          <w:szCs w:val="18"/>
        </w:rPr>
        <w:t>.</w:t>
      </w:r>
      <w:r>
        <w:rPr>
          <w:rStyle w:val="FootnoteReference"/>
          <w:snapToGrid/>
          <w:kern w:val="0"/>
          <w:szCs w:val="18"/>
        </w:rPr>
        <w:footnoteReference w:id="7"/>
      </w:r>
    </w:p>
    <w:p w:rsidR="007E5D43" w:rsidRPr="00D22F39" w:rsidP="00B75FF1" w14:paraId="694F72BA" w14:textId="4BB8BD92">
      <w:pPr>
        <w:widowControl/>
        <w:rPr>
          <w:snapToGrid/>
          <w:kern w:val="0"/>
          <w:sz w:val="12"/>
          <w:szCs w:val="12"/>
        </w:rPr>
      </w:pPr>
    </w:p>
    <w:p w:rsidR="00CC09B7" w:rsidP="00117EC4" w14:paraId="791E6121" w14:textId="22881D94">
      <w:pPr>
        <w:widowControl/>
        <w:ind w:firstLine="720"/>
        <w:rPr>
          <w:snapToGrid/>
          <w:kern w:val="0"/>
          <w:szCs w:val="18"/>
        </w:rPr>
      </w:pPr>
      <w:r>
        <w:rPr>
          <w:snapToGrid/>
          <w:kern w:val="0"/>
          <w:szCs w:val="18"/>
        </w:rPr>
        <w:t>P</w:t>
      </w:r>
      <w:r w:rsidR="00D22F39">
        <w:rPr>
          <w:snapToGrid/>
          <w:kern w:val="0"/>
          <w:szCs w:val="18"/>
        </w:rPr>
        <w:t xml:space="preserve">ursuant to </w:t>
      </w:r>
      <w:r w:rsidR="000C2BB5">
        <w:rPr>
          <w:snapToGrid/>
          <w:kern w:val="0"/>
          <w:szCs w:val="18"/>
        </w:rPr>
        <w:t>a</w:t>
      </w:r>
      <w:r w:rsidR="00D22F39">
        <w:rPr>
          <w:snapToGrid/>
          <w:kern w:val="0"/>
          <w:szCs w:val="18"/>
        </w:rPr>
        <w:t xml:space="preserve"> Stock Purchase Agreement, </w:t>
      </w:r>
      <w:r w:rsidR="00CC61F2">
        <w:rPr>
          <w:snapToGrid/>
          <w:kern w:val="0"/>
          <w:szCs w:val="18"/>
        </w:rPr>
        <w:t>Searchlight III UTD, L.P.</w:t>
      </w:r>
      <w:r w:rsidR="00AB6D50">
        <w:rPr>
          <w:snapToGrid/>
          <w:kern w:val="0"/>
          <w:szCs w:val="18"/>
        </w:rPr>
        <w:t xml:space="preserve"> (Searchlight)</w:t>
      </w:r>
      <w:r w:rsidR="00CC61F2">
        <w:rPr>
          <w:snapToGrid/>
          <w:kern w:val="0"/>
          <w:szCs w:val="18"/>
        </w:rPr>
        <w:t>,</w:t>
      </w:r>
      <w:r>
        <w:rPr>
          <w:rStyle w:val="FootnoteReference"/>
          <w:snapToGrid/>
          <w:kern w:val="0"/>
          <w:szCs w:val="18"/>
        </w:rPr>
        <w:footnoteReference w:id="8"/>
      </w:r>
      <w:r w:rsidR="000C2BB5">
        <w:rPr>
          <w:snapToGrid/>
          <w:kern w:val="0"/>
          <w:szCs w:val="18"/>
        </w:rPr>
        <w:t xml:space="preserve"> </w:t>
      </w:r>
      <w:r w:rsidR="00C55516">
        <w:rPr>
          <w:snapToGrid/>
          <w:kern w:val="0"/>
          <w:szCs w:val="18"/>
        </w:rPr>
        <w:t>would</w:t>
      </w:r>
      <w:r w:rsidR="00D04B28">
        <w:rPr>
          <w:snapToGrid/>
          <w:kern w:val="0"/>
          <w:szCs w:val="18"/>
        </w:rPr>
        <w:t xml:space="preserve"> acquire</w:t>
      </w:r>
      <w:r w:rsidR="00CC61F2">
        <w:rPr>
          <w:snapToGrid/>
          <w:kern w:val="0"/>
          <w:szCs w:val="18"/>
        </w:rPr>
        <w:t xml:space="preserve"> </w:t>
      </w:r>
      <w:r w:rsidR="00AB6D50">
        <w:rPr>
          <w:snapToGrid/>
          <w:kern w:val="0"/>
          <w:szCs w:val="18"/>
        </w:rPr>
        <w:t xml:space="preserve">all of </w:t>
      </w:r>
      <w:r w:rsidR="000C2BB5">
        <w:rPr>
          <w:snapToGrid/>
          <w:kern w:val="0"/>
          <w:szCs w:val="18"/>
        </w:rPr>
        <w:t>Univision’s</w:t>
      </w:r>
      <w:r w:rsidR="00AB6D50">
        <w:rPr>
          <w:snapToGrid/>
          <w:kern w:val="0"/>
          <w:szCs w:val="18"/>
        </w:rPr>
        <w:t xml:space="preserve"> presently</w:t>
      </w:r>
      <w:r w:rsidR="00565D46">
        <w:rPr>
          <w:snapToGrid/>
          <w:kern w:val="0"/>
          <w:szCs w:val="18"/>
        </w:rPr>
        <w:t xml:space="preserve"> outstanding equity interest </w:t>
      </w:r>
      <w:r w:rsidR="00D04B28">
        <w:rPr>
          <w:snapToGrid/>
          <w:kern w:val="0"/>
          <w:szCs w:val="18"/>
        </w:rPr>
        <w:t xml:space="preserve">from </w:t>
      </w:r>
      <w:r w:rsidR="000C2BB5">
        <w:rPr>
          <w:snapToGrid/>
          <w:kern w:val="0"/>
          <w:szCs w:val="18"/>
        </w:rPr>
        <w:t>its</w:t>
      </w:r>
      <w:r w:rsidR="00D04B28">
        <w:rPr>
          <w:snapToGrid/>
          <w:kern w:val="0"/>
          <w:szCs w:val="18"/>
        </w:rPr>
        <w:t xml:space="preserve"> existing shareholders</w:t>
      </w:r>
      <w:r w:rsidR="00575AEA">
        <w:rPr>
          <w:snapToGrid/>
          <w:kern w:val="0"/>
          <w:szCs w:val="18"/>
        </w:rPr>
        <w:t xml:space="preserve"> except for the ownership interest held by Multimedia Telecom, S.A. de C.V. (Multimedia Telecom)</w:t>
      </w:r>
      <w:r w:rsidR="00565D46">
        <w:rPr>
          <w:snapToGrid/>
          <w:kern w:val="0"/>
          <w:szCs w:val="18"/>
        </w:rPr>
        <w:t>.</w:t>
      </w:r>
      <w:r>
        <w:rPr>
          <w:rStyle w:val="FootnoteReference"/>
          <w:snapToGrid/>
          <w:kern w:val="0"/>
          <w:szCs w:val="18"/>
        </w:rPr>
        <w:footnoteReference w:id="9"/>
      </w:r>
      <w:r w:rsidR="00AB6D50">
        <w:rPr>
          <w:snapToGrid/>
          <w:kern w:val="0"/>
          <w:szCs w:val="18"/>
        </w:rPr>
        <w:t xml:space="preserve">  Upon acquiring Univision’s outstanding equity, Searchlight </w:t>
      </w:r>
      <w:r w:rsidR="00C55516">
        <w:rPr>
          <w:snapToGrid/>
          <w:kern w:val="0"/>
          <w:szCs w:val="18"/>
        </w:rPr>
        <w:t>would</w:t>
      </w:r>
      <w:r w:rsidR="00AB6D50">
        <w:rPr>
          <w:snapToGrid/>
          <w:kern w:val="0"/>
          <w:szCs w:val="18"/>
        </w:rPr>
        <w:t xml:space="preserve"> concurrently assign approximately 50% of its interest to ForgeLight Purchaser Entity (ForgeLight).</w:t>
      </w:r>
      <w:r>
        <w:rPr>
          <w:rStyle w:val="FootnoteReference"/>
          <w:snapToGrid/>
          <w:kern w:val="0"/>
          <w:szCs w:val="18"/>
        </w:rPr>
        <w:footnoteReference w:id="10"/>
      </w:r>
      <w:r w:rsidR="0067061A">
        <w:rPr>
          <w:snapToGrid/>
          <w:kern w:val="0"/>
          <w:szCs w:val="18"/>
        </w:rPr>
        <w:t xml:space="preserve">  </w:t>
      </w:r>
      <w:r w:rsidR="00D04B28">
        <w:rPr>
          <w:snapToGrid/>
          <w:kern w:val="0"/>
          <w:szCs w:val="18"/>
        </w:rPr>
        <w:t>Additionally, Liberty Global</w:t>
      </w:r>
      <w:r w:rsidR="00D72C66">
        <w:rPr>
          <w:snapToGrid/>
          <w:kern w:val="0"/>
          <w:szCs w:val="18"/>
        </w:rPr>
        <w:t xml:space="preserve"> Incorporated Limited </w:t>
      </w:r>
      <w:r w:rsidR="00AB6D50">
        <w:rPr>
          <w:snapToGrid/>
          <w:kern w:val="0"/>
          <w:szCs w:val="18"/>
        </w:rPr>
        <w:t>(Liberty Global)</w:t>
      </w:r>
      <w:r w:rsidR="007A48E3">
        <w:rPr>
          <w:snapToGrid/>
          <w:kern w:val="0"/>
          <w:szCs w:val="18"/>
        </w:rPr>
        <w:t>,</w:t>
      </w:r>
      <w:r w:rsidR="00AB6D50">
        <w:rPr>
          <w:snapToGrid/>
          <w:kern w:val="0"/>
          <w:szCs w:val="18"/>
        </w:rPr>
        <w:t xml:space="preserve"> </w:t>
      </w:r>
      <w:r w:rsidRPr="00C55516" w:rsidR="00C55516">
        <w:rPr>
          <w:snapToGrid/>
          <w:kern w:val="0"/>
          <w:szCs w:val="18"/>
        </w:rPr>
        <w:t>w</w:t>
      </w:r>
      <w:r w:rsidR="00B07C4D">
        <w:rPr>
          <w:snapToGrid/>
          <w:kern w:val="0"/>
          <w:szCs w:val="18"/>
        </w:rPr>
        <w:t>ould</w:t>
      </w:r>
      <w:r w:rsidRPr="00C55516" w:rsidR="00C55516">
        <w:rPr>
          <w:snapToGrid/>
          <w:kern w:val="0"/>
          <w:szCs w:val="18"/>
        </w:rPr>
        <w:t xml:space="preserve"> acquire new equity issued by Univision</w:t>
      </w:r>
      <w:r w:rsidR="00D72C66">
        <w:rPr>
          <w:snapToGrid/>
          <w:kern w:val="0"/>
          <w:szCs w:val="18"/>
        </w:rPr>
        <w:t>.</w:t>
      </w:r>
      <w:r>
        <w:rPr>
          <w:rStyle w:val="FootnoteReference"/>
          <w:snapToGrid/>
          <w:kern w:val="0"/>
          <w:szCs w:val="18"/>
        </w:rPr>
        <w:footnoteReference w:id="11"/>
      </w:r>
      <w:r w:rsidR="00D72C66">
        <w:rPr>
          <w:snapToGrid/>
          <w:kern w:val="0"/>
          <w:szCs w:val="18"/>
        </w:rPr>
        <w:t xml:space="preserve">  </w:t>
      </w:r>
    </w:p>
    <w:p w:rsidR="003F46C1" w:rsidRPr="003F46C1" w:rsidP="00117EC4" w14:paraId="1B0963F4" w14:textId="524C4D9F">
      <w:pPr>
        <w:widowControl/>
        <w:ind w:firstLine="720"/>
        <w:rPr>
          <w:snapToGrid/>
          <w:kern w:val="0"/>
          <w:sz w:val="12"/>
          <w:szCs w:val="12"/>
        </w:rPr>
      </w:pPr>
    </w:p>
    <w:p w:rsidR="003F46C1" w:rsidP="003F46C1" w14:paraId="52A6486C" w14:textId="4222D703">
      <w:pPr>
        <w:widowControl/>
        <w:ind w:firstLine="720"/>
        <w:rPr>
          <w:snapToGrid/>
          <w:kern w:val="0"/>
          <w:szCs w:val="18"/>
        </w:rPr>
      </w:pPr>
      <w:r>
        <w:rPr>
          <w:snapToGrid/>
          <w:kern w:val="0"/>
          <w:szCs w:val="18"/>
        </w:rPr>
        <w:t xml:space="preserve">After assigning approximately 50% of its interest to ForgeLight, Searchlight, a Delaware limited partnership, </w:t>
      </w:r>
      <w:r w:rsidR="00C55516">
        <w:rPr>
          <w:snapToGrid/>
          <w:kern w:val="0"/>
          <w:szCs w:val="18"/>
        </w:rPr>
        <w:t>would</w:t>
      </w:r>
      <w:r>
        <w:rPr>
          <w:snapToGrid/>
          <w:kern w:val="0"/>
          <w:szCs w:val="18"/>
        </w:rPr>
        <w:t xml:space="preserve"> have a 26.2% equity and a 29.65% voting interest in Univision.</w:t>
      </w:r>
      <w:r>
        <w:rPr>
          <w:rStyle w:val="FootnoteReference"/>
          <w:snapToGrid/>
          <w:kern w:val="0"/>
          <w:szCs w:val="18"/>
        </w:rPr>
        <w:footnoteReference w:id="12"/>
      </w:r>
      <w:r>
        <w:rPr>
          <w:snapToGrid/>
          <w:kern w:val="0"/>
          <w:szCs w:val="18"/>
        </w:rPr>
        <w:t xml:space="preserve">  The general partner of Searchlight is Searchlight III UTD GP, LLC (Aggregator GP), a Delaware limited liability company.</w:t>
      </w:r>
      <w:r>
        <w:rPr>
          <w:rStyle w:val="FootnoteReference"/>
          <w:snapToGrid/>
          <w:kern w:val="0"/>
          <w:szCs w:val="18"/>
        </w:rPr>
        <w:footnoteReference w:id="13"/>
      </w:r>
      <w:r>
        <w:rPr>
          <w:snapToGrid/>
          <w:kern w:val="0"/>
          <w:szCs w:val="18"/>
        </w:rPr>
        <w:t xml:space="preserve">  The sole member of Aggregator GP is Searchlight Capital Partners III GP, L.P. (Searchlight GP</w:t>
      </w:r>
      <w:r w:rsidR="008B7CAE">
        <w:rPr>
          <w:snapToGrid/>
          <w:kern w:val="0"/>
          <w:szCs w:val="18"/>
        </w:rPr>
        <w:t>-</w:t>
      </w:r>
      <w:r>
        <w:rPr>
          <w:snapToGrid/>
          <w:kern w:val="0"/>
          <w:szCs w:val="18"/>
        </w:rPr>
        <w:t>LP), a Cayman Islands exempted limited partnership.</w:t>
      </w:r>
      <w:r>
        <w:rPr>
          <w:rStyle w:val="FootnoteReference"/>
          <w:snapToGrid/>
          <w:kern w:val="0"/>
          <w:szCs w:val="18"/>
        </w:rPr>
        <w:footnoteReference w:id="14"/>
      </w:r>
      <w:r>
        <w:rPr>
          <w:snapToGrid/>
          <w:kern w:val="0"/>
          <w:szCs w:val="18"/>
        </w:rPr>
        <w:t xml:space="preserve">  </w:t>
      </w:r>
      <w:r w:rsidRPr="008D087F">
        <w:rPr>
          <w:snapToGrid/>
          <w:kern w:val="0"/>
          <w:szCs w:val="18"/>
        </w:rPr>
        <w:t>Searchlight GP</w:t>
      </w:r>
      <w:r w:rsidRPr="008D087F" w:rsidR="008B7CAE">
        <w:rPr>
          <w:snapToGrid/>
          <w:kern w:val="0"/>
          <w:szCs w:val="18"/>
        </w:rPr>
        <w:t>-</w:t>
      </w:r>
      <w:r w:rsidRPr="008D087F">
        <w:rPr>
          <w:snapToGrid/>
          <w:kern w:val="0"/>
          <w:szCs w:val="18"/>
        </w:rPr>
        <w:t>LP</w:t>
      </w:r>
      <w:r>
        <w:rPr>
          <w:snapToGrid/>
          <w:kern w:val="0"/>
          <w:szCs w:val="18"/>
        </w:rPr>
        <w:t xml:space="preserve"> is controlled by its general partner, Searchlight Capital Partners III GP, LLC, a Delaware limited liability company, which is owned equally by Eric </w:t>
      </w:r>
      <w:r>
        <w:rPr>
          <w:snapToGrid/>
          <w:kern w:val="0"/>
          <w:szCs w:val="18"/>
        </w:rPr>
        <w:t>Zinterhofer</w:t>
      </w:r>
      <w:r>
        <w:rPr>
          <w:snapToGrid/>
          <w:kern w:val="0"/>
          <w:szCs w:val="18"/>
        </w:rPr>
        <w:t xml:space="preserve">, a citizen of the United States, Erol </w:t>
      </w:r>
      <w:r>
        <w:rPr>
          <w:snapToGrid/>
          <w:kern w:val="0"/>
          <w:szCs w:val="18"/>
        </w:rPr>
        <w:t>Uzumeri</w:t>
      </w:r>
      <w:r>
        <w:rPr>
          <w:snapToGrid/>
          <w:kern w:val="0"/>
          <w:szCs w:val="18"/>
        </w:rPr>
        <w:t xml:space="preserve">, a citizen of Canada, and Oliver </w:t>
      </w:r>
      <w:r>
        <w:rPr>
          <w:snapToGrid/>
          <w:kern w:val="0"/>
          <w:szCs w:val="18"/>
        </w:rPr>
        <w:t>Haarmann</w:t>
      </w:r>
      <w:r>
        <w:rPr>
          <w:snapToGrid/>
          <w:kern w:val="0"/>
          <w:szCs w:val="18"/>
        </w:rPr>
        <w:t>, a citizen of Germany.</w:t>
      </w:r>
      <w:r>
        <w:rPr>
          <w:rStyle w:val="FootnoteReference"/>
          <w:snapToGrid/>
          <w:kern w:val="0"/>
          <w:szCs w:val="18"/>
        </w:rPr>
        <w:footnoteReference w:id="15"/>
      </w:r>
      <w:r>
        <w:rPr>
          <w:snapToGrid/>
          <w:kern w:val="0"/>
          <w:szCs w:val="18"/>
        </w:rPr>
        <w:t xml:space="preserve">  </w:t>
      </w:r>
    </w:p>
    <w:p w:rsidR="003F46C1" w:rsidRPr="00D14450" w:rsidP="003F46C1" w14:paraId="50353545" w14:textId="77777777">
      <w:pPr>
        <w:widowControl/>
        <w:ind w:firstLine="720"/>
        <w:rPr>
          <w:snapToGrid/>
          <w:kern w:val="0"/>
          <w:sz w:val="12"/>
          <w:szCs w:val="12"/>
        </w:rPr>
      </w:pPr>
    </w:p>
    <w:p w:rsidR="003F46C1" w:rsidP="003F46C1" w14:paraId="544ABFA0" w14:textId="61D46623">
      <w:pPr>
        <w:widowControl/>
        <w:ind w:firstLine="720"/>
        <w:rPr>
          <w:snapToGrid/>
          <w:kern w:val="0"/>
          <w:szCs w:val="18"/>
        </w:rPr>
      </w:pPr>
      <w:r>
        <w:rPr>
          <w:snapToGrid/>
          <w:kern w:val="0"/>
          <w:szCs w:val="18"/>
        </w:rPr>
        <w:t>In addition to its general partner, Searchlight has three insulated limited partners, which collectively hold 100% of its equity:  (1) SC III UTD, L.P. (</w:t>
      </w:r>
      <w:r w:rsidR="009F435D">
        <w:rPr>
          <w:snapToGrid/>
          <w:kern w:val="0"/>
          <w:szCs w:val="18"/>
        </w:rPr>
        <w:t>Searchlight Caymans I</w:t>
      </w:r>
      <w:r>
        <w:rPr>
          <w:snapToGrid/>
          <w:kern w:val="0"/>
          <w:szCs w:val="18"/>
        </w:rPr>
        <w:t xml:space="preserve">), a Cayman Islands exempted limited partnership; (2) </w:t>
      </w:r>
      <w:bookmarkStart w:id="4" w:name="_Hlk37425049"/>
      <w:r>
        <w:rPr>
          <w:snapToGrid/>
          <w:kern w:val="0"/>
          <w:szCs w:val="18"/>
        </w:rPr>
        <w:t>Searchlight Capital III PV (FC) AIV, L.P.</w:t>
      </w:r>
      <w:bookmarkEnd w:id="4"/>
      <w:r>
        <w:rPr>
          <w:snapToGrid/>
          <w:kern w:val="0"/>
          <w:szCs w:val="18"/>
        </w:rPr>
        <w:t>, a Delaware limited partnership; and (3) Searchlight Capital III UTD Co-Invest Partners, L.P., a Delaware limited partnership.</w:t>
      </w:r>
      <w:r>
        <w:rPr>
          <w:rStyle w:val="FootnoteReference"/>
          <w:snapToGrid/>
          <w:kern w:val="0"/>
          <w:szCs w:val="18"/>
        </w:rPr>
        <w:footnoteReference w:id="16"/>
      </w:r>
      <w:r>
        <w:rPr>
          <w:snapToGrid/>
          <w:kern w:val="0"/>
          <w:szCs w:val="18"/>
        </w:rPr>
        <w:t xml:space="preserve">  </w:t>
      </w:r>
      <w:r w:rsidR="0052582A">
        <w:rPr>
          <w:snapToGrid/>
          <w:kern w:val="0"/>
          <w:szCs w:val="18"/>
        </w:rPr>
        <w:t>Searchlight GP</w:t>
      </w:r>
      <w:r w:rsidR="008B7CAE">
        <w:rPr>
          <w:snapToGrid/>
          <w:kern w:val="0"/>
          <w:szCs w:val="18"/>
        </w:rPr>
        <w:t>-</w:t>
      </w:r>
      <w:r w:rsidR="0052582A">
        <w:rPr>
          <w:snapToGrid/>
          <w:kern w:val="0"/>
          <w:szCs w:val="18"/>
        </w:rPr>
        <w:t xml:space="preserve">LP is the general partner of all three of Searchlight’s </w:t>
      </w:r>
      <w:r w:rsidR="00B0728E">
        <w:rPr>
          <w:snapToGrid/>
          <w:kern w:val="0"/>
          <w:szCs w:val="18"/>
        </w:rPr>
        <w:t>limited partners.</w:t>
      </w:r>
      <w:r w:rsidR="008B7CAE">
        <w:rPr>
          <w:snapToGrid/>
          <w:kern w:val="0"/>
          <w:szCs w:val="18"/>
        </w:rPr>
        <w:t xml:space="preserve">  </w:t>
      </w:r>
      <w:r w:rsidR="009F435D">
        <w:rPr>
          <w:snapToGrid/>
          <w:kern w:val="0"/>
          <w:szCs w:val="18"/>
        </w:rPr>
        <w:t>Searchlight Caymans I</w:t>
      </w:r>
      <w:r>
        <w:rPr>
          <w:snapToGrid/>
          <w:kern w:val="0"/>
          <w:szCs w:val="18"/>
        </w:rPr>
        <w:t xml:space="preserve"> has two insulated limited partners—SC III UTD Holdings, Ltd.</w:t>
      </w:r>
      <w:r w:rsidR="00783C81">
        <w:rPr>
          <w:snapToGrid/>
          <w:kern w:val="0"/>
          <w:szCs w:val="18"/>
        </w:rPr>
        <w:t xml:space="preserve"> (</w:t>
      </w:r>
      <w:r w:rsidR="00344B38">
        <w:rPr>
          <w:snapToGrid/>
          <w:kern w:val="0"/>
          <w:szCs w:val="18"/>
        </w:rPr>
        <w:t xml:space="preserve">Searchlight </w:t>
      </w:r>
      <w:r w:rsidR="00344B38">
        <w:rPr>
          <w:snapToGrid/>
          <w:kern w:val="0"/>
          <w:szCs w:val="18"/>
        </w:rPr>
        <w:t>Caymans II</w:t>
      </w:r>
      <w:r w:rsidR="00783C81">
        <w:rPr>
          <w:snapToGrid/>
          <w:kern w:val="0"/>
          <w:szCs w:val="18"/>
        </w:rPr>
        <w:t>)</w:t>
      </w:r>
      <w:r>
        <w:rPr>
          <w:snapToGrid/>
          <w:kern w:val="0"/>
          <w:szCs w:val="18"/>
        </w:rPr>
        <w:t xml:space="preserve">, a Cayman Islands corporation, and </w:t>
      </w:r>
      <w:bookmarkStart w:id="5" w:name="_Hlk37425147"/>
      <w:r>
        <w:rPr>
          <w:snapToGrid/>
          <w:kern w:val="0"/>
          <w:szCs w:val="18"/>
        </w:rPr>
        <w:t>Searchlight Capital III (FC) AIV, L.P.</w:t>
      </w:r>
      <w:bookmarkEnd w:id="5"/>
      <w:r w:rsidR="00783C81">
        <w:rPr>
          <w:snapToGrid/>
          <w:kern w:val="0"/>
          <w:szCs w:val="18"/>
        </w:rPr>
        <w:t xml:space="preserve"> (AIV-LP)</w:t>
      </w:r>
      <w:r>
        <w:rPr>
          <w:snapToGrid/>
          <w:kern w:val="0"/>
          <w:szCs w:val="18"/>
        </w:rPr>
        <w:t>, a Delaware limited partnership.</w:t>
      </w:r>
      <w:r>
        <w:rPr>
          <w:rStyle w:val="FootnoteReference"/>
          <w:snapToGrid/>
          <w:kern w:val="0"/>
          <w:szCs w:val="18"/>
        </w:rPr>
        <w:footnoteReference w:id="17"/>
      </w:r>
      <w:r>
        <w:rPr>
          <w:snapToGrid/>
          <w:kern w:val="0"/>
          <w:szCs w:val="18"/>
        </w:rPr>
        <w:t xml:space="preserve">  </w:t>
      </w:r>
      <w:r w:rsidR="00344B38">
        <w:rPr>
          <w:snapToGrid/>
          <w:kern w:val="0"/>
          <w:szCs w:val="18"/>
        </w:rPr>
        <w:t xml:space="preserve">Searchlight Caymans II </w:t>
      </w:r>
      <w:r>
        <w:rPr>
          <w:snapToGrid/>
          <w:kern w:val="0"/>
          <w:szCs w:val="18"/>
        </w:rPr>
        <w:t>is wholly</w:t>
      </w:r>
      <w:r w:rsidR="000C2BB5">
        <w:rPr>
          <w:snapToGrid/>
          <w:kern w:val="0"/>
          <w:szCs w:val="18"/>
        </w:rPr>
        <w:t>-</w:t>
      </w:r>
      <w:r>
        <w:rPr>
          <w:snapToGrid/>
          <w:kern w:val="0"/>
          <w:szCs w:val="18"/>
        </w:rPr>
        <w:t>owned by AIV</w:t>
      </w:r>
      <w:r w:rsidR="00783C81">
        <w:rPr>
          <w:snapToGrid/>
          <w:kern w:val="0"/>
          <w:szCs w:val="18"/>
        </w:rPr>
        <w:t>-</w:t>
      </w:r>
      <w:r>
        <w:rPr>
          <w:snapToGrid/>
          <w:kern w:val="0"/>
          <w:szCs w:val="18"/>
        </w:rPr>
        <w:t>LP</w:t>
      </w:r>
      <w:r w:rsidR="00783C81">
        <w:rPr>
          <w:snapToGrid/>
          <w:kern w:val="0"/>
          <w:szCs w:val="18"/>
        </w:rPr>
        <w:t>,</w:t>
      </w:r>
      <w:r>
        <w:rPr>
          <w:snapToGrid/>
          <w:kern w:val="0"/>
          <w:szCs w:val="18"/>
        </w:rPr>
        <w:t xml:space="preserve"> and </w:t>
      </w:r>
      <w:r w:rsidR="00783C81">
        <w:rPr>
          <w:snapToGrid/>
          <w:kern w:val="0"/>
          <w:szCs w:val="18"/>
        </w:rPr>
        <w:t xml:space="preserve">AIV-LP’s general partner is </w:t>
      </w:r>
      <w:r w:rsidRPr="008D087F">
        <w:rPr>
          <w:snapToGrid/>
          <w:kern w:val="0"/>
          <w:szCs w:val="18"/>
        </w:rPr>
        <w:t>Searchlight GP</w:t>
      </w:r>
      <w:r w:rsidRPr="008D087F" w:rsidR="008D087F">
        <w:rPr>
          <w:snapToGrid/>
          <w:kern w:val="0"/>
          <w:szCs w:val="18"/>
        </w:rPr>
        <w:t>-</w:t>
      </w:r>
      <w:r w:rsidRPr="008D087F">
        <w:rPr>
          <w:snapToGrid/>
          <w:kern w:val="0"/>
          <w:szCs w:val="18"/>
        </w:rPr>
        <w:t>LP</w:t>
      </w:r>
      <w:r w:rsidR="008D087F">
        <w:rPr>
          <w:snapToGrid/>
          <w:kern w:val="0"/>
          <w:szCs w:val="18"/>
        </w:rPr>
        <w:t>.</w:t>
      </w:r>
      <w:r>
        <w:rPr>
          <w:rStyle w:val="FootnoteReference"/>
          <w:snapToGrid/>
          <w:kern w:val="0"/>
          <w:szCs w:val="18"/>
        </w:rPr>
        <w:footnoteReference w:id="18"/>
      </w:r>
      <w:r>
        <w:rPr>
          <w:snapToGrid/>
          <w:kern w:val="0"/>
          <w:szCs w:val="18"/>
        </w:rPr>
        <w:t xml:space="preserve"> </w:t>
      </w:r>
    </w:p>
    <w:p w:rsidR="00D56DD9" w:rsidRPr="00D14450" w:rsidP="00117EC4" w14:paraId="355A188A" w14:textId="5C6C4238">
      <w:pPr>
        <w:widowControl/>
        <w:ind w:firstLine="720"/>
        <w:rPr>
          <w:snapToGrid/>
          <w:kern w:val="0"/>
          <w:sz w:val="12"/>
          <w:szCs w:val="12"/>
        </w:rPr>
      </w:pPr>
    </w:p>
    <w:p w:rsidR="00D56DD9" w:rsidP="000A7467" w14:paraId="56150519" w14:textId="7522A7E5">
      <w:pPr>
        <w:widowControl/>
        <w:ind w:firstLine="720"/>
        <w:rPr>
          <w:snapToGrid/>
          <w:kern w:val="0"/>
          <w:szCs w:val="18"/>
        </w:rPr>
      </w:pPr>
      <w:r>
        <w:rPr>
          <w:snapToGrid/>
          <w:kern w:val="0"/>
          <w:szCs w:val="18"/>
        </w:rPr>
        <w:t xml:space="preserve">ForgeLight, a Delaware limited liability company, </w:t>
      </w:r>
      <w:r w:rsidR="00C55516">
        <w:rPr>
          <w:snapToGrid/>
          <w:kern w:val="0"/>
          <w:szCs w:val="18"/>
        </w:rPr>
        <w:t>would</w:t>
      </w:r>
      <w:r>
        <w:rPr>
          <w:snapToGrid/>
          <w:kern w:val="0"/>
          <w:szCs w:val="18"/>
        </w:rPr>
        <w:t xml:space="preserve"> </w:t>
      </w:r>
      <w:r w:rsidR="000A7467">
        <w:rPr>
          <w:snapToGrid/>
          <w:kern w:val="0"/>
          <w:szCs w:val="18"/>
        </w:rPr>
        <w:t>have</w:t>
      </w:r>
      <w:r w:rsidR="007A48E3">
        <w:rPr>
          <w:snapToGrid/>
          <w:kern w:val="0"/>
          <w:szCs w:val="18"/>
        </w:rPr>
        <w:t xml:space="preserve"> a</w:t>
      </w:r>
      <w:r>
        <w:rPr>
          <w:snapToGrid/>
          <w:kern w:val="0"/>
          <w:szCs w:val="18"/>
        </w:rPr>
        <w:t xml:space="preserve"> 26.1% equity and 29.52% voting interest in Univision.</w:t>
      </w:r>
      <w:r>
        <w:rPr>
          <w:rStyle w:val="FootnoteReference"/>
          <w:snapToGrid/>
          <w:kern w:val="0"/>
          <w:szCs w:val="18"/>
        </w:rPr>
        <w:footnoteReference w:id="19"/>
      </w:r>
      <w:r>
        <w:rPr>
          <w:snapToGrid/>
          <w:kern w:val="0"/>
          <w:szCs w:val="18"/>
        </w:rPr>
        <w:t xml:space="preserve">  </w:t>
      </w:r>
      <w:r w:rsidR="000A7467">
        <w:rPr>
          <w:snapToGrid/>
          <w:kern w:val="0"/>
          <w:szCs w:val="18"/>
        </w:rPr>
        <w:t xml:space="preserve">ForgeLight is wholly-owned by </w:t>
      </w:r>
      <w:r>
        <w:rPr>
          <w:snapToGrid/>
          <w:kern w:val="0"/>
          <w:szCs w:val="18"/>
        </w:rPr>
        <w:t>ForgeLight (United) Investors</w:t>
      </w:r>
      <w:r w:rsidR="00E1526F">
        <w:rPr>
          <w:snapToGrid/>
          <w:kern w:val="0"/>
          <w:szCs w:val="18"/>
        </w:rPr>
        <w:t>, LLC</w:t>
      </w:r>
      <w:r w:rsidR="009A1F69">
        <w:rPr>
          <w:snapToGrid/>
          <w:kern w:val="0"/>
          <w:szCs w:val="18"/>
        </w:rPr>
        <w:t xml:space="preserve"> (ForgeLight</w:t>
      </w:r>
      <w:r w:rsidR="000A1BC6">
        <w:rPr>
          <w:snapToGrid/>
          <w:kern w:val="0"/>
          <w:szCs w:val="18"/>
        </w:rPr>
        <w:t>-</w:t>
      </w:r>
      <w:r w:rsidR="009A1F69">
        <w:rPr>
          <w:snapToGrid/>
          <w:kern w:val="0"/>
          <w:szCs w:val="18"/>
        </w:rPr>
        <w:t>United)</w:t>
      </w:r>
      <w:r>
        <w:rPr>
          <w:snapToGrid/>
          <w:kern w:val="0"/>
          <w:szCs w:val="18"/>
        </w:rPr>
        <w:t>, a Delaware limited liability company.</w:t>
      </w:r>
      <w:r>
        <w:rPr>
          <w:rStyle w:val="FootnoteReference"/>
          <w:snapToGrid/>
          <w:kern w:val="0"/>
          <w:szCs w:val="18"/>
        </w:rPr>
        <w:footnoteReference w:id="20"/>
      </w:r>
      <w:r w:rsidR="00E1526F">
        <w:rPr>
          <w:snapToGrid/>
          <w:kern w:val="0"/>
          <w:szCs w:val="18"/>
        </w:rPr>
        <w:t xml:space="preserve">  The managing member of ForgeLight</w:t>
      </w:r>
      <w:r w:rsidR="000A1BC6">
        <w:rPr>
          <w:snapToGrid/>
          <w:kern w:val="0"/>
          <w:szCs w:val="18"/>
        </w:rPr>
        <w:t>-</w:t>
      </w:r>
      <w:r w:rsidR="00E1526F">
        <w:rPr>
          <w:snapToGrid/>
          <w:kern w:val="0"/>
          <w:szCs w:val="18"/>
        </w:rPr>
        <w:t>United</w:t>
      </w:r>
      <w:r w:rsidR="000A1BC6">
        <w:rPr>
          <w:snapToGrid/>
          <w:kern w:val="0"/>
          <w:szCs w:val="18"/>
        </w:rPr>
        <w:t xml:space="preserve"> is</w:t>
      </w:r>
      <w:r w:rsidR="00E1526F">
        <w:rPr>
          <w:snapToGrid/>
          <w:kern w:val="0"/>
          <w:szCs w:val="18"/>
        </w:rPr>
        <w:t xml:space="preserve"> ForgeLight (United) Investors MM, LLC, a Delaware limited liability company</w:t>
      </w:r>
      <w:r w:rsidR="008C127F">
        <w:rPr>
          <w:snapToGrid/>
          <w:kern w:val="0"/>
          <w:szCs w:val="18"/>
        </w:rPr>
        <w:t xml:space="preserve">, which </w:t>
      </w:r>
      <w:r w:rsidR="00C55516">
        <w:rPr>
          <w:snapToGrid/>
          <w:kern w:val="0"/>
          <w:szCs w:val="18"/>
        </w:rPr>
        <w:t>would</w:t>
      </w:r>
      <w:r w:rsidR="008C127F">
        <w:rPr>
          <w:snapToGrid/>
          <w:kern w:val="0"/>
          <w:szCs w:val="18"/>
        </w:rPr>
        <w:t xml:space="preserve"> have </w:t>
      </w:r>
      <w:r w:rsidR="007A48E3">
        <w:rPr>
          <w:snapToGrid/>
          <w:kern w:val="0"/>
          <w:szCs w:val="18"/>
        </w:rPr>
        <w:t xml:space="preserve">a </w:t>
      </w:r>
      <w:r w:rsidR="008C127F">
        <w:rPr>
          <w:snapToGrid/>
          <w:kern w:val="0"/>
          <w:szCs w:val="18"/>
        </w:rPr>
        <w:t>100% voting and 0% equity interest</w:t>
      </w:r>
      <w:r w:rsidR="000A1BC6">
        <w:rPr>
          <w:snapToGrid/>
          <w:kern w:val="0"/>
          <w:szCs w:val="18"/>
        </w:rPr>
        <w:t xml:space="preserve"> in ForgeLight-United</w:t>
      </w:r>
      <w:r w:rsidR="008C127F">
        <w:rPr>
          <w:snapToGrid/>
          <w:kern w:val="0"/>
          <w:szCs w:val="18"/>
        </w:rPr>
        <w:t>.</w:t>
      </w:r>
      <w:r>
        <w:rPr>
          <w:rStyle w:val="FootnoteReference"/>
          <w:snapToGrid/>
          <w:kern w:val="0"/>
          <w:szCs w:val="18"/>
        </w:rPr>
        <w:footnoteReference w:id="21"/>
      </w:r>
      <w:r w:rsidR="004F0E4E">
        <w:rPr>
          <w:snapToGrid/>
          <w:kern w:val="0"/>
          <w:szCs w:val="18"/>
        </w:rPr>
        <w:t xml:space="preserve">  The other </w:t>
      </w:r>
      <w:r w:rsidR="00513AE3">
        <w:rPr>
          <w:snapToGrid/>
          <w:kern w:val="0"/>
          <w:szCs w:val="18"/>
        </w:rPr>
        <w:t>non-managing</w:t>
      </w:r>
      <w:r w:rsidR="004F0E4E">
        <w:rPr>
          <w:snapToGrid/>
          <w:kern w:val="0"/>
          <w:szCs w:val="18"/>
        </w:rPr>
        <w:t xml:space="preserve"> members of ForgeLight are:  (1) ForgeLight (United) Investors SM, LLC, a Delaware limited liability company that </w:t>
      </w:r>
      <w:r w:rsidR="00C55516">
        <w:rPr>
          <w:snapToGrid/>
          <w:kern w:val="0"/>
          <w:szCs w:val="18"/>
        </w:rPr>
        <w:t>would</w:t>
      </w:r>
      <w:r w:rsidR="004F0E4E">
        <w:rPr>
          <w:snapToGrid/>
          <w:kern w:val="0"/>
          <w:szCs w:val="18"/>
        </w:rPr>
        <w:t xml:space="preserve"> hold </w:t>
      </w:r>
      <w:r w:rsidR="007A48E3">
        <w:rPr>
          <w:snapToGrid/>
          <w:kern w:val="0"/>
          <w:szCs w:val="18"/>
        </w:rPr>
        <w:t xml:space="preserve">a </w:t>
      </w:r>
      <w:r w:rsidR="004F0E4E">
        <w:rPr>
          <w:snapToGrid/>
          <w:kern w:val="0"/>
          <w:szCs w:val="18"/>
        </w:rPr>
        <w:t>15.5% equity and 0% voting interest in ForgeLight</w:t>
      </w:r>
      <w:r w:rsidR="000A1BC6">
        <w:rPr>
          <w:snapToGrid/>
          <w:kern w:val="0"/>
          <w:szCs w:val="18"/>
        </w:rPr>
        <w:t>-</w:t>
      </w:r>
      <w:r w:rsidR="004F0E4E">
        <w:rPr>
          <w:snapToGrid/>
          <w:kern w:val="0"/>
          <w:szCs w:val="18"/>
        </w:rPr>
        <w:t xml:space="preserve">United; and (2) WCD Services, LLC, a Delaware limited liability company </w:t>
      </w:r>
      <w:r w:rsidR="000A1BC6">
        <w:rPr>
          <w:snapToGrid/>
          <w:kern w:val="0"/>
          <w:szCs w:val="18"/>
        </w:rPr>
        <w:t>that</w:t>
      </w:r>
      <w:r w:rsidR="004F0E4E">
        <w:rPr>
          <w:snapToGrid/>
          <w:kern w:val="0"/>
          <w:szCs w:val="18"/>
        </w:rPr>
        <w:t xml:space="preserve"> </w:t>
      </w:r>
      <w:r w:rsidR="00C55516">
        <w:rPr>
          <w:snapToGrid/>
          <w:kern w:val="0"/>
          <w:szCs w:val="18"/>
        </w:rPr>
        <w:t>would</w:t>
      </w:r>
      <w:r w:rsidR="004F0E4E">
        <w:rPr>
          <w:snapToGrid/>
          <w:kern w:val="0"/>
          <w:szCs w:val="18"/>
        </w:rPr>
        <w:t xml:space="preserve"> have a 15% profit interest in ForgeLight</w:t>
      </w:r>
      <w:r w:rsidR="000A1BC6">
        <w:rPr>
          <w:snapToGrid/>
          <w:kern w:val="0"/>
          <w:szCs w:val="18"/>
        </w:rPr>
        <w:t>-</w:t>
      </w:r>
      <w:r w:rsidR="004F0E4E">
        <w:rPr>
          <w:snapToGrid/>
          <w:kern w:val="0"/>
          <w:szCs w:val="18"/>
        </w:rPr>
        <w:t>United.</w:t>
      </w:r>
      <w:r>
        <w:rPr>
          <w:rStyle w:val="FootnoteReference"/>
          <w:snapToGrid/>
          <w:kern w:val="0"/>
          <w:szCs w:val="18"/>
        </w:rPr>
        <w:footnoteReference w:id="22"/>
      </w:r>
      <w:r w:rsidR="001A3994">
        <w:rPr>
          <w:snapToGrid/>
          <w:kern w:val="0"/>
          <w:szCs w:val="18"/>
        </w:rPr>
        <w:t xml:space="preserve">  </w:t>
      </w:r>
      <w:bookmarkStart w:id="6" w:name="_Hlk39142551"/>
      <w:bookmarkStart w:id="7" w:name="_Hlk39225446"/>
      <w:r w:rsidR="001A3994">
        <w:rPr>
          <w:snapToGrid/>
          <w:kern w:val="0"/>
          <w:szCs w:val="18"/>
        </w:rPr>
        <w:t xml:space="preserve">Wade Davis, a </w:t>
      </w:r>
      <w:r w:rsidR="009A1F69">
        <w:rPr>
          <w:snapToGrid/>
          <w:kern w:val="0"/>
          <w:szCs w:val="18"/>
        </w:rPr>
        <w:t>U.S.</w:t>
      </w:r>
      <w:r w:rsidR="001A3994">
        <w:rPr>
          <w:snapToGrid/>
          <w:kern w:val="0"/>
          <w:szCs w:val="18"/>
        </w:rPr>
        <w:t xml:space="preserve"> citizen</w:t>
      </w:r>
      <w:r w:rsidR="009A1F69">
        <w:rPr>
          <w:snapToGrid/>
          <w:kern w:val="0"/>
          <w:szCs w:val="18"/>
        </w:rPr>
        <w:t xml:space="preserve">, is the sole member of </w:t>
      </w:r>
      <w:r w:rsidR="00E83CB4">
        <w:rPr>
          <w:snapToGrid/>
          <w:kern w:val="0"/>
          <w:szCs w:val="18"/>
        </w:rPr>
        <w:t xml:space="preserve">each of </w:t>
      </w:r>
      <w:r w:rsidR="00C868B8">
        <w:rPr>
          <w:snapToGrid/>
          <w:kern w:val="0"/>
          <w:szCs w:val="18"/>
        </w:rPr>
        <w:t xml:space="preserve">the </w:t>
      </w:r>
      <w:r w:rsidR="009A1F69">
        <w:rPr>
          <w:snapToGrid/>
          <w:kern w:val="0"/>
          <w:szCs w:val="18"/>
        </w:rPr>
        <w:t>three members of ForgeLight</w:t>
      </w:r>
      <w:r w:rsidR="000A1BC6">
        <w:rPr>
          <w:snapToGrid/>
          <w:kern w:val="0"/>
          <w:szCs w:val="18"/>
        </w:rPr>
        <w:t>-</w:t>
      </w:r>
      <w:r w:rsidR="009A1F69">
        <w:rPr>
          <w:snapToGrid/>
          <w:kern w:val="0"/>
          <w:szCs w:val="18"/>
        </w:rPr>
        <w:t>United</w:t>
      </w:r>
      <w:bookmarkEnd w:id="6"/>
      <w:r w:rsidR="00C868B8">
        <w:rPr>
          <w:snapToGrid/>
          <w:kern w:val="0"/>
          <w:szCs w:val="18"/>
        </w:rPr>
        <w:t xml:space="preserve">: </w:t>
      </w:r>
      <w:r w:rsidRPr="00C868B8" w:rsidR="00C868B8">
        <w:rPr>
          <w:snapToGrid/>
          <w:kern w:val="0"/>
          <w:szCs w:val="18"/>
        </w:rPr>
        <w:t xml:space="preserve"> </w:t>
      </w:r>
      <w:r w:rsidR="00C868B8">
        <w:rPr>
          <w:snapToGrid/>
          <w:kern w:val="0"/>
          <w:szCs w:val="18"/>
        </w:rPr>
        <w:t>ForgeLight (United) Investors MM, LLC,</w:t>
      </w:r>
      <w:r w:rsidRPr="00C868B8" w:rsidR="00C868B8">
        <w:rPr>
          <w:snapToGrid/>
          <w:kern w:val="0"/>
          <w:szCs w:val="18"/>
        </w:rPr>
        <w:t xml:space="preserve"> </w:t>
      </w:r>
      <w:r w:rsidR="00C868B8">
        <w:rPr>
          <w:snapToGrid/>
          <w:kern w:val="0"/>
          <w:szCs w:val="18"/>
        </w:rPr>
        <w:t>ForgeLight (United) Investors SM, LLC, and WCD Services, LLC</w:t>
      </w:r>
      <w:bookmarkEnd w:id="7"/>
      <w:r w:rsidR="001A3994">
        <w:rPr>
          <w:snapToGrid/>
          <w:kern w:val="0"/>
          <w:szCs w:val="18"/>
        </w:rPr>
        <w:t>.</w:t>
      </w:r>
      <w:r>
        <w:rPr>
          <w:rStyle w:val="FootnoteReference"/>
          <w:snapToGrid/>
          <w:kern w:val="0"/>
          <w:szCs w:val="18"/>
        </w:rPr>
        <w:footnoteReference w:id="23"/>
      </w:r>
    </w:p>
    <w:p w:rsidR="00D56DD9" w:rsidRPr="00D14450" w:rsidP="000A7467" w14:paraId="40354140" w14:textId="29F15278">
      <w:pPr>
        <w:widowControl/>
        <w:rPr>
          <w:snapToGrid/>
          <w:kern w:val="0"/>
          <w:sz w:val="12"/>
          <w:szCs w:val="12"/>
        </w:rPr>
      </w:pPr>
    </w:p>
    <w:p w:rsidR="00F805BF" w:rsidP="00117EC4" w14:paraId="29F58270" w14:textId="3A893BF9">
      <w:pPr>
        <w:widowControl/>
        <w:ind w:firstLine="720"/>
        <w:rPr>
          <w:snapToGrid/>
          <w:kern w:val="0"/>
          <w:szCs w:val="18"/>
        </w:rPr>
      </w:pPr>
      <w:r>
        <w:rPr>
          <w:snapToGrid/>
          <w:kern w:val="0"/>
          <w:szCs w:val="18"/>
        </w:rPr>
        <w:t>After closing</w:t>
      </w:r>
      <w:r w:rsidR="00BC0409">
        <w:rPr>
          <w:snapToGrid/>
          <w:kern w:val="0"/>
          <w:szCs w:val="18"/>
        </w:rPr>
        <w:t xml:space="preserve">, in addition to </w:t>
      </w:r>
      <w:r w:rsidR="00585B1B">
        <w:rPr>
          <w:snapToGrid/>
          <w:kern w:val="0"/>
          <w:szCs w:val="18"/>
        </w:rPr>
        <w:t>retaining its current equity interest in Univision,</w:t>
      </w:r>
      <w:r>
        <w:rPr>
          <w:rStyle w:val="FootnoteReference"/>
          <w:snapToGrid/>
          <w:kern w:val="0"/>
          <w:szCs w:val="18"/>
        </w:rPr>
        <w:footnoteReference w:id="24"/>
      </w:r>
      <w:r w:rsidR="00585B1B">
        <w:rPr>
          <w:snapToGrid/>
          <w:kern w:val="0"/>
          <w:szCs w:val="18"/>
        </w:rPr>
        <w:t xml:space="preserve"> </w:t>
      </w:r>
      <w:r w:rsidR="000943D8">
        <w:rPr>
          <w:snapToGrid/>
          <w:kern w:val="0"/>
          <w:szCs w:val="18"/>
        </w:rPr>
        <w:t>Multimedia Telecom</w:t>
      </w:r>
      <w:r w:rsidR="00585B1B">
        <w:rPr>
          <w:snapToGrid/>
          <w:kern w:val="0"/>
          <w:szCs w:val="18"/>
        </w:rPr>
        <w:t xml:space="preserve"> will also exercise its warrants, which </w:t>
      </w:r>
      <w:r w:rsidR="00C55516">
        <w:rPr>
          <w:snapToGrid/>
          <w:kern w:val="0"/>
          <w:szCs w:val="18"/>
        </w:rPr>
        <w:t>would</w:t>
      </w:r>
      <w:r w:rsidR="00585B1B">
        <w:rPr>
          <w:snapToGrid/>
          <w:kern w:val="0"/>
          <w:szCs w:val="18"/>
        </w:rPr>
        <w:t xml:space="preserve"> result in </w:t>
      </w:r>
      <w:r w:rsidR="006F613A">
        <w:rPr>
          <w:snapToGrid/>
          <w:kern w:val="0"/>
          <w:szCs w:val="18"/>
        </w:rPr>
        <w:t>Multimedia Telecom</w:t>
      </w:r>
      <w:r w:rsidR="00585B1B">
        <w:rPr>
          <w:snapToGrid/>
          <w:kern w:val="0"/>
          <w:szCs w:val="18"/>
        </w:rPr>
        <w:t xml:space="preserve"> </w:t>
      </w:r>
      <w:r w:rsidR="000A7467">
        <w:rPr>
          <w:snapToGrid/>
          <w:kern w:val="0"/>
          <w:szCs w:val="18"/>
        </w:rPr>
        <w:t>having</w:t>
      </w:r>
      <w:r w:rsidR="00585B1B">
        <w:rPr>
          <w:snapToGrid/>
          <w:kern w:val="0"/>
          <w:szCs w:val="18"/>
        </w:rPr>
        <w:t xml:space="preserve"> </w:t>
      </w:r>
      <w:r w:rsidR="007A48E3">
        <w:rPr>
          <w:snapToGrid/>
          <w:kern w:val="0"/>
          <w:szCs w:val="18"/>
        </w:rPr>
        <w:t xml:space="preserve">a </w:t>
      </w:r>
      <w:r w:rsidR="000A7467">
        <w:rPr>
          <w:snapToGrid/>
          <w:kern w:val="0"/>
          <w:szCs w:val="18"/>
        </w:rPr>
        <w:t xml:space="preserve">36.1% equity and </w:t>
      </w:r>
      <w:r w:rsidR="00585B1B">
        <w:rPr>
          <w:snapToGrid/>
          <w:kern w:val="0"/>
          <w:szCs w:val="18"/>
        </w:rPr>
        <w:t xml:space="preserve">40.83% voting </w:t>
      </w:r>
      <w:r w:rsidR="000A7467">
        <w:rPr>
          <w:snapToGrid/>
          <w:kern w:val="0"/>
          <w:szCs w:val="18"/>
        </w:rPr>
        <w:t>interest in Univision</w:t>
      </w:r>
      <w:r w:rsidR="00585B1B">
        <w:rPr>
          <w:snapToGrid/>
          <w:kern w:val="0"/>
          <w:szCs w:val="18"/>
        </w:rPr>
        <w:t>.</w:t>
      </w:r>
      <w:r>
        <w:rPr>
          <w:rStyle w:val="FootnoteReference"/>
          <w:snapToGrid/>
          <w:kern w:val="0"/>
          <w:szCs w:val="18"/>
        </w:rPr>
        <w:footnoteReference w:id="25"/>
      </w:r>
      <w:r w:rsidR="006B1F27">
        <w:rPr>
          <w:snapToGrid/>
          <w:kern w:val="0"/>
          <w:szCs w:val="18"/>
        </w:rPr>
        <w:t xml:space="preserve">  </w:t>
      </w:r>
      <w:r w:rsidR="00EB6659">
        <w:rPr>
          <w:snapToGrid/>
          <w:kern w:val="0"/>
          <w:szCs w:val="18"/>
        </w:rPr>
        <w:t xml:space="preserve">Multimedia Telecom, a </w:t>
      </w:r>
      <w:r w:rsidR="00306FDF">
        <w:rPr>
          <w:snapToGrid/>
          <w:kern w:val="0"/>
          <w:szCs w:val="18"/>
        </w:rPr>
        <w:t xml:space="preserve">Mexican corporation, is owned by Televisa, a Mexican corporation, and </w:t>
      </w:r>
      <w:r w:rsidR="00253293">
        <w:rPr>
          <w:snapToGrid/>
          <w:kern w:val="0"/>
          <w:szCs w:val="18"/>
        </w:rPr>
        <w:t>Grupo Bissagio, S.A. de C.V. (Grupo Bissagio), a Mexican corporation.</w:t>
      </w:r>
      <w:r>
        <w:rPr>
          <w:rStyle w:val="FootnoteReference"/>
          <w:snapToGrid/>
          <w:kern w:val="0"/>
          <w:szCs w:val="18"/>
        </w:rPr>
        <w:footnoteReference w:id="26"/>
      </w:r>
      <w:r w:rsidR="00253293">
        <w:rPr>
          <w:snapToGrid/>
          <w:kern w:val="0"/>
          <w:szCs w:val="18"/>
        </w:rPr>
        <w:t xml:space="preserve">  </w:t>
      </w:r>
      <w:r w:rsidR="00B7181E">
        <w:rPr>
          <w:snapToGrid/>
          <w:kern w:val="0"/>
          <w:szCs w:val="18"/>
        </w:rPr>
        <w:t xml:space="preserve">Televisa </w:t>
      </w:r>
      <w:r w:rsidR="00C55516">
        <w:rPr>
          <w:snapToGrid/>
          <w:kern w:val="0"/>
          <w:szCs w:val="18"/>
        </w:rPr>
        <w:t>would</w:t>
      </w:r>
      <w:r w:rsidR="001A0FEF">
        <w:rPr>
          <w:snapToGrid/>
          <w:kern w:val="0"/>
          <w:szCs w:val="18"/>
        </w:rPr>
        <w:t xml:space="preserve"> have</w:t>
      </w:r>
      <w:r w:rsidR="007A48E3">
        <w:rPr>
          <w:snapToGrid/>
          <w:kern w:val="0"/>
          <w:szCs w:val="18"/>
        </w:rPr>
        <w:t xml:space="preserve"> an</w:t>
      </w:r>
      <w:r w:rsidR="001A0FEF">
        <w:rPr>
          <w:snapToGrid/>
          <w:kern w:val="0"/>
          <w:szCs w:val="18"/>
        </w:rPr>
        <w:t xml:space="preserve"> approximately 24.03% equity and 99.99% voting interest in Multimedia Telecom, and Grupo Bissagio </w:t>
      </w:r>
      <w:r w:rsidR="00C55516">
        <w:rPr>
          <w:snapToGrid/>
          <w:kern w:val="0"/>
          <w:szCs w:val="18"/>
        </w:rPr>
        <w:t>would</w:t>
      </w:r>
      <w:r w:rsidR="001A0FEF">
        <w:rPr>
          <w:snapToGrid/>
          <w:kern w:val="0"/>
          <w:szCs w:val="18"/>
        </w:rPr>
        <w:t xml:space="preserve"> have</w:t>
      </w:r>
      <w:r w:rsidR="007A48E3">
        <w:rPr>
          <w:snapToGrid/>
          <w:kern w:val="0"/>
          <w:szCs w:val="18"/>
        </w:rPr>
        <w:t xml:space="preserve"> a</w:t>
      </w:r>
      <w:r w:rsidR="001A0FEF">
        <w:rPr>
          <w:snapToGrid/>
          <w:kern w:val="0"/>
          <w:szCs w:val="18"/>
        </w:rPr>
        <w:t xml:space="preserve"> 0% voting and approximately 75.97% equity interest in Multimedia Telecom.</w:t>
      </w:r>
      <w:r>
        <w:rPr>
          <w:rStyle w:val="FootnoteReference"/>
          <w:snapToGrid/>
          <w:kern w:val="0"/>
          <w:szCs w:val="18"/>
        </w:rPr>
        <w:footnoteReference w:id="27"/>
      </w:r>
      <w:r w:rsidR="001A0FEF">
        <w:rPr>
          <w:snapToGrid/>
          <w:kern w:val="0"/>
          <w:szCs w:val="18"/>
        </w:rPr>
        <w:t xml:space="preserve">  </w:t>
      </w:r>
      <w:r w:rsidR="00253293">
        <w:rPr>
          <w:snapToGrid/>
          <w:kern w:val="0"/>
          <w:szCs w:val="18"/>
        </w:rPr>
        <w:t>Grupo Bissagio is controlled by Grupo Telesistema, S.A. de C.V., a Mexican corporation, which, in turn is owned by Televisa</w:t>
      </w:r>
      <w:r w:rsidR="001A0FEF">
        <w:rPr>
          <w:snapToGrid/>
          <w:kern w:val="0"/>
          <w:szCs w:val="18"/>
        </w:rPr>
        <w:t>.</w:t>
      </w:r>
      <w:r>
        <w:rPr>
          <w:rStyle w:val="FootnoteReference"/>
          <w:snapToGrid/>
          <w:kern w:val="0"/>
          <w:szCs w:val="18"/>
        </w:rPr>
        <w:footnoteReference w:id="28"/>
      </w:r>
      <w:r w:rsidR="001A0FEF">
        <w:rPr>
          <w:snapToGrid/>
          <w:kern w:val="0"/>
          <w:szCs w:val="18"/>
        </w:rPr>
        <w:t xml:space="preserve">  </w:t>
      </w:r>
      <w:r w:rsidRPr="00E32308" w:rsidR="001A0FEF">
        <w:rPr>
          <w:snapToGrid/>
          <w:kern w:val="0"/>
          <w:szCs w:val="18"/>
        </w:rPr>
        <w:t xml:space="preserve">The </w:t>
      </w:r>
      <w:r w:rsidRPr="00E32308" w:rsidR="001A0FEF">
        <w:rPr>
          <w:snapToGrid/>
          <w:kern w:val="0"/>
          <w:szCs w:val="18"/>
        </w:rPr>
        <w:t>Azcárraga</w:t>
      </w:r>
      <w:r w:rsidRPr="00E32308" w:rsidR="001A0FEF">
        <w:rPr>
          <w:snapToGrid/>
          <w:kern w:val="0"/>
          <w:szCs w:val="18"/>
        </w:rPr>
        <w:t xml:space="preserve"> Trust holds a</w:t>
      </w:r>
      <w:r w:rsidR="001A0FEF">
        <w:rPr>
          <w:snapToGrid/>
          <w:kern w:val="0"/>
          <w:szCs w:val="18"/>
        </w:rPr>
        <w:t xml:space="preserve"> </w:t>
      </w:r>
      <w:r w:rsidRPr="00E32308" w:rsidR="001A0FEF">
        <w:rPr>
          <w:snapToGrid/>
          <w:kern w:val="0"/>
          <w:szCs w:val="18"/>
        </w:rPr>
        <w:t>43.8% voting and a 15.1% equity interest in Televisa</w:t>
      </w:r>
      <w:r w:rsidR="001A0FEF">
        <w:rPr>
          <w:snapToGrid/>
          <w:kern w:val="0"/>
          <w:szCs w:val="18"/>
        </w:rPr>
        <w:t>.</w:t>
      </w:r>
      <w:r>
        <w:rPr>
          <w:rStyle w:val="FootnoteReference"/>
          <w:snapToGrid/>
          <w:kern w:val="0"/>
          <w:szCs w:val="18"/>
        </w:rPr>
        <w:footnoteReference w:id="29"/>
      </w:r>
    </w:p>
    <w:p w:rsidR="00CC09B7" w:rsidRPr="00D14450" w:rsidP="00117EC4" w14:paraId="3A4F33FA" w14:textId="77777777">
      <w:pPr>
        <w:widowControl/>
        <w:ind w:firstLine="720"/>
        <w:rPr>
          <w:snapToGrid/>
          <w:kern w:val="0"/>
          <w:sz w:val="12"/>
          <w:szCs w:val="12"/>
        </w:rPr>
      </w:pPr>
    </w:p>
    <w:p w:rsidR="009B5248" w:rsidP="00117EC4" w14:paraId="5315D593" w14:textId="4AFB106E">
      <w:pPr>
        <w:widowControl/>
        <w:ind w:firstLine="720"/>
        <w:rPr>
          <w:snapToGrid/>
          <w:kern w:val="0"/>
          <w:szCs w:val="18"/>
        </w:rPr>
      </w:pPr>
      <w:r>
        <w:rPr>
          <w:snapToGrid/>
          <w:kern w:val="0"/>
          <w:szCs w:val="18"/>
        </w:rPr>
        <w:t xml:space="preserve">Additionally, </w:t>
      </w:r>
      <w:r>
        <w:rPr>
          <w:snapToGrid/>
          <w:kern w:val="0"/>
          <w:szCs w:val="18"/>
        </w:rPr>
        <w:t>upon execution of</w:t>
      </w:r>
      <w:r>
        <w:rPr>
          <w:snapToGrid/>
          <w:kern w:val="0"/>
          <w:szCs w:val="18"/>
        </w:rPr>
        <w:t xml:space="preserve"> a subscription agreement</w:t>
      </w:r>
      <w:r w:rsidR="0046760A">
        <w:rPr>
          <w:snapToGrid/>
          <w:kern w:val="0"/>
          <w:szCs w:val="18"/>
        </w:rPr>
        <w:t xml:space="preserve">, </w:t>
      </w:r>
      <w:r>
        <w:rPr>
          <w:snapToGrid/>
          <w:kern w:val="0"/>
          <w:szCs w:val="18"/>
        </w:rPr>
        <w:t>Liberty Global</w:t>
      </w:r>
      <w:r w:rsidR="0019710E">
        <w:rPr>
          <w:snapToGrid/>
          <w:kern w:val="0"/>
          <w:szCs w:val="18"/>
        </w:rPr>
        <w:t>, a private limited company organized under the laws of England and Wales,</w:t>
      </w:r>
      <w:r>
        <w:rPr>
          <w:snapToGrid/>
          <w:kern w:val="0"/>
          <w:szCs w:val="18"/>
        </w:rPr>
        <w:t xml:space="preserve"> </w:t>
      </w:r>
      <w:r w:rsidR="00C55516">
        <w:rPr>
          <w:snapToGrid/>
          <w:kern w:val="0"/>
          <w:szCs w:val="18"/>
        </w:rPr>
        <w:t>would</w:t>
      </w:r>
      <w:r>
        <w:rPr>
          <w:snapToGrid/>
          <w:kern w:val="0"/>
          <w:szCs w:val="18"/>
        </w:rPr>
        <w:t xml:space="preserve"> hold an 11.6% equity interest in </w:t>
      </w:r>
      <w:r>
        <w:rPr>
          <w:snapToGrid/>
          <w:kern w:val="0"/>
          <w:szCs w:val="18"/>
        </w:rPr>
        <w:t>Univision.</w:t>
      </w:r>
      <w:r>
        <w:rPr>
          <w:rStyle w:val="FootnoteReference"/>
          <w:snapToGrid/>
          <w:kern w:val="0"/>
          <w:szCs w:val="18"/>
        </w:rPr>
        <w:footnoteReference w:id="30"/>
      </w:r>
      <w:r w:rsidR="0019710E">
        <w:rPr>
          <w:snapToGrid/>
          <w:kern w:val="0"/>
          <w:szCs w:val="18"/>
        </w:rPr>
        <w:t xml:space="preserve">  </w:t>
      </w:r>
      <w:r w:rsidR="00D14450">
        <w:rPr>
          <w:snapToGrid/>
          <w:kern w:val="0"/>
          <w:szCs w:val="18"/>
        </w:rPr>
        <w:t xml:space="preserve">Liberty Global is a direct, </w:t>
      </w:r>
      <w:r w:rsidR="009F1641">
        <w:rPr>
          <w:snapToGrid/>
          <w:kern w:val="0"/>
          <w:szCs w:val="18"/>
        </w:rPr>
        <w:t>wholly owned</w:t>
      </w:r>
      <w:r w:rsidR="00D14450">
        <w:rPr>
          <w:snapToGrid/>
          <w:kern w:val="0"/>
          <w:szCs w:val="18"/>
        </w:rPr>
        <w:t xml:space="preserve"> subsidiary of Liberty Global plc, a public limited company organized under the laws of England and Wales.</w:t>
      </w:r>
      <w:r>
        <w:rPr>
          <w:rStyle w:val="FootnoteReference"/>
          <w:snapToGrid/>
          <w:kern w:val="0"/>
          <w:szCs w:val="18"/>
        </w:rPr>
        <w:footnoteReference w:id="31"/>
      </w:r>
    </w:p>
    <w:p w:rsidR="008173C3" w:rsidRPr="00D14450" w:rsidP="00117EC4" w14:paraId="7C9E0D3E" w14:textId="566F0F7D">
      <w:pPr>
        <w:widowControl/>
        <w:ind w:firstLine="720"/>
        <w:rPr>
          <w:snapToGrid/>
          <w:kern w:val="0"/>
          <w:sz w:val="12"/>
          <w:szCs w:val="12"/>
        </w:rPr>
      </w:pPr>
    </w:p>
    <w:p w:rsidR="00D476DE" w:rsidRPr="00107CF4" w:rsidP="00107CF4" w14:paraId="0A439439" w14:textId="340ECD38">
      <w:pPr>
        <w:widowControl/>
        <w:rPr>
          <w:snapToGrid/>
          <w:kern w:val="0"/>
          <w:szCs w:val="18"/>
        </w:rPr>
      </w:pPr>
      <w:r>
        <w:rPr>
          <w:snapToGrid/>
          <w:kern w:val="0"/>
          <w:szCs w:val="18"/>
        </w:rPr>
        <w:tab/>
      </w:r>
      <w:r w:rsidR="00EB6659">
        <w:rPr>
          <w:snapToGrid/>
          <w:kern w:val="0"/>
          <w:szCs w:val="18"/>
        </w:rPr>
        <w:t>Lastly</w:t>
      </w:r>
      <w:r>
        <w:rPr>
          <w:snapToGrid/>
          <w:kern w:val="0"/>
          <w:szCs w:val="18"/>
        </w:rPr>
        <w:t>, pursuant to a governance term sheet, the Agreement contemplates that post-closing Univision will be governed by a 9-member board of directors</w:t>
      </w:r>
      <w:r w:rsidR="00107CF4">
        <w:rPr>
          <w:snapToGrid/>
          <w:kern w:val="0"/>
          <w:szCs w:val="18"/>
        </w:rPr>
        <w:t>,</w:t>
      </w:r>
      <w:r>
        <w:rPr>
          <w:snapToGrid/>
          <w:kern w:val="0"/>
          <w:szCs w:val="18"/>
        </w:rPr>
        <w:t xml:space="preserve"> </w:t>
      </w:r>
      <w:r w:rsidR="00702D28">
        <w:rPr>
          <w:snapToGrid/>
          <w:kern w:val="0"/>
          <w:szCs w:val="18"/>
        </w:rPr>
        <w:t>where</w:t>
      </w:r>
      <w:r>
        <w:rPr>
          <w:snapToGrid/>
          <w:kern w:val="0"/>
          <w:szCs w:val="18"/>
        </w:rPr>
        <w:t xml:space="preserve"> Searchlight will have the right </w:t>
      </w:r>
      <w:r w:rsidR="00C51EF6">
        <w:rPr>
          <w:snapToGrid/>
          <w:kern w:val="0"/>
          <w:szCs w:val="18"/>
        </w:rPr>
        <w:t xml:space="preserve">to </w:t>
      </w:r>
      <w:r w:rsidR="00107CF4">
        <w:rPr>
          <w:snapToGrid/>
          <w:kern w:val="0"/>
          <w:szCs w:val="18"/>
        </w:rPr>
        <w:t>appoint</w:t>
      </w:r>
      <w:r>
        <w:rPr>
          <w:snapToGrid/>
          <w:kern w:val="0"/>
          <w:szCs w:val="18"/>
        </w:rPr>
        <w:t xml:space="preserve"> </w:t>
      </w:r>
      <w:r w:rsidR="00702D28">
        <w:rPr>
          <w:snapToGrid/>
          <w:kern w:val="0"/>
          <w:szCs w:val="18"/>
        </w:rPr>
        <w:t xml:space="preserve">four members, </w:t>
      </w:r>
      <w:r w:rsidR="00B86C57">
        <w:rPr>
          <w:snapToGrid/>
          <w:kern w:val="0"/>
          <w:szCs w:val="18"/>
        </w:rPr>
        <w:t>Forge</w:t>
      </w:r>
      <w:r w:rsidR="00833F4D">
        <w:rPr>
          <w:snapToGrid/>
          <w:kern w:val="0"/>
          <w:szCs w:val="18"/>
        </w:rPr>
        <w:t>L</w:t>
      </w:r>
      <w:r w:rsidR="00B86C57">
        <w:rPr>
          <w:snapToGrid/>
          <w:kern w:val="0"/>
          <w:szCs w:val="18"/>
        </w:rPr>
        <w:t xml:space="preserve">ight will </w:t>
      </w:r>
      <w:r w:rsidR="00107CF4">
        <w:rPr>
          <w:snapToGrid/>
          <w:kern w:val="0"/>
          <w:szCs w:val="18"/>
        </w:rPr>
        <w:t>appoint</w:t>
      </w:r>
      <w:r w:rsidR="00B86C57">
        <w:rPr>
          <w:snapToGrid/>
          <w:kern w:val="0"/>
          <w:szCs w:val="18"/>
        </w:rPr>
        <w:t xml:space="preserve"> two members, and Televisa will </w:t>
      </w:r>
      <w:r w:rsidR="00107CF4">
        <w:rPr>
          <w:snapToGrid/>
          <w:kern w:val="0"/>
          <w:szCs w:val="18"/>
        </w:rPr>
        <w:t>appoint</w:t>
      </w:r>
      <w:r w:rsidR="00B86C57">
        <w:rPr>
          <w:snapToGrid/>
          <w:kern w:val="0"/>
          <w:szCs w:val="18"/>
        </w:rPr>
        <w:t xml:space="preserve"> three members.</w:t>
      </w:r>
      <w:r w:rsidR="00107CF4">
        <w:rPr>
          <w:snapToGrid/>
          <w:kern w:val="0"/>
          <w:szCs w:val="18"/>
        </w:rPr>
        <w:t xml:space="preserve">  Additionally, </w:t>
      </w:r>
      <w:r w:rsidRPr="00097260">
        <w:rPr>
          <w:szCs w:val="18"/>
        </w:rPr>
        <w:t>Liberty Global will hold the</w:t>
      </w:r>
      <w:r>
        <w:rPr>
          <w:szCs w:val="18"/>
        </w:rPr>
        <w:t xml:space="preserve"> </w:t>
      </w:r>
      <w:r w:rsidRPr="00097260">
        <w:rPr>
          <w:szCs w:val="18"/>
        </w:rPr>
        <w:t>right to an observer’s seat on Univision’s board.</w:t>
      </w:r>
      <w:r>
        <w:rPr>
          <w:rStyle w:val="FootnoteReference"/>
          <w:szCs w:val="18"/>
        </w:rPr>
        <w:footnoteReference w:id="32"/>
      </w:r>
    </w:p>
    <w:p w:rsidR="002320C2" w:rsidRPr="00D14450" w:rsidP="007E5D43" w14:paraId="7787456E" w14:textId="1B7F8FDD">
      <w:pPr>
        <w:widowControl/>
        <w:rPr>
          <w:snapToGrid/>
          <w:kern w:val="0"/>
          <w:sz w:val="12"/>
          <w:szCs w:val="12"/>
        </w:rPr>
      </w:pPr>
    </w:p>
    <w:p w:rsidR="00B75FF1" w:rsidRPr="00AD4844" w:rsidP="00AD4844" w14:paraId="6D8F2BFD" w14:textId="7A2449C4">
      <w:pPr>
        <w:widowControl/>
        <w:ind w:firstLine="720"/>
        <w:rPr>
          <w:snapToGrid/>
          <w:kern w:val="0"/>
          <w:szCs w:val="18"/>
        </w:rPr>
      </w:pPr>
      <w:r w:rsidRPr="002320C2">
        <w:rPr>
          <w:snapToGrid/>
          <w:kern w:val="0"/>
          <w:szCs w:val="18"/>
        </w:rPr>
        <w:t>The Petition has been found, on initial review, to be acceptable for filing.</w:t>
      </w:r>
      <w:r w:rsidR="00165865">
        <w:rPr>
          <w:snapToGrid/>
          <w:kern w:val="0"/>
          <w:szCs w:val="18"/>
        </w:rPr>
        <w:t xml:space="preserve"> </w:t>
      </w:r>
      <w:r w:rsidRPr="002320C2">
        <w:rPr>
          <w:snapToGrid/>
          <w:kern w:val="0"/>
          <w:szCs w:val="18"/>
        </w:rPr>
        <w:t xml:space="preserve"> The Commission may require </w:t>
      </w:r>
      <w:r w:rsidR="008C24EF">
        <w:rPr>
          <w:snapToGrid/>
          <w:kern w:val="0"/>
          <w:szCs w:val="18"/>
        </w:rPr>
        <w:t>Univision</w:t>
      </w:r>
      <w:r w:rsidRPr="002320C2">
        <w:rPr>
          <w:snapToGrid/>
          <w:kern w:val="0"/>
          <w:szCs w:val="18"/>
        </w:rPr>
        <w:t xml:space="preserve"> to submit any additional documents or statements of fact that in its judgment may be necessary. </w:t>
      </w:r>
      <w:r>
        <w:rPr>
          <w:snapToGrid/>
          <w:kern w:val="0"/>
          <w:szCs w:val="18"/>
        </w:rPr>
        <w:t xml:space="preserve"> </w:t>
      </w:r>
      <w:r w:rsidRPr="002320C2">
        <w:rPr>
          <w:snapToGrid/>
          <w:kern w:val="0"/>
          <w:szCs w:val="18"/>
        </w:rPr>
        <w:t xml:space="preserve">The Commission also reserves the right to return the Petition if, on further examination, it is determined to be defective and not in conformance with its </w:t>
      </w:r>
      <w:r w:rsidR="00165865">
        <w:rPr>
          <w:snapToGrid/>
          <w:kern w:val="0"/>
          <w:szCs w:val="18"/>
        </w:rPr>
        <w:t>r</w:t>
      </w:r>
      <w:r w:rsidRPr="002320C2">
        <w:rPr>
          <w:snapToGrid/>
          <w:kern w:val="0"/>
          <w:szCs w:val="18"/>
        </w:rPr>
        <w:t>ules and policies.</w:t>
      </w:r>
    </w:p>
    <w:p w:rsidR="00B75FF1" w:rsidRPr="00B53F9E" w:rsidP="00AD4844" w14:paraId="28978A03" w14:textId="77777777">
      <w:pPr>
        <w:widowControl/>
        <w:spacing w:before="120" w:after="120"/>
        <w:rPr>
          <w:b/>
          <w:snapToGrid/>
          <w:kern w:val="0"/>
          <w:szCs w:val="22"/>
        </w:rPr>
      </w:pPr>
      <w:r w:rsidRPr="00B53F9E">
        <w:rPr>
          <w:b/>
          <w:i/>
          <w:snapToGrid/>
          <w:kern w:val="0"/>
          <w:szCs w:val="22"/>
        </w:rPr>
        <w:t>EX PARTE</w:t>
      </w:r>
      <w:r w:rsidRPr="00B53F9E">
        <w:rPr>
          <w:b/>
          <w:snapToGrid/>
          <w:kern w:val="0"/>
          <w:szCs w:val="22"/>
        </w:rPr>
        <w:t xml:space="preserve"> STATUS OF THIS PROCEEDING</w:t>
      </w:r>
    </w:p>
    <w:p w:rsidR="00B75FF1" w:rsidRPr="00AD4844" w:rsidP="00AD4844" w14:paraId="1DFC7434" w14:textId="3F6455E0">
      <w:pPr>
        <w:widowControl/>
        <w:spacing w:after="120"/>
        <w:ind w:firstLine="720"/>
        <w:rPr>
          <w:snapToGrid/>
          <w:kern w:val="0"/>
          <w:szCs w:val="22"/>
          <w:highlight w:val="yellow"/>
        </w:rPr>
      </w:pPr>
      <w:r w:rsidRPr="00B53F9E">
        <w:rPr>
          <w:snapToGrid/>
          <w:kern w:val="0"/>
          <w:szCs w:val="22"/>
        </w:rPr>
        <w:t xml:space="preserve">In order to assure the staff’s ability to discuss and obtain information needed to resolve the issues presented by this Public Notice and pursuant to section 1.1200(a) of the </w:t>
      </w:r>
      <w:r w:rsidR="00165865">
        <w:rPr>
          <w:snapToGrid/>
          <w:kern w:val="0"/>
          <w:szCs w:val="22"/>
        </w:rPr>
        <w:t>r</w:t>
      </w:r>
      <w:r w:rsidRPr="00B53F9E">
        <w:rPr>
          <w:snapToGrid/>
          <w:kern w:val="0"/>
          <w:szCs w:val="22"/>
        </w:rPr>
        <w:t>ules,</w:t>
      </w:r>
      <w:r>
        <w:rPr>
          <w:snapToGrid/>
          <w:kern w:val="0"/>
          <w:szCs w:val="22"/>
          <w:vertAlign w:val="superscript"/>
        </w:rPr>
        <w:footnoteReference w:id="33"/>
      </w:r>
      <w:r w:rsidRPr="00B53F9E">
        <w:rPr>
          <w:snapToGrid/>
          <w:kern w:val="0"/>
          <w:szCs w:val="22"/>
        </w:rPr>
        <w:t xml:space="preserve"> we establish a docket for this proceeding and announce that the </w:t>
      </w:r>
      <w:r w:rsidRPr="00B53F9E">
        <w:rPr>
          <w:i/>
          <w:snapToGrid/>
          <w:kern w:val="0"/>
          <w:szCs w:val="22"/>
        </w:rPr>
        <w:t xml:space="preserve">ex </w:t>
      </w:r>
      <w:r w:rsidRPr="00B53F9E">
        <w:rPr>
          <w:i/>
          <w:snapToGrid/>
          <w:kern w:val="0"/>
          <w:szCs w:val="22"/>
        </w:rPr>
        <w:t>parte</w:t>
      </w:r>
      <w:r w:rsidRPr="00B53F9E">
        <w:rPr>
          <w:snapToGrid/>
          <w:kern w:val="0"/>
          <w:szCs w:val="22"/>
        </w:rPr>
        <w:t xml:space="preserve"> procedures applicable to permit-but-disclose proceedings will govern our consideration of these applications.</w:t>
      </w:r>
      <w:r>
        <w:rPr>
          <w:snapToGrid/>
          <w:kern w:val="0"/>
          <w:szCs w:val="22"/>
          <w:vertAlign w:val="superscript"/>
        </w:rPr>
        <w:footnoteReference w:id="34"/>
      </w:r>
      <w:r w:rsidRPr="00B53F9E">
        <w:rPr>
          <w:snapToGrid/>
          <w:kern w:val="0"/>
          <w:szCs w:val="22"/>
          <w:highlight w:val="yellow"/>
        </w:rPr>
        <w:t xml:space="preserve">  </w:t>
      </w:r>
    </w:p>
    <w:p w:rsidR="00B75FF1" w:rsidRPr="00B53F9E" w:rsidP="00B75FF1" w14:paraId="7902BD7D" w14:textId="6DB32989">
      <w:pPr>
        <w:widowControl/>
        <w:ind w:firstLine="720"/>
        <w:rPr>
          <w:snapToGrid/>
          <w:kern w:val="0"/>
          <w:szCs w:val="22"/>
        </w:rPr>
      </w:pPr>
      <w:r w:rsidRPr="00B53F9E">
        <w:rPr>
          <w:snapToGrid/>
          <w:kern w:val="0"/>
          <w:szCs w:val="22"/>
        </w:rPr>
        <w:t xml:space="preserve">The proceeding in this Notice shall be treated as a “permit-but-disclose” proceeding in accordance with the Commission’s </w:t>
      </w:r>
      <w:r w:rsidRPr="00B53F9E">
        <w:rPr>
          <w:i/>
          <w:iCs/>
          <w:snapToGrid/>
          <w:kern w:val="0"/>
          <w:szCs w:val="22"/>
        </w:rPr>
        <w:t xml:space="preserve">ex </w:t>
      </w:r>
      <w:r w:rsidRPr="00B53F9E">
        <w:rPr>
          <w:i/>
          <w:iCs/>
          <w:snapToGrid/>
          <w:kern w:val="0"/>
          <w:szCs w:val="22"/>
        </w:rPr>
        <w:t>parte</w:t>
      </w:r>
      <w:r w:rsidRPr="00B53F9E">
        <w:rPr>
          <w:i/>
          <w:iCs/>
          <w:snapToGrid/>
          <w:kern w:val="0"/>
          <w:szCs w:val="22"/>
        </w:rPr>
        <w:t xml:space="preserve"> </w:t>
      </w:r>
      <w:r w:rsidRPr="00B53F9E">
        <w:rPr>
          <w:snapToGrid/>
          <w:kern w:val="0"/>
          <w:szCs w:val="22"/>
        </w:rPr>
        <w:t>rules.</w:t>
      </w:r>
      <w:r>
        <w:rPr>
          <w:snapToGrid/>
          <w:kern w:val="0"/>
          <w:szCs w:val="22"/>
          <w:vertAlign w:val="superscript"/>
        </w:rPr>
        <w:footnoteReference w:id="35"/>
      </w:r>
      <w:r w:rsidRPr="00B53F9E">
        <w:rPr>
          <w:snapToGrid/>
          <w:kern w:val="0"/>
          <w:szCs w:val="22"/>
        </w:rPr>
        <w:t xml:space="preserve">  Persons making </w:t>
      </w:r>
      <w:r w:rsidRPr="00B53F9E">
        <w:rPr>
          <w:i/>
          <w:snapToGrid/>
          <w:kern w:val="0"/>
          <w:szCs w:val="22"/>
        </w:rPr>
        <w:t xml:space="preserve">ex </w:t>
      </w:r>
      <w:r w:rsidRPr="00B53F9E">
        <w:rPr>
          <w:i/>
          <w:snapToGrid/>
          <w:kern w:val="0"/>
          <w:szCs w:val="22"/>
        </w:rPr>
        <w:t>parte</w:t>
      </w:r>
      <w:r w:rsidRPr="00B53F9E">
        <w:rPr>
          <w:i/>
          <w:snapToGrid/>
          <w:kern w:val="0"/>
          <w:szCs w:val="22"/>
        </w:rPr>
        <w:t xml:space="preserve"> </w:t>
      </w:r>
      <w:r w:rsidRPr="00B53F9E">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53F9E">
        <w:rPr>
          <w:i/>
          <w:iCs/>
          <w:snapToGrid/>
          <w:kern w:val="0"/>
          <w:szCs w:val="22"/>
        </w:rPr>
        <w:t xml:space="preserve">ex </w:t>
      </w:r>
      <w:r w:rsidRPr="00B53F9E">
        <w:rPr>
          <w:i/>
          <w:iCs/>
          <w:snapToGrid/>
          <w:kern w:val="0"/>
          <w:szCs w:val="22"/>
        </w:rPr>
        <w:t>parte</w:t>
      </w:r>
      <w:r w:rsidRPr="00B53F9E">
        <w:rPr>
          <w:i/>
          <w:iCs/>
          <w:snapToGrid/>
          <w:kern w:val="0"/>
          <w:szCs w:val="22"/>
        </w:rPr>
        <w:t xml:space="preserve"> </w:t>
      </w:r>
      <w:r w:rsidRPr="00B53F9E">
        <w:rPr>
          <w:snapToGrid/>
          <w:kern w:val="0"/>
          <w:szCs w:val="22"/>
        </w:rPr>
        <w:t xml:space="preserve">presentations are reminded that memoranda summarizing the presentation must (1) list all persons attending or otherwise participating in the meeting at which the </w:t>
      </w:r>
      <w:r w:rsidRPr="00B53F9E">
        <w:rPr>
          <w:i/>
          <w:iCs/>
          <w:snapToGrid/>
          <w:kern w:val="0"/>
          <w:szCs w:val="22"/>
        </w:rPr>
        <w:t xml:space="preserve">ex </w:t>
      </w:r>
      <w:r w:rsidRPr="00B53F9E">
        <w:rPr>
          <w:i/>
          <w:iCs/>
          <w:snapToGrid/>
          <w:kern w:val="0"/>
          <w:szCs w:val="22"/>
        </w:rPr>
        <w:t>parte</w:t>
      </w:r>
      <w:r w:rsidRPr="00B53F9E">
        <w:rPr>
          <w:i/>
          <w:iCs/>
          <w:snapToGrid/>
          <w:kern w:val="0"/>
          <w:szCs w:val="22"/>
        </w:rPr>
        <w:t xml:space="preserve"> </w:t>
      </w:r>
      <w:r w:rsidRPr="00B53F9E">
        <w:rPr>
          <w:snapToGrid/>
          <w:kern w:val="0"/>
          <w:szCs w:val="22"/>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53F9E">
        <w:rPr>
          <w:i/>
          <w:iCs/>
          <w:snapToGrid/>
          <w:kern w:val="0"/>
          <w:szCs w:val="22"/>
        </w:rPr>
        <w:t xml:space="preserve">ex </w:t>
      </w:r>
      <w:r w:rsidRPr="00B53F9E">
        <w:rPr>
          <w:i/>
          <w:iCs/>
          <w:snapToGrid/>
          <w:kern w:val="0"/>
          <w:szCs w:val="22"/>
        </w:rPr>
        <w:t>parte</w:t>
      </w:r>
      <w:r w:rsidRPr="00B53F9E">
        <w:rPr>
          <w:i/>
          <w:iCs/>
          <w:snapToGrid/>
          <w:kern w:val="0"/>
          <w:szCs w:val="22"/>
        </w:rPr>
        <w:t xml:space="preserve"> </w:t>
      </w:r>
      <w:r w:rsidRPr="00B53F9E">
        <w:rPr>
          <w:snapToGrid/>
          <w:kern w:val="0"/>
          <w:szCs w:val="22"/>
        </w:rPr>
        <w:t xml:space="preserve">meetings are deemed to be written </w:t>
      </w:r>
      <w:r w:rsidRPr="00B53F9E">
        <w:rPr>
          <w:i/>
          <w:iCs/>
          <w:snapToGrid/>
          <w:kern w:val="0"/>
          <w:szCs w:val="22"/>
        </w:rPr>
        <w:t xml:space="preserve">ex </w:t>
      </w:r>
      <w:r w:rsidRPr="00B53F9E">
        <w:rPr>
          <w:i/>
          <w:iCs/>
          <w:snapToGrid/>
          <w:kern w:val="0"/>
          <w:szCs w:val="22"/>
        </w:rPr>
        <w:t>parte</w:t>
      </w:r>
      <w:r w:rsidRPr="00B53F9E">
        <w:rPr>
          <w:snapToGrid/>
          <w:kern w:val="0"/>
          <w:szCs w:val="22"/>
        </w:rPr>
        <w:t xml:space="preserve"> presentations and must be filed consistent with rule 1.1206(b), 47 CFR § 1.1206(b).  Participants in this proceeding should familiarize themselves with the Commission’s </w:t>
      </w:r>
      <w:r w:rsidRPr="00B53F9E">
        <w:rPr>
          <w:i/>
          <w:iCs/>
          <w:snapToGrid/>
          <w:kern w:val="0"/>
          <w:szCs w:val="22"/>
        </w:rPr>
        <w:t xml:space="preserve">ex </w:t>
      </w:r>
      <w:r w:rsidRPr="00B53F9E">
        <w:rPr>
          <w:i/>
          <w:iCs/>
          <w:snapToGrid/>
          <w:kern w:val="0"/>
          <w:szCs w:val="22"/>
        </w:rPr>
        <w:t>parte</w:t>
      </w:r>
      <w:r w:rsidRPr="00B53F9E">
        <w:rPr>
          <w:i/>
          <w:iCs/>
          <w:snapToGrid/>
          <w:kern w:val="0"/>
          <w:szCs w:val="22"/>
        </w:rPr>
        <w:t xml:space="preserve"> </w:t>
      </w:r>
      <w:r w:rsidRPr="00B53F9E">
        <w:rPr>
          <w:snapToGrid/>
          <w:kern w:val="0"/>
          <w:szCs w:val="22"/>
        </w:rPr>
        <w:t>rules.</w:t>
      </w:r>
      <w:r w:rsidRPr="00B53F9E">
        <w:rPr>
          <w:snapToGrid/>
          <w:kern w:val="0"/>
          <w:szCs w:val="22"/>
          <w:vertAlign w:val="superscript"/>
        </w:rPr>
        <w:t xml:space="preserve"> </w:t>
      </w:r>
      <w:r>
        <w:rPr>
          <w:snapToGrid/>
          <w:kern w:val="0"/>
          <w:szCs w:val="22"/>
          <w:vertAlign w:val="superscript"/>
        </w:rPr>
        <w:footnoteReference w:id="36"/>
      </w:r>
      <w:r w:rsidRPr="00B53F9E">
        <w:rPr>
          <w:snapToGrid/>
          <w:kern w:val="0"/>
          <w:szCs w:val="22"/>
        </w:rPr>
        <w:t xml:space="preserve">  We strongly urge parties to use the Electronic Comment Filing System (ECFS) to file </w:t>
      </w:r>
      <w:r w:rsidRPr="00B53F9E">
        <w:rPr>
          <w:i/>
          <w:iCs/>
          <w:snapToGrid/>
          <w:kern w:val="0"/>
          <w:szCs w:val="22"/>
        </w:rPr>
        <w:t xml:space="preserve">ex </w:t>
      </w:r>
      <w:r w:rsidRPr="00B53F9E">
        <w:rPr>
          <w:i/>
          <w:iCs/>
          <w:snapToGrid/>
          <w:kern w:val="0"/>
          <w:szCs w:val="22"/>
        </w:rPr>
        <w:t>parte</w:t>
      </w:r>
      <w:r w:rsidRPr="00B53F9E">
        <w:rPr>
          <w:snapToGrid/>
          <w:kern w:val="0"/>
          <w:szCs w:val="22"/>
        </w:rPr>
        <w:t xml:space="preserve"> submissions.  All </w:t>
      </w:r>
      <w:r w:rsidRPr="00B53F9E">
        <w:rPr>
          <w:i/>
          <w:snapToGrid/>
          <w:kern w:val="0"/>
          <w:szCs w:val="22"/>
        </w:rPr>
        <w:t xml:space="preserve">ex </w:t>
      </w:r>
      <w:r w:rsidRPr="00B53F9E">
        <w:rPr>
          <w:i/>
          <w:snapToGrid/>
          <w:kern w:val="0"/>
          <w:szCs w:val="22"/>
        </w:rPr>
        <w:t>parte</w:t>
      </w:r>
      <w:r w:rsidRPr="00B53F9E">
        <w:rPr>
          <w:snapToGrid/>
          <w:kern w:val="0"/>
          <w:szCs w:val="22"/>
        </w:rPr>
        <w:t xml:space="preserve"> filings must be clearly labeled as such and must reference MB Docket No. </w:t>
      </w:r>
      <w:r w:rsidRPr="00A16BAD" w:rsidR="00BC03DF">
        <w:rPr>
          <w:snapToGrid/>
          <w:kern w:val="0"/>
          <w:szCs w:val="22"/>
        </w:rPr>
        <w:t>20</w:t>
      </w:r>
      <w:r w:rsidRPr="00A16BAD">
        <w:rPr>
          <w:snapToGrid/>
          <w:kern w:val="0"/>
          <w:szCs w:val="22"/>
        </w:rPr>
        <w:t>-</w:t>
      </w:r>
      <w:r w:rsidR="00A16BAD">
        <w:rPr>
          <w:snapToGrid/>
          <w:kern w:val="0"/>
          <w:szCs w:val="22"/>
        </w:rPr>
        <w:t>122</w:t>
      </w:r>
      <w:r w:rsidRPr="00B53F9E">
        <w:rPr>
          <w:snapToGrid/>
          <w:kern w:val="0"/>
          <w:szCs w:val="22"/>
        </w:rPr>
        <w:t>.</w:t>
      </w:r>
    </w:p>
    <w:p w:rsidR="00B75FF1" w:rsidRPr="00AD4844" w:rsidP="00B75FF1" w14:paraId="792C5300" w14:textId="77777777">
      <w:pPr>
        <w:widowControl/>
        <w:ind w:firstLine="720"/>
        <w:rPr>
          <w:b/>
          <w:bCs/>
          <w:snapToGrid/>
          <w:color w:val="010101"/>
          <w:kern w:val="0"/>
          <w:sz w:val="12"/>
          <w:szCs w:val="12"/>
        </w:rPr>
      </w:pPr>
    </w:p>
    <w:p w:rsidR="00B75FF1" w:rsidRPr="00B53F9E" w:rsidP="00B75FF1" w14:paraId="34792B1A" w14:textId="77777777">
      <w:pPr>
        <w:widowControl/>
        <w:autoSpaceDE w:val="0"/>
        <w:autoSpaceDN w:val="0"/>
        <w:adjustRightInd w:val="0"/>
        <w:rPr>
          <w:b/>
          <w:bCs/>
          <w:snapToGrid/>
          <w:color w:val="010101"/>
          <w:kern w:val="0"/>
          <w:szCs w:val="22"/>
        </w:rPr>
      </w:pPr>
      <w:r w:rsidRPr="00B53F9E">
        <w:rPr>
          <w:b/>
          <w:bCs/>
          <w:snapToGrid/>
          <w:color w:val="010101"/>
          <w:kern w:val="0"/>
          <w:szCs w:val="22"/>
        </w:rPr>
        <w:t>GENERAL INFORMATION</w:t>
      </w:r>
    </w:p>
    <w:p w:rsidR="00B75FF1" w:rsidRPr="00AD4844" w:rsidP="00B75FF1" w14:paraId="277740EA" w14:textId="77777777">
      <w:pPr>
        <w:widowControl/>
        <w:autoSpaceDE w:val="0"/>
        <w:autoSpaceDN w:val="0"/>
        <w:adjustRightInd w:val="0"/>
        <w:rPr>
          <w:b/>
          <w:bCs/>
          <w:snapToGrid/>
          <w:color w:val="010101"/>
          <w:kern w:val="0"/>
          <w:sz w:val="12"/>
          <w:szCs w:val="12"/>
        </w:rPr>
      </w:pPr>
    </w:p>
    <w:p w:rsidR="00B75FF1" w:rsidRPr="00B53F9E" w:rsidP="00B75FF1" w14:paraId="25021AE4" w14:textId="3DB3CC81">
      <w:pPr>
        <w:widowControl/>
        <w:ind w:firstLine="720"/>
        <w:rPr>
          <w:snapToGrid/>
          <w:color w:val="010101"/>
          <w:kern w:val="0"/>
          <w:szCs w:val="22"/>
        </w:rPr>
      </w:pPr>
      <w:r w:rsidRPr="00B53F9E">
        <w:rPr>
          <w:snapToGrid/>
          <w:color w:val="010101"/>
          <w:kern w:val="0"/>
          <w:szCs w:val="22"/>
        </w:rPr>
        <w:t xml:space="preserve">The petition for declaratory ruling referred to in this Public Notice has been accepted for filing upon initial review.  The Commission reserves the right to return any filing if, upon further </w:t>
      </w:r>
      <w:r w:rsidRPr="00B53F9E">
        <w:rPr>
          <w:snapToGrid/>
          <w:kern w:val="0"/>
          <w:szCs w:val="18"/>
        </w:rPr>
        <w:t>examination</w:t>
      </w:r>
      <w:r w:rsidRPr="00B53F9E">
        <w:rPr>
          <w:snapToGrid/>
          <w:color w:val="010101"/>
          <w:kern w:val="0"/>
          <w:szCs w:val="22"/>
        </w:rPr>
        <w:t xml:space="preserve">, it is determined to be defective and not in conformance with the Commission’s rules or policies.  </w:t>
      </w:r>
      <w:r w:rsidRPr="00B53F9E">
        <w:rPr>
          <w:snapToGrid/>
          <w:color w:val="010101"/>
          <w:kern w:val="0"/>
          <w:szCs w:val="22"/>
        </w:rPr>
        <w:t xml:space="preserve">Interested persons must file comments no later than </w:t>
      </w:r>
      <w:r w:rsidR="00A16BAD">
        <w:rPr>
          <w:b/>
          <w:snapToGrid/>
          <w:color w:val="010101"/>
          <w:kern w:val="0"/>
          <w:szCs w:val="22"/>
        </w:rPr>
        <w:t>June 4, 2020</w:t>
      </w:r>
      <w:r w:rsidRPr="00B53F9E">
        <w:rPr>
          <w:snapToGrid/>
          <w:color w:val="010101"/>
          <w:kern w:val="0"/>
          <w:szCs w:val="22"/>
        </w:rPr>
        <w:t>.  Replies must be filed no later than</w:t>
      </w:r>
      <w:r w:rsidR="009B5B8E">
        <w:rPr>
          <w:snapToGrid/>
          <w:color w:val="010101"/>
          <w:kern w:val="0"/>
          <w:szCs w:val="22"/>
        </w:rPr>
        <w:t xml:space="preserve"> </w:t>
      </w:r>
      <w:r w:rsidR="00A16BAD">
        <w:rPr>
          <w:b/>
          <w:snapToGrid/>
          <w:color w:val="010101"/>
          <w:kern w:val="0"/>
          <w:szCs w:val="22"/>
        </w:rPr>
        <w:t>June 1</w:t>
      </w:r>
      <w:bookmarkStart w:id="8" w:name="_GoBack"/>
      <w:bookmarkEnd w:id="8"/>
      <w:r w:rsidR="00A16BAD">
        <w:rPr>
          <w:b/>
          <w:snapToGrid/>
          <w:color w:val="010101"/>
          <w:kern w:val="0"/>
          <w:szCs w:val="22"/>
        </w:rPr>
        <w:t>9, 2020</w:t>
      </w:r>
      <w:r w:rsidRPr="00B53F9E">
        <w:rPr>
          <w:snapToGrid/>
          <w:color w:val="010101"/>
          <w:kern w:val="0"/>
          <w:szCs w:val="22"/>
        </w:rPr>
        <w:t xml:space="preserve">.   </w:t>
      </w:r>
    </w:p>
    <w:p w:rsidR="00B75FF1" w:rsidRPr="00D14450" w:rsidP="00B75FF1" w14:paraId="5CCE540D" w14:textId="77777777">
      <w:pPr>
        <w:widowControl/>
        <w:autoSpaceDE w:val="0"/>
        <w:autoSpaceDN w:val="0"/>
        <w:adjustRightInd w:val="0"/>
        <w:rPr>
          <w:snapToGrid/>
          <w:color w:val="010101"/>
          <w:kern w:val="0"/>
          <w:sz w:val="12"/>
          <w:szCs w:val="12"/>
        </w:rPr>
      </w:pPr>
    </w:p>
    <w:p w:rsidR="00B75FF1" w:rsidRPr="00B53F9E" w:rsidP="00B75FF1" w14:paraId="727B4B8A" w14:textId="2B9A555E">
      <w:pPr>
        <w:widowControl/>
        <w:autoSpaceDE w:val="0"/>
        <w:autoSpaceDN w:val="0"/>
        <w:adjustRightInd w:val="0"/>
        <w:ind w:firstLine="720"/>
        <w:rPr>
          <w:bCs/>
          <w:snapToGrid/>
          <w:color w:val="010101"/>
          <w:kern w:val="0"/>
          <w:szCs w:val="22"/>
        </w:rPr>
      </w:pPr>
      <w:r w:rsidRPr="00B53F9E">
        <w:rPr>
          <w:bCs/>
          <w:snapToGrid/>
          <w:color w:val="010101"/>
          <w:kern w:val="0"/>
          <w:szCs w:val="22"/>
        </w:rPr>
        <w:t xml:space="preserve">To allow the Commission to </w:t>
      </w:r>
      <w:r w:rsidR="00EC74C8">
        <w:rPr>
          <w:bCs/>
          <w:snapToGrid/>
          <w:color w:val="010101"/>
          <w:kern w:val="0"/>
          <w:szCs w:val="22"/>
        </w:rPr>
        <w:t xml:space="preserve">fully </w:t>
      </w:r>
      <w:r w:rsidRPr="00B53F9E">
        <w:rPr>
          <w:bCs/>
          <w:snapToGrid/>
          <w:color w:val="010101"/>
          <w:kern w:val="0"/>
          <w:szCs w:val="22"/>
        </w:rPr>
        <w:t>consider all substantive issues regarding the applications in as timely and efficient a manner as possible, commenters should raise all issues in their initial filings.</w:t>
      </w:r>
      <w:r w:rsidR="00EC74C8">
        <w:rPr>
          <w:bCs/>
          <w:snapToGrid/>
          <w:color w:val="010101"/>
          <w:kern w:val="0"/>
          <w:szCs w:val="22"/>
        </w:rPr>
        <w:t xml:space="preserve"> </w:t>
      </w:r>
      <w:r w:rsidRPr="00B53F9E">
        <w:rPr>
          <w:bCs/>
          <w:snapToGrid/>
          <w:color w:val="010101"/>
          <w:kern w:val="0"/>
          <w:szCs w:val="22"/>
        </w:rPr>
        <w:t xml:space="preserve"> A party or interested person seeking to raise a new issue after the pleading cycle has closed must show good cause why it was not possible for it to have raised the issue previously.</w:t>
      </w:r>
      <w:r>
        <w:rPr>
          <w:bCs/>
          <w:snapToGrid/>
          <w:color w:val="010101"/>
          <w:kern w:val="0"/>
          <w:szCs w:val="22"/>
          <w:vertAlign w:val="superscript"/>
        </w:rPr>
        <w:footnoteReference w:id="37"/>
      </w:r>
      <w:r w:rsidRPr="00B53F9E">
        <w:rPr>
          <w:bCs/>
          <w:snapToGrid/>
          <w:color w:val="010101"/>
          <w:kern w:val="0"/>
          <w:szCs w:val="22"/>
        </w:rPr>
        <w:t xml:space="preserve">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B75FF1" w:rsidRPr="00D14450" w:rsidP="00B75FF1" w14:paraId="7F0DDEA5" w14:textId="77777777">
      <w:pPr>
        <w:widowControl/>
        <w:autoSpaceDE w:val="0"/>
        <w:autoSpaceDN w:val="0"/>
        <w:adjustRightInd w:val="0"/>
        <w:rPr>
          <w:b/>
          <w:bCs/>
          <w:snapToGrid/>
          <w:color w:val="010101"/>
          <w:kern w:val="0"/>
          <w:sz w:val="12"/>
          <w:szCs w:val="12"/>
        </w:rPr>
      </w:pPr>
      <w:r w:rsidRPr="00B53F9E">
        <w:rPr>
          <w:b/>
          <w:bCs/>
          <w:snapToGrid/>
          <w:color w:val="010101"/>
          <w:kern w:val="0"/>
          <w:szCs w:val="22"/>
        </w:rPr>
        <w:tab/>
      </w:r>
    </w:p>
    <w:p w:rsidR="00B75FF1" w:rsidRPr="00B53F9E" w:rsidP="00B75FF1" w14:paraId="52236756" w14:textId="6ECA2625">
      <w:pPr>
        <w:widowControl/>
        <w:autoSpaceDE w:val="0"/>
        <w:autoSpaceDN w:val="0"/>
        <w:adjustRightInd w:val="0"/>
        <w:ind w:firstLine="720"/>
        <w:rPr>
          <w:snapToGrid/>
          <w:color w:val="010101"/>
          <w:kern w:val="0"/>
          <w:szCs w:val="22"/>
        </w:rPr>
      </w:pPr>
      <w:r w:rsidRPr="00B53F9E">
        <w:rPr>
          <w:snapToGrid/>
          <w:color w:val="010101"/>
          <w:kern w:val="0"/>
          <w:szCs w:val="22"/>
        </w:rPr>
        <w:t>All filings concerning matters referenced in this Public Notice should refer to MB Docket No.</w:t>
      </w:r>
      <w:r w:rsidR="0061124B">
        <w:rPr>
          <w:snapToGrid/>
          <w:color w:val="010101"/>
          <w:kern w:val="0"/>
          <w:szCs w:val="22"/>
        </w:rPr>
        <w:t xml:space="preserve"> </w:t>
      </w:r>
      <w:r w:rsidRPr="00A16BAD" w:rsidR="00D14450">
        <w:rPr>
          <w:snapToGrid/>
          <w:color w:val="010101"/>
          <w:kern w:val="0"/>
          <w:szCs w:val="22"/>
        </w:rPr>
        <w:t>20</w:t>
      </w:r>
      <w:r w:rsidRPr="00A16BAD">
        <w:rPr>
          <w:snapToGrid/>
          <w:color w:val="010101"/>
          <w:kern w:val="0"/>
          <w:szCs w:val="22"/>
        </w:rPr>
        <w:t>-</w:t>
      </w:r>
      <w:r w:rsidR="00A16BAD">
        <w:rPr>
          <w:snapToGrid/>
          <w:color w:val="010101"/>
          <w:kern w:val="0"/>
          <w:szCs w:val="22"/>
        </w:rPr>
        <w:t>122</w:t>
      </w:r>
      <w:r w:rsidRPr="00B53F9E">
        <w:rPr>
          <w:snapToGrid/>
          <w:color w:val="010101"/>
          <w:kern w:val="0"/>
          <w:szCs w:val="22"/>
        </w:rPr>
        <w:t xml:space="preserve">, as well as the specific file numbers of the individual applications or other matters to which the filings pertain.  </w:t>
      </w:r>
    </w:p>
    <w:p w:rsidR="00B75FF1" w:rsidRPr="00D14450" w:rsidP="00B75FF1" w14:paraId="334030C6" w14:textId="47BA3CA6">
      <w:pPr>
        <w:widowControl/>
        <w:autoSpaceDE w:val="0"/>
        <w:autoSpaceDN w:val="0"/>
        <w:adjustRightInd w:val="0"/>
        <w:rPr>
          <w:snapToGrid/>
          <w:color w:val="010101"/>
          <w:kern w:val="0"/>
          <w:sz w:val="12"/>
          <w:szCs w:val="12"/>
        </w:rPr>
      </w:pPr>
    </w:p>
    <w:p w:rsidR="00B75FF1" w:rsidRPr="00B53F9E" w:rsidP="00B75FF1" w14:paraId="409BF04D" w14:textId="77777777">
      <w:pPr>
        <w:widowControl/>
        <w:autoSpaceDE w:val="0"/>
        <w:autoSpaceDN w:val="0"/>
        <w:adjustRightInd w:val="0"/>
        <w:ind w:firstLine="720"/>
        <w:rPr>
          <w:snapToGrid/>
          <w:color w:val="010101"/>
          <w:kern w:val="0"/>
          <w:szCs w:val="22"/>
        </w:rPr>
      </w:pPr>
      <w:r w:rsidRPr="00B53F9E">
        <w:rPr>
          <w:snapToGrid/>
          <w:color w:val="010101"/>
          <w:kern w:val="0"/>
          <w:szCs w:val="22"/>
        </w:rPr>
        <w:t>Submissions in this matter may be filed electronically (</w:t>
      </w:r>
      <w:r w:rsidRPr="00EC74C8">
        <w:rPr>
          <w:iCs/>
          <w:snapToGrid/>
          <w:color w:val="010101"/>
          <w:kern w:val="0"/>
          <w:szCs w:val="22"/>
        </w:rPr>
        <w:t>i.e.</w:t>
      </w:r>
      <w:r w:rsidRPr="00B53F9E">
        <w:rPr>
          <w:snapToGrid/>
          <w:color w:val="010101"/>
          <w:kern w:val="0"/>
          <w:szCs w:val="22"/>
        </w:rPr>
        <w:t>, through ECFS) or by filing paper copies.</w:t>
      </w:r>
    </w:p>
    <w:p w:rsidR="00B75FF1" w:rsidRPr="00D14450" w:rsidP="00B75FF1" w14:paraId="395E81AE" w14:textId="77777777">
      <w:pPr>
        <w:widowControl/>
        <w:autoSpaceDE w:val="0"/>
        <w:autoSpaceDN w:val="0"/>
        <w:adjustRightInd w:val="0"/>
        <w:rPr>
          <w:snapToGrid/>
          <w:color w:val="010101"/>
          <w:kern w:val="0"/>
          <w:sz w:val="12"/>
          <w:szCs w:val="12"/>
        </w:rPr>
      </w:pPr>
    </w:p>
    <w:p w:rsidR="00B75FF1" w:rsidRPr="00B53F9E" w:rsidP="00B75FF1" w14:paraId="79A1C387" w14:textId="77777777">
      <w:pPr>
        <w:widowControl/>
        <w:numPr>
          <w:ilvl w:val="0"/>
          <w:numId w:val="7"/>
        </w:numPr>
        <w:autoSpaceDE w:val="0"/>
        <w:autoSpaceDN w:val="0"/>
        <w:adjustRightInd w:val="0"/>
        <w:rPr>
          <w:snapToGrid/>
          <w:color w:val="010101"/>
          <w:kern w:val="0"/>
          <w:szCs w:val="22"/>
        </w:rPr>
      </w:pPr>
      <w:r w:rsidRPr="00B53F9E">
        <w:rPr>
          <w:snapToGrid/>
          <w:color w:val="010101"/>
          <w:kern w:val="0"/>
          <w:szCs w:val="22"/>
        </w:rPr>
        <w:t>Electronic Filers:  Documents may be filed electronically using the Internet by accessing the</w:t>
      </w:r>
    </w:p>
    <w:p w:rsidR="00B75FF1" w:rsidP="00B75FF1" w14:paraId="4DD711A5" w14:textId="77777777">
      <w:pPr>
        <w:widowControl/>
        <w:autoSpaceDE w:val="0"/>
        <w:autoSpaceDN w:val="0"/>
        <w:adjustRightInd w:val="0"/>
        <w:rPr>
          <w:snapToGrid/>
          <w:color w:val="010101"/>
          <w:kern w:val="0"/>
          <w:szCs w:val="22"/>
        </w:rPr>
      </w:pPr>
      <w:r w:rsidRPr="00B53F9E">
        <w:rPr>
          <w:snapToGrid/>
          <w:color w:val="010101"/>
          <w:kern w:val="0"/>
          <w:szCs w:val="22"/>
        </w:rPr>
        <w:t xml:space="preserve">ECFS:  </w:t>
      </w:r>
      <w:hyperlink r:id="rId5" w:history="1">
        <w:r w:rsidRPr="00B53F9E">
          <w:rPr>
            <w:snapToGrid/>
            <w:color w:val="0000FF"/>
            <w:kern w:val="0"/>
            <w:szCs w:val="22"/>
            <w:u w:val="single"/>
          </w:rPr>
          <w:t>http://fjallfoss.fcc.gov/ecfs2/</w:t>
        </w:r>
      </w:hyperlink>
      <w:r w:rsidRPr="00B53F9E">
        <w:rPr>
          <w:snapToGrid/>
          <w:color w:val="010101"/>
          <w:kern w:val="0"/>
          <w:szCs w:val="22"/>
        </w:rPr>
        <w:t>.</w:t>
      </w:r>
    </w:p>
    <w:p w:rsidR="00B75FF1" w:rsidRPr="00D14450" w:rsidP="00B75FF1" w14:paraId="4ECCCDAB" w14:textId="77777777">
      <w:pPr>
        <w:widowControl/>
        <w:autoSpaceDE w:val="0"/>
        <w:autoSpaceDN w:val="0"/>
        <w:adjustRightInd w:val="0"/>
        <w:rPr>
          <w:snapToGrid/>
          <w:color w:val="010101"/>
          <w:kern w:val="0"/>
          <w:sz w:val="12"/>
          <w:szCs w:val="12"/>
        </w:rPr>
      </w:pPr>
    </w:p>
    <w:p w:rsidR="00B75FF1" w:rsidRPr="00B53F9E" w:rsidP="00B75FF1" w14:paraId="21FAF416" w14:textId="77777777">
      <w:pPr>
        <w:widowControl/>
        <w:numPr>
          <w:ilvl w:val="0"/>
          <w:numId w:val="7"/>
        </w:numPr>
        <w:autoSpaceDE w:val="0"/>
        <w:autoSpaceDN w:val="0"/>
        <w:adjustRightInd w:val="0"/>
        <w:rPr>
          <w:snapToGrid/>
          <w:color w:val="010101"/>
          <w:kern w:val="0"/>
          <w:szCs w:val="22"/>
        </w:rPr>
      </w:pPr>
      <w:r w:rsidRPr="00B53F9E">
        <w:rPr>
          <w:snapToGrid/>
          <w:color w:val="010101"/>
          <w:kern w:val="0"/>
          <w:szCs w:val="22"/>
        </w:rPr>
        <w:t>Paper Filers:  Parties who choose to file by paper must file an original and four copies of each</w:t>
      </w:r>
    </w:p>
    <w:p w:rsidR="00EC74C8" w:rsidP="00B75FF1" w14:paraId="10B75749" w14:textId="764AEC27">
      <w:pPr>
        <w:widowControl/>
        <w:autoSpaceDE w:val="0"/>
        <w:autoSpaceDN w:val="0"/>
        <w:adjustRightInd w:val="0"/>
        <w:rPr>
          <w:snapToGrid/>
          <w:color w:val="010101"/>
          <w:kern w:val="0"/>
          <w:szCs w:val="22"/>
        </w:rPr>
      </w:pPr>
      <w:r w:rsidRPr="00B53F9E">
        <w:rPr>
          <w:snapToGrid/>
          <w:color w:val="010101"/>
          <w:kern w:val="0"/>
          <w:szCs w:val="22"/>
        </w:rPr>
        <w:t xml:space="preserve">filing.  </w:t>
      </w:r>
      <w:r w:rsidRPr="00F23A56" w:rsidR="00932CFF">
        <w:rPr>
          <w:color w:val="010101"/>
          <w:szCs w:val="22"/>
        </w:rPr>
        <w:t xml:space="preserve">Filings may be sent by commercial overnight courier, or by first-class or overnight U.S. Postal Service mail.  All filings </w:t>
      </w:r>
      <w:r w:rsidR="00932CFF">
        <w:rPr>
          <w:color w:val="010101"/>
          <w:szCs w:val="22"/>
        </w:rPr>
        <w:t xml:space="preserve">sent by U.S. Postal Service Express Mail and Priority </w:t>
      </w:r>
      <w:r w:rsidRPr="00631D26" w:rsidR="00932CFF">
        <w:rPr>
          <w:color w:val="010101"/>
          <w:szCs w:val="22"/>
        </w:rPr>
        <w:t>Mail</w:t>
      </w:r>
      <w:r w:rsidRPr="00F23A56" w:rsidR="00932CFF">
        <w:rPr>
          <w:color w:val="010101"/>
          <w:szCs w:val="22"/>
        </w:rPr>
        <w:t xml:space="preserve"> must be addressed to the Commission’s Secretary, Office of the Secretary, Federal Communications Commission, 445 12</w:t>
      </w:r>
      <w:r w:rsidRPr="00F23A56" w:rsidR="00932CFF">
        <w:rPr>
          <w:color w:val="010101"/>
          <w:szCs w:val="22"/>
          <w:vertAlign w:val="superscript"/>
        </w:rPr>
        <w:t>th</w:t>
      </w:r>
      <w:r w:rsidRPr="00F23A56" w:rsidR="00932CFF">
        <w:rPr>
          <w:color w:val="010101"/>
          <w:szCs w:val="22"/>
        </w:rPr>
        <w:t xml:space="preserve"> Street, S.W., Washington, DC 20554</w:t>
      </w:r>
      <w:r w:rsidR="00932CFF">
        <w:rPr>
          <w:color w:val="010101"/>
          <w:szCs w:val="22"/>
        </w:rPr>
        <w:t>.</w:t>
      </w:r>
    </w:p>
    <w:p w:rsidR="00FE7F90" w:rsidRPr="00D14450" w:rsidP="00932CFF" w14:paraId="71F4E61D" w14:textId="77777777">
      <w:pPr>
        <w:widowControl/>
        <w:autoSpaceDE w:val="0"/>
        <w:autoSpaceDN w:val="0"/>
        <w:adjustRightInd w:val="0"/>
        <w:rPr>
          <w:snapToGrid/>
          <w:color w:val="010101"/>
          <w:kern w:val="0"/>
          <w:sz w:val="12"/>
          <w:szCs w:val="12"/>
        </w:rPr>
      </w:pPr>
    </w:p>
    <w:p w:rsidR="00B75FF1" w:rsidRPr="00B53F9E" w:rsidP="00B75FF1" w14:paraId="23224212" w14:textId="6467820C">
      <w:pPr>
        <w:widowControl/>
        <w:numPr>
          <w:ilvl w:val="0"/>
          <w:numId w:val="7"/>
        </w:numPr>
        <w:autoSpaceDE w:val="0"/>
        <w:autoSpaceDN w:val="0"/>
        <w:adjustRightInd w:val="0"/>
        <w:rPr>
          <w:snapToGrid/>
          <w:color w:val="010101"/>
          <w:kern w:val="0"/>
          <w:szCs w:val="22"/>
        </w:rPr>
      </w:pPr>
      <w:r w:rsidRPr="00B53F9E">
        <w:rPr>
          <w:snapToGrid/>
          <w:color w:val="010101"/>
          <w:kern w:val="0"/>
          <w:szCs w:val="22"/>
        </w:rPr>
        <w:t>Commercial overnight mail (other than U.S. Postal Service Express Mail and Priority</w:t>
      </w:r>
    </w:p>
    <w:p w:rsidR="00B75FF1" w:rsidRPr="00B53F9E" w:rsidP="00B75FF1" w14:paraId="744D7657" w14:textId="77777777">
      <w:pPr>
        <w:widowControl/>
        <w:autoSpaceDE w:val="0"/>
        <w:autoSpaceDN w:val="0"/>
        <w:adjustRightInd w:val="0"/>
        <w:jc w:val="both"/>
        <w:rPr>
          <w:snapToGrid/>
          <w:color w:val="010101"/>
          <w:kern w:val="0"/>
          <w:szCs w:val="22"/>
        </w:rPr>
      </w:pPr>
      <w:r w:rsidRPr="00B53F9E">
        <w:rPr>
          <w:snapToGrid/>
          <w:color w:val="010101"/>
          <w:kern w:val="0"/>
          <w:szCs w:val="22"/>
        </w:rPr>
        <w:t xml:space="preserve">Mail) must be sent to </w:t>
      </w:r>
      <w:r w:rsidRPr="00B53F9E">
        <w:rPr>
          <w:snapToGrid/>
          <w:kern w:val="0"/>
          <w:szCs w:val="22"/>
        </w:rPr>
        <w:t>9050 Junction Drive, Annapolis Junction, MD 20701</w:t>
      </w:r>
      <w:r w:rsidRPr="00B53F9E">
        <w:rPr>
          <w:snapToGrid/>
          <w:color w:val="010101"/>
          <w:kern w:val="0"/>
          <w:szCs w:val="22"/>
        </w:rPr>
        <w:t>.</w:t>
      </w:r>
    </w:p>
    <w:p w:rsidR="00B75FF1" w:rsidRPr="00D14450" w:rsidP="00B75FF1" w14:paraId="4EDC01EC" w14:textId="77777777">
      <w:pPr>
        <w:widowControl/>
        <w:autoSpaceDE w:val="0"/>
        <w:autoSpaceDN w:val="0"/>
        <w:adjustRightInd w:val="0"/>
        <w:rPr>
          <w:snapToGrid/>
          <w:color w:val="010101"/>
          <w:kern w:val="0"/>
          <w:sz w:val="12"/>
          <w:szCs w:val="12"/>
        </w:rPr>
      </w:pPr>
    </w:p>
    <w:p w:rsidR="00B75FF1" w:rsidRPr="00B53F9E" w:rsidP="00B75FF1" w14:paraId="6942AAD3" w14:textId="77777777">
      <w:pPr>
        <w:widowControl/>
        <w:autoSpaceDE w:val="0"/>
        <w:autoSpaceDN w:val="0"/>
        <w:adjustRightInd w:val="0"/>
        <w:rPr>
          <w:b/>
          <w:bCs/>
          <w:snapToGrid/>
          <w:color w:val="010101"/>
          <w:kern w:val="0"/>
          <w:szCs w:val="22"/>
        </w:rPr>
      </w:pPr>
      <w:r w:rsidRPr="00B53F9E">
        <w:rPr>
          <w:b/>
          <w:bCs/>
          <w:snapToGrid/>
          <w:color w:val="010101"/>
          <w:kern w:val="0"/>
          <w:szCs w:val="22"/>
        </w:rPr>
        <w:t>In addition, one copy of each submission must be sent to the following:</w:t>
      </w:r>
    </w:p>
    <w:p w:rsidR="00B75FF1" w:rsidRPr="00D14450" w:rsidP="00D67912" w14:paraId="153F06B2" w14:textId="77777777">
      <w:pPr>
        <w:widowControl/>
        <w:rPr>
          <w:snapToGrid/>
          <w:color w:val="010101"/>
          <w:kern w:val="0"/>
          <w:sz w:val="12"/>
          <w:szCs w:val="12"/>
        </w:rPr>
      </w:pPr>
    </w:p>
    <w:p w:rsidR="00B75FF1" w:rsidRPr="00A140E9" w:rsidP="00B75FF1" w14:paraId="2DF09C4D" w14:textId="1D8F35EA">
      <w:pPr>
        <w:widowControl/>
        <w:numPr>
          <w:ilvl w:val="0"/>
          <w:numId w:val="7"/>
        </w:numPr>
        <w:autoSpaceDE w:val="0"/>
        <w:autoSpaceDN w:val="0"/>
        <w:adjustRightInd w:val="0"/>
        <w:rPr>
          <w:snapToGrid/>
          <w:color w:val="010101"/>
          <w:kern w:val="0"/>
          <w:szCs w:val="22"/>
        </w:rPr>
      </w:pPr>
      <w:r w:rsidRPr="00B53F9E">
        <w:rPr>
          <w:snapToGrid/>
          <w:color w:val="010101"/>
          <w:kern w:val="0"/>
          <w:szCs w:val="22"/>
        </w:rPr>
        <w:t xml:space="preserve">David Roberts, Video Division, Media Bureau, Room 2-A660, e-mail </w:t>
      </w:r>
      <w:hyperlink r:id="rId6" w:history="1">
        <w:r w:rsidRPr="00B53F9E">
          <w:rPr>
            <w:snapToGrid/>
            <w:color w:val="0000FF"/>
            <w:kern w:val="0"/>
            <w:szCs w:val="22"/>
            <w:u w:val="single"/>
          </w:rPr>
          <w:t>David.Roberts@fcc.gov</w:t>
        </w:r>
      </w:hyperlink>
    </w:p>
    <w:p w:rsidR="00A140E9" w:rsidRPr="00D14450" w:rsidP="00A140E9" w14:paraId="27AFB5F3" w14:textId="77777777">
      <w:pPr>
        <w:pStyle w:val="ListParagraph"/>
        <w:rPr>
          <w:snapToGrid/>
          <w:color w:val="010101"/>
          <w:kern w:val="0"/>
          <w:sz w:val="12"/>
          <w:szCs w:val="12"/>
        </w:rPr>
      </w:pPr>
    </w:p>
    <w:p w:rsidR="00A140E9" w:rsidP="00B75FF1" w14:paraId="3CE23942" w14:textId="4DCF1CC3">
      <w:pPr>
        <w:widowControl/>
        <w:numPr>
          <w:ilvl w:val="0"/>
          <w:numId w:val="7"/>
        </w:numPr>
        <w:autoSpaceDE w:val="0"/>
        <w:autoSpaceDN w:val="0"/>
        <w:adjustRightInd w:val="0"/>
        <w:rPr>
          <w:snapToGrid/>
          <w:color w:val="010101"/>
          <w:kern w:val="0"/>
          <w:szCs w:val="22"/>
        </w:rPr>
      </w:pPr>
      <w:r>
        <w:rPr>
          <w:snapToGrid/>
          <w:color w:val="010101"/>
          <w:kern w:val="0"/>
          <w:szCs w:val="22"/>
        </w:rPr>
        <w:t xml:space="preserve">Tyler Bridegan, Video Division, Media Bureau, Room 2-A827, e-mail </w:t>
      </w:r>
      <w:hyperlink r:id="rId7" w:history="1">
        <w:r w:rsidRPr="00DB2A3E" w:rsidR="007E5D43">
          <w:rPr>
            <w:rStyle w:val="Hyperlink"/>
            <w:snapToGrid/>
            <w:kern w:val="0"/>
            <w:szCs w:val="22"/>
          </w:rPr>
          <w:t>Tyler.Bridegan@fcc.gov</w:t>
        </w:r>
      </w:hyperlink>
    </w:p>
    <w:p w:rsidR="007E5D43" w:rsidRPr="00AD4844" w:rsidP="007E5D43" w14:paraId="1AAC0062" w14:textId="77777777">
      <w:pPr>
        <w:pStyle w:val="ListParagraph"/>
        <w:rPr>
          <w:snapToGrid/>
          <w:color w:val="010101"/>
          <w:kern w:val="0"/>
          <w:sz w:val="12"/>
          <w:szCs w:val="12"/>
        </w:rPr>
      </w:pPr>
    </w:p>
    <w:p w:rsidR="00B75FF1" w:rsidRPr="00B53F9E" w:rsidP="00D14450" w14:paraId="2B7CE87A" w14:textId="38C10A78">
      <w:pPr>
        <w:widowControl/>
        <w:autoSpaceDE w:val="0"/>
        <w:autoSpaceDN w:val="0"/>
        <w:adjustRightInd w:val="0"/>
        <w:ind w:firstLine="720"/>
        <w:rPr>
          <w:snapToGrid/>
          <w:color w:val="010101"/>
          <w:kern w:val="0"/>
          <w:szCs w:val="22"/>
        </w:rPr>
      </w:pPr>
      <w:r w:rsidRPr="00B53F9E">
        <w:rPr>
          <w:snapToGrid/>
          <w:color w:val="010101"/>
          <w:kern w:val="0"/>
          <w:szCs w:val="22"/>
        </w:rPr>
        <w:t>Any submission that is e-mailed to David Roberts</w:t>
      </w:r>
      <w:r w:rsidR="00A3452F">
        <w:rPr>
          <w:snapToGrid/>
          <w:color w:val="010101"/>
          <w:kern w:val="0"/>
          <w:szCs w:val="22"/>
        </w:rPr>
        <w:t xml:space="preserve"> or Tyler Bridegan</w:t>
      </w:r>
      <w:r w:rsidRPr="00B53F9E">
        <w:rPr>
          <w:snapToGrid/>
          <w:color w:val="010101"/>
          <w:kern w:val="0"/>
          <w:szCs w:val="22"/>
        </w:rPr>
        <w:t xml:space="preserve"> should include in the subject line of the email</w:t>
      </w:r>
      <w:r w:rsidR="00A3452F">
        <w:rPr>
          <w:snapToGrid/>
          <w:color w:val="010101"/>
          <w:kern w:val="0"/>
          <w:szCs w:val="22"/>
        </w:rPr>
        <w:t>:</w:t>
      </w:r>
      <w:r w:rsidRPr="00B53F9E">
        <w:rPr>
          <w:snapToGrid/>
          <w:color w:val="010101"/>
          <w:kern w:val="0"/>
          <w:szCs w:val="22"/>
        </w:rPr>
        <w:t xml:space="preserve"> </w:t>
      </w:r>
      <w:r w:rsidR="0022147A">
        <w:rPr>
          <w:snapToGrid/>
          <w:color w:val="010101"/>
          <w:kern w:val="0"/>
          <w:szCs w:val="22"/>
        </w:rPr>
        <w:t xml:space="preserve"> </w:t>
      </w:r>
      <w:r w:rsidRPr="00B53F9E">
        <w:rPr>
          <w:snapToGrid/>
          <w:color w:val="010101"/>
          <w:kern w:val="0"/>
          <w:szCs w:val="22"/>
        </w:rPr>
        <w:t xml:space="preserve">(1) MB Docket </w:t>
      </w:r>
      <w:r w:rsidRPr="00A16BAD">
        <w:rPr>
          <w:snapToGrid/>
          <w:color w:val="010101"/>
          <w:kern w:val="0"/>
          <w:szCs w:val="22"/>
        </w:rPr>
        <w:t xml:space="preserve">No. </w:t>
      </w:r>
      <w:r w:rsidRPr="00A16BAD" w:rsidR="00793D38">
        <w:rPr>
          <w:snapToGrid/>
          <w:color w:val="010101"/>
          <w:kern w:val="0"/>
          <w:szCs w:val="22"/>
        </w:rPr>
        <w:t>20</w:t>
      </w:r>
      <w:r w:rsidRPr="00A16BAD">
        <w:rPr>
          <w:snapToGrid/>
          <w:color w:val="010101"/>
          <w:kern w:val="0"/>
          <w:szCs w:val="22"/>
        </w:rPr>
        <w:t>-</w:t>
      </w:r>
      <w:r w:rsidR="00A16BAD">
        <w:rPr>
          <w:snapToGrid/>
          <w:color w:val="010101"/>
          <w:kern w:val="0"/>
          <w:szCs w:val="22"/>
        </w:rPr>
        <w:t>122</w:t>
      </w:r>
      <w:r w:rsidRPr="00B53F9E">
        <w:rPr>
          <w:snapToGrid/>
          <w:color w:val="010101"/>
          <w:kern w:val="0"/>
          <w:szCs w:val="22"/>
        </w:rPr>
        <w:t>; (2) the name of the submitting part; (3) a brief description or title identifying the type of document being submitted (</w:t>
      </w:r>
      <w:r w:rsidRPr="00A3452F">
        <w:rPr>
          <w:iCs/>
          <w:snapToGrid/>
          <w:color w:val="010101"/>
          <w:kern w:val="0"/>
          <w:szCs w:val="22"/>
        </w:rPr>
        <w:t>e.g</w:t>
      </w:r>
      <w:r w:rsidRPr="00A3452F">
        <w:rPr>
          <w:snapToGrid/>
          <w:color w:val="010101"/>
          <w:kern w:val="0"/>
          <w:szCs w:val="22"/>
        </w:rPr>
        <w:t>.</w:t>
      </w:r>
      <w:r w:rsidRPr="00B53F9E">
        <w:rPr>
          <w:snapToGrid/>
          <w:color w:val="010101"/>
          <w:kern w:val="0"/>
          <w:szCs w:val="22"/>
        </w:rPr>
        <w:t xml:space="preserve">, MB Docket No. </w:t>
      </w:r>
      <w:r w:rsidR="00D14450">
        <w:rPr>
          <w:snapToGrid/>
          <w:color w:val="010101"/>
          <w:kern w:val="0"/>
          <w:szCs w:val="22"/>
        </w:rPr>
        <w:t>20</w:t>
      </w:r>
      <w:r w:rsidRPr="00B53F9E">
        <w:rPr>
          <w:snapToGrid/>
          <w:color w:val="010101"/>
          <w:kern w:val="0"/>
          <w:szCs w:val="22"/>
        </w:rPr>
        <w:t>-</w:t>
      </w:r>
      <w:r w:rsidR="00A16BAD">
        <w:rPr>
          <w:snapToGrid/>
          <w:color w:val="010101"/>
          <w:kern w:val="0"/>
          <w:szCs w:val="22"/>
        </w:rPr>
        <w:t>122</w:t>
      </w:r>
      <w:r w:rsidRPr="00B53F9E">
        <w:rPr>
          <w:snapToGrid/>
          <w:color w:val="010101"/>
          <w:kern w:val="0"/>
          <w:szCs w:val="22"/>
        </w:rPr>
        <w:t xml:space="preserve">, </w:t>
      </w:r>
      <w:r w:rsidR="00D14450">
        <w:rPr>
          <w:snapToGrid/>
          <w:color w:val="010101"/>
          <w:kern w:val="0"/>
          <w:szCs w:val="22"/>
        </w:rPr>
        <w:t>Univision</w:t>
      </w:r>
      <w:r w:rsidRPr="00B53F9E">
        <w:rPr>
          <w:snapToGrid/>
          <w:color w:val="010101"/>
          <w:kern w:val="0"/>
          <w:szCs w:val="22"/>
        </w:rPr>
        <w:t xml:space="preserve"> Petition for Declaratory Ruling, </w:t>
      </w:r>
      <w:r w:rsidRPr="00B53F9E">
        <w:rPr>
          <w:i/>
          <w:snapToGrid/>
          <w:color w:val="010101"/>
          <w:kern w:val="0"/>
          <w:szCs w:val="22"/>
        </w:rPr>
        <w:t>E</w:t>
      </w:r>
      <w:r w:rsidRPr="00B53F9E">
        <w:rPr>
          <w:i/>
          <w:iCs/>
          <w:snapToGrid/>
          <w:color w:val="010101"/>
          <w:kern w:val="0"/>
          <w:szCs w:val="22"/>
        </w:rPr>
        <w:t xml:space="preserve">x </w:t>
      </w:r>
      <w:r w:rsidRPr="00B53F9E">
        <w:rPr>
          <w:i/>
          <w:iCs/>
          <w:snapToGrid/>
          <w:color w:val="010101"/>
          <w:kern w:val="0"/>
          <w:szCs w:val="22"/>
        </w:rPr>
        <w:t>Parte</w:t>
      </w:r>
      <w:r w:rsidRPr="00B53F9E">
        <w:rPr>
          <w:i/>
          <w:iCs/>
          <w:snapToGrid/>
          <w:color w:val="010101"/>
          <w:kern w:val="0"/>
          <w:szCs w:val="22"/>
        </w:rPr>
        <w:t xml:space="preserve"> </w:t>
      </w:r>
      <w:r w:rsidRPr="00B53F9E">
        <w:rPr>
          <w:snapToGrid/>
          <w:color w:val="010101"/>
          <w:kern w:val="0"/>
          <w:szCs w:val="22"/>
        </w:rPr>
        <w:t>Notice).</w:t>
      </w:r>
    </w:p>
    <w:p w:rsidR="00B75FF1" w:rsidRPr="00D14450" w:rsidP="00B75FF1" w14:paraId="71EF58A0" w14:textId="77777777">
      <w:pPr>
        <w:widowControl/>
        <w:autoSpaceDE w:val="0"/>
        <w:autoSpaceDN w:val="0"/>
        <w:adjustRightInd w:val="0"/>
        <w:rPr>
          <w:snapToGrid/>
          <w:color w:val="010101"/>
          <w:kern w:val="0"/>
          <w:sz w:val="12"/>
          <w:szCs w:val="12"/>
        </w:rPr>
      </w:pPr>
    </w:p>
    <w:p w:rsidR="00B75FF1" w:rsidRPr="00B53F9E" w:rsidP="00D14450" w14:paraId="0627EDD6" w14:textId="2DA9733A">
      <w:pPr>
        <w:widowControl/>
        <w:autoSpaceDE w:val="0"/>
        <w:autoSpaceDN w:val="0"/>
        <w:adjustRightInd w:val="0"/>
        <w:ind w:firstLine="720"/>
        <w:rPr>
          <w:snapToGrid/>
          <w:color w:val="010101"/>
          <w:kern w:val="0"/>
          <w:szCs w:val="22"/>
        </w:rPr>
      </w:pPr>
      <w:r w:rsidRPr="00B53F9E">
        <w:rPr>
          <w:i/>
          <w:iCs/>
          <w:snapToGrid/>
          <w:color w:val="010101"/>
          <w:kern w:val="0"/>
          <w:szCs w:val="22"/>
        </w:rPr>
        <w:t>People with Disabilities</w:t>
      </w:r>
      <w:r w:rsidRPr="00B53F9E">
        <w:rPr>
          <w:snapToGrid/>
          <w:color w:val="010101"/>
          <w:kern w:val="0"/>
          <w:szCs w:val="22"/>
        </w:rPr>
        <w:t xml:space="preserve">.  To request materials in accessible formats for people with disabilities (braille, large print, electronic files, audio format), send an e-mail to </w:t>
      </w:r>
      <w:hyperlink r:id="rId8" w:history="1">
        <w:r w:rsidRPr="009A5DB4" w:rsidR="00D14450">
          <w:rPr>
            <w:rStyle w:val="Hyperlink"/>
            <w:snapToGrid/>
            <w:kern w:val="0"/>
            <w:szCs w:val="22"/>
          </w:rPr>
          <w:t>fcc504@fcc.gov</w:t>
        </w:r>
      </w:hyperlink>
      <w:r w:rsidRPr="00B53F9E">
        <w:rPr>
          <w:snapToGrid/>
          <w:color w:val="010101"/>
          <w:kern w:val="0"/>
          <w:szCs w:val="22"/>
        </w:rPr>
        <w:t xml:space="preserve"> or call the Consumer &amp; Governmental Affairs Bureau at (202) 418-0530 (voice), (202) 418-0432 (TTY).</w:t>
      </w:r>
    </w:p>
    <w:p w:rsidR="00B75FF1" w:rsidRPr="00D14450" w:rsidP="00B75FF1" w14:paraId="44DBDA06" w14:textId="77777777">
      <w:pPr>
        <w:widowControl/>
        <w:autoSpaceDE w:val="0"/>
        <w:autoSpaceDN w:val="0"/>
        <w:adjustRightInd w:val="0"/>
        <w:rPr>
          <w:snapToGrid/>
          <w:color w:val="010101"/>
          <w:kern w:val="0"/>
          <w:sz w:val="12"/>
          <w:szCs w:val="12"/>
        </w:rPr>
      </w:pPr>
    </w:p>
    <w:p w:rsidR="00B75FF1" w:rsidRPr="00932CFF" w:rsidP="00932CFF" w14:paraId="7DE634F6" w14:textId="63DFB062">
      <w:pPr>
        <w:widowControl/>
        <w:autoSpaceDE w:val="0"/>
        <w:autoSpaceDN w:val="0"/>
        <w:adjustRightInd w:val="0"/>
        <w:ind w:firstLine="720"/>
        <w:rPr>
          <w:snapToGrid/>
          <w:color w:val="010101"/>
          <w:kern w:val="0"/>
          <w:szCs w:val="22"/>
        </w:rPr>
      </w:pPr>
      <w:r w:rsidRPr="00B53F9E">
        <w:rPr>
          <w:i/>
          <w:iCs/>
          <w:snapToGrid/>
          <w:color w:val="010101"/>
          <w:kern w:val="0"/>
          <w:szCs w:val="22"/>
        </w:rPr>
        <w:t>Availability of Documents</w:t>
      </w:r>
      <w:r w:rsidRPr="00B53F9E">
        <w:rPr>
          <w:snapToGrid/>
          <w:color w:val="010101"/>
          <w:kern w:val="0"/>
          <w:szCs w:val="22"/>
        </w:rPr>
        <w:t xml:space="preserve">.  </w:t>
      </w:r>
      <w:r w:rsidR="00932CFF">
        <w:rPr>
          <w:color w:val="010101"/>
          <w:szCs w:val="22"/>
        </w:rPr>
        <w:t xml:space="preserve">Documents in this proceeding are available electronically through ECFS, which will provide hyperlinks to the applications in CDBS.  ECFS may be accessed on the Commission’s Internet website at </w:t>
      </w:r>
      <w:hyperlink r:id="rId9" w:history="1">
        <w:r w:rsidR="00932CFF">
          <w:rPr>
            <w:rStyle w:val="Hyperlink"/>
            <w:szCs w:val="22"/>
          </w:rPr>
          <w:t>http://www.fcc.gov</w:t>
        </w:r>
      </w:hyperlink>
      <w:r w:rsidR="00932CFF">
        <w:rPr>
          <w:color w:val="010101"/>
          <w:szCs w:val="22"/>
        </w:rPr>
        <w:t>.  Parties</w:t>
      </w:r>
      <w:r w:rsidR="00932CFF">
        <w:t xml:space="preserve"> unable to access ECFS should contact </w:t>
      </w:r>
      <w:r w:rsidR="00932CFF">
        <w:rPr>
          <w:szCs w:val="22"/>
        </w:rPr>
        <w:t xml:space="preserve">Tyler Bridegan at </w:t>
      </w:r>
      <w:hyperlink r:id="rId7" w:history="1">
        <w:r w:rsidRPr="009A5DB4" w:rsidR="00932CFF">
          <w:rPr>
            <w:rStyle w:val="Hyperlink"/>
            <w:szCs w:val="22"/>
          </w:rPr>
          <w:t>Tyler.Bridegan@fcc.gov</w:t>
        </w:r>
      </w:hyperlink>
      <w:r w:rsidR="00932CFF">
        <w:rPr>
          <w:szCs w:val="22"/>
        </w:rPr>
        <w:t>.</w:t>
      </w:r>
    </w:p>
    <w:p w:rsidR="00B75FF1" w:rsidRPr="00B53F9E" w:rsidP="00D14450" w14:paraId="7E0E25C0" w14:textId="58B63CC7">
      <w:pPr>
        <w:widowControl/>
        <w:spacing w:before="120" w:after="240"/>
        <w:ind w:firstLine="720"/>
        <w:rPr>
          <w:snapToGrid/>
          <w:kern w:val="0"/>
          <w:szCs w:val="22"/>
        </w:rPr>
      </w:pPr>
      <w:r w:rsidRPr="00B53F9E">
        <w:rPr>
          <w:snapToGrid/>
          <w:kern w:val="0"/>
          <w:szCs w:val="22"/>
        </w:rPr>
        <w:t>For further information, contact David Roberts at (202) 418-1618</w:t>
      </w:r>
      <w:r w:rsidR="00A3452F">
        <w:rPr>
          <w:snapToGrid/>
          <w:kern w:val="0"/>
          <w:szCs w:val="22"/>
        </w:rPr>
        <w:t>, or Tyler Bridegan at (202) 418-1087</w:t>
      </w:r>
      <w:r w:rsidRPr="00B53F9E">
        <w:rPr>
          <w:snapToGrid/>
          <w:kern w:val="0"/>
          <w:szCs w:val="22"/>
        </w:rPr>
        <w:t xml:space="preserve">.  For press inquiries, contact Janice Wise at (202) 418-8165.  </w:t>
      </w:r>
    </w:p>
    <w:p w:rsidR="00B75FF1" w:rsidRPr="00930ECF" w:rsidP="00B75FF1" w14:paraId="30673337" w14:textId="77777777">
      <w:pPr>
        <w:rPr>
          <w:sz w:val="24"/>
        </w:rPr>
      </w:pPr>
      <w:r w:rsidRPr="00B53F9E">
        <w:rPr>
          <w:snapToGrid/>
          <w:kern w:val="0"/>
          <w:szCs w:val="22"/>
        </w:rPr>
        <w:t xml:space="preserve">By:  Chief, Media Bureau    </w:t>
      </w:r>
    </w:p>
    <w:p w:rsidR="00B75FF1" w:rsidRPr="00930ECF" w:rsidP="00B75FF1" w14:paraId="02249C20" w14:textId="77777777">
      <w:pPr>
        <w:rPr>
          <w:sz w:val="24"/>
        </w:rPr>
      </w:pPr>
    </w:p>
    <w:p w:rsidR="000E5884" w:rsidP="00C82B6B" w14:paraId="5186349E" w14:textId="77777777">
      <w:pPr>
        <w:jc w:val="right"/>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5D175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F8982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BF4DAA3" w14:textId="77777777">
    <w:pPr>
      <w:pStyle w:val="Footer"/>
      <w:jc w:val="center"/>
    </w:pPr>
    <w:r>
      <w:fldChar w:fldCharType="begin"/>
    </w:r>
    <w:r>
      <w:instrText xml:space="preserve"> PAGE   \* MERGEFORMAT </w:instrText>
    </w:r>
    <w:r>
      <w:fldChar w:fldCharType="separate"/>
    </w:r>
    <w:r w:rsidR="00C60984">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1A7FF9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7F88" w14:paraId="59B4B2A0" w14:textId="77777777">
      <w:r>
        <w:separator/>
      </w:r>
    </w:p>
  </w:footnote>
  <w:footnote w:type="continuationSeparator" w:id="1">
    <w:p w:rsidR="00DA7F88" w14:paraId="123CC945" w14:textId="77777777">
      <w:pPr>
        <w:rPr>
          <w:sz w:val="20"/>
        </w:rPr>
      </w:pPr>
      <w:r>
        <w:rPr>
          <w:sz w:val="20"/>
        </w:rPr>
        <w:t xml:space="preserve">(Continued from previous page)  </w:t>
      </w:r>
      <w:r>
        <w:rPr>
          <w:sz w:val="20"/>
        </w:rPr>
        <w:separator/>
      </w:r>
    </w:p>
  </w:footnote>
  <w:footnote w:type="continuationNotice" w:id="2">
    <w:p w:rsidR="00DA7F88" w:rsidP="00910F12" w14:paraId="072C5865" w14:textId="77777777">
      <w:pPr>
        <w:jc w:val="right"/>
        <w:rPr>
          <w:sz w:val="20"/>
        </w:rPr>
      </w:pPr>
      <w:r>
        <w:rPr>
          <w:sz w:val="20"/>
        </w:rPr>
        <w:t>(continued….)</w:t>
      </w:r>
    </w:p>
  </w:footnote>
  <w:footnote w:id="3">
    <w:p w:rsidR="00F74B14" w:rsidRPr="00C71AD2" w:rsidP="00604473" w14:paraId="3A331F45" w14:textId="16879A79">
      <w:pPr>
        <w:pStyle w:val="FootnoteText"/>
      </w:pPr>
      <w:r w:rsidRPr="0027421A">
        <w:rPr>
          <w:rStyle w:val="FootnoteReference"/>
          <w:sz w:val="20"/>
        </w:rPr>
        <w:footnoteRef/>
      </w:r>
      <w:r w:rsidRPr="0027421A">
        <w:t xml:space="preserve"> 47 CFR § 1.5000 </w:t>
      </w:r>
      <w:r w:rsidRPr="0027421A">
        <w:rPr>
          <w:i/>
        </w:rPr>
        <w:t>et seq.</w:t>
      </w:r>
      <w:r w:rsidR="00F903AD">
        <w:rPr>
          <w:iCs/>
        </w:rPr>
        <w:t xml:space="preserve">  </w:t>
      </w:r>
      <w:bookmarkStart w:id="1" w:name="_Hlk39059382"/>
      <w:r w:rsidR="00F903AD">
        <w:rPr>
          <w:iCs/>
        </w:rPr>
        <w:t xml:space="preserve">Concurrently with the filing of the present Petition, on March 25, 2020, </w:t>
      </w:r>
      <w:r w:rsidRPr="00F903AD" w:rsidR="00F903AD">
        <w:rPr>
          <w:szCs w:val="18"/>
        </w:rPr>
        <w:t>Searchlight III UTD, L.P.</w:t>
      </w:r>
      <w:r w:rsidR="00F903AD">
        <w:rPr>
          <w:szCs w:val="18"/>
        </w:rPr>
        <w:t>,</w:t>
      </w:r>
      <w:r w:rsidRPr="00F903AD" w:rsidR="00F903AD">
        <w:rPr>
          <w:szCs w:val="18"/>
        </w:rPr>
        <w:t xml:space="preserve"> ForgeLight (United) Investors, LLC</w:t>
      </w:r>
      <w:r w:rsidR="00F903AD">
        <w:rPr>
          <w:szCs w:val="18"/>
        </w:rPr>
        <w:t>,</w:t>
      </w:r>
      <w:r w:rsidRPr="00F903AD" w:rsidR="00F903AD">
        <w:rPr>
          <w:szCs w:val="18"/>
        </w:rPr>
        <w:t xml:space="preserve"> and Grupo Televisa, S.A.B.</w:t>
      </w:r>
      <w:r w:rsidR="00F903AD">
        <w:rPr>
          <w:szCs w:val="18"/>
        </w:rPr>
        <w:t>,</w:t>
      </w:r>
      <w:r w:rsidRPr="00F903AD" w:rsidR="00F903AD">
        <w:rPr>
          <w:szCs w:val="18"/>
        </w:rPr>
        <w:t xml:space="preserve"> as the Transferees along with Madison Dearborn Partners, Providence Equity Partners, TPG, Thomas H. Lee Partners</w:t>
      </w:r>
      <w:r w:rsidR="00F903AD">
        <w:rPr>
          <w:szCs w:val="18"/>
        </w:rPr>
        <w:t>,</w:t>
      </w:r>
      <w:r w:rsidRPr="00F903AD" w:rsidR="00F903AD">
        <w:rPr>
          <w:szCs w:val="18"/>
        </w:rPr>
        <w:t xml:space="preserve"> and </w:t>
      </w:r>
      <w:r w:rsidRPr="00F903AD" w:rsidR="00F903AD">
        <w:rPr>
          <w:szCs w:val="18"/>
        </w:rPr>
        <w:t>Saban</w:t>
      </w:r>
      <w:r w:rsidRPr="00F903AD" w:rsidR="00F903AD">
        <w:rPr>
          <w:szCs w:val="18"/>
        </w:rPr>
        <w:t xml:space="preserve"> Capital Group as the Transferors (collectively, the Applicants)</w:t>
      </w:r>
      <w:r w:rsidR="00F903AD">
        <w:rPr>
          <w:szCs w:val="18"/>
        </w:rPr>
        <w:t xml:space="preserve"> filed applications with </w:t>
      </w:r>
      <w:r w:rsidRPr="00F47103" w:rsidR="00F903AD">
        <w:rPr>
          <w:szCs w:val="18"/>
        </w:rPr>
        <w:t>the Federal Communications Comm</w:t>
      </w:r>
      <w:r w:rsidR="00F903AD">
        <w:rPr>
          <w:szCs w:val="18"/>
        </w:rPr>
        <w:t>ission</w:t>
      </w:r>
      <w:r w:rsidRPr="00F47103" w:rsidR="00F903AD">
        <w:rPr>
          <w:szCs w:val="18"/>
        </w:rPr>
        <w:t xml:space="preserve"> seeking consent to</w:t>
      </w:r>
      <w:r w:rsidR="00F903AD">
        <w:rPr>
          <w:szCs w:val="18"/>
        </w:rPr>
        <w:t xml:space="preserve"> the transfer of control of broadcast </w:t>
      </w:r>
      <w:r w:rsidR="00F903AD">
        <w:rPr>
          <w:szCs w:val="22"/>
        </w:rPr>
        <w:t xml:space="preserve">radio and television station licenses held by indirect, wholly-owned subsidiaries of </w:t>
      </w:r>
      <w:r w:rsidRPr="00C75FE9" w:rsidR="00F903AD">
        <w:rPr>
          <w:szCs w:val="22"/>
        </w:rPr>
        <w:t>Univisio</w:t>
      </w:r>
      <w:bookmarkEnd w:id="1"/>
      <w:r w:rsidR="00F903AD">
        <w:rPr>
          <w:szCs w:val="22"/>
        </w:rPr>
        <w:t xml:space="preserve">n.  </w:t>
      </w:r>
      <w:r w:rsidRPr="00800EC8" w:rsidR="00F903AD">
        <w:rPr>
          <w:i/>
        </w:rPr>
        <w:t>See</w:t>
      </w:r>
      <w:r w:rsidR="00F903AD">
        <w:t xml:space="preserve"> </w:t>
      </w:r>
      <w:r>
        <w:t>Media Bureau Establishes Pleading Cycle for Applications to Transfer Control of Univision Holdings, Inc., from Shareholders of Univision Holdings, Inc., to Searchlight III UTD, L.P., ForgeLight (</w:t>
      </w:r>
      <w:r w:rsidR="00C71AD2">
        <w:t xml:space="preserve">United) Investors, LLC, and Grupo Televisa, S.A.B., and Establishes Permit-But-Disclose </w:t>
      </w:r>
      <w:r w:rsidRPr="00C71AD2" w:rsidR="00C71AD2">
        <w:rPr>
          <w:i/>
          <w:iCs/>
        </w:rPr>
        <w:t xml:space="preserve">Ex </w:t>
      </w:r>
      <w:r w:rsidRPr="00C71AD2" w:rsidR="00C71AD2">
        <w:rPr>
          <w:i/>
          <w:iCs/>
        </w:rPr>
        <w:t>Parte</w:t>
      </w:r>
      <w:r w:rsidR="00C71AD2">
        <w:t xml:space="preserve"> Status for the Proceedings, Public Notice, MB Docket No. 20-</w:t>
      </w:r>
      <w:r w:rsidR="00A16BAD">
        <w:t>122</w:t>
      </w:r>
      <w:r w:rsidR="00C71AD2">
        <w:t xml:space="preserve"> (</w:t>
      </w:r>
      <w:r w:rsidR="00B6346C">
        <w:t>rel.</w:t>
      </w:r>
      <w:r w:rsidR="004F2837">
        <w:t xml:space="preserve"> May</w:t>
      </w:r>
      <w:r w:rsidR="00B6346C">
        <w:t xml:space="preserve"> </w:t>
      </w:r>
      <w:r w:rsidR="00A16BAD">
        <w:t>5</w:t>
      </w:r>
      <w:r w:rsidR="00C71AD2">
        <w:t>, 2020).</w:t>
      </w:r>
    </w:p>
  </w:footnote>
  <w:footnote w:id="4">
    <w:p w:rsidR="00B75FF1" w:rsidRPr="0027421A" w:rsidP="00604473" w14:paraId="2DD98446" w14:textId="0C772398">
      <w:pPr>
        <w:pStyle w:val="FootnoteText"/>
      </w:pPr>
      <w:r w:rsidRPr="0027421A">
        <w:rPr>
          <w:rStyle w:val="FootnoteReference"/>
          <w:sz w:val="20"/>
        </w:rPr>
        <w:footnoteRef/>
      </w:r>
      <w:r w:rsidRPr="0027421A">
        <w:t xml:space="preserve"> </w:t>
      </w:r>
      <w:bookmarkStart w:id="2" w:name="_Hlk12438152"/>
      <w:r w:rsidRPr="0027421A">
        <w:t>47 U.S.C. § 310(b)(4)</w:t>
      </w:r>
      <w:bookmarkEnd w:id="2"/>
      <w:r w:rsidRPr="0027421A">
        <w:t xml:space="preserve"> (“No broadcast station or common carrier or aeronautical </w:t>
      </w:r>
      <w:r w:rsidRPr="0027421A">
        <w:t>en</w:t>
      </w:r>
      <w:r w:rsidRPr="0027421A">
        <w:t xml:space="preserve"> route or aeronautical fixed radio station license shall be granted to or held by</w:t>
      </w:r>
      <w:r w:rsidRPr="0027421A" w:rsidR="007579F2">
        <w:t xml:space="preserve"> . . . </w:t>
      </w:r>
      <w:r w:rsidRPr="0027421A">
        <w:t xml:space="preserve">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 </w:t>
      </w:r>
    </w:p>
  </w:footnote>
  <w:footnote w:id="5">
    <w:p w:rsidR="00175E86" w:rsidRPr="0027421A" w:rsidP="00604473" w14:paraId="6FB1B390" w14:textId="345E5F43">
      <w:pPr>
        <w:pStyle w:val="FootnoteText"/>
      </w:pPr>
      <w:r w:rsidRPr="0027421A">
        <w:rPr>
          <w:rStyle w:val="FootnoteReference"/>
          <w:sz w:val="20"/>
        </w:rPr>
        <w:footnoteRef/>
      </w:r>
      <w:r w:rsidRPr="0027421A">
        <w:t xml:space="preserve"> Under section 1.5001(</w:t>
      </w:r>
      <w:r w:rsidRPr="0027421A">
        <w:t>i</w:t>
      </w:r>
      <w:r w:rsidRPr="0027421A">
        <w:t xml:space="preserve">)(1) of the Commission’s </w:t>
      </w:r>
      <w:r w:rsidR="00165865">
        <w:t>r</w:t>
      </w:r>
      <w:r w:rsidRPr="0027421A">
        <w:t>ules</w:t>
      </w:r>
      <w:r w:rsidRPr="0027421A" w:rsidR="00E12570">
        <w:t>,</w:t>
      </w:r>
      <w:r w:rsidRPr="0027421A">
        <w:t xml:space="preserve"> petitioners for a declaratory ruling are required to identify and seek specific approval for any foreign individual, entity, or group that holds or</w:t>
      </w:r>
      <w:r w:rsidRPr="0027421A" w:rsidR="005D77B6">
        <w:t xml:space="preserve"> </w:t>
      </w:r>
      <w:r w:rsidRPr="0027421A">
        <w:t>would hold, directly and/or indirectly, more than 5% of equity and/or voting interests, or a controlling interest, in the petitioner’s controlling U.S. parent, subject to certain exemptions including an exemption that increases the specific approval threshold to 10% for certain institutional investors.  47 CFR § 1.5001(</w:t>
      </w:r>
      <w:r w:rsidRPr="0027421A">
        <w:t>i</w:t>
      </w:r>
      <w:r w:rsidRPr="0027421A">
        <w:t xml:space="preserve">)(1)(3).  </w:t>
      </w:r>
    </w:p>
  </w:footnote>
  <w:footnote w:id="6">
    <w:p w:rsidR="00B75FF1" w:rsidRPr="0027421A" w:rsidP="00604473" w14:paraId="0CB4462D" w14:textId="2C5E1060">
      <w:pPr>
        <w:pStyle w:val="FootnoteText"/>
      </w:pPr>
      <w:r w:rsidRPr="0027421A">
        <w:rPr>
          <w:rStyle w:val="FootnoteReference"/>
          <w:sz w:val="20"/>
        </w:rPr>
        <w:footnoteRef/>
      </w:r>
      <w:r w:rsidRPr="0027421A">
        <w:t xml:space="preserve"> </w:t>
      </w:r>
      <w:r w:rsidR="00D04B28">
        <w:t>In 2017, the Commission issued a declaratory ruling permitting</w:t>
      </w:r>
      <w:r w:rsidR="00B7181E">
        <w:t xml:space="preserve"> Grupo</w:t>
      </w:r>
      <w:r w:rsidR="00D04B28">
        <w:t xml:space="preserve"> Televisa</w:t>
      </w:r>
      <w:r w:rsidR="00B7181E">
        <w:t>, S.A.B. (Televisa),</w:t>
      </w:r>
      <w:r w:rsidR="00D04B28">
        <w:t xml:space="preserve"> and its affiliates to hold up to 49% of Univision’s equity and 40% of its voting interests.  </w:t>
      </w:r>
      <w:r w:rsidRPr="009C0C84" w:rsidR="00D04B28">
        <w:rPr>
          <w:i/>
          <w:iCs/>
        </w:rPr>
        <w:t>See In re Univision Holdings, Inc. and Grupo Televisa S.A.B. Petition for Declaratory Ruling</w:t>
      </w:r>
      <w:r w:rsidR="00D04B28">
        <w:t>, Declaratory Ruling, 32 FCC Rcd 6 (2017) (</w:t>
      </w:r>
      <w:r w:rsidRPr="009C0C84" w:rsidR="00D04B28">
        <w:rPr>
          <w:i/>
          <w:iCs/>
        </w:rPr>
        <w:t>2017 Declaratory Ruling</w:t>
      </w:r>
      <w:r w:rsidR="00D04B28">
        <w:t xml:space="preserve">).  In 2019, the Commission granted a request to modify the </w:t>
      </w:r>
      <w:r w:rsidRPr="00513E77" w:rsidR="00D04B28">
        <w:rPr>
          <w:i/>
          <w:iCs/>
        </w:rPr>
        <w:t>2017 Declaratory Ruling</w:t>
      </w:r>
      <w:r w:rsidR="00D04B28">
        <w:t xml:space="preserve">, which increased the permissible aggregate amount of foreign ownership of Univision to up to and including 70% of the company’s equity and voting interests.  </w:t>
      </w:r>
      <w:r w:rsidRPr="00BF4B4E" w:rsidR="00D04B28">
        <w:rPr>
          <w:i/>
          <w:iCs/>
        </w:rPr>
        <w:t>See In re Univision Holdings, Inc. and Grupo Televisa S.A.B. Petition for Declaratory Ruling</w:t>
      </w:r>
      <w:r w:rsidR="00D04B28">
        <w:t xml:space="preserve">, Declaratory Ruling, 34 FCC Rcd. 11148, 11150 </w:t>
      </w:r>
      <w:r w:rsidR="00D04B28">
        <w:t>para</w:t>
      </w:r>
      <w:r w:rsidR="00D04B28">
        <w:t>. 5 (2019) (</w:t>
      </w:r>
      <w:r w:rsidRPr="00AB2174" w:rsidR="00D04B28">
        <w:rPr>
          <w:i/>
          <w:iCs/>
        </w:rPr>
        <w:t>2019 Declaratory Ruling</w:t>
      </w:r>
      <w:r w:rsidR="00D04B28">
        <w:t>).</w:t>
      </w:r>
    </w:p>
  </w:footnote>
  <w:footnote w:id="7">
    <w:p w:rsidR="00D200CF" w:rsidP="00283508" w14:paraId="12D8604A" w14:textId="2FA6FA82">
      <w:pPr>
        <w:pStyle w:val="FootnoteText"/>
      </w:pPr>
      <w:r>
        <w:rPr>
          <w:rStyle w:val="FootnoteReference"/>
        </w:rPr>
        <w:footnoteRef/>
      </w:r>
      <w:r>
        <w:t xml:space="preserve"> Petition a</w:t>
      </w:r>
      <w:r w:rsidR="003D1722">
        <w:t>t 14-</w:t>
      </w:r>
      <w:r w:rsidR="00044E79">
        <w:t>1</w:t>
      </w:r>
      <w:r w:rsidR="003D1722">
        <w:t>5</w:t>
      </w:r>
      <w:r w:rsidR="00283508">
        <w:t xml:space="preserve">; </w:t>
      </w:r>
      <w:r w:rsidRPr="00CE01BE" w:rsidR="00283508">
        <w:rPr>
          <w:i/>
          <w:iCs/>
        </w:rPr>
        <w:t>see also Review of Foreign Ownership Policies for Broadcast, Common Carrier and Aeronautical Radio Licensees under Section 310(b)(4) of the Communications Act of 1934, as Amended</w:t>
      </w:r>
      <w:r w:rsidR="00283508">
        <w:t>, Report and Order, 31 FCC Rcd 11272, para. 11 (2016).</w:t>
      </w:r>
    </w:p>
  </w:footnote>
  <w:footnote w:id="8">
    <w:p w:rsidR="00947FD9" w:rsidP="00947FD9" w14:paraId="452D42F7" w14:textId="77132020">
      <w:pPr>
        <w:pStyle w:val="FootnoteText"/>
      </w:pPr>
      <w:r>
        <w:rPr>
          <w:rStyle w:val="FootnoteReference"/>
        </w:rPr>
        <w:footnoteRef/>
      </w:r>
      <w:r>
        <w:t xml:space="preserve"> Grupo Televisa, S.A.B. (Televisa), </w:t>
      </w:r>
      <w:r w:rsidR="00C55516">
        <w:t>would</w:t>
      </w:r>
      <w:r>
        <w:t xml:space="preserve"> retain its existing minority ownership interest in Univision.</w:t>
      </w:r>
      <w:r w:rsidR="00642972">
        <w:t xml:space="preserve"> </w:t>
      </w:r>
      <w:r w:rsidR="00496470">
        <w:rPr>
          <w:i/>
          <w:iCs/>
        </w:rPr>
        <w:t xml:space="preserve"> </w:t>
      </w:r>
      <w:r w:rsidR="00496470">
        <w:t>Petition</w:t>
      </w:r>
      <w:r w:rsidRPr="00615C5C" w:rsidR="00D200CF">
        <w:rPr>
          <w:i/>
          <w:iCs/>
        </w:rPr>
        <w:t>.</w:t>
      </w:r>
      <w:r w:rsidR="00642972">
        <w:t xml:space="preserve"> at </w:t>
      </w:r>
      <w:r w:rsidR="006327C1">
        <w:t>4.</w:t>
      </w:r>
    </w:p>
  </w:footnote>
  <w:footnote w:id="9">
    <w:p w:rsidR="00565D46" w:rsidRPr="000147AE" w:rsidP="000147AE" w14:paraId="7319C880" w14:textId="0D86E283">
      <w:pPr>
        <w:pStyle w:val="FootnoteText"/>
        <w:rPr>
          <w:szCs w:val="18"/>
        </w:rPr>
      </w:pPr>
      <w:r>
        <w:rPr>
          <w:rStyle w:val="FootnoteReference"/>
        </w:rPr>
        <w:footnoteRef/>
      </w:r>
      <w:r>
        <w:t xml:space="preserve"> </w:t>
      </w:r>
      <w:r w:rsidRPr="00BF4B4E" w:rsidR="0067061A">
        <w:rPr>
          <w:i/>
          <w:iCs/>
        </w:rPr>
        <w:t>See</w:t>
      </w:r>
      <w:r w:rsidR="0067061A">
        <w:t xml:space="preserve"> </w:t>
      </w:r>
      <w:r w:rsidRPr="00615C5C" w:rsidR="00615C5C">
        <w:rPr>
          <w:i/>
          <w:iCs/>
        </w:rPr>
        <w:t>id.</w:t>
      </w:r>
      <w:r w:rsidR="00615C5C">
        <w:t xml:space="preserve"> at</w:t>
      </w:r>
      <w:r w:rsidR="0067061A">
        <w:t xml:space="preserve"> 4.  </w:t>
      </w:r>
      <w:r w:rsidR="00947FD9">
        <w:t xml:space="preserve">Univision’s outstanding equity is currently held by Madison Dearborn Partners, Providence Equity Partners, TPG, Thomas H. Lee Partners, and </w:t>
      </w:r>
      <w:r w:rsidR="00947FD9">
        <w:t>Saban</w:t>
      </w:r>
      <w:r w:rsidR="00947FD9">
        <w:t xml:space="preserve"> Capital Group</w:t>
      </w:r>
      <w:r w:rsidR="000147AE">
        <w:t>, which c</w:t>
      </w:r>
      <w:r w:rsidR="00D72C66">
        <w:rPr>
          <w:szCs w:val="18"/>
        </w:rPr>
        <w:t xml:space="preserve">urrently hold </w:t>
      </w:r>
      <w:r w:rsidR="007A48E3">
        <w:rPr>
          <w:szCs w:val="18"/>
        </w:rPr>
        <w:t xml:space="preserve">a </w:t>
      </w:r>
      <w:r w:rsidR="00D72C66">
        <w:rPr>
          <w:szCs w:val="18"/>
        </w:rPr>
        <w:t>77.09%  voting and 82.7% equity</w:t>
      </w:r>
      <w:r w:rsidR="000147AE">
        <w:rPr>
          <w:szCs w:val="18"/>
        </w:rPr>
        <w:t xml:space="preserve"> interest</w:t>
      </w:r>
      <w:r w:rsidR="00D72C66">
        <w:rPr>
          <w:szCs w:val="18"/>
        </w:rPr>
        <w:t xml:space="preserve">.  </w:t>
      </w:r>
      <w:r w:rsidR="000147AE">
        <w:rPr>
          <w:szCs w:val="18"/>
        </w:rPr>
        <w:t xml:space="preserve">Univision’s </w:t>
      </w:r>
      <w:r w:rsidRPr="000147AE" w:rsidR="000147AE">
        <w:rPr>
          <w:szCs w:val="18"/>
        </w:rPr>
        <w:t>management</w:t>
      </w:r>
      <w:r w:rsidR="004D69BD">
        <w:rPr>
          <w:szCs w:val="18"/>
        </w:rPr>
        <w:t xml:space="preserve"> and its</w:t>
      </w:r>
      <w:r w:rsidRPr="000147AE" w:rsidR="000147AE">
        <w:rPr>
          <w:szCs w:val="18"/>
        </w:rPr>
        <w:t xml:space="preserve"> bank investors collectively represent approximately 4.3% of</w:t>
      </w:r>
      <w:r w:rsidR="000147AE">
        <w:rPr>
          <w:szCs w:val="18"/>
        </w:rPr>
        <w:t xml:space="preserve"> </w:t>
      </w:r>
      <w:r w:rsidRPr="000147AE" w:rsidR="000147AE">
        <w:rPr>
          <w:szCs w:val="18"/>
        </w:rPr>
        <w:t>Univision’s voting and 3.0% of its outstanding equity</w:t>
      </w:r>
      <w:r w:rsidR="000147AE">
        <w:rPr>
          <w:szCs w:val="18"/>
        </w:rPr>
        <w:t xml:space="preserve"> interest.</w:t>
      </w:r>
    </w:p>
  </w:footnote>
  <w:footnote w:id="10">
    <w:p w:rsidR="00615C5C" w14:paraId="1F18BA9D" w14:textId="311585BB">
      <w:pPr>
        <w:pStyle w:val="FootnoteText"/>
      </w:pPr>
      <w:r>
        <w:rPr>
          <w:rStyle w:val="FootnoteReference"/>
        </w:rPr>
        <w:footnoteRef/>
      </w:r>
      <w:r>
        <w:t xml:space="preserve"> </w:t>
      </w:r>
      <w:r w:rsidRPr="00615C5C">
        <w:rPr>
          <w:i/>
          <w:iCs/>
        </w:rPr>
        <w:t>Id.</w:t>
      </w:r>
    </w:p>
  </w:footnote>
  <w:footnote w:id="11">
    <w:p w:rsidR="00615C5C" w14:paraId="3184957E" w14:textId="418EAF79">
      <w:pPr>
        <w:pStyle w:val="FootnoteText"/>
      </w:pPr>
      <w:r>
        <w:rPr>
          <w:rStyle w:val="FootnoteReference"/>
        </w:rPr>
        <w:footnoteRef/>
      </w:r>
      <w:r>
        <w:t xml:space="preserve"> </w:t>
      </w:r>
      <w:r w:rsidRPr="00615C5C">
        <w:rPr>
          <w:i/>
          <w:iCs/>
        </w:rPr>
        <w:t>Id.</w:t>
      </w:r>
      <w:r w:rsidR="0004775A">
        <w:t xml:space="preserve">  </w:t>
      </w:r>
      <w:r w:rsidR="0075491D">
        <w:t xml:space="preserve">Univision will concurrently repurchase and cancel a portion of the </w:t>
      </w:r>
      <w:r w:rsidR="00107CF4">
        <w:t>previously issued shares equivalent to the purchase price paid by Liberty Global for its newly acquired equity interest.</w:t>
      </w:r>
    </w:p>
  </w:footnote>
  <w:footnote w:id="12">
    <w:p w:rsidR="003F46C1" w:rsidP="003F46C1" w14:paraId="306745AC" w14:textId="6AEC9AA5">
      <w:pPr>
        <w:pStyle w:val="FootnoteText"/>
      </w:pPr>
      <w:r>
        <w:rPr>
          <w:rStyle w:val="FootnoteReference"/>
        </w:rPr>
        <w:footnoteRef/>
      </w:r>
      <w:r>
        <w:t xml:space="preserve"> </w:t>
      </w:r>
      <w:r w:rsidRPr="00615C5C">
        <w:rPr>
          <w:i/>
          <w:iCs/>
        </w:rPr>
        <w:t>Id.</w:t>
      </w:r>
      <w:r>
        <w:t xml:space="preserve"> at </w:t>
      </w:r>
      <w:r w:rsidR="0067510B">
        <w:t>5</w:t>
      </w:r>
      <w:r>
        <w:t>.</w:t>
      </w:r>
    </w:p>
  </w:footnote>
  <w:footnote w:id="13">
    <w:p w:rsidR="003F46C1" w:rsidRPr="0067510B" w:rsidP="003F46C1" w14:paraId="04E89455" w14:textId="39F5D772">
      <w:pPr>
        <w:pStyle w:val="FootnoteText"/>
      </w:pPr>
      <w:r>
        <w:rPr>
          <w:rStyle w:val="FootnoteReference"/>
        </w:rPr>
        <w:footnoteRef/>
      </w:r>
      <w:r>
        <w:t xml:space="preserve"> </w:t>
      </w:r>
      <w:r w:rsidRPr="00615C5C">
        <w:rPr>
          <w:i/>
          <w:iCs/>
        </w:rPr>
        <w:t>Id.</w:t>
      </w:r>
      <w:r w:rsidR="0067510B">
        <w:t xml:space="preserve"> at 7.</w:t>
      </w:r>
    </w:p>
  </w:footnote>
  <w:footnote w:id="14">
    <w:p w:rsidR="003F46C1" w:rsidP="003F46C1" w14:paraId="698F20DF" w14:textId="77777777">
      <w:pPr>
        <w:pStyle w:val="FootnoteText"/>
      </w:pPr>
      <w:r>
        <w:rPr>
          <w:rStyle w:val="FootnoteReference"/>
        </w:rPr>
        <w:footnoteRef/>
      </w:r>
      <w:r>
        <w:t xml:space="preserve"> </w:t>
      </w:r>
      <w:r w:rsidRPr="00615C5C">
        <w:rPr>
          <w:i/>
          <w:iCs/>
        </w:rPr>
        <w:t>Id.</w:t>
      </w:r>
    </w:p>
  </w:footnote>
  <w:footnote w:id="15">
    <w:p w:rsidR="003F46C1" w:rsidP="003F46C1" w14:paraId="32ECFA5B" w14:textId="77777777">
      <w:pPr>
        <w:pStyle w:val="FootnoteText"/>
      </w:pPr>
      <w:r>
        <w:rPr>
          <w:rStyle w:val="FootnoteReference"/>
        </w:rPr>
        <w:footnoteRef/>
      </w:r>
      <w:r>
        <w:t xml:space="preserve"> </w:t>
      </w:r>
      <w:r w:rsidRPr="00615C5C">
        <w:rPr>
          <w:i/>
          <w:iCs/>
        </w:rPr>
        <w:t>Id.</w:t>
      </w:r>
    </w:p>
  </w:footnote>
  <w:footnote w:id="16">
    <w:p w:rsidR="003F46C1" w:rsidRPr="009F1641" w:rsidP="003F46C1" w14:paraId="484D4BC0" w14:textId="77777777">
      <w:pPr>
        <w:pStyle w:val="FootnoteText"/>
      </w:pPr>
      <w:r>
        <w:rPr>
          <w:rStyle w:val="FootnoteReference"/>
        </w:rPr>
        <w:footnoteRef/>
      </w:r>
      <w:r>
        <w:t xml:space="preserve"> </w:t>
      </w:r>
      <w:r w:rsidRPr="00615C5C">
        <w:rPr>
          <w:i/>
          <w:iCs/>
        </w:rPr>
        <w:t>Id.</w:t>
      </w:r>
      <w:r>
        <w:t xml:space="preserve"> at 8.</w:t>
      </w:r>
    </w:p>
  </w:footnote>
  <w:footnote w:id="17">
    <w:p w:rsidR="003F46C1" w:rsidP="003F46C1" w14:paraId="585FE4A8" w14:textId="77777777">
      <w:pPr>
        <w:pStyle w:val="FootnoteText"/>
      </w:pPr>
      <w:r>
        <w:rPr>
          <w:rStyle w:val="FootnoteReference"/>
        </w:rPr>
        <w:footnoteRef/>
      </w:r>
      <w:r>
        <w:t xml:space="preserve"> </w:t>
      </w:r>
      <w:r w:rsidRPr="00615C5C">
        <w:rPr>
          <w:i/>
          <w:iCs/>
        </w:rPr>
        <w:t>Id.</w:t>
      </w:r>
    </w:p>
  </w:footnote>
  <w:footnote w:id="18">
    <w:p w:rsidR="003F46C1" w:rsidRPr="0067510B" w:rsidP="003F46C1" w14:paraId="71D3EE0D" w14:textId="555BA6FC">
      <w:pPr>
        <w:pStyle w:val="FootnoteText"/>
      </w:pPr>
      <w:r>
        <w:rPr>
          <w:rStyle w:val="FootnoteReference"/>
        </w:rPr>
        <w:footnoteRef/>
      </w:r>
      <w:r>
        <w:t xml:space="preserve"> </w:t>
      </w:r>
      <w:r w:rsidRPr="00615C5C">
        <w:rPr>
          <w:i/>
          <w:iCs/>
        </w:rPr>
        <w:t>Id.</w:t>
      </w:r>
      <w:r w:rsidR="0067510B">
        <w:t xml:space="preserve"> at 9.</w:t>
      </w:r>
    </w:p>
  </w:footnote>
  <w:footnote w:id="19">
    <w:p w:rsidR="00A54D84" w:rsidRPr="0067510B" w14:paraId="0F63AF38" w14:textId="516BD8D8">
      <w:pPr>
        <w:pStyle w:val="FootnoteText"/>
      </w:pPr>
      <w:r>
        <w:rPr>
          <w:rStyle w:val="FootnoteReference"/>
        </w:rPr>
        <w:footnoteRef/>
      </w:r>
      <w:r>
        <w:t xml:space="preserve"> </w:t>
      </w:r>
      <w:r w:rsidRPr="00615C5C" w:rsidR="004F058D">
        <w:rPr>
          <w:i/>
          <w:iCs/>
        </w:rPr>
        <w:t>Id.</w:t>
      </w:r>
      <w:r w:rsidR="0067510B">
        <w:t xml:space="preserve"> at 5.</w:t>
      </w:r>
    </w:p>
  </w:footnote>
  <w:footnote w:id="20">
    <w:p w:rsidR="008252FF" w14:paraId="4B7ADF8F" w14:textId="631C0F73">
      <w:pPr>
        <w:pStyle w:val="FootnoteText"/>
      </w:pPr>
      <w:r>
        <w:rPr>
          <w:rStyle w:val="FootnoteReference"/>
        </w:rPr>
        <w:footnoteRef/>
      </w:r>
      <w:r>
        <w:t xml:space="preserve"> </w:t>
      </w:r>
      <w:r w:rsidRPr="00615C5C">
        <w:rPr>
          <w:i/>
          <w:iCs/>
        </w:rPr>
        <w:t>Id.</w:t>
      </w:r>
      <w:r>
        <w:t xml:space="preserve"> at </w:t>
      </w:r>
      <w:r w:rsidR="008130C8">
        <w:t>10.</w:t>
      </w:r>
    </w:p>
  </w:footnote>
  <w:footnote w:id="21">
    <w:p w:rsidR="008252FF" w14:paraId="66B4332F" w14:textId="4D744E2C">
      <w:pPr>
        <w:pStyle w:val="FootnoteText"/>
      </w:pPr>
      <w:r>
        <w:rPr>
          <w:rStyle w:val="FootnoteReference"/>
        </w:rPr>
        <w:footnoteRef/>
      </w:r>
      <w:r>
        <w:t xml:space="preserve"> </w:t>
      </w:r>
      <w:r w:rsidRPr="00615C5C">
        <w:rPr>
          <w:i/>
          <w:iCs/>
        </w:rPr>
        <w:t>Id.</w:t>
      </w:r>
    </w:p>
  </w:footnote>
  <w:footnote w:id="22">
    <w:p w:rsidR="00513AE3" w14:paraId="549D8CB1" w14:textId="376EE023">
      <w:pPr>
        <w:pStyle w:val="FootnoteText"/>
      </w:pPr>
      <w:r>
        <w:rPr>
          <w:rStyle w:val="FootnoteReference"/>
        </w:rPr>
        <w:footnoteRef/>
      </w:r>
      <w:r>
        <w:t xml:space="preserve"> </w:t>
      </w:r>
      <w:r w:rsidRPr="00615C5C">
        <w:rPr>
          <w:i/>
          <w:iCs/>
        </w:rPr>
        <w:t>Id.</w:t>
      </w:r>
    </w:p>
  </w:footnote>
  <w:footnote w:id="23">
    <w:p w:rsidR="001A3994" w14:paraId="269DC123" w14:textId="62CB2054">
      <w:pPr>
        <w:pStyle w:val="FootnoteText"/>
      </w:pPr>
      <w:r>
        <w:rPr>
          <w:rStyle w:val="FootnoteReference"/>
        </w:rPr>
        <w:footnoteRef/>
      </w:r>
      <w:r w:rsidR="000A1BC6">
        <w:rPr>
          <w:szCs w:val="18"/>
        </w:rPr>
        <w:t xml:space="preserve"> WCD Services, LLC, </w:t>
      </w:r>
      <w:r w:rsidR="00C55516">
        <w:rPr>
          <w:szCs w:val="18"/>
        </w:rPr>
        <w:t>would</w:t>
      </w:r>
      <w:r w:rsidR="000A1BC6">
        <w:rPr>
          <w:szCs w:val="18"/>
        </w:rPr>
        <w:t xml:space="preserve"> not hold an equity or voting interest in ForgeLight-United. </w:t>
      </w:r>
      <w:r>
        <w:t xml:space="preserve"> </w:t>
      </w:r>
      <w:r w:rsidRPr="00615C5C">
        <w:rPr>
          <w:i/>
          <w:iCs/>
        </w:rPr>
        <w:t>Id.</w:t>
      </w:r>
    </w:p>
  </w:footnote>
  <w:footnote w:id="24">
    <w:p w:rsidR="00585B1B" w:rsidRPr="008130C8" w14:paraId="334281D0" w14:textId="743AF34D">
      <w:pPr>
        <w:pStyle w:val="FootnoteText"/>
      </w:pPr>
      <w:r>
        <w:rPr>
          <w:rStyle w:val="FootnoteReference"/>
        </w:rPr>
        <w:footnoteRef/>
      </w:r>
      <w:r>
        <w:t xml:space="preserve"> </w:t>
      </w:r>
      <w:r>
        <w:rPr>
          <w:szCs w:val="18"/>
        </w:rPr>
        <w:t xml:space="preserve">Currently, </w:t>
      </w:r>
      <w:r w:rsidR="000943D8">
        <w:rPr>
          <w:szCs w:val="18"/>
        </w:rPr>
        <w:t>Multimedia Telecom</w:t>
      </w:r>
      <w:r>
        <w:rPr>
          <w:szCs w:val="18"/>
        </w:rPr>
        <w:t xml:space="preserve"> hold</w:t>
      </w:r>
      <w:r w:rsidR="000943D8">
        <w:rPr>
          <w:szCs w:val="18"/>
        </w:rPr>
        <w:t>s</w:t>
      </w:r>
      <w:r>
        <w:rPr>
          <w:szCs w:val="18"/>
        </w:rPr>
        <w:t xml:space="preserve"> Class C common stock representing 14.2% of Univision’s outstanding voting stock and 9.75% of its outstanding equity, </w:t>
      </w:r>
      <w:r w:rsidRPr="000943D8">
        <w:rPr>
          <w:szCs w:val="18"/>
        </w:rPr>
        <w:t>as well as warrants.</w:t>
      </w:r>
      <w:r w:rsidR="008130C8">
        <w:rPr>
          <w:szCs w:val="18"/>
        </w:rPr>
        <w:t xml:space="preserve">  </w:t>
      </w:r>
      <w:r w:rsidRPr="00615C5C" w:rsidR="008130C8">
        <w:rPr>
          <w:i/>
          <w:iCs/>
        </w:rPr>
        <w:t>Id.</w:t>
      </w:r>
      <w:r w:rsidR="008130C8">
        <w:t xml:space="preserve"> at 5.</w:t>
      </w:r>
    </w:p>
  </w:footnote>
  <w:footnote w:id="25">
    <w:p w:rsidR="00253293" w:rsidRPr="00253293" w14:paraId="333BD255" w14:textId="770D5370">
      <w:pPr>
        <w:pStyle w:val="FootnoteText"/>
      </w:pPr>
      <w:r>
        <w:rPr>
          <w:rStyle w:val="FootnoteReference"/>
        </w:rPr>
        <w:footnoteRef/>
      </w:r>
      <w:r>
        <w:t xml:space="preserve"> </w:t>
      </w:r>
      <w:r w:rsidRPr="00615C5C">
        <w:rPr>
          <w:i/>
          <w:iCs/>
        </w:rPr>
        <w:t>Id.</w:t>
      </w:r>
      <w:r>
        <w:t xml:space="preserve"> at 1</w:t>
      </w:r>
      <w:r w:rsidR="008130C8">
        <w:t>1</w:t>
      </w:r>
      <w:r w:rsidR="008F4084">
        <w:t>.</w:t>
      </w:r>
    </w:p>
  </w:footnote>
  <w:footnote w:id="26">
    <w:p w:rsidR="00253293" w14:paraId="75165F5E" w14:textId="0A569055">
      <w:pPr>
        <w:pStyle w:val="FootnoteText"/>
      </w:pPr>
      <w:r>
        <w:rPr>
          <w:rStyle w:val="FootnoteReference"/>
        </w:rPr>
        <w:footnoteRef/>
      </w:r>
      <w:r>
        <w:t xml:space="preserve"> </w:t>
      </w:r>
      <w:r w:rsidRPr="00615C5C">
        <w:rPr>
          <w:i/>
          <w:iCs/>
        </w:rPr>
        <w:t>Id.</w:t>
      </w:r>
    </w:p>
  </w:footnote>
  <w:footnote w:id="27">
    <w:p w:rsidR="001A0FEF" w14:paraId="0B5BA466" w14:textId="54CC4339">
      <w:pPr>
        <w:pStyle w:val="FootnoteText"/>
      </w:pPr>
      <w:r>
        <w:rPr>
          <w:rStyle w:val="FootnoteReference"/>
        </w:rPr>
        <w:footnoteRef/>
      </w:r>
      <w:r>
        <w:t xml:space="preserve"> </w:t>
      </w:r>
      <w:r w:rsidRPr="00615C5C" w:rsidR="008F4084">
        <w:rPr>
          <w:i/>
          <w:iCs/>
        </w:rPr>
        <w:t>Id.</w:t>
      </w:r>
    </w:p>
  </w:footnote>
  <w:footnote w:id="28">
    <w:p w:rsidR="001A0FEF" w14:paraId="67D4D65D" w14:textId="3B3BCA62">
      <w:pPr>
        <w:pStyle w:val="FootnoteText"/>
      </w:pPr>
      <w:r>
        <w:rPr>
          <w:rStyle w:val="FootnoteReference"/>
        </w:rPr>
        <w:footnoteRef/>
      </w:r>
      <w:r>
        <w:t xml:space="preserve"> </w:t>
      </w:r>
      <w:r w:rsidRPr="00615C5C" w:rsidR="008F4084">
        <w:rPr>
          <w:i/>
          <w:iCs/>
        </w:rPr>
        <w:t>Id.</w:t>
      </w:r>
    </w:p>
  </w:footnote>
  <w:footnote w:id="29">
    <w:p w:rsidR="001A0FEF" w14:paraId="2B3CDB5A" w14:textId="5A474D8E">
      <w:pPr>
        <w:pStyle w:val="FootnoteText"/>
      </w:pPr>
      <w:r>
        <w:rPr>
          <w:rStyle w:val="FootnoteReference"/>
        </w:rPr>
        <w:footnoteRef/>
      </w:r>
      <w:r>
        <w:t xml:space="preserve"> </w:t>
      </w:r>
      <w:r w:rsidRPr="001A0FEF">
        <w:t xml:space="preserve">Emilio Fernando </w:t>
      </w:r>
      <w:r w:rsidRPr="001A0FEF">
        <w:t>Azcárraga</w:t>
      </w:r>
      <w:r w:rsidRPr="001A0FEF">
        <w:t xml:space="preserve"> Jean, the Executive Chairman of the Board of Directors of Televisa and a Mexican citizen, is the Trustee and </w:t>
      </w:r>
      <w:r w:rsidR="008F4084">
        <w:t xml:space="preserve">sole </w:t>
      </w:r>
      <w:r w:rsidRPr="001A0FEF">
        <w:t xml:space="preserve">beneficiary of The </w:t>
      </w:r>
      <w:r w:rsidRPr="001A0FEF">
        <w:t>Azcárraga</w:t>
      </w:r>
      <w:r w:rsidRPr="001A0FEF">
        <w:t xml:space="preserve"> Trust, and personally holds an additional 1.84% voting interest and 0.63% equity interest in Televisa.</w:t>
      </w:r>
      <w:r w:rsidR="008F4084">
        <w:t xml:space="preserve">  </w:t>
      </w:r>
      <w:r w:rsidRPr="00615C5C" w:rsidR="008F4084">
        <w:rPr>
          <w:i/>
          <w:iCs/>
        </w:rPr>
        <w:t>Id.</w:t>
      </w:r>
    </w:p>
  </w:footnote>
  <w:footnote w:id="30">
    <w:p w:rsidR="009F1641" w14:paraId="3E6F58E9" w14:textId="098A2F6D">
      <w:pPr>
        <w:pStyle w:val="FootnoteText"/>
      </w:pPr>
      <w:r>
        <w:rPr>
          <w:rStyle w:val="FootnoteReference"/>
        </w:rPr>
        <w:footnoteRef/>
      </w:r>
      <w:r>
        <w:t xml:space="preserve"> </w:t>
      </w:r>
      <w:r w:rsidRPr="00615C5C">
        <w:rPr>
          <w:i/>
          <w:iCs/>
        </w:rPr>
        <w:t>Id.</w:t>
      </w:r>
      <w:r>
        <w:t xml:space="preserve"> at 1</w:t>
      </w:r>
      <w:r w:rsidR="008F4084">
        <w:t>1</w:t>
      </w:r>
      <w:r>
        <w:t>-1</w:t>
      </w:r>
      <w:r w:rsidR="008F4084">
        <w:t>2</w:t>
      </w:r>
      <w:r>
        <w:t>.</w:t>
      </w:r>
      <w:r w:rsidR="000C2BB5">
        <w:t xml:space="preserve">  Liberty Global </w:t>
      </w:r>
      <w:r w:rsidR="00C55516">
        <w:t>would</w:t>
      </w:r>
      <w:r w:rsidR="000C2BB5">
        <w:t xml:space="preserve"> hold non-voting convertible preferred stock, but </w:t>
      </w:r>
      <w:r w:rsidR="00C55516">
        <w:t>would</w:t>
      </w:r>
      <w:r w:rsidR="000C2BB5">
        <w:t xml:space="preserve"> not hold any voting interest in the company.</w:t>
      </w:r>
    </w:p>
  </w:footnote>
  <w:footnote w:id="31">
    <w:p w:rsidR="009F1641" w14:paraId="4BA2D542" w14:textId="6C2D953C">
      <w:pPr>
        <w:pStyle w:val="FootnoteText"/>
      </w:pPr>
      <w:r>
        <w:rPr>
          <w:rStyle w:val="FootnoteReference"/>
        </w:rPr>
        <w:footnoteRef/>
      </w:r>
      <w:r>
        <w:t xml:space="preserve"> </w:t>
      </w:r>
      <w:r w:rsidRPr="00615C5C">
        <w:rPr>
          <w:i/>
          <w:iCs/>
        </w:rPr>
        <w:t>Id.</w:t>
      </w:r>
    </w:p>
  </w:footnote>
  <w:footnote w:id="32">
    <w:p w:rsidR="00D476DE" w:rsidRPr="00722B22" w:rsidP="00D476DE" w14:paraId="795DEAB7" w14:textId="2152B001">
      <w:pPr>
        <w:pStyle w:val="FootnoteText"/>
      </w:pPr>
      <w:r>
        <w:rPr>
          <w:rStyle w:val="FootnoteReference"/>
        </w:rPr>
        <w:footnoteRef/>
      </w:r>
      <w:r>
        <w:t xml:space="preserve"> </w:t>
      </w:r>
      <w:r>
        <w:rPr>
          <w:i/>
          <w:iCs/>
        </w:rPr>
        <w:t>Id</w:t>
      </w:r>
      <w:r>
        <w:t xml:space="preserve">. </w:t>
      </w:r>
      <w:r w:rsidR="008130C8">
        <w:t>at 5.</w:t>
      </w:r>
    </w:p>
  </w:footnote>
  <w:footnote w:id="33">
    <w:p w:rsidR="00B75FF1" w:rsidRPr="0027421A" w:rsidP="00604473" w14:paraId="36317147" w14:textId="77777777">
      <w:pPr>
        <w:pStyle w:val="FootnoteText"/>
      </w:pPr>
      <w:r w:rsidRPr="0027421A">
        <w:rPr>
          <w:rStyle w:val="FootnoteReference"/>
          <w:sz w:val="20"/>
        </w:rPr>
        <w:footnoteRef/>
      </w:r>
      <w:r w:rsidRPr="0027421A">
        <w:t xml:space="preserve"> 47 CFR § 1.1200(a).</w:t>
      </w:r>
    </w:p>
  </w:footnote>
  <w:footnote w:id="34">
    <w:p w:rsidR="00B75FF1" w:rsidRPr="0027421A" w:rsidP="00604473" w14:paraId="21D379DA" w14:textId="77777777">
      <w:pPr>
        <w:pStyle w:val="FootnoteText"/>
      </w:pPr>
      <w:r w:rsidRPr="0027421A">
        <w:rPr>
          <w:rStyle w:val="FootnoteReference"/>
          <w:sz w:val="20"/>
        </w:rPr>
        <w:footnoteRef/>
      </w:r>
      <w:r w:rsidRPr="0027421A">
        <w:t xml:space="preserve"> </w:t>
      </w:r>
      <w:r w:rsidRPr="0027421A">
        <w:rPr>
          <w:i/>
        </w:rPr>
        <w:t>See</w:t>
      </w:r>
      <w:r w:rsidRPr="0027421A">
        <w:t xml:space="preserve"> </w:t>
      </w:r>
      <w:r w:rsidRPr="0027421A">
        <w:rPr>
          <w:i/>
        </w:rPr>
        <w:t>id</w:t>
      </w:r>
      <w:r w:rsidRPr="0027421A">
        <w:t>. § 1.1206.</w:t>
      </w:r>
    </w:p>
  </w:footnote>
  <w:footnote w:id="35">
    <w:p w:rsidR="00B75FF1" w:rsidRPr="0027421A" w:rsidP="00604473" w14:paraId="48F6577E" w14:textId="77777777">
      <w:pPr>
        <w:pStyle w:val="FootnoteText"/>
        <w:rPr>
          <w:i/>
          <w:iCs/>
        </w:rPr>
      </w:pPr>
      <w:r w:rsidRPr="0027421A">
        <w:rPr>
          <w:rStyle w:val="FootnoteReference"/>
          <w:sz w:val="20"/>
        </w:rPr>
        <w:footnoteRef/>
      </w:r>
      <w:r w:rsidRPr="0027421A">
        <w:t xml:space="preserve"> </w:t>
      </w:r>
      <w:r w:rsidRPr="0027421A">
        <w:rPr>
          <w:i/>
        </w:rPr>
        <w:t>Id</w:t>
      </w:r>
      <w:r w:rsidRPr="0027421A">
        <w:t xml:space="preserve">. § 1.1200 </w:t>
      </w:r>
      <w:r w:rsidRPr="0027421A">
        <w:rPr>
          <w:i/>
          <w:iCs/>
        </w:rPr>
        <w:t>et seq.</w:t>
      </w:r>
    </w:p>
  </w:footnote>
  <w:footnote w:id="36">
    <w:p w:rsidR="00B75FF1" w:rsidRPr="0027421A" w:rsidP="00604473" w14:paraId="2D875890" w14:textId="77777777">
      <w:pPr>
        <w:pStyle w:val="FootnoteText"/>
      </w:pPr>
      <w:r w:rsidRPr="0027421A">
        <w:rPr>
          <w:rStyle w:val="FootnoteReference"/>
          <w:sz w:val="20"/>
        </w:rPr>
        <w:footnoteRef/>
      </w:r>
      <w:r w:rsidRPr="0027421A">
        <w:t xml:space="preserve"> </w:t>
      </w:r>
      <w:r w:rsidRPr="0027421A">
        <w:rPr>
          <w:i/>
        </w:rPr>
        <w:t>Id</w:t>
      </w:r>
      <w:r w:rsidRPr="0027421A">
        <w:t>. § 1.1206(b)(2).</w:t>
      </w:r>
    </w:p>
  </w:footnote>
  <w:footnote w:id="37">
    <w:p w:rsidR="00B75FF1" w:rsidRPr="006030E1" w:rsidP="00604473" w14:paraId="3C5D5358" w14:textId="77777777">
      <w:pPr>
        <w:pStyle w:val="FootnoteText"/>
      </w:pPr>
      <w:r w:rsidRPr="0027421A">
        <w:rPr>
          <w:rStyle w:val="FootnoteReference"/>
          <w:sz w:val="20"/>
        </w:rPr>
        <w:footnoteRef/>
      </w:r>
      <w:r w:rsidRPr="0027421A">
        <w:t xml:space="preserve"> </w:t>
      </w:r>
      <w:r w:rsidRPr="0027421A">
        <w:rPr>
          <w:i/>
        </w:rPr>
        <w:t>See id</w:t>
      </w:r>
      <w:r w:rsidRPr="0027421A">
        <w:t>. §§ 1.46(a), 73.3584(e).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9CD2B6A" w14:textId="1627B12F">
    <w:pPr>
      <w:tabs>
        <w:tab w:val="center" w:pos="4680"/>
        <w:tab w:val="right" w:pos="9360"/>
      </w:tabs>
    </w:pPr>
    <w:r w:rsidRPr="009838BC">
      <w:rPr>
        <w:b/>
      </w:rPr>
      <w:tab/>
      <w:t>Federal Communications Commission</w:t>
    </w:r>
    <w:r w:rsidRPr="009838BC">
      <w:rPr>
        <w:b/>
      </w:rPr>
      <w:tab/>
    </w:r>
    <w:r w:rsidR="00A16BAD">
      <w:rPr>
        <w:b/>
      </w:rPr>
      <w:t>DA 20-488</w:t>
    </w:r>
  </w:p>
  <w:p w:rsidR="009838BC" w:rsidRPr="009838BC" w:rsidP="009838BC" w14:paraId="7F07706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B6FF2A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28ACF69"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AA3B9F1" w14:textId="77777777">
                    <w:pPr>
                      <w:rPr>
                        <w:rFonts w:ascii="Arial" w:hAnsi="Arial"/>
                        <w:b/>
                      </w:rPr>
                    </w:pPr>
                    <w:r>
                      <w:rPr>
                        <w:rFonts w:ascii="Arial" w:hAnsi="Arial"/>
                        <w:b/>
                      </w:rPr>
                      <w:t>Federal Communications Commission</w:t>
                    </w:r>
                  </w:p>
                  <w:p w:rsidR="009838BC" w:rsidP="009838BC" w14:paraId="46210F7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D5B3BE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56528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243CB9C"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CDC4B5C" w14:textId="77777777">
                    <w:pPr>
                      <w:spacing w:before="40"/>
                      <w:jc w:val="right"/>
                      <w:rPr>
                        <w:rFonts w:ascii="Arial" w:hAnsi="Arial"/>
                        <w:b/>
                        <w:sz w:val="16"/>
                      </w:rPr>
                    </w:pPr>
                    <w:r>
                      <w:rPr>
                        <w:rFonts w:ascii="Arial" w:hAnsi="Arial"/>
                        <w:b/>
                        <w:sz w:val="16"/>
                      </w:rPr>
                      <w:t>News Media Information 202 / 418-0500</w:t>
                    </w:r>
                  </w:p>
                  <w:p w:rsidR="009838BC" w:rsidP="009838BC" w14:paraId="5A43EBC7"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paraId="7AB905BC" w14:textId="77777777">
                    <w:pPr>
                      <w:jc w:val="right"/>
                    </w:pPr>
                    <w:r>
                      <w:rPr>
                        <w:rFonts w:ascii="Arial" w:hAnsi="Arial"/>
                        <w:b/>
                        <w:sz w:val="16"/>
                      </w:rPr>
                      <w:t>TTY: 1-888-835-5322</w:t>
                    </w:r>
                  </w:p>
                </w:txbxContent>
              </v:textbox>
            </v:shape>
          </w:pict>
        </mc:Fallback>
      </mc:AlternateContent>
    </w:r>
  </w:p>
  <w:p w:rsidR="006F7393" w:rsidRPr="009838BC" w:rsidP="009838BC" w14:paraId="4DE6D8B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175FAF"/>
    <w:multiLevelType w:val="hybridMultilevel"/>
    <w:tmpl w:val="F6525328"/>
    <w:lvl w:ilvl="0">
      <w:start w:val="1"/>
      <w:numFmt w:val="bullet"/>
      <w:lvlText w:val=""/>
      <w:lvlJc w:val="left"/>
      <w:pPr>
        <w:ind w:left="720"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E7A5C45"/>
    <w:multiLevelType w:val="hybridMultilevel"/>
    <w:tmpl w:val="1D50F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Tyler Bridegan">
    <w15:presenceInfo w15:providerId="AD" w15:userId="S::Tyler.Bridegan@fcc.gov::cc251fde-a41a-463e-a3b4-c084f82acd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F1"/>
    <w:rsid w:val="000072CE"/>
    <w:rsid w:val="00013A8B"/>
    <w:rsid w:val="000147AE"/>
    <w:rsid w:val="00017582"/>
    <w:rsid w:val="00021445"/>
    <w:rsid w:val="00022340"/>
    <w:rsid w:val="00036039"/>
    <w:rsid w:val="00037F90"/>
    <w:rsid w:val="00044E79"/>
    <w:rsid w:val="0004775A"/>
    <w:rsid w:val="00076D55"/>
    <w:rsid w:val="00081F5F"/>
    <w:rsid w:val="00085D27"/>
    <w:rsid w:val="00086FDA"/>
    <w:rsid w:val="000875BF"/>
    <w:rsid w:val="000940C8"/>
    <w:rsid w:val="000943D8"/>
    <w:rsid w:val="00096D8C"/>
    <w:rsid w:val="00097260"/>
    <w:rsid w:val="000A1BC6"/>
    <w:rsid w:val="000A7467"/>
    <w:rsid w:val="000B4514"/>
    <w:rsid w:val="000C0B65"/>
    <w:rsid w:val="000C2BB5"/>
    <w:rsid w:val="000E061E"/>
    <w:rsid w:val="000E1A31"/>
    <w:rsid w:val="000E3D42"/>
    <w:rsid w:val="000E5884"/>
    <w:rsid w:val="00101398"/>
    <w:rsid w:val="00102FF2"/>
    <w:rsid w:val="00107CF4"/>
    <w:rsid w:val="00113161"/>
    <w:rsid w:val="00117EC4"/>
    <w:rsid w:val="001220C3"/>
    <w:rsid w:val="00122BD5"/>
    <w:rsid w:val="00131F5A"/>
    <w:rsid w:val="00132E8C"/>
    <w:rsid w:val="00135F45"/>
    <w:rsid w:val="00137A82"/>
    <w:rsid w:val="00150690"/>
    <w:rsid w:val="001632CD"/>
    <w:rsid w:val="00165865"/>
    <w:rsid w:val="00166243"/>
    <w:rsid w:val="00174FCA"/>
    <w:rsid w:val="00175E86"/>
    <w:rsid w:val="001814F7"/>
    <w:rsid w:val="00186EB9"/>
    <w:rsid w:val="001935A8"/>
    <w:rsid w:val="0019710E"/>
    <w:rsid w:val="001979D9"/>
    <w:rsid w:val="001A0FEF"/>
    <w:rsid w:val="001A3994"/>
    <w:rsid w:val="001C6AFE"/>
    <w:rsid w:val="001D0CC1"/>
    <w:rsid w:val="001D58E0"/>
    <w:rsid w:val="001D665F"/>
    <w:rsid w:val="001D6BCF"/>
    <w:rsid w:val="001E01CA"/>
    <w:rsid w:val="001F5F99"/>
    <w:rsid w:val="001F61E5"/>
    <w:rsid w:val="002060D9"/>
    <w:rsid w:val="00220B8A"/>
    <w:rsid w:val="0022147A"/>
    <w:rsid w:val="00226822"/>
    <w:rsid w:val="002317C9"/>
    <w:rsid w:val="002320C2"/>
    <w:rsid w:val="00242224"/>
    <w:rsid w:val="00247150"/>
    <w:rsid w:val="00253293"/>
    <w:rsid w:val="00255D8C"/>
    <w:rsid w:val="00260594"/>
    <w:rsid w:val="00267938"/>
    <w:rsid w:val="0027421A"/>
    <w:rsid w:val="00283508"/>
    <w:rsid w:val="00285017"/>
    <w:rsid w:val="002974DE"/>
    <w:rsid w:val="002A2D2E"/>
    <w:rsid w:val="002F1472"/>
    <w:rsid w:val="002F74DD"/>
    <w:rsid w:val="00306FDF"/>
    <w:rsid w:val="003103AB"/>
    <w:rsid w:val="0033461F"/>
    <w:rsid w:val="00343749"/>
    <w:rsid w:val="00344B38"/>
    <w:rsid w:val="00347BC8"/>
    <w:rsid w:val="00357D50"/>
    <w:rsid w:val="00364AFF"/>
    <w:rsid w:val="003746A0"/>
    <w:rsid w:val="00383756"/>
    <w:rsid w:val="003925DC"/>
    <w:rsid w:val="003A2268"/>
    <w:rsid w:val="003A2491"/>
    <w:rsid w:val="003A62EF"/>
    <w:rsid w:val="003B0550"/>
    <w:rsid w:val="003B694F"/>
    <w:rsid w:val="003C197C"/>
    <w:rsid w:val="003C1A18"/>
    <w:rsid w:val="003D1722"/>
    <w:rsid w:val="003E6319"/>
    <w:rsid w:val="003E6F69"/>
    <w:rsid w:val="003F171C"/>
    <w:rsid w:val="003F4243"/>
    <w:rsid w:val="003F46C1"/>
    <w:rsid w:val="003F64F6"/>
    <w:rsid w:val="004063F3"/>
    <w:rsid w:val="00412FC5"/>
    <w:rsid w:val="00422276"/>
    <w:rsid w:val="004242F1"/>
    <w:rsid w:val="00430F63"/>
    <w:rsid w:val="004400E0"/>
    <w:rsid w:val="00445A00"/>
    <w:rsid w:val="00451B0F"/>
    <w:rsid w:val="00456291"/>
    <w:rsid w:val="0046125F"/>
    <w:rsid w:val="0046760A"/>
    <w:rsid w:val="0048238A"/>
    <w:rsid w:val="00483139"/>
    <w:rsid w:val="00487524"/>
    <w:rsid w:val="0049313F"/>
    <w:rsid w:val="00494C08"/>
    <w:rsid w:val="00496106"/>
    <w:rsid w:val="00496470"/>
    <w:rsid w:val="004A3FFD"/>
    <w:rsid w:val="004C12D0"/>
    <w:rsid w:val="004C2EE3"/>
    <w:rsid w:val="004D20DC"/>
    <w:rsid w:val="004D69BD"/>
    <w:rsid w:val="004E3CC5"/>
    <w:rsid w:val="004E4A22"/>
    <w:rsid w:val="004F058D"/>
    <w:rsid w:val="004F0E4E"/>
    <w:rsid w:val="004F2837"/>
    <w:rsid w:val="00511968"/>
    <w:rsid w:val="00513AE3"/>
    <w:rsid w:val="00513E77"/>
    <w:rsid w:val="00516081"/>
    <w:rsid w:val="0052582A"/>
    <w:rsid w:val="00532F14"/>
    <w:rsid w:val="00541803"/>
    <w:rsid w:val="0055614C"/>
    <w:rsid w:val="00557ADB"/>
    <w:rsid w:val="00565D46"/>
    <w:rsid w:val="00566B04"/>
    <w:rsid w:val="00575AEA"/>
    <w:rsid w:val="00576FA0"/>
    <w:rsid w:val="00585B1B"/>
    <w:rsid w:val="00587FCE"/>
    <w:rsid w:val="005B0C2F"/>
    <w:rsid w:val="005C14DC"/>
    <w:rsid w:val="005D4BCD"/>
    <w:rsid w:val="005D77B6"/>
    <w:rsid w:val="005F492D"/>
    <w:rsid w:val="00600B12"/>
    <w:rsid w:val="006030E1"/>
    <w:rsid w:val="00604473"/>
    <w:rsid w:val="00606FB1"/>
    <w:rsid w:val="00607BA5"/>
    <w:rsid w:val="0061124B"/>
    <w:rsid w:val="006119BB"/>
    <w:rsid w:val="00615C5C"/>
    <w:rsid w:val="00626EB6"/>
    <w:rsid w:val="00631D26"/>
    <w:rsid w:val="006327C1"/>
    <w:rsid w:val="006353A3"/>
    <w:rsid w:val="00642972"/>
    <w:rsid w:val="00655D03"/>
    <w:rsid w:val="00657155"/>
    <w:rsid w:val="00657937"/>
    <w:rsid w:val="006674C5"/>
    <w:rsid w:val="0067061A"/>
    <w:rsid w:val="0067510B"/>
    <w:rsid w:val="006818BD"/>
    <w:rsid w:val="00683F84"/>
    <w:rsid w:val="006A6A81"/>
    <w:rsid w:val="006B0F4E"/>
    <w:rsid w:val="006B1F27"/>
    <w:rsid w:val="006B38DD"/>
    <w:rsid w:val="006C07D1"/>
    <w:rsid w:val="006C4472"/>
    <w:rsid w:val="006D3508"/>
    <w:rsid w:val="006E05BE"/>
    <w:rsid w:val="006E26AF"/>
    <w:rsid w:val="006F613A"/>
    <w:rsid w:val="006F7393"/>
    <w:rsid w:val="007003E6"/>
    <w:rsid w:val="0070224F"/>
    <w:rsid w:val="007029F2"/>
    <w:rsid w:val="00702D28"/>
    <w:rsid w:val="007115F7"/>
    <w:rsid w:val="00720E0A"/>
    <w:rsid w:val="00722B22"/>
    <w:rsid w:val="00744A62"/>
    <w:rsid w:val="00750742"/>
    <w:rsid w:val="0075491D"/>
    <w:rsid w:val="007579F2"/>
    <w:rsid w:val="007608CF"/>
    <w:rsid w:val="00760BC3"/>
    <w:rsid w:val="00772D55"/>
    <w:rsid w:val="00780A84"/>
    <w:rsid w:val="00783C81"/>
    <w:rsid w:val="0078505B"/>
    <w:rsid w:val="00785689"/>
    <w:rsid w:val="00785BF6"/>
    <w:rsid w:val="00793D38"/>
    <w:rsid w:val="0079754B"/>
    <w:rsid w:val="007A1E6D"/>
    <w:rsid w:val="007A48E3"/>
    <w:rsid w:val="007E4927"/>
    <w:rsid w:val="007E5094"/>
    <w:rsid w:val="007E5D43"/>
    <w:rsid w:val="00800EC8"/>
    <w:rsid w:val="008130C8"/>
    <w:rsid w:val="00815A01"/>
    <w:rsid w:val="008173C3"/>
    <w:rsid w:val="00822CE0"/>
    <w:rsid w:val="008252FF"/>
    <w:rsid w:val="00833F4D"/>
    <w:rsid w:val="00834208"/>
    <w:rsid w:val="008342BE"/>
    <w:rsid w:val="00837C62"/>
    <w:rsid w:val="00841AB1"/>
    <w:rsid w:val="0084455B"/>
    <w:rsid w:val="008558C9"/>
    <w:rsid w:val="00855C06"/>
    <w:rsid w:val="00874318"/>
    <w:rsid w:val="00880A91"/>
    <w:rsid w:val="00883152"/>
    <w:rsid w:val="00893BB4"/>
    <w:rsid w:val="00897C06"/>
    <w:rsid w:val="008A42A9"/>
    <w:rsid w:val="008B09FC"/>
    <w:rsid w:val="008B1CBF"/>
    <w:rsid w:val="008B7CAE"/>
    <w:rsid w:val="008C0C5C"/>
    <w:rsid w:val="008C127F"/>
    <w:rsid w:val="008C22FD"/>
    <w:rsid w:val="008C24EF"/>
    <w:rsid w:val="008D087F"/>
    <w:rsid w:val="008F4084"/>
    <w:rsid w:val="008F4D14"/>
    <w:rsid w:val="00910030"/>
    <w:rsid w:val="00910F12"/>
    <w:rsid w:val="00917BBA"/>
    <w:rsid w:val="00926503"/>
    <w:rsid w:val="00930ECF"/>
    <w:rsid w:val="0093288A"/>
    <w:rsid w:val="00932CFF"/>
    <w:rsid w:val="00947FD9"/>
    <w:rsid w:val="00963CE2"/>
    <w:rsid w:val="00966CF7"/>
    <w:rsid w:val="009717C1"/>
    <w:rsid w:val="009723FC"/>
    <w:rsid w:val="00973B35"/>
    <w:rsid w:val="009838BC"/>
    <w:rsid w:val="00992656"/>
    <w:rsid w:val="009A1F69"/>
    <w:rsid w:val="009A5DB4"/>
    <w:rsid w:val="009B5248"/>
    <w:rsid w:val="009B5B8E"/>
    <w:rsid w:val="009C0C84"/>
    <w:rsid w:val="009C2691"/>
    <w:rsid w:val="009D40D9"/>
    <w:rsid w:val="009D6286"/>
    <w:rsid w:val="009E174F"/>
    <w:rsid w:val="009E1B86"/>
    <w:rsid w:val="009F1641"/>
    <w:rsid w:val="009F435D"/>
    <w:rsid w:val="00A03BC8"/>
    <w:rsid w:val="00A1355D"/>
    <w:rsid w:val="00A140E9"/>
    <w:rsid w:val="00A168EB"/>
    <w:rsid w:val="00A16BAD"/>
    <w:rsid w:val="00A218B8"/>
    <w:rsid w:val="00A26AFF"/>
    <w:rsid w:val="00A3049F"/>
    <w:rsid w:val="00A3428B"/>
    <w:rsid w:val="00A3452F"/>
    <w:rsid w:val="00A45F4F"/>
    <w:rsid w:val="00A47520"/>
    <w:rsid w:val="00A53A3A"/>
    <w:rsid w:val="00A54D84"/>
    <w:rsid w:val="00A600A9"/>
    <w:rsid w:val="00A866AC"/>
    <w:rsid w:val="00A87F27"/>
    <w:rsid w:val="00A90979"/>
    <w:rsid w:val="00A93D84"/>
    <w:rsid w:val="00A95A77"/>
    <w:rsid w:val="00AA55B7"/>
    <w:rsid w:val="00AA5B9E"/>
    <w:rsid w:val="00AB2174"/>
    <w:rsid w:val="00AB2407"/>
    <w:rsid w:val="00AB53DF"/>
    <w:rsid w:val="00AB6D50"/>
    <w:rsid w:val="00AC0701"/>
    <w:rsid w:val="00AD4844"/>
    <w:rsid w:val="00AE10A2"/>
    <w:rsid w:val="00AE689C"/>
    <w:rsid w:val="00AF0C46"/>
    <w:rsid w:val="00AF1EAA"/>
    <w:rsid w:val="00AF2F2E"/>
    <w:rsid w:val="00AF3F1E"/>
    <w:rsid w:val="00AF58B1"/>
    <w:rsid w:val="00B0025C"/>
    <w:rsid w:val="00B036CA"/>
    <w:rsid w:val="00B0728E"/>
    <w:rsid w:val="00B07C4D"/>
    <w:rsid w:val="00B07E5C"/>
    <w:rsid w:val="00B14245"/>
    <w:rsid w:val="00B1696A"/>
    <w:rsid w:val="00B20363"/>
    <w:rsid w:val="00B326E3"/>
    <w:rsid w:val="00B40077"/>
    <w:rsid w:val="00B51BB8"/>
    <w:rsid w:val="00B53F9E"/>
    <w:rsid w:val="00B54233"/>
    <w:rsid w:val="00B6346C"/>
    <w:rsid w:val="00B7181E"/>
    <w:rsid w:val="00B75FF1"/>
    <w:rsid w:val="00B80D20"/>
    <w:rsid w:val="00B811F7"/>
    <w:rsid w:val="00B86C57"/>
    <w:rsid w:val="00BA4FCB"/>
    <w:rsid w:val="00BA5DC6"/>
    <w:rsid w:val="00BA6196"/>
    <w:rsid w:val="00BC03DF"/>
    <w:rsid w:val="00BC0409"/>
    <w:rsid w:val="00BC446C"/>
    <w:rsid w:val="00BC6D8C"/>
    <w:rsid w:val="00BE519F"/>
    <w:rsid w:val="00BE7959"/>
    <w:rsid w:val="00BF4B4E"/>
    <w:rsid w:val="00C16AF2"/>
    <w:rsid w:val="00C211C6"/>
    <w:rsid w:val="00C231AD"/>
    <w:rsid w:val="00C334F8"/>
    <w:rsid w:val="00C34006"/>
    <w:rsid w:val="00C40A75"/>
    <w:rsid w:val="00C40E93"/>
    <w:rsid w:val="00C425C6"/>
    <w:rsid w:val="00C426B1"/>
    <w:rsid w:val="00C4464A"/>
    <w:rsid w:val="00C51EF6"/>
    <w:rsid w:val="00C55516"/>
    <w:rsid w:val="00C60984"/>
    <w:rsid w:val="00C6266E"/>
    <w:rsid w:val="00C71AD2"/>
    <w:rsid w:val="00C75FE9"/>
    <w:rsid w:val="00C802A0"/>
    <w:rsid w:val="00C825A3"/>
    <w:rsid w:val="00C82B6B"/>
    <w:rsid w:val="00C868B8"/>
    <w:rsid w:val="00C90D6A"/>
    <w:rsid w:val="00C91248"/>
    <w:rsid w:val="00C9347E"/>
    <w:rsid w:val="00C94161"/>
    <w:rsid w:val="00CA7C0E"/>
    <w:rsid w:val="00CB34D1"/>
    <w:rsid w:val="00CC09B7"/>
    <w:rsid w:val="00CC61F2"/>
    <w:rsid w:val="00CC72B6"/>
    <w:rsid w:val="00CD0723"/>
    <w:rsid w:val="00CD0B87"/>
    <w:rsid w:val="00CD1773"/>
    <w:rsid w:val="00CD30CD"/>
    <w:rsid w:val="00CE01BE"/>
    <w:rsid w:val="00CF24E9"/>
    <w:rsid w:val="00CF449F"/>
    <w:rsid w:val="00D0218D"/>
    <w:rsid w:val="00D04B28"/>
    <w:rsid w:val="00D14450"/>
    <w:rsid w:val="00D200CF"/>
    <w:rsid w:val="00D216CD"/>
    <w:rsid w:val="00D21AAF"/>
    <w:rsid w:val="00D22F39"/>
    <w:rsid w:val="00D32F3B"/>
    <w:rsid w:val="00D476DE"/>
    <w:rsid w:val="00D47B31"/>
    <w:rsid w:val="00D56DD9"/>
    <w:rsid w:val="00D67912"/>
    <w:rsid w:val="00D7282D"/>
    <w:rsid w:val="00D72C66"/>
    <w:rsid w:val="00D77785"/>
    <w:rsid w:val="00D81D20"/>
    <w:rsid w:val="00D8250F"/>
    <w:rsid w:val="00D905DA"/>
    <w:rsid w:val="00DA2529"/>
    <w:rsid w:val="00DA7F88"/>
    <w:rsid w:val="00DB130A"/>
    <w:rsid w:val="00DB2A3E"/>
    <w:rsid w:val="00DB4A28"/>
    <w:rsid w:val="00DC10A1"/>
    <w:rsid w:val="00DC2CAE"/>
    <w:rsid w:val="00DC655F"/>
    <w:rsid w:val="00DD7EBD"/>
    <w:rsid w:val="00DF62B6"/>
    <w:rsid w:val="00E0276E"/>
    <w:rsid w:val="00E07225"/>
    <w:rsid w:val="00E12570"/>
    <w:rsid w:val="00E1526F"/>
    <w:rsid w:val="00E155B7"/>
    <w:rsid w:val="00E248ED"/>
    <w:rsid w:val="00E32308"/>
    <w:rsid w:val="00E464AE"/>
    <w:rsid w:val="00E53878"/>
    <w:rsid w:val="00E5409F"/>
    <w:rsid w:val="00E77051"/>
    <w:rsid w:val="00E83CB4"/>
    <w:rsid w:val="00EB4596"/>
    <w:rsid w:val="00EB5A8F"/>
    <w:rsid w:val="00EB6659"/>
    <w:rsid w:val="00EC0185"/>
    <w:rsid w:val="00EC2124"/>
    <w:rsid w:val="00EC74C8"/>
    <w:rsid w:val="00ED1832"/>
    <w:rsid w:val="00F00956"/>
    <w:rsid w:val="00F021FA"/>
    <w:rsid w:val="00F1278D"/>
    <w:rsid w:val="00F23A56"/>
    <w:rsid w:val="00F2696D"/>
    <w:rsid w:val="00F31A6C"/>
    <w:rsid w:val="00F47103"/>
    <w:rsid w:val="00F51FD2"/>
    <w:rsid w:val="00F54ABF"/>
    <w:rsid w:val="00F57ACA"/>
    <w:rsid w:val="00F61EF1"/>
    <w:rsid w:val="00F6247B"/>
    <w:rsid w:val="00F62E97"/>
    <w:rsid w:val="00F64209"/>
    <w:rsid w:val="00F747D6"/>
    <w:rsid w:val="00F74B14"/>
    <w:rsid w:val="00F805BF"/>
    <w:rsid w:val="00F832A7"/>
    <w:rsid w:val="00F903AD"/>
    <w:rsid w:val="00F93BF5"/>
    <w:rsid w:val="00F96F63"/>
    <w:rsid w:val="00FA66DB"/>
    <w:rsid w:val="00FB3FAA"/>
    <w:rsid w:val="00FB7812"/>
    <w:rsid w:val="00FC1D32"/>
    <w:rsid w:val="00FD6F21"/>
    <w:rsid w:val="00FE7F90"/>
    <w:rsid w:val="00FF08AD"/>
    <w:rsid w:val="00FF0940"/>
    <w:rsid w:val="00FF6E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FA0EC00-C3BD-4E7F-8882-E2A5F1E2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1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basedOn w:val="DefaultParagraphFont"/>
    <w:uiPriority w:val="99"/>
    <w:semiHidden/>
    <w:unhideWhenUsed/>
    <w:rsid w:val="00CD0B87"/>
    <w:rPr>
      <w:sz w:val="16"/>
      <w:szCs w:val="16"/>
    </w:rPr>
  </w:style>
  <w:style w:type="paragraph" w:styleId="CommentText">
    <w:name w:val="annotation text"/>
    <w:basedOn w:val="Normal"/>
    <w:link w:val="CommentTextChar"/>
    <w:uiPriority w:val="99"/>
    <w:unhideWhenUsed/>
    <w:rsid w:val="00CD0B87"/>
    <w:rPr>
      <w:sz w:val="20"/>
    </w:rPr>
  </w:style>
  <w:style w:type="character" w:customStyle="1" w:styleId="CommentTextChar">
    <w:name w:val="Comment Text Char"/>
    <w:basedOn w:val="DefaultParagraphFont"/>
    <w:link w:val="CommentText"/>
    <w:uiPriority w:val="99"/>
    <w:rsid w:val="00CD0B87"/>
    <w:rPr>
      <w:snapToGrid w:val="0"/>
      <w:kern w:val="28"/>
    </w:rPr>
  </w:style>
  <w:style w:type="paragraph" w:styleId="CommentSubject">
    <w:name w:val="annotation subject"/>
    <w:basedOn w:val="CommentText"/>
    <w:next w:val="CommentText"/>
    <w:link w:val="CommentSubjectChar"/>
    <w:uiPriority w:val="99"/>
    <w:semiHidden/>
    <w:unhideWhenUsed/>
    <w:rsid w:val="00CD0B87"/>
    <w:rPr>
      <w:b/>
      <w:bCs/>
    </w:rPr>
  </w:style>
  <w:style w:type="character" w:customStyle="1" w:styleId="CommentSubjectChar">
    <w:name w:val="Comment Subject Char"/>
    <w:basedOn w:val="CommentTextChar"/>
    <w:link w:val="CommentSubject"/>
    <w:uiPriority w:val="99"/>
    <w:semiHidden/>
    <w:rsid w:val="00CD0B87"/>
    <w:rPr>
      <w:b/>
      <w:bCs/>
      <w:snapToGrid w:val="0"/>
      <w:kern w:val="28"/>
    </w:rPr>
  </w:style>
  <w:style w:type="paragraph" w:styleId="BalloonText">
    <w:name w:val="Balloon Text"/>
    <w:basedOn w:val="Normal"/>
    <w:link w:val="BalloonTextChar"/>
    <w:uiPriority w:val="99"/>
    <w:semiHidden/>
    <w:unhideWhenUsed/>
    <w:rsid w:val="00CD0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87"/>
    <w:rPr>
      <w:rFonts w:ascii="Segoe UI" w:hAnsi="Segoe UI" w:cs="Segoe UI"/>
      <w:snapToGrid w:val="0"/>
      <w:kern w:val="28"/>
      <w:sz w:val="18"/>
      <w:szCs w:val="18"/>
    </w:rPr>
  </w:style>
  <w:style w:type="paragraph" w:styleId="ListParagraph">
    <w:name w:val="List Paragraph"/>
    <w:basedOn w:val="Normal"/>
    <w:uiPriority w:val="34"/>
    <w:qFormat/>
    <w:rsid w:val="00A140E9"/>
    <w:pPr>
      <w:ind w:left="720"/>
      <w:contextualSpacing/>
    </w:pPr>
  </w:style>
  <w:style w:type="character" w:customStyle="1" w:styleId="UnresolvedMention1">
    <w:name w:val="Unresolved Mention1"/>
    <w:basedOn w:val="DefaultParagraphFont"/>
    <w:uiPriority w:val="99"/>
    <w:semiHidden/>
    <w:unhideWhenUsed/>
    <w:rsid w:val="007E5D43"/>
    <w:rPr>
      <w:color w:val="605E5C"/>
      <w:shd w:val="clear" w:color="auto" w:fill="E1DFDD"/>
    </w:rPr>
  </w:style>
  <w:style w:type="character" w:customStyle="1" w:styleId="UnresolvedMention">
    <w:name w:val="Unresolved Mention"/>
    <w:basedOn w:val="DefaultParagraphFont"/>
    <w:uiPriority w:val="99"/>
    <w:semiHidden/>
    <w:unhideWhenUsed/>
    <w:rsid w:val="00A3452F"/>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D4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David.Roberts@fcc.gov" TargetMode="External" /><Relationship Id="rId7" Type="http://schemas.openxmlformats.org/officeDocument/2006/relationships/hyperlink" Target="mailto:Tyler.Bridegan@fcc.gov" TargetMode="External" /><Relationship Id="rId8" Type="http://schemas.openxmlformats.org/officeDocument/2006/relationships/hyperlink" Target="mailto:fcc504@fcc.gov" TargetMode="External" /><Relationship Id="rId9" Type="http://schemas.openxmlformats.org/officeDocument/2006/relationships/hyperlink" Target="http://www.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