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46318" w:rsidP="00913DF1" w14:paraId="01729A4E" w14:textId="77777777">
      <w:pPr>
        <w:tabs>
          <w:tab w:val="left" w:pos="7920"/>
          <w:tab w:val="right" w:pos="9360"/>
        </w:tabs>
        <w:rPr>
          <w:b/>
          <w:color w:val="000000" w:themeColor="text1"/>
          <w:szCs w:val="22"/>
        </w:rPr>
      </w:pPr>
      <w:r w:rsidRPr="00794F29">
        <w:rPr>
          <w:b/>
          <w:color w:val="000000" w:themeColor="text1"/>
          <w:szCs w:val="22"/>
        </w:rPr>
        <w:tab/>
      </w:r>
      <w:r w:rsidRPr="00794F29">
        <w:rPr>
          <w:b/>
          <w:color w:val="000000" w:themeColor="text1"/>
          <w:szCs w:val="22"/>
        </w:rPr>
        <w:tab/>
      </w:r>
    </w:p>
    <w:p w:rsidR="00013A8B" w:rsidRPr="00794F29" w:rsidP="00913DF1" w14:paraId="14EC1C95" w14:textId="41ADBDF6">
      <w:pPr>
        <w:tabs>
          <w:tab w:val="left" w:pos="7920"/>
          <w:tab w:val="right" w:pos="9360"/>
        </w:tabs>
        <w:rPr>
          <w:b/>
          <w:color w:val="000000" w:themeColor="text1"/>
          <w:szCs w:val="22"/>
        </w:rPr>
      </w:pPr>
      <w:r>
        <w:rPr>
          <w:b/>
          <w:color w:val="000000" w:themeColor="text1"/>
          <w:szCs w:val="22"/>
        </w:rPr>
        <w:tab/>
      </w:r>
      <w:r>
        <w:rPr>
          <w:b/>
          <w:color w:val="000000" w:themeColor="text1"/>
          <w:szCs w:val="22"/>
        </w:rPr>
        <w:tab/>
      </w:r>
      <w:r w:rsidRPr="00794F29" w:rsidR="00031D2D">
        <w:rPr>
          <w:b/>
          <w:color w:val="000000" w:themeColor="text1"/>
          <w:szCs w:val="22"/>
        </w:rPr>
        <w:t xml:space="preserve">DA </w:t>
      </w:r>
      <w:bookmarkStart w:id="0" w:name="_Hlk39745838"/>
      <w:r w:rsidRPr="00794F29" w:rsidR="00292F35">
        <w:rPr>
          <w:b/>
          <w:color w:val="000000" w:themeColor="text1"/>
          <w:szCs w:val="22"/>
        </w:rPr>
        <w:t>20</w:t>
      </w:r>
      <w:r w:rsidRPr="00794F29" w:rsidR="00031D2D">
        <w:rPr>
          <w:b/>
          <w:color w:val="000000" w:themeColor="text1"/>
          <w:szCs w:val="22"/>
        </w:rPr>
        <w:t>-</w:t>
      </w:r>
      <w:r w:rsidR="00BD2248">
        <w:rPr>
          <w:b/>
          <w:color w:val="000000" w:themeColor="text1"/>
          <w:szCs w:val="22"/>
        </w:rPr>
        <w:t>4</w:t>
      </w:r>
      <w:r>
        <w:rPr>
          <w:b/>
          <w:color w:val="000000" w:themeColor="text1"/>
          <w:szCs w:val="22"/>
        </w:rPr>
        <w:t>94</w:t>
      </w:r>
      <w:bookmarkEnd w:id="0"/>
    </w:p>
    <w:p w:rsidR="00013A8B" w:rsidRPr="00794F29" w:rsidP="00913DF1" w14:paraId="4111316F" w14:textId="2E020B0C">
      <w:pPr>
        <w:jc w:val="right"/>
        <w:rPr>
          <w:b/>
          <w:color w:val="000000" w:themeColor="text1"/>
          <w:szCs w:val="22"/>
        </w:rPr>
      </w:pPr>
      <w:r w:rsidRPr="00794F29">
        <w:rPr>
          <w:b/>
          <w:color w:val="000000" w:themeColor="text1"/>
          <w:szCs w:val="22"/>
        </w:rPr>
        <w:t>Released:</w:t>
      </w:r>
      <w:r w:rsidRPr="00794F29" w:rsidR="003364FD">
        <w:rPr>
          <w:b/>
          <w:color w:val="000000" w:themeColor="text1"/>
          <w:szCs w:val="22"/>
        </w:rPr>
        <w:t xml:space="preserve">  </w:t>
      </w:r>
      <w:r w:rsidR="005727D9">
        <w:rPr>
          <w:b/>
          <w:color w:val="000000" w:themeColor="text1"/>
          <w:szCs w:val="22"/>
        </w:rPr>
        <w:t>May 7</w:t>
      </w:r>
      <w:r w:rsidRPr="00794F29" w:rsidR="009E2AA7">
        <w:rPr>
          <w:b/>
          <w:color w:val="000000" w:themeColor="text1"/>
          <w:szCs w:val="22"/>
        </w:rPr>
        <w:t>, 20</w:t>
      </w:r>
      <w:r w:rsidRPr="00794F29" w:rsidR="00292F35">
        <w:rPr>
          <w:b/>
          <w:color w:val="000000" w:themeColor="text1"/>
          <w:szCs w:val="22"/>
        </w:rPr>
        <w:t>20</w:t>
      </w:r>
    </w:p>
    <w:p w:rsidR="00013A8B" w:rsidRPr="00794F29" w:rsidP="00013A8B" w14:paraId="4BA236BB" w14:textId="77777777">
      <w:pPr>
        <w:jc w:val="right"/>
        <w:rPr>
          <w:color w:val="000000" w:themeColor="text1"/>
          <w:szCs w:val="22"/>
        </w:rPr>
      </w:pPr>
    </w:p>
    <w:p w:rsidR="00A75624" w:rsidRPr="008C78B6" w:rsidP="00A75624" w14:paraId="78FF190F" w14:textId="632D02EE">
      <w:pPr>
        <w:jc w:val="center"/>
        <w:rPr>
          <w:b/>
          <w:szCs w:val="22"/>
        </w:rPr>
      </w:pPr>
      <w:r w:rsidRPr="008C78B6">
        <w:rPr>
          <w:b/>
          <w:sz w:val="24"/>
        </w:rPr>
        <w:t xml:space="preserve">OFFICE </w:t>
      </w:r>
      <w:r>
        <w:rPr>
          <w:b/>
          <w:sz w:val="24"/>
        </w:rPr>
        <w:t>O</w:t>
      </w:r>
      <w:r w:rsidRPr="008C78B6">
        <w:rPr>
          <w:b/>
          <w:sz w:val="24"/>
        </w:rPr>
        <w:t xml:space="preserve">F ENGINEERING </w:t>
      </w:r>
      <w:r>
        <w:rPr>
          <w:b/>
          <w:sz w:val="24"/>
        </w:rPr>
        <w:t>A</w:t>
      </w:r>
      <w:r w:rsidRPr="008C78B6">
        <w:rPr>
          <w:b/>
          <w:sz w:val="24"/>
        </w:rPr>
        <w:t xml:space="preserve">ND TECHNOLOGY DECLARES </w:t>
      </w:r>
      <w:r>
        <w:rPr>
          <w:b/>
          <w:sz w:val="24"/>
        </w:rPr>
        <w:t>PROCEQ USA</w:t>
      </w:r>
      <w:r w:rsidRPr="008C78B6">
        <w:rPr>
          <w:b/>
          <w:sz w:val="24"/>
        </w:rPr>
        <w:t xml:space="preserve">, INC. REQUEST </w:t>
      </w:r>
      <w:r>
        <w:rPr>
          <w:b/>
          <w:sz w:val="24"/>
        </w:rPr>
        <w:t>F</w:t>
      </w:r>
      <w:r w:rsidRPr="008C78B6">
        <w:rPr>
          <w:b/>
          <w:sz w:val="24"/>
        </w:rPr>
        <w:t xml:space="preserve">OR WAIVER </w:t>
      </w:r>
      <w:r>
        <w:rPr>
          <w:b/>
          <w:sz w:val="24"/>
        </w:rPr>
        <w:t>O</w:t>
      </w:r>
      <w:r w:rsidRPr="008C78B6">
        <w:rPr>
          <w:b/>
          <w:sz w:val="24"/>
        </w:rPr>
        <w:t xml:space="preserve">F CERTAIN PART 15 ULTRA-WIDEBAND (UWB) RULES TO BE A “PERMIT-BUT-DISCLOSE” PROCEEDING FOR </w:t>
      </w:r>
      <w:r w:rsidRPr="008C78B6">
        <w:rPr>
          <w:b/>
          <w:i/>
          <w:sz w:val="24"/>
        </w:rPr>
        <w:t>EX PARTE</w:t>
      </w:r>
      <w:r w:rsidRPr="008C78B6">
        <w:rPr>
          <w:b/>
          <w:sz w:val="24"/>
        </w:rPr>
        <w:t xml:space="preserve"> PURPOSES AND REQUESTS COMMENT</w:t>
      </w:r>
    </w:p>
    <w:p w:rsidR="00A75624" w:rsidRPr="008C78B6" w:rsidP="00A75624" w14:paraId="6D7142E4" w14:textId="77777777">
      <w:pPr>
        <w:jc w:val="center"/>
        <w:rPr>
          <w:b/>
          <w:szCs w:val="22"/>
        </w:rPr>
      </w:pPr>
    </w:p>
    <w:p w:rsidR="00A75624" w:rsidRPr="008C78B6" w:rsidP="00A75624" w14:paraId="2D202688" w14:textId="0BF03C30">
      <w:pPr>
        <w:jc w:val="center"/>
        <w:rPr>
          <w:b/>
          <w:szCs w:val="22"/>
        </w:rPr>
      </w:pPr>
      <w:r w:rsidRPr="008C78B6">
        <w:rPr>
          <w:b/>
          <w:szCs w:val="22"/>
        </w:rPr>
        <w:t xml:space="preserve">ET Docket No. </w:t>
      </w:r>
      <w:bookmarkStart w:id="1" w:name="_Hlk39745814"/>
      <w:r w:rsidR="00016D1B">
        <w:rPr>
          <w:b/>
          <w:szCs w:val="22"/>
        </w:rPr>
        <w:t>20</w:t>
      </w:r>
      <w:r w:rsidRPr="008C78B6">
        <w:rPr>
          <w:b/>
          <w:szCs w:val="22"/>
        </w:rPr>
        <w:t>-</w:t>
      </w:r>
      <w:r w:rsidR="00016D1B">
        <w:rPr>
          <w:b/>
          <w:szCs w:val="22"/>
        </w:rPr>
        <w:t>127</w:t>
      </w:r>
      <w:bookmarkEnd w:id="1"/>
    </w:p>
    <w:p w:rsidR="00A75624" w:rsidRPr="008C78B6" w:rsidP="00A75624" w14:paraId="4572F311" w14:textId="77777777">
      <w:pPr>
        <w:jc w:val="center"/>
        <w:rPr>
          <w:b/>
          <w:szCs w:val="22"/>
        </w:rPr>
      </w:pPr>
    </w:p>
    <w:p w:rsidR="00A75624" w:rsidRPr="008C78B6" w:rsidP="005727D9" w14:paraId="65E3ADD6" w14:textId="49129D67">
      <w:pPr>
        <w:jc w:val="both"/>
        <w:rPr>
          <w:b/>
          <w:szCs w:val="22"/>
        </w:rPr>
      </w:pPr>
      <w:r w:rsidRPr="008C78B6">
        <w:rPr>
          <w:b/>
          <w:szCs w:val="22"/>
        </w:rPr>
        <w:t xml:space="preserve">Comment Date:  </w:t>
      </w:r>
      <w:r w:rsidR="005727D9">
        <w:rPr>
          <w:b/>
          <w:szCs w:val="22"/>
        </w:rPr>
        <w:t>June 8</w:t>
      </w:r>
      <w:r w:rsidRPr="008C78B6">
        <w:rPr>
          <w:b/>
          <w:szCs w:val="22"/>
        </w:rPr>
        <w:t>, 20</w:t>
      </w:r>
      <w:r>
        <w:rPr>
          <w:b/>
          <w:szCs w:val="22"/>
        </w:rPr>
        <w:t>20</w:t>
      </w:r>
    </w:p>
    <w:p w:rsidR="00A75624" w:rsidRPr="008C78B6" w:rsidP="00A75624" w14:paraId="6A90E2B3" w14:textId="67A7192C">
      <w:pPr>
        <w:rPr>
          <w:b/>
          <w:szCs w:val="22"/>
        </w:rPr>
      </w:pPr>
      <w:r w:rsidRPr="008C78B6">
        <w:rPr>
          <w:b/>
          <w:szCs w:val="22"/>
        </w:rPr>
        <w:t>Reply Comment Date:  Ju</w:t>
      </w:r>
      <w:r>
        <w:rPr>
          <w:b/>
          <w:szCs w:val="22"/>
        </w:rPr>
        <w:t>ne</w:t>
      </w:r>
      <w:r w:rsidRPr="008C78B6">
        <w:rPr>
          <w:b/>
          <w:szCs w:val="22"/>
        </w:rPr>
        <w:t xml:space="preserve"> </w:t>
      </w:r>
      <w:r w:rsidR="005727D9">
        <w:rPr>
          <w:b/>
          <w:szCs w:val="22"/>
        </w:rPr>
        <w:t>23</w:t>
      </w:r>
      <w:bookmarkStart w:id="2" w:name="_GoBack"/>
      <w:bookmarkEnd w:id="2"/>
      <w:r w:rsidRPr="008C78B6">
        <w:rPr>
          <w:b/>
          <w:szCs w:val="22"/>
        </w:rPr>
        <w:t>, 20</w:t>
      </w:r>
      <w:r>
        <w:rPr>
          <w:b/>
          <w:szCs w:val="22"/>
        </w:rPr>
        <w:t>20</w:t>
      </w:r>
    </w:p>
    <w:p w:rsidR="00A75624" w:rsidP="00A75624" w14:paraId="5355E5D0" w14:textId="77777777">
      <w:pPr>
        <w:rPr>
          <w:b/>
          <w:szCs w:val="22"/>
        </w:rPr>
      </w:pPr>
    </w:p>
    <w:p w:rsidR="00A75624" w:rsidP="00016D1B" w14:paraId="215E2EE9" w14:textId="2A416162">
      <w:pPr>
        <w:widowControl/>
        <w:ind w:firstLine="720"/>
        <w:rPr>
          <w:szCs w:val="22"/>
        </w:rPr>
      </w:pPr>
      <w:r>
        <w:rPr>
          <w:szCs w:val="22"/>
        </w:rPr>
        <w:t>On February 4</w:t>
      </w:r>
      <w:r w:rsidRPr="00823C75">
        <w:rPr>
          <w:szCs w:val="22"/>
        </w:rPr>
        <w:t>, 20</w:t>
      </w:r>
      <w:r>
        <w:rPr>
          <w:szCs w:val="22"/>
        </w:rPr>
        <w:t xml:space="preserve">20, Proceq </w:t>
      </w:r>
      <w:r w:rsidRPr="00AE4842">
        <w:rPr>
          <w:sz w:val="24"/>
          <w:szCs w:val="24"/>
        </w:rPr>
        <w:t>USA Inc.</w:t>
      </w:r>
      <w:r w:rsidRPr="008C78B6">
        <w:rPr>
          <w:sz w:val="24"/>
          <w:szCs w:val="24"/>
        </w:rPr>
        <w:t xml:space="preserve"> (“</w:t>
      </w:r>
      <w:r>
        <w:rPr>
          <w:sz w:val="24"/>
          <w:szCs w:val="24"/>
        </w:rPr>
        <w:t>Proceq</w:t>
      </w:r>
      <w:r w:rsidRPr="008C78B6">
        <w:rPr>
          <w:sz w:val="24"/>
          <w:szCs w:val="24"/>
        </w:rPr>
        <w:t>”)</w:t>
      </w:r>
      <w:r w:rsidRPr="008C78B6">
        <w:rPr>
          <w:szCs w:val="22"/>
        </w:rPr>
        <w:t xml:space="preserve"> </w:t>
      </w:r>
      <w:r>
        <w:rPr>
          <w:szCs w:val="22"/>
        </w:rPr>
        <w:t>filed a request to modify a previously granted waiver, requesting further increase of the device’s operating bandwidth.</w:t>
      </w:r>
      <w:r>
        <w:rPr>
          <w:rStyle w:val="FootnoteReference"/>
          <w:szCs w:val="22"/>
        </w:rPr>
        <w:footnoteReference w:id="2"/>
      </w:r>
      <w:r>
        <w:rPr>
          <w:szCs w:val="22"/>
        </w:rPr>
        <w:t xml:space="preserve"> The device is an ultra-wideband (UWB) ground penetrating radar </w:t>
      </w:r>
      <w:r w:rsidRPr="004C2CBA">
        <w:rPr>
          <w:szCs w:val="22"/>
        </w:rPr>
        <w:t xml:space="preserve">that is used to test the safety, durability and sustainability of materials such as concrete, metal, rock, and composites used in industrial settings. </w:t>
      </w:r>
      <w:r>
        <w:rPr>
          <w:szCs w:val="22"/>
        </w:rPr>
        <w:t xml:space="preserve">This most recent waiver request seeks to extend the operating frequency range from 200-6000 MHz to 30MHz-8000 MHz, which will result in </w:t>
      </w:r>
      <w:r w:rsidRPr="000757CC">
        <w:rPr>
          <w:szCs w:val="22"/>
        </w:rPr>
        <w:t>improve</w:t>
      </w:r>
      <w:r>
        <w:rPr>
          <w:szCs w:val="22"/>
        </w:rPr>
        <w:t>d</w:t>
      </w:r>
      <w:r w:rsidRPr="000757CC">
        <w:rPr>
          <w:szCs w:val="22"/>
        </w:rPr>
        <w:t xml:space="preserve"> resolution and technical performance</w:t>
      </w:r>
      <w:r>
        <w:rPr>
          <w:szCs w:val="22"/>
        </w:rPr>
        <w:t xml:space="preserve"> for the device. We seek comment on </w:t>
      </w:r>
      <w:r>
        <w:rPr>
          <w:szCs w:val="22"/>
        </w:rPr>
        <w:t>Pro</w:t>
      </w:r>
      <w:r w:rsidR="0061552F">
        <w:rPr>
          <w:szCs w:val="22"/>
        </w:rPr>
        <w:t>c</w:t>
      </w:r>
      <w:r>
        <w:rPr>
          <w:szCs w:val="22"/>
        </w:rPr>
        <w:t>eq’s</w:t>
      </w:r>
      <w:r>
        <w:rPr>
          <w:szCs w:val="22"/>
        </w:rPr>
        <w:t xml:space="preserve"> latest request for waiver.</w:t>
      </w:r>
      <w:r w:rsidRPr="0028229B">
        <w:rPr>
          <w:szCs w:val="22"/>
        </w:rPr>
        <w:t xml:space="preserve"> </w:t>
      </w:r>
    </w:p>
    <w:p w:rsidR="00A75624" w:rsidP="00016D1B" w14:paraId="353A6C06" w14:textId="77777777">
      <w:pPr>
        <w:widowControl/>
        <w:ind w:firstLine="720"/>
        <w:rPr>
          <w:b/>
          <w:szCs w:val="22"/>
        </w:rPr>
      </w:pPr>
    </w:p>
    <w:p w:rsidR="00A75624" w:rsidP="00016D1B" w14:paraId="1D4EF1AE" w14:textId="5B4FAFC2">
      <w:pPr>
        <w:widowControl/>
        <w:ind w:firstLine="720"/>
        <w:rPr>
          <w:b/>
          <w:szCs w:val="22"/>
        </w:rPr>
      </w:pPr>
      <w:r>
        <w:rPr>
          <w:szCs w:val="22"/>
        </w:rPr>
        <w:t>In September 2017</w:t>
      </w:r>
      <w:r w:rsidRPr="008C78B6">
        <w:rPr>
          <w:szCs w:val="22"/>
        </w:rPr>
        <w:t xml:space="preserve">, </w:t>
      </w:r>
      <w:r w:rsidRPr="00AE4842">
        <w:rPr>
          <w:sz w:val="24"/>
          <w:szCs w:val="24"/>
        </w:rPr>
        <w:t xml:space="preserve">Proceq </w:t>
      </w:r>
      <w:r>
        <w:rPr>
          <w:sz w:val="24"/>
          <w:szCs w:val="24"/>
        </w:rPr>
        <w:t xml:space="preserve">had </w:t>
      </w:r>
      <w:r w:rsidRPr="008C78B6">
        <w:rPr>
          <w:szCs w:val="22"/>
        </w:rPr>
        <w:t xml:space="preserve">filed a request for waiver of </w:t>
      </w:r>
      <w:r>
        <w:rPr>
          <w:szCs w:val="22"/>
        </w:rPr>
        <w:t xml:space="preserve">sections 15.503(d),  and 15.31(c) of </w:t>
      </w:r>
      <w:r w:rsidRPr="008C78B6">
        <w:rPr>
          <w:szCs w:val="22"/>
        </w:rPr>
        <w:t xml:space="preserve">the Commission’s </w:t>
      </w:r>
      <w:r>
        <w:rPr>
          <w:szCs w:val="22"/>
        </w:rPr>
        <w:t xml:space="preserve">Part 15 ultra-wideband (UWB) </w:t>
      </w:r>
      <w:r w:rsidRPr="008C78B6">
        <w:rPr>
          <w:szCs w:val="22"/>
        </w:rPr>
        <w:t>rules</w:t>
      </w:r>
      <w:r>
        <w:rPr>
          <w:szCs w:val="22"/>
        </w:rPr>
        <w:t xml:space="preserve"> </w:t>
      </w:r>
      <w:r w:rsidRPr="008C78B6">
        <w:rPr>
          <w:szCs w:val="22"/>
        </w:rPr>
        <w:t>to</w:t>
      </w:r>
      <w:r>
        <w:rPr>
          <w:szCs w:val="22"/>
        </w:rPr>
        <w:t xml:space="preserve"> </w:t>
      </w:r>
      <w:r w:rsidRPr="008C78B6">
        <w:rPr>
          <w:szCs w:val="22"/>
        </w:rPr>
        <w:t xml:space="preserve">market </w:t>
      </w:r>
      <w:r>
        <w:rPr>
          <w:szCs w:val="22"/>
        </w:rPr>
        <w:t>its Proceq</w:t>
      </w:r>
      <w:r w:rsidRPr="00AE4842">
        <w:t xml:space="preserve"> </w:t>
      </w:r>
      <w:r w:rsidRPr="00AE4842">
        <w:rPr>
          <w:szCs w:val="22"/>
        </w:rPr>
        <w:t>GPR Live</w:t>
      </w:r>
      <w:r>
        <w:rPr>
          <w:szCs w:val="22"/>
        </w:rPr>
        <w:t>.</w:t>
      </w:r>
      <w:r>
        <w:rPr>
          <w:rStyle w:val="FootnoteReference"/>
          <w:szCs w:val="22"/>
        </w:rPr>
        <w:footnoteReference w:id="3"/>
      </w:r>
      <w:r w:rsidRPr="008C78B6">
        <w:rPr>
          <w:szCs w:val="22"/>
        </w:rPr>
        <w:t xml:space="preserve"> The </w:t>
      </w:r>
      <w:r>
        <w:rPr>
          <w:szCs w:val="22"/>
        </w:rPr>
        <w:t>original Order granting the waiver allowed Pro</w:t>
      </w:r>
      <w:r w:rsidR="0061552F">
        <w:rPr>
          <w:szCs w:val="22"/>
        </w:rPr>
        <w:t>c</w:t>
      </w:r>
      <w:r>
        <w:rPr>
          <w:szCs w:val="22"/>
        </w:rPr>
        <w:t xml:space="preserve">eq to operate </w:t>
      </w:r>
      <w:r w:rsidRPr="00811CE0">
        <w:rPr>
          <w:szCs w:val="22"/>
        </w:rPr>
        <w:t xml:space="preserve">on stepped frequency continuous-wave </w:t>
      </w:r>
      <w:r>
        <w:rPr>
          <w:szCs w:val="22"/>
        </w:rPr>
        <w:t>m</w:t>
      </w:r>
      <w:r w:rsidRPr="00811CE0">
        <w:rPr>
          <w:szCs w:val="22"/>
        </w:rPr>
        <w:t>odulation</w:t>
      </w:r>
      <w:r>
        <w:rPr>
          <w:szCs w:val="22"/>
        </w:rPr>
        <w:t xml:space="preserve"> and </w:t>
      </w:r>
      <w:r w:rsidRPr="008C78B6">
        <w:rPr>
          <w:szCs w:val="22"/>
        </w:rPr>
        <w:t xml:space="preserve">would transmit between </w:t>
      </w:r>
      <w:r>
        <w:rPr>
          <w:szCs w:val="22"/>
        </w:rPr>
        <w:t>200</w:t>
      </w:r>
      <w:r w:rsidRPr="008C78B6">
        <w:rPr>
          <w:szCs w:val="22"/>
        </w:rPr>
        <w:t xml:space="preserve"> and </w:t>
      </w:r>
      <w:r>
        <w:rPr>
          <w:szCs w:val="22"/>
        </w:rPr>
        <w:t>4000</w:t>
      </w:r>
      <w:r w:rsidRPr="008C78B6">
        <w:rPr>
          <w:szCs w:val="22"/>
        </w:rPr>
        <w:t xml:space="preserve"> MHz</w:t>
      </w:r>
      <w:r>
        <w:rPr>
          <w:rStyle w:val="FootnoteReference"/>
          <w:szCs w:val="22"/>
        </w:rPr>
        <w:footnoteReference w:id="4"/>
      </w:r>
      <w:r>
        <w:rPr>
          <w:szCs w:val="22"/>
        </w:rPr>
        <w:t>, with the step sizes of 10, 20, and 40 MHz, and dwell time of 2 micro-seconds</w:t>
      </w:r>
      <w:r w:rsidRPr="008C78B6">
        <w:rPr>
          <w:szCs w:val="22"/>
        </w:rPr>
        <w:t>.</w:t>
      </w:r>
      <w:r>
        <w:rPr>
          <w:rStyle w:val="FootnoteReference"/>
          <w:szCs w:val="22"/>
        </w:rPr>
        <w:footnoteReference w:id="5"/>
      </w:r>
    </w:p>
    <w:p w:rsidR="00A75624" w:rsidP="00016D1B" w14:paraId="789A6F55" w14:textId="77777777">
      <w:pPr>
        <w:widowControl/>
        <w:ind w:firstLine="720"/>
        <w:rPr>
          <w:b/>
          <w:szCs w:val="22"/>
        </w:rPr>
      </w:pPr>
    </w:p>
    <w:p w:rsidR="00A75624" w:rsidP="00016D1B" w14:paraId="57AE08E3" w14:textId="77777777">
      <w:pPr>
        <w:widowControl/>
        <w:ind w:firstLine="720"/>
        <w:rPr>
          <w:b/>
          <w:szCs w:val="22"/>
        </w:rPr>
      </w:pPr>
      <w:r>
        <w:t>In September 2019</w:t>
      </w:r>
      <w:r w:rsidRPr="00C600D4">
        <w:t>,</w:t>
      </w:r>
      <w:r>
        <w:t xml:space="preserve"> </w:t>
      </w:r>
      <w:r w:rsidRPr="00C600D4">
        <w:t xml:space="preserve">Proceq filed a request to modify the waiver, requesting an increase of the operating bandwidth by extending the upper transmit frequency limit by 2000 MHz, to operate </w:t>
      </w:r>
      <w:r>
        <w:t xml:space="preserve">between </w:t>
      </w:r>
      <w:r w:rsidRPr="00C600D4">
        <w:t>200 MHz and 6000 MHz, instead of 200 MHz and 4000 MHz of the original design.</w:t>
      </w:r>
      <w:r>
        <w:rPr>
          <w:vertAlign w:val="superscript"/>
        </w:rPr>
        <w:footnoteReference w:id="6"/>
      </w:r>
      <w:r>
        <w:t xml:space="preserve"> </w:t>
      </w:r>
      <w:r w:rsidRPr="001C053C">
        <w:rPr>
          <w:szCs w:val="22"/>
        </w:rPr>
        <w:t>OET granted the request to modify the original waiver.</w:t>
      </w:r>
      <w:r>
        <w:rPr>
          <w:szCs w:val="22"/>
          <w:vertAlign w:val="superscript"/>
        </w:rPr>
        <w:footnoteReference w:id="7"/>
      </w:r>
    </w:p>
    <w:p w:rsidR="00A75624" w:rsidRPr="008C78B6" w:rsidP="00016D1B" w14:paraId="4A97D3CA" w14:textId="77777777">
      <w:pPr>
        <w:widowControl/>
        <w:ind w:firstLine="720"/>
        <w:rPr>
          <w:b/>
          <w:szCs w:val="22"/>
        </w:rPr>
      </w:pPr>
    </w:p>
    <w:p w:rsidR="00A75624" w:rsidP="00016D1B" w14:paraId="3DA4D8BB" w14:textId="2E71C991">
      <w:pPr>
        <w:widowControl/>
        <w:autoSpaceDE w:val="0"/>
        <w:autoSpaceDN w:val="0"/>
        <w:adjustRightInd w:val="0"/>
        <w:rPr>
          <w:szCs w:val="22"/>
        </w:rPr>
      </w:pPr>
      <w:r>
        <w:rPr>
          <w:szCs w:val="22"/>
        </w:rPr>
        <w:tab/>
      </w:r>
      <w:r w:rsidRPr="008C78B6">
        <w:rPr>
          <w:szCs w:val="22"/>
        </w:rPr>
        <w:t xml:space="preserve">The FCC’s Office of Engineering and Technology (OET) is </w:t>
      </w:r>
      <w:r>
        <w:rPr>
          <w:szCs w:val="22"/>
        </w:rPr>
        <w:t xml:space="preserve">now seeking comment on the latest request to modify the original waiver to allow interested parties to submit </w:t>
      </w:r>
      <w:r w:rsidR="005D5E08">
        <w:rPr>
          <w:szCs w:val="22"/>
        </w:rPr>
        <w:t xml:space="preserve">their comments </w:t>
      </w:r>
      <w:r w:rsidR="004C2CBA">
        <w:rPr>
          <w:szCs w:val="22"/>
        </w:rPr>
        <w:t>regarding</w:t>
      </w:r>
      <w:r>
        <w:rPr>
          <w:szCs w:val="22"/>
        </w:rPr>
        <w:t xml:space="preserve"> the requested modifications filed by Proceq.  </w:t>
      </w:r>
      <w:r w:rsidRPr="008C78B6">
        <w:rPr>
          <w:szCs w:val="22"/>
        </w:rPr>
        <w:t xml:space="preserve">OET has concluded that to develop a complete record on the issues presented by this request, this </w:t>
      </w:r>
      <w:r w:rsidRPr="008C78B6">
        <w:rPr>
          <w:spacing w:val="-3"/>
          <w:szCs w:val="22"/>
        </w:rPr>
        <w:t xml:space="preserve">proceeding will be treated, for </w:t>
      </w:r>
      <w:r w:rsidRPr="008C78B6">
        <w:rPr>
          <w:i/>
          <w:iCs/>
          <w:spacing w:val="-3"/>
          <w:szCs w:val="22"/>
        </w:rPr>
        <w:t xml:space="preserve">ex </w:t>
      </w:r>
      <w:r w:rsidRPr="008C78B6">
        <w:rPr>
          <w:i/>
          <w:iCs/>
          <w:spacing w:val="-3"/>
          <w:szCs w:val="22"/>
        </w:rPr>
        <w:t>parte</w:t>
      </w:r>
      <w:r w:rsidRPr="008C78B6">
        <w:rPr>
          <w:spacing w:val="-3"/>
          <w:szCs w:val="22"/>
        </w:rPr>
        <w:t xml:space="preserve"> purposes, as </w:t>
      </w:r>
      <w:r>
        <w:rPr>
          <w:spacing w:val="-3"/>
          <w:szCs w:val="22"/>
        </w:rPr>
        <w:t>“</w:t>
      </w:r>
      <w:r w:rsidRPr="008C78B6">
        <w:rPr>
          <w:spacing w:val="-3"/>
          <w:szCs w:val="22"/>
        </w:rPr>
        <w:t>permit-but-disclose</w:t>
      </w:r>
      <w:r>
        <w:rPr>
          <w:spacing w:val="-3"/>
          <w:szCs w:val="22"/>
        </w:rPr>
        <w:t>”</w:t>
      </w:r>
      <w:r w:rsidRPr="008C78B6">
        <w:rPr>
          <w:spacing w:val="-3"/>
          <w:szCs w:val="22"/>
        </w:rPr>
        <w:t xml:space="preserve"> in accordance with Section 1.1200(a) of the Commission</w:t>
      </w:r>
      <w:r>
        <w:rPr>
          <w:spacing w:val="-3"/>
          <w:szCs w:val="22"/>
        </w:rPr>
        <w:t>’</w:t>
      </w:r>
      <w:r w:rsidRPr="008C78B6">
        <w:rPr>
          <w:spacing w:val="-3"/>
          <w:szCs w:val="22"/>
        </w:rPr>
        <w:t>s rules, subject to the requirements under Section 1.1206(b).</w:t>
      </w:r>
    </w:p>
    <w:p w:rsidR="00A75624" w:rsidRPr="008C78B6" w:rsidP="00016D1B" w14:paraId="00DE04CD" w14:textId="77777777">
      <w:pPr>
        <w:widowControl/>
        <w:autoSpaceDE w:val="0"/>
        <w:autoSpaceDN w:val="0"/>
        <w:adjustRightInd w:val="0"/>
        <w:rPr>
          <w:spacing w:val="-3"/>
          <w:szCs w:val="22"/>
        </w:rPr>
      </w:pPr>
    </w:p>
    <w:p w:rsidR="00A75624" w:rsidRPr="008C78B6" w:rsidP="00016D1B" w14:paraId="606ADE60" w14:textId="77777777">
      <w:pPr>
        <w:widowControl/>
        <w:autoSpaceDE w:val="0"/>
        <w:autoSpaceDN w:val="0"/>
        <w:adjustRightInd w:val="0"/>
        <w:ind w:firstLine="720"/>
      </w:pPr>
      <w:r>
        <w:t>I</w:t>
      </w:r>
      <w:r w:rsidRPr="008C78B6">
        <w:t xml:space="preserve">nterested parties may file comments and reply comments on or before the dates indicated on the first page of this document.  Comments may be filed using the Commission’s Electronic Comment Filing System (ECFS).  </w:t>
      </w:r>
      <w:r w:rsidRPr="008C78B6">
        <w:rPr>
          <w:i/>
        </w:rPr>
        <w:t>See Electronic Filing of Documents in Rulemaking Proceedings</w:t>
      </w:r>
      <w:r w:rsidRPr="008C78B6">
        <w:t>, 63 FR 24121 (1998).</w:t>
      </w:r>
    </w:p>
    <w:p w:rsidR="00A75624" w:rsidRPr="008C78B6" w:rsidP="00016D1B" w14:paraId="7EE1E1AA" w14:textId="77777777">
      <w:pPr>
        <w:widowControl/>
      </w:pPr>
    </w:p>
    <w:p w:rsidR="00A75624" w:rsidRPr="008C78B6" w:rsidP="00016D1B" w14:paraId="3A9B256D" w14:textId="77777777">
      <w:pPr>
        <w:widowControl/>
        <w:numPr>
          <w:ilvl w:val="0"/>
          <w:numId w:val="9"/>
        </w:numPr>
      </w:pPr>
      <w:r w:rsidRPr="008C78B6">
        <w:t xml:space="preserve">Electronic Filers:  Comments may be filed electronically using the Internet by accessing the ECFS:  </w:t>
      </w:r>
      <w:hyperlink r:id="rId5" w:history="1">
        <w:r w:rsidRPr="008C78B6">
          <w:rPr>
            <w:rStyle w:val="Hyperlink"/>
          </w:rPr>
          <w:t>http://fjallfoss.fcc.gov/ecfs/</w:t>
        </w:r>
      </w:hyperlink>
      <w:r w:rsidRPr="008C78B6">
        <w:t xml:space="preserve">.  </w:t>
      </w:r>
    </w:p>
    <w:p w:rsidR="00A75624" w:rsidRPr="008C78B6" w:rsidP="00016D1B" w14:paraId="6CF7AB60" w14:textId="77777777">
      <w:pPr>
        <w:widowControl/>
      </w:pPr>
    </w:p>
    <w:p w:rsidR="00A75624" w:rsidRPr="008C78B6" w:rsidP="00016D1B" w14:paraId="7476677A" w14:textId="77777777">
      <w:pPr>
        <w:widowControl/>
        <w:numPr>
          <w:ilvl w:val="0"/>
          <w:numId w:val="8"/>
        </w:numPr>
      </w:pPr>
      <w:r w:rsidRPr="008C78B6">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75624" w:rsidRPr="008C78B6" w:rsidP="00016D1B" w14:paraId="7D6C98D8" w14:textId="77777777">
      <w:pPr>
        <w:widowControl/>
      </w:pPr>
    </w:p>
    <w:p w:rsidR="00A75624" w:rsidRPr="008C78B6" w:rsidP="00016D1B" w14:paraId="4A309B77" w14:textId="77777777">
      <w:pPr>
        <w:widowControl/>
        <w:ind w:left="720"/>
      </w:pPr>
      <w:r w:rsidRPr="008C78B6">
        <w:t>Filings can be sent by commercial overnight courier, or by first-class or overnight U.S. Postal Service mail.  All filings must be addressed to the Commission’s Secretary, Office of the Secretary, Federal Communications Commission.</w:t>
      </w:r>
    </w:p>
    <w:p w:rsidR="00A75624" w:rsidRPr="008C78B6" w:rsidP="00016D1B" w14:paraId="45C90DF4" w14:textId="77777777">
      <w:pPr>
        <w:widowControl/>
      </w:pPr>
    </w:p>
    <w:p w:rsidR="00A75624" w:rsidRPr="00BE3EC1" w:rsidP="00016D1B" w14:paraId="4D292ECB" w14:textId="77777777">
      <w:pPr>
        <w:pStyle w:val="ListParagraph"/>
        <w:widowControl/>
        <w:numPr>
          <w:ilvl w:val="0"/>
          <w:numId w:val="7"/>
        </w:numPr>
        <w:spacing w:after="120"/>
        <w:contextualSpacing w:val="0"/>
      </w:pPr>
      <w:r w:rsidRPr="007F000A">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8"/>
      </w:r>
      <w:r w:rsidRPr="007F000A">
        <w:t xml:space="preserve">  </w:t>
      </w:r>
    </w:p>
    <w:p w:rsidR="00A75624" w:rsidRPr="008C78B6" w:rsidP="00016D1B" w14:paraId="3FF503D4" w14:textId="77777777">
      <w:pPr>
        <w:widowControl/>
        <w:ind w:left="1080"/>
      </w:pPr>
    </w:p>
    <w:p w:rsidR="00A75624" w:rsidRPr="008C78B6" w:rsidP="00016D1B" w14:paraId="35A0ACF0" w14:textId="77777777">
      <w:pPr>
        <w:widowControl/>
        <w:numPr>
          <w:ilvl w:val="0"/>
          <w:numId w:val="7"/>
        </w:numPr>
        <w:tabs>
          <w:tab w:val="clear" w:pos="1350"/>
          <w:tab w:val="num" w:pos="1440"/>
        </w:tabs>
        <w:ind w:left="1440"/>
      </w:pPr>
      <w:r w:rsidRPr="008C78B6">
        <w:t>Commercial overnight mail (other than U.S. Postal Service Express Mail and Priority Mail) must be sent to 9300 East Hampton Drive, Capitol Heights, MD  20743.</w:t>
      </w:r>
    </w:p>
    <w:p w:rsidR="00A75624" w:rsidRPr="008C78B6" w:rsidP="00016D1B" w14:paraId="7017539E" w14:textId="77777777">
      <w:pPr>
        <w:widowControl/>
      </w:pPr>
    </w:p>
    <w:p w:rsidR="00A75624" w:rsidRPr="008C78B6" w:rsidP="00016D1B" w14:paraId="49EFCBD5" w14:textId="77777777">
      <w:pPr>
        <w:widowControl/>
        <w:numPr>
          <w:ilvl w:val="0"/>
          <w:numId w:val="7"/>
        </w:numPr>
        <w:tabs>
          <w:tab w:val="clear" w:pos="1350"/>
          <w:tab w:val="num" w:pos="1440"/>
        </w:tabs>
        <w:ind w:left="1440"/>
      </w:pPr>
      <w:r w:rsidRPr="008C78B6">
        <w:t>U.S. Postal Service first-class, Express, and Priority mail must be addressed to 445 12</w:t>
      </w:r>
      <w:r w:rsidRPr="008C78B6">
        <w:rPr>
          <w:vertAlign w:val="superscript"/>
        </w:rPr>
        <w:t>th</w:t>
      </w:r>
      <w:r w:rsidRPr="008C78B6">
        <w:t xml:space="preserve"> Street, SW, Washington DC  20554.</w:t>
      </w:r>
    </w:p>
    <w:p w:rsidR="00A75624" w:rsidRPr="008C78B6" w:rsidP="00016D1B" w14:paraId="0F6B98E7" w14:textId="77777777">
      <w:pPr>
        <w:widowControl/>
        <w:ind w:firstLine="720"/>
      </w:pPr>
    </w:p>
    <w:p w:rsidR="00A75624" w:rsidRPr="008C78B6" w:rsidP="00016D1B" w14:paraId="2DD58653" w14:textId="77777777">
      <w:pPr>
        <w:widowControl/>
        <w:autoSpaceDE w:val="0"/>
        <w:autoSpaceDN w:val="0"/>
        <w:adjustRightInd w:val="0"/>
        <w:ind w:firstLine="720"/>
      </w:pPr>
      <w:r w:rsidRPr="008C78B6">
        <w:t xml:space="preserve">People </w:t>
      </w:r>
      <w:r w:rsidRPr="008C78B6">
        <w:rPr>
          <w:szCs w:val="22"/>
        </w:rPr>
        <w:t>with</w:t>
      </w:r>
      <w:r w:rsidRPr="008C78B6">
        <w:t xml:space="preserve"> Disabilities:  To request materials in accessible formats for people with disabilities (braille, large print, electronic files, audio format), send an e-mail to </w:t>
      </w:r>
      <w:hyperlink r:id="rId6" w:history="1">
        <w:r w:rsidRPr="008C78B6">
          <w:rPr>
            <w:rStyle w:val="Hyperlink"/>
          </w:rPr>
          <w:t>fcc504@fcc.gov</w:t>
        </w:r>
      </w:hyperlink>
      <w:r w:rsidRPr="008C78B6">
        <w:t xml:space="preserve"> or call the Consumer &amp; Governmental Affairs Bureau at 202-418-0530 (voice), 202-418-0432 (</w:t>
      </w:r>
      <w:r w:rsidRPr="008C78B6">
        <w:t>tty</w:t>
      </w:r>
      <w:r w:rsidRPr="008C78B6">
        <w:t>).</w:t>
      </w:r>
    </w:p>
    <w:p w:rsidR="00A75624" w:rsidRPr="008C78B6" w:rsidP="00016D1B" w14:paraId="738EDEAA" w14:textId="77777777">
      <w:pPr>
        <w:widowControl/>
        <w:ind w:firstLine="720"/>
      </w:pPr>
    </w:p>
    <w:p w:rsidR="00A75624" w:rsidRPr="008C78B6" w:rsidP="00016D1B" w14:paraId="4B0108A8" w14:textId="77777777">
      <w:pPr>
        <w:widowControl/>
        <w:ind w:firstLine="720"/>
      </w:pPr>
      <w:r w:rsidRPr="008C78B6">
        <w:t>Parties should also send a copy of their filings to Nader Haghighat, Office of Engineering and Technology, Federal Communications Commission, Room 7-</w:t>
      </w:r>
      <w:r>
        <w:t>A345</w:t>
      </w:r>
      <w:r w:rsidRPr="008C78B6">
        <w:t xml:space="preserve">, 445 12th Street, S.W., Washington, D.C. 20554, or by e-mail to </w:t>
      </w:r>
      <w:r>
        <w:t>Nader.Hahighat</w:t>
      </w:r>
      <w:r w:rsidRPr="008C78B6">
        <w:t xml:space="preserve">@fcc.gov.  </w:t>
      </w:r>
    </w:p>
    <w:p w:rsidR="00A75624" w:rsidRPr="008C78B6" w:rsidP="00016D1B" w14:paraId="01B5FA43" w14:textId="77777777">
      <w:pPr>
        <w:widowControl/>
        <w:ind w:firstLine="720"/>
      </w:pPr>
    </w:p>
    <w:p w:rsidR="00A75624" w:rsidRPr="008C78B6" w:rsidP="00016D1B" w14:paraId="3D4E9F07" w14:textId="77777777">
      <w:pPr>
        <w:widowControl/>
        <w:ind w:firstLine="720"/>
      </w:pPr>
      <w:r w:rsidRPr="008C78B6">
        <w:t xml:space="preserve">Documents are available for </w:t>
      </w:r>
      <w:r>
        <w:t xml:space="preserve">viewing on ECFS, http://www.fcc.gov/ecfs, by entering the docket number.  These documents are available for </w:t>
      </w:r>
      <w:r w:rsidRPr="008C78B6">
        <w:t>public inspection and copying during business hours at the FCC Reference Information Center, Portals II, 445 12th Street, S.W., Room CY</w:t>
      </w:r>
      <w:r w:rsidRPr="008C78B6">
        <w:noBreakHyphen/>
        <w:t xml:space="preserve">A257, Washington, D.C. 20554.    </w:t>
      </w:r>
    </w:p>
    <w:p w:rsidR="00A75624" w:rsidRPr="008C78B6" w:rsidP="00016D1B" w14:paraId="0C379C5A" w14:textId="77777777">
      <w:pPr>
        <w:widowControl/>
      </w:pPr>
    </w:p>
    <w:p w:rsidR="00A75624" w:rsidRPr="008C78B6" w:rsidP="00016D1B" w14:paraId="4C75D3C7" w14:textId="77777777">
      <w:pPr>
        <w:keepNext/>
        <w:keepLines/>
        <w:widowControl/>
        <w:jc w:val="both"/>
        <w:rPr>
          <w:spacing w:val="-3"/>
          <w:szCs w:val="22"/>
        </w:rPr>
      </w:pPr>
      <w:r w:rsidRPr="008C78B6">
        <w:rPr>
          <w:spacing w:val="-3"/>
          <w:szCs w:val="22"/>
        </w:rPr>
        <w:t xml:space="preserve">Office of Engineering and Technology contact:  </w:t>
      </w:r>
      <w:r>
        <w:rPr>
          <w:spacing w:val="-3"/>
          <w:szCs w:val="22"/>
        </w:rPr>
        <w:t>Nader Haghighat at 202-418-2427</w:t>
      </w:r>
      <w:r w:rsidRPr="008C78B6">
        <w:rPr>
          <w:spacing w:val="-3"/>
          <w:szCs w:val="22"/>
        </w:rPr>
        <w:t>.</w:t>
      </w:r>
    </w:p>
    <w:p w:rsidR="00A75624" w:rsidRPr="008C78B6" w:rsidP="00016D1B" w14:paraId="5F4A6424" w14:textId="77777777">
      <w:pPr>
        <w:keepNext/>
        <w:keepLines/>
        <w:widowControl/>
        <w:rPr>
          <w:spacing w:val="-3"/>
          <w:szCs w:val="22"/>
        </w:rPr>
      </w:pPr>
    </w:p>
    <w:p w:rsidR="00A75624" w:rsidRPr="008C78B6" w:rsidP="00016D1B" w14:paraId="43F093AB" w14:textId="77777777">
      <w:pPr>
        <w:widowControl/>
        <w:rPr>
          <w:spacing w:val="-3"/>
          <w:szCs w:val="22"/>
        </w:rPr>
      </w:pPr>
      <w:r w:rsidRPr="008C78B6">
        <w:rPr>
          <w:spacing w:val="-3"/>
          <w:szCs w:val="22"/>
        </w:rPr>
        <w:t xml:space="preserve">By the </w:t>
      </w:r>
      <w:r>
        <w:rPr>
          <w:spacing w:val="-3"/>
          <w:szCs w:val="22"/>
        </w:rPr>
        <w:t xml:space="preserve">Acting </w:t>
      </w:r>
      <w:r w:rsidRPr="008C78B6">
        <w:rPr>
          <w:spacing w:val="-3"/>
          <w:szCs w:val="22"/>
        </w:rPr>
        <w:t>Chief, Office of Engineering and Technology</w:t>
      </w:r>
    </w:p>
    <w:p w:rsidR="00A75624" w:rsidRPr="008C78B6" w:rsidP="00A75624" w14:paraId="7F5DD1BF" w14:textId="77777777">
      <w:pPr>
        <w:rPr>
          <w:spacing w:val="-3"/>
          <w:szCs w:val="22"/>
        </w:rPr>
      </w:pPr>
    </w:p>
    <w:p w:rsidR="00A75624" w:rsidRPr="008C78B6" w:rsidP="00A75624" w14:paraId="4D44894B" w14:textId="77777777">
      <w:pPr>
        <w:jc w:val="center"/>
        <w:rPr>
          <w:spacing w:val="-3"/>
          <w:szCs w:val="22"/>
        </w:rPr>
      </w:pPr>
      <w:r w:rsidRPr="008C78B6">
        <w:rPr>
          <w:spacing w:val="-3"/>
          <w:szCs w:val="22"/>
        </w:rPr>
        <w:t>-FCC-</w:t>
      </w:r>
    </w:p>
    <w:p w:rsidR="005B02C3" w:rsidRPr="00794F29" w:rsidP="00A75624" w14:paraId="0B9DBD43" w14:textId="77777777">
      <w:pPr>
        <w:pStyle w:val="Default"/>
        <w:jc w:val="center"/>
        <w:rPr>
          <w:color w:val="000000" w:themeColor="text1"/>
          <w:szCs w:val="22"/>
        </w:rPr>
      </w:pPr>
    </w:p>
    <w:sectPr w:rsidSect="000E5884">
      <w:headerReference w:type="default" r:id="rId7"/>
      <w:footerReference w:type="even" r:id="rId8"/>
      <w:footerReference w:type="default" r:id="rId9"/>
      <w:headerReference w:type="first" r:id="rId10"/>
      <w:footerReference w:type="first" r:id="rId11"/>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1A419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F8431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411621E"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1462A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2805" w14:paraId="77853C97" w14:textId="77777777">
      <w:r>
        <w:separator/>
      </w:r>
    </w:p>
  </w:footnote>
  <w:footnote w:type="continuationSeparator" w:id="1">
    <w:p w:rsidR="004C2805" w14:paraId="378CE444" w14:textId="77777777">
      <w:r>
        <w:continuationSeparator/>
      </w:r>
    </w:p>
  </w:footnote>
  <w:footnote w:id="2">
    <w:p w:rsidR="00A75624" w:rsidRPr="00D203F6" w:rsidP="00A75624" w14:paraId="2FE322F2" w14:textId="77777777">
      <w:pPr>
        <w:pStyle w:val="FootnoteText"/>
      </w:pPr>
      <w:r>
        <w:rPr>
          <w:rStyle w:val="FootnoteReference"/>
        </w:rPr>
        <w:footnoteRef/>
      </w:r>
      <w:r>
        <w:t xml:space="preserve"> </w:t>
      </w:r>
      <w:r w:rsidRPr="00D203F6">
        <w:t>Proceq USA Inc. Petition to Modify Part 15 Rule Waiver (February 4, 2020)</w:t>
      </w:r>
    </w:p>
  </w:footnote>
  <w:footnote w:id="3">
    <w:p w:rsidR="00A75624" w:rsidP="00A75624" w14:paraId="37C06625" w14:textId="77777777">
      <w:pPr>
        <w:autoSpaceDE w:val="0"/>
        <w:autoSpaceDN w:val="0"/>
        <w:adjustRightInd w:val="0"/>
        <w:rPr>
          <w:sz w:val="20"/>
        </w:rPr>
      </w:pPr>
      <w:r>
        <w:rPr>
          <w:rStyle w:val="FootnoteReference"/>
        </w:rPr>
        <w:footnoteRef/>
      </w:r>
      <w:r>
        <w:t xml:space="preserve"> </w:t>
      </w:r>
      <w:r w:rsidRPr="009A7517">
        <w:rPr>
          <w:sz w:val="20"/>
        </w:rPr>
        <w:t>Proceq USA Inc. Request for Waiver of Part 15 of the Commission’s Rules Applicable to Ultra-Wideband Devices (Sept</w:t>
      </w:r>
      <w:r>
        <w:rPr>
          <w:sz w:val="20"/>
        </w:rPr>
        <w:t xml:space="preserve">. </w:t>
      </w:r>
      <w:r w:rsidRPr="009A7517">
        <w:rPr>
          <w:sz w:val="20"/>
        </w:rPr>
        <w:t xml:space="preserve"> 11, 2017)</w:t>
      </w:r>
      <w:r>
        <w:rPr>
          <w:sz w:val="20"/>
        </w:rPr>
        <w:t>.</w:t>
      </w:r>
      <w:r w:rsidRPr="009A7517">
        <w:rPr>
          <w:sz w:val="20"/>
        </w:rPr>
        <w:t xml:space="preserve"> The original design of Proceq “GPR Live” product was intended to operate within the frequencies range of 972-3822 MHz</w:t>
      </w:r>
      <w:r>
        <w:rPr>
          <w:sz w:val="20"/>
        </w:rPr>
        <w:t>.</w:t>
      </w:r>
    </w:p>
    <w:p w:rsidR="00A75624" w:rsidRPr="00970A02" w:rsidP="00A75624" w14:paraId="6B1B772D" w14:textId="77777777">
      <w:pPr>
        <w:autoSpaceDE w:val="0"/>
        <w:autoSpaceDN w:val="0"/>
        <w:adjustRightInd w:val="0"/>
        <w:rPr>
          <w:sz w:val="20"/>
        </w:rPr>
      </w:pPr>
    </w:p>
  </w:footnote>
  <w:footnote w:id="4">
    <w:p w:rsidR="00A75624" w:rsidP="00A75624" w14:paraId="17B7DC1B" w14:textId="7943E60D">
      <w:pPr>
        <w:autoSpaceDE w:val="0"/>
        <w:autoSpaceDN w:val="0"/>
        <w:adjustRightInd w:val="0"/>
        <w:rPr>
          <w:sz w:val="20"/>
        </w:rPr>
      </w:pPr>
      <w:r>
        <w:rPr>
          <w:rStyle w:val="FootnoteReference"/>
        </w:rPr>
        <w:footnoteRef/>
      </w:r>
      <w:r>
        <w:t xml:space="preserve"> </w:t>
      </w:r>
      <w:r w:rsidRPr="00D203F6">
        <w:rPr>
          <w:sz w:val="20"/>
        </w:rPr>
        <w:t>Proceq USA Inc. Request for Waiver of Section 15.31, 15.503, and 15.521 of the Commission's Rules to Permit the</w:t>
      </w:r>
      <w:r>
        <w:rPr>
          <w:sz w:val="20"/>
        </w:rPr>
        <w:t xml:space="preserve"> </w:t>
      </w:r>
      <w:r w:rsidRPr="00D203F6">
        <w:rPr>
          <w:sz w:val="20"/>
        </w:rPr>
        <w:t xml:space="preserve">Certification and Marketing of Ground Penetrating Radar (GPR) Device that Operates in the 0.2-4 GHz Range, Order, 33 FCC </w:t>
      </w:r>
      <w:r w:rsidRPr="00D203F6">
        <w:rPr>
          <w:sz w:val="20"/>
        </w:rPr>
        <w:t>Rcd</w:t>
      </w:r>
      <w:r w:rsidRPr="00D203F6">
        <w:rPr>
          <w:sz w:val="20"/>
        </w:rPr>
        <w:t xml:space="preserve"> 2258 (OET 2018).</w:t>
      </w:r>
      <w:r>
        <w:rPr>
          <w:sz w:val="20"/>
        </w:rPr>
        <w:t xml:space="preserve"> </w:t>
      </w:r>
    </w:p>
    <w:p w:rsidR="002116BF" w:rsidRPr="00970A02" w:rsidP="00A75624" w14:paraId="3CDD856C" w14:textId="77777777">
      <w:pPr>
        <w:autoSpaceDE w:val="0"/>
        <w:autoSpaceDN w:val="0"/>
        <w:adjustRightInd w:val="0"/>
        <w:rPr>
          <w:sz w:val="20"/>
        </w:rPr>
      </w:pPr>
    </w:p>
  </w:footnote>
  <w:footnote w:id="5">
    <w:p w:rsidR="00A75624" w:rsidP="00A75624" w14:paraId="0383BAE0" w14:textId="77777777">
      <w:pPr>
        <w:pStyle w:val="FootnoteText"/>
      </w:pPr>
      <w:r>
        <w:rPr>
          <w:rStyle w:val="FootnoteReference"/>
        </w:rPr>
        <w:footnoteRef/>
      </w:r>
      <w:r>
        <w:t xml:space="preserve"> </w:t>
      </w:r>
      <w:bookmarkStart w:id="3" w:name="_Hlk39640334"/>
      <w:r w:rsidRPr="00D203F6">
        <w:t>Proceq USA Inc. Request for Waiver of Part 15 of the Commission’s Rules Applicable to Ultra-Wideband Devices, Order, DA 18-251 (rel. March 14, 2018) (“Waiver Order”).</w:t>
      </w:r>
      <w:bookmarkEnd w:id="3"/>
      <w:r w:rsidRPr="00D203F6">
        <w:t xml:space="preserve"> See also 47 C.F.R §§ 15.503(d), 15.31(c), 15.521(d). Even though this waiver request was not placed on Public Notice, the waiver Order was coordinated with National Telecommunications and Information Administration (NTIA).</w:t>
      </w:r>
      <w:r>
        <w:t xml:space="preserve">  </w:t>
      </w:r>
    </w:p>
  </w:footnote>
  <w:footnote w:id="6">
    <w:p w:rsidR="00A75624" w:rsidP="00A75624" w14:paraId="6FA4C64A" w14:textId="77777777">
      <w:pPr>
        <w:pStyle w:val="FootnoteText"/>
      </w:pPr>
      <w:r>
        <w:rPr>
          <w:rStyle w:val="FootnoteReference"/>
        </w:rPr>
        <w:footnoteRef/>
      </w:r>
      <w:r>
        <w:t xml:space="preserve"> </w:t>
      </w:r>
      <w:r w:rsidRPr="00D203F6">
        <w:t xml:space="preserve">Letter from Terry G. Mahn, Counsel to </w:t>
      </w:r>
      <w:r w:rsidRPr="00D203F6">
        <w:t>Proseq</w:t>
      </w:r>
      <w:r w:rsidRPr="00D203F6">
        <w:t xml:space="preserve"> USA Inc., to Marlene H. Dortch, Secretary, Federal Communications Commission (May 17, 2019) (filed in INBOX-PART 15 in the Commission’s Electronic Comment Filing System) (Proseq Waiver Modification Letter).  This letter corrected and replaced an earlier submission made on behalf of Proseq on December 17, 2018. The corrected letter was to request the extended frequency range by 2000 MHz in the upper end of the frequency range and that Proceq does not alter the technical and operational conditions </w:t>
      </w:r>
      <w:r>
        <w:t>included in the existing waiver.</w:t>
      </w:r>
    </w:p>
  </w:footnote>
  <w:footnote w:id="7">
    <w:p w:rsidR="00A75624" w:rsidP="00A75624" w14:paraId="1F57F773" w14:textId="77777777">
      <w:pPr>
        <w:pStyle w:val="FootnoteText"/>
      </w:pPr>
      <w:r>
        <w:rPr>
          <w:rStyle w:val="FootnoteReference"/>
        </w:rPr>
        <w:footnoteRef/>
      </w:r>
      <w:r>
        <w:t xml:space="preserve"> </w:t>
      </w:r>
      <w:r w:rsidRPr="005F32C9">
        <w:t>Request for Modification of Waiver Granted to Proceq USA Inc. Order, DA 19-892 (rel. September 11, 2019) (“Waiver Order”).</w:t>
      </w:r>
    </w:p>
  </w:footnote>
  <w:footnote w:id="8">
    <w:p w:rsidR="00A75624" w:rsidRPr="00E06DAD" w:rsidP="00A75624" w14:paraId="0CBCC648" w14:textId="77777777">
      <w:pPr>
        <w:pStyle w:val="FootnoteText"/>
        <w:rPr>
          <w:i/>
          <w:iCs/>
        </w:rPr>
      </w:pPr>
      <w:r>
        <w:rPr>
          <w:rStyle w:val="FootnoteReference"/>
        </w:rPr>
        <w:footnoteRef/>
      </w:r>
      <w:r>
        <w:t xml:space="preserve">  </w:t>
      </w:r>
      <w:r>
        <w:rPr>
          <w:i/>
          <w:iCs/>
        </w:rPr>
        <w:t xml:space="preserve">See </w:t>
      </w:r>
      <w:r w:rsidRPr="00E06DAD">
        <w:rPr>
          <w:i/>
          <w:iCs/>
        </w:rPr>
        <w:t>FCC Announces Closure of FCC Headquarters Open Window and Change in Hand-Delivery Policy</w:t>
      </w:r>
      <w:r w:rsidRPr="00E06DAD">
        <w:t>, Public Notice, DA 20-304 (March 19, 2020)</w:t>
      </w:r>
      <w:r>
        <w:t xml:space="preserve">, </w:t>
      </w:r>
      <w:hyperlink r:id="rId1" w:history="1">
        <w:r w:rsidRPr="004317CC">
          <w:rPr>
            <w:rStyle w:val="Hyperlink"/>
          </w:rPr>
          <w:t>https://www.fcc.gov/document/fcc-closes-headquarters-open-window-and-changes-hand-delivery-policy</w:t>
        </w:r>
      </w:hyperlink>
      <w:r w:rsidRPr="004F13CC">
        <w:rPr>
          <w:rFonts w:eastAsia="Calibri"/>
        </w:rPr>
        <w:t>.</w:t>
      </w:r>
      <w:r w:rsidRPr="00E06DA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14:paraId="71CFE714" w14:textId="77777777">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29B327D"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1D1490C3" w14:textId="77777777">
                    <w:pPr>
                      <w:rPr>
                        <w:rFonts w:ascii="Arial" w:hAnsi="Arial"/>
                        <w:b/>
                      </w:rPr>
                    </w:pPr>
                    <w:r>
                      <w:rPr>
                        <w:rFonts w:ascii="Arial" w:hAnsi="Arial"/>
                        <w:b/>
                      </w:rPr>
                      <w:t>Federal Communications Commission</w:t>
                    </w:r>
                  </w:p>
                  <w:p w:rsidR="009838BC" w:rsidP="009838BC" w14:paraId="39023F5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43BBE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312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6ECAFE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907394B" w14:textId="77777777">
                    <w:pPr>
                      <w:spacing w:before="40"/>
                      <w:jc w:val="right"/>
                      <w:rPr>
                        <w:rFonts w:ascii="Arial" w:hAnsi="Arial"/>
                        <w:b/>
                        <w:sz w:val="16"/>
                      </w:rPr>
                    </w:pPr>
                    <w:r>
                      <w:rPr>
                        <w:rFonts w:ascii="Arial" w:hAnsi="Arial"/>
                        <w:b/>
                        <w:sz w:val="16"/>
                      </w:rPr>
                      <w:t>News Media Information 202 / 418-0500</w:t>
                    </w:r>
                  </w:p>
                  <w:p w:rsidR="009838BC" w:rsidP="009838BC" w14:paraId="652DCA96"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28C1BC41"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1A"/>
    <w:rsid w:val="00013A8B"/>
    <w:rsid w:val="000145B0"/>
    <w:rsid w:val="00015F06"/>
    <w:rsid w:val="00016D1B"/>
    <w:rsid w:val="00017395"/>
    <w:rsid w:val="00022019"/>
    <w:rsid w:val="00027AFF"/>
    <w:rsid w:val="00031D2D"/>
    <w:rsid w:val="000355D9"/>
    <w:rsid w:val="0006476B"/>
    <w:rsid w:val="000757CC"/>
    <w:rsid w:val="00083052"/>
    <w:rsid w:val="0009394F"/>
    <w:rsid w:val="000A1319"/>
    <w:rsid w:val="000A1CE9"/>
    <w:rsid w:val="000A2867"/>
    <w:rsid w:val="000C2B28"/>
    <w:rsid w:val="000C4809"/>
    <w:rsid w:val="000D6929"/>
    <w:rsid w:val="000E0357"/>
    <w:rsid w:val="000E5324"/>
    <w:rsid w:val="000F0DB7"/>
    <w:rsid w:val="000F27F8"/>
    <w:rsid w:val="000F5FB5"/>
    <w:rsid w:val="00105736"/>
    <w:rsid w:val="00122A0D"/>
    <w:rsid w:val="001373E4"/>
    <w:rsid w:val="00140880"/>
    <w:rsid w:val="00190FC9"/>
    <w:rsid w:val="001940E0"/>
    <w:rsid w:val="001948E3"/>
    <w:rsid w:val="00196996"/>
    <w:rsid w:val="001A5420"/>
    <w:rsid w:val="001B0B18"/>
    <w:rsid w:val="001C053C"/>
    <w:rsid w:val="001C224C"/>
    <w:rsid w:val="001D1999"/>
    <w:rsid w:val="001D6FA2"/>
    <w:rsid w:val="001E62F6"/>
    <w:rsid w:val="00202324"/>
    <w:rsid w:val="0020456C"/>
    <w:rsid w:val="00206590"/>
    <w:rsid w:val="002116BF"/>
    <w:rsid w:val="002129B1"/>
    <w:rsid w:val="00215D0A"/>
    <w:rsid w:val="0023416C"/>
    <w:rsid w:val="0024019D"/>
    <w:rsid w:val="00247DCD"/>
    <w:rsid w:val="002576E2"/>
    <w:rsid w:val="0027655A"/>
    <w:rsid w:val="002815E8"/>
    <w:rsid w:val="0028229B"/>
    <w:rsid w:val="00290153"/>
    <w:rsid w:val="00292F35"/>
    <w:rsid w:val="002D1604"/>
    <w:rsid w:val="002D78F0"/>
    <w:rsid w:val="002E0BAC"/>
    <w:rsid w:val="002F3557"/>
    <w:rsid w:val="002F5E30"/>
    <w:rsid w:val="003266EE"/>
    <w:rsid w:val="003364FD"/>
    <w:rsid w:val="00344523"/>
    <w:rsid w:val="00357D50"/>
    <w:rsid w:val="003855AD"/>
    <w:rsid w:val="003A01DE"/>
    <w:rsid w:val="003B12A0"/>
    <w:rsid w:val="003D3DB5"/>
    <w:rsid w:val="003E0265"/>
    <w:rsid w:val="003F0B43"/>
    <w:rsid w:val="0040572D"/>
    <w:rsid w:val="0040712E"/>
    <w:rsid w:val="00413180"/>
    <w:rsid w:val="00426D88"/>
    <w:rsid w:val="004317CC"/>
    <w:rsid w:val="004428E6"/>
    <w:rsid w:val="00495720"/>
    <w:rsid w:val="004B3C7B"/>
    <w:rsid w:val="004B63B9"/>
    <w:rsid w:val="004C2805"/>
    <w:rsid w:val="004C2CBA"/>
    <w:rsid w:val="004D0C49"/>
    <w:rsid w:val="004F13CC"/>
    <w:rsid w:val="004F3741"/>
    <w:rsid w:val="004F5DA5"/>
    <w:rsid w:val="0051230D"/>
    <w:rsid w:val="00512990"/>
    <w:rsid w:val="00517C2F"/>
    <w:rsid w:val="00530BF3"/>
    <w:rsid w:val="0053244B"/>
    <w:rsid w:val="00546A73"/>
    <w:rsid w:val="0055614C"/>
    <w:rsid w:val="005632B4"/>
    <w:rsid w:val="005639E4"/>
    <w:rsid w:val="005652D0"/>
    <w:rsid w:val="005727D9"/>
    <w:rsid w:val="00573A84"/>
    <w:rsid w:val="00580248"/>
    <w:rsid w:val="005A26A5"/>
    <w:rsid w:val="005A42C3"/>
    <w:rsid w:val="005B02C3"/>
    <w:rsid w:val="005C15B9"/>
    <w:rsid w:val="005D225C"/>
    <w:rsid w:val="005D5E08"/>
    <w:rsid w:val="005E4126"/>
    <w:rsid w:val="005F32C9"/>
    <w:rsid w:val="005F7073"/>
    <w:rsid w:val="006031FB"/>
    <w:rsid w:val="00611C53"/>
    <w:rsid w:val="0061552F"/>
    <w:rsid w:val="00637059"/>
    <w:rsid w:val="00642AA3"/>
    <w:rsid w:val="00650EA2"/>
    <w:rsid w:val="006533D2"/>
    <w:rsid w:val="0066196B"/>
    <w:rsid w:val="006651B4"/>
    <w:rsid w:val="00667D36"/>
    <w:rsid w:val="0068314E"/>
    <w:rsid w:val="00684C6B"/>
    <w:rsid w:val="006A23AD"/>
    <w:rsid w:val="006A76FC"/>
    <w:rsid w:val="006C4899"/>
    <w:rsid w:val="006D2AED"/>
    <w:rsid w:val="006D7FF5"/>
    <w:rsid w:val="006E43ED"/>
    <w:rsid w:val="006F7393"/>
    <w:rsid w:val="00701609"/>
    <w:rsid w:val="00702EB4"/>
    <w:rsid w:val="00711231"/>
    <w:rsid w:val="0071218C"/>
    <w:rsid w:val="0073111F"/>
    <w:rsid w:val="00743F66"/>
    <w:rsid w:val="00743F99"/>
    <w:rsid w:val="00751CFF"/>
    <w:rsid w:val="00760B91"/>
    <w:rsid w:val="00761711"/>
    <w:rsid w:val="00794452"/>
    <w:rsid w:val="00794F29"/>
    <w:rsid w:val="007A4AF2"/>
    <w:rsid w:val="007C7384"/>
    <w:rsid w:val="007E76C7"/>
    <w:rsid w:val="007F000A"/>
    <w:rsid w:val="007F0D21"/>
    <w:rsid w:val="007F773C"/>
    <w:rsid w:val="0080015B"/>
    <w:rsid w:val="00800451"/>
    <w:rsid w:val="008067A2"/>
    <w:rsid w:val="00806842"/>
    <w:rsid w:val="00811CE0"/>
    <w:rsid w:val="00821E84"/>
    <w:rsid w:val="00823C75"/>
    <w:rsid w:val="008357A1"/>
    <w:rsid w:val="00835B54"/>
    <w:rsid w:val="00866F53"/>
    <w:rsid w:val="0087131B"/>
    <w:rsid w:val="00887BC9"/>
    <w:rsid w:val="00891DEF"/>
    <w:rsid w:val="00893D05"/>
    <w:rsid w:val="008C0DF6"/>
    <w:rsid w:val="008C60B9"/>
    <w:rsid w:val="008C78B6"/>
    <w:rsid w:val="008C7C83"/>
    <w:rsid w:val="008D6E12"/>
    <w:rsid w:val="008F45C4"/>
    <w:rsid w:val="009043CF"/>
    <w:rsid w:val="00904820"/>
    <w:rsid w:val="00910F12"/>
    <w:rsid w:val="00912839"/>
    <w:rsid w:val="00913DF1"/>
    <w:rsid w:val="00916412"/>
    <w:rsid w:val="009222FA"/>
    <w:rsid w:val="0092351A"/>
    <w:rsid w:val="00945DC0"/>
    <w:rsid w:val="009549FD"/>
    <w:rsid w:val="00954BAD"/>
    <w:rsid w:val="00955C6E"/>
    <w:rsid w:val="00956A4A"/>
    <w:rsid w:val="00964FFA"/>
    <w:rsid w:val="00970807"/>
    <w:rsid w:val="00970A02"/>
    <w:rsid w:val="00973086"/>
    <w:rsid w:val="009838BC"/>
    <w:rsid w:val="00983925"/>
    <w:rsid w:val="009A4EBC"/>
    <w:rsid w:val="009A7517"/>
    <w:rsid w:val="009D0797"/>
    <w:rsid w:val="009E02A7"/>
    <w:rsid w:val="009E2AA7"/>
    <w:rsid w:val="009E5DAC"/>
    <w:rsid w:val="009F2C6C"/>
    <w:rsid w:val="00A10E5A"/>
    <w:rsid w:val="00A1359A"/>
    <w:rsid w:val="00A15677"/>
    <w:rsid w:val="00A24D24"/>
    <w:rsid w:val="00A46318"/>
    <w:rsid w:val="00A477C4"/>
    <w:rsid w:val="00A66F88"/>
    <w:rsid w:val="00A75624"/>
    <w:rsid w:val="00A85495"/>
    <w:rsid w:val="00A866AC"/>
    <w:rsid w:val="00AB642D"/>
    <w:rsid w:val="00AB745F"/>
    <w:rsid w:val="00AE32BD"/>
    <w:rsid w:val="00AE4842"/>
    <w:rsid w:val="00AF17B4"/>
    <w:rsid w:val="00AF777D"/>
    <w:rsid w:val="00B001BB"/>
    <w:rsid w:val="00B01C85"/>
    <w:rsid w:val="00B025E6"/>
    <w:rsid w:val="00B2566C"/>
    <w:rsid w:val="00B26D50"/>
    <w:rsid w:val="00B3693A"/>
    <w:rsid w:val="00B36945"/>
    <w:rsid w:val="00B473E5"/>
    <w:rsid w:val="00B5014D"/>
    <w:rsid w:val="00B650A8"/>
    <w:rsid w:val="00B67A08"/>
    <w:rsid w:val="00B77C22"/>
    <w:rsid w:val="00B94B7F"/>
    <w:rsid w:val="00BA0630"/>
    <w:rsid w:val="00BA2DC1"/>
    <w:rsid w:val="00BA3C8F"/>
    <w:rsid w:val="00BB5293"/>
    <w:rsid w:val="00BB569A"/>
    <w:rsid w:val="00BC0EA7"/>
    <w:rsid w:val="00BC1F1F"/>
    <w:rsid w:val="00BD2248"/>
    <w:rsid w:val="00BE3BA4"/>
    <w:rsid w:val="00BE3EC1"/>
    <w:rsid w:val="00BF2EEA"/>
    <w:rsid w:val="00BF4598"/>
    <w:rsid w:val="00C00D9C"/>
    <w:rsid w:val="00C02D63"/>
    <w:rsid w:val="00C12BC0"/>
    <w:rsid w:val="00C14012"/>
    <w:rsid w:val="00C2696F"/>
    <w:rsid w:val="00C27133"/>
    <w:rsid w:val="00C279F2"/>
    <w:rsid w:val="00C3614A"/>
    <w:rsid w:val="00C51E1C"/>
    <w:rsid w:val="00C600D4"/>
    <w:rsid w:val="00C76A6C"/>
    <w:rsid w:val="00CB1A6F"/>
    <w:rsid w:val="00CC02A9"/>
    <w:rsid w:val="00CC1FBF"/>
    <w:rsid w:val="00CC4D6D"/>
    <w:rsid w:val="00CC7363"/>
    <w:rsid w:val="00CD3084"/>
    <w:rsid w:val="00CD34DC"/>
    <w:rsid w:val="00CD3CF5"/>
    <w:rsid w:val="00CD6582"/>
    <w:rsid w:val="00CE07BA"/>
    <w:rsid w:val="00CE3275"/>
    <w:rsid w:val="00D203F6"/>
    <w:rsid w:val="00D216CD"/>
    <w:rsid w:val="00D30DD7"/>
    <w:rsid w:val="00D4491A"/>
    <w:rsid w:val="00D90628"/>
    <w:rsid w:val="00D965DB"/>
    <w:rsid w:val="00DA0A0F"/>
    <w:rsid w:val="00DB1C76"/>
    <w:rsid w:val="00DB5CAC"/>
    <w:rsid w:val="00DD0B05"/>
    <w:rsid w:val="00E06DAD"/>
    <w:rsid w:val="00E13D38"/>
    <w:rsid w:val="00E32DDF"/>
    <w:rsid w:val="00E37F67"/>
    <w:rsid w:val="00E44E19"/>
    <w:rsid w:val="00E513C7"/>
    <w:rsid w:val="00E5255A"/>
    <w:rsid w:val="00E574CD"/>
    <w:rsid w:val="00E60438"/>
    <w:rsid w:val="00E9179A"/>
    <w:rsid w:val="00EA63EB"/>
    <w:rsid w:val="00EE7D96"/>
    <w:rsid w:val="00EF444C"/>
    <w:rsid w:val="00F01A27"/>
    <w:rsid w:val="00F03E9E"/>
    <w:rsid w:val="00F06201"/>
    <w:rsid w:val="00F11E00"/>
    <w:rsid w:val="00F43CCF"/>
    <w:rsid w:val="00F50131"/>
    <w:rsid w:val="00F5304F"/>
    <w:rsid w:val="00F62749"/>
    <w:rsid w:val="00F72060"/>
    <w:rsid w:val="00F758B3"/>
    <w:rsid w:val="00F90852"/>
    <w:rsid w:val="00F915F8"/>
    <w:rsid w:val="00F96F63"/>
    <w:rsid w:val="00FA16E1"/>
    <w:rsid w:val="00FB5A02"/>
    <w:rsid w:val="00FC0872"/>
    <w:rsid w:val="00FC0E3D"/>
    <w:rsid w:val="00FF251F"/>
    <w:rsid w:val="00FF3979"/>
    <w:rsid w:val="00FF7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9EB8FFD-E5BC-457F-BE51-74D9FC00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5B02C3"/>
    <w:rPr>
      <w:color w:val="808080"/>
      <w:shd w:val="clear" w:color="auto" w:fill="E6E6E6"/>
    </w:rPr>
  </w:style>
  <w:style w:type="paragraph" w:styleId="BalloonText">
    <w:name w:val="Balloon Text"/>
    <w:basedOn w:val="Normal"/>
    <w:link w:val="BalloonTextChar"/>
    <w:uiPriority w:val="99"/>
    <w:semiHidden/>
    <w:unhideWhenUsed/>
    <w:rsid w:val="005A4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C3"/>
    <w:rPr>
      <w:rFonts w:ascii="Segoe UI" w:hAnsi="Segoe UI" w:cs="Segoe UI"/>
      <w:snapToGrid w:val="0"/>
      <w:kern w:val="28"/>
      <w:sz w:val="18"/>
      <w:szCs w:val="18"/>
    </w:rPr>
  </w:style>
  <w:style w:type="character" w:styleId="CommentReference">
    <w:name w:val="annotation reference"/>
    <w:basedOn w:val="DefaultParagraphFont"/>
    <w:semiHidden/>
    <w:unhideWhenUsed/>
    <w:rsid w:val="00B9558B"/>
    <w:rPr>
      <w:sz w:val="16"/>
      <w:szCs w:val="16"/>
    </w:rPr>
  </w:style>
  <w:style w:type="paragraph" w:styleId="CommentText">
    <w:name w:val="annotation text"/>
    <w:basedOn w:val="Normal"/>
    <w:link w:val="CommentTextChar"/>
    <w:semiHidden/>
    <w:unhideWhenUsed/>
    <w:rsid w:val="00B9558B"/>
    <w:rPr>
      <w:sz w:val="20"/>
    </w:rPr>
  </w:style>
  <w:style w:type="character" w:customStyle="1" w:styleId="CommentTextChar">
    <w:name w:val="Comment Text Char"/>
    <w:basedOn w:val="DefaultParagraphFont"/>
    <w:link w:val="CommentText"/>
    <w:semiHidden/>
    <w:rsid w:val="00B9558B"/>
    <w:rPr>
      <w:snapToGrid w:val="0"/>
      <w:kern w:val="28"/>
    </w:rPr>
  </w:style>
  <w:style w:type="paragraph" w:styleId="CommentSubject">
    <w:name w:val="annotation subject"/>
    <w:basedOn w:val="CommentText"/>
    <w:next w:val="CommentText"/>
    <w:link w:val="CommentSubjectChar"/>
    <w:uiPriority w:val="99"/>
    <w:semiHidden/>
    <w:unhideWhenUsed/>
    <w:rsid w:val="00B9558B"/>
    <w:rPr>
      <w:b/>
      <w:bCs/>
    </w:rPr>
  </w:style>
  <w:style w:type="character" w:customStyle="1" w:styleId="CommentSubjectChar">
    <w:name w:val="Comment Subject Char"/>
    <w:basedOn w:val="CommentTextChar"/>
    <w:link w:val="CommentSubject"/>
    <w:uiPriority w:val="99"/>
    <w:semiHidden/>
    <w:rsid w:val="00B9558B"/>
    <w:rPr>
      <w:b/>
      <w:bCs/>
      <w:snapToGrid w:val="0"/>
      <w:kern w:val="28"/>
    </w:rPr>
  </w:style>
  <w:style w:type="paragraph" w:styleId="Revision">
    <w:name w:val="Revision"/>
    <w:hidden/>
    <w:uiPriority w:val="99"/>
    <w:semiHidden/>
    <w:rsid w:val="00B9558B"/>
    <w:rPr>
      <w:snapToGrid w:val="0"/>
      <w:kern w:val="28"/>
      <w:sz w:val="22"/>
    </w:rPr>
  </w:style>
  <w:style w:type="paragraph" w:customStyle="1" w:styleId="Default">
    <w:name w:val="Default"/>
    <w:rsid w:val="009E2AA7"/>
    <w:pPr>
      <w:autoSpaceDE w:val="0"/>
      <w:autoSpaceDN w:val="0"/>
      <w:adjustRightInd w:val="0"/>
    </w:pPr>
    <w:rPr>
      <w:color w:val="000000"/>
      <w:sz w:val="24"/>
      <w:szCs w:val="24"/>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link w:val="FootnoteText"/>
    <w:rsid w:val="00FC0872"/>
  </w:style>
  <w:style w:type="character" w:customStyle="1" w:styleId="UnresolvedMention2">
    <w:name w:val="Unresolved Mention2"/>
    <w:basedOn w:val="DefaultParagraphFont"/>
    <w:uiPriority w:val="99"/>
    <w:rsid w:val="00A477C4"/>
    <w:rPr>
      <w:color w:val="605E5C"/>
      <w:shd w:val="clear" w:color="auto" w:fill="E1DFDD"/>
    </w:rPr>
  </w:style>
  <w:style w:type="character" w:styleId="FollowedHyperlink">
    <w:name w:val="FollowedHyperlink"/>
    <w:basedOn w:val="DefaultParagraphFont"/>
    <w:uiPriority w:val="99"/>
    <w:semiHidden/>
    <w:unhideWhenUsed/>
    <w:rsid w:val="00B473E5"/>
    <w:rPr>
      <w:color w:val="954F72" w:themeColor="followedHyperlink"/>
      <w:u w:val="single"/>
    </w:rPr>
  </w:style>
  <w:style w:type="character" w:customStyle="1" w:styleId="UnresolvedMention3">
    <w:name w:val="Unresolved Mention3"/>
    <w:basedOn w:val="DefaultParagraphFont"/>
    <w:uiPriority w:val="99"/>
    <w:rsid w:val="000F5FB5"/>
    <w:rPr>
      <w:color w:val="605E5C"/>
      <w:shd w:val="clear" w:color="auto" w:fill="E1DFDD"/>
    </w:rPr>
  </w:style>
  <w:style w:type="paragraph" w:styleId="ListParagraph">
    <w:name w:val="List Paragraph"/>
    <w:basedOn w:val="Normal"/>
    <w:uiPriority w:val="34"/>
    <w:qFormat/>
    <w:rsid w:val="00BE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