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65CA">
      <w:pPr>
        <w:rPr>
          <w:sz w:val="23"/>
        </w:rPr>
        <w:sectPr>
          <w:footerReference w:type="even" r:id="rId5"/>
          <w:footerReference w:type="default" r:id="rId6"/>
          <w:headerReference w:type="first" r:id="rId7"/>
          <w:footerReference w:type="first" r:id="rId8"/>
          <w:endnotePr>
            <w:numFmt w:val="decimal"/>
          </w:endnotePr>
          <w:pgSz w:w="12240" w:h="15840"/>
          <w:pgMar w:top="720" w:right="720" w:bottom="1440" w:left="720" w:header="720" w:footer="1440" w:gutter="0"/>
          <w:pgNumType w:start="1"/>
          <w:cols w:space="720"/>
          <w:noEndnote/>
          <w:titlePg/>
        </w:sectPr>
      </w:pPr>
      <w:r>
        <w:rPr>
          <w:sz w:val="23"/>
        </w:rPr>
        <w:t xml:space="preserve"> </w:t>
      </w:r>
    </w:p>
    <w:p w:rsidR="00C865CA">
      <w:pPr>
        <w:suppressAutoHyphens/>
        <w:jc w:val="right"/>
        <w:rPr>
          <w:b/>
        </w:rPr>
      </w:pPr>
      <w:bookmarkStart w:id="0" w:name="_GoBack"/>
      <w:r>
        <w:rPr>
          <w:b/>
        </w:rPr>
        <w:t xml:space="preserve">DA </w:t>
      </w:r>
      <w:r w:rsidR="00BE43F4">
        <w:rPr>
          <w:b/>
        </w:rPr>
        <w:t>20</w:t>
      </w:r>
      <w:r>
        <w:rPr>
          <w:b/>
        </w:rPr>
        <w:t>-</w:t>
      </w:r>
      <w:r w:rsidR="008F2690">
        <w:rPr>
          <w:b/>
        </w:rPr>
        <w:t>499</w:t>
      </w:r>
    </w:p>
    <w:p w:rsidR="00C865CA">
      <w:pPr>
        <w:tabs>
          <w:tab w:val="right" w:pos="9360"/>
        </w:tabs>
        <w:suppressAutoHyphens/>
        <w:spacing w:after="240"/>
        <w:jc w:val="left"/>
        <w:rPr>
          <w:b/>
        </w:rPr>
      </w:pPr>
      <w:r>
        <w:rPr>
          <w:b/>
        </w:rPr>
        <w:tab/>
        <w:t>Released:</w:t>
      </w:r>
      <w:r w:rsidR="00BE43F4">
        <w:rPr>
          <w:b/>
        </w:rPr>
        <w:t xml:space="preserve"> </w:t>
      </w:r>
      <w:r>
        <w:rPr>
          <w:b/>
        </w:rPr>
        <w:t xml:space="preserve"> </w:t>
      </w:r>
      <w:r w:rsidR="00D9214B">
        <w:rPr>
          <w:b/>
        </w:rPr>
        <w:t>May</w:t>
      </w:r>
      <w:r w:rsidR="00BE43F4">
        <w:rPr>
          <w:b/>
        </w:rPr>
        <w:t xml:space="preserve"> </w:t>
      </w:r>
      <w:r w:rsidR="00496B6B">
        <w:rPr>
          <w:b/>
        </w:rPr>
        <w:t>8</w:t>
      </w:r>
      <w:r w:rsidR="00BE43F4">
        <w:rPr>
          <w:b/>
        </w:rPr>
        <w:t>, 2020</w:t>
      </w:r>
    </w:p>
    <w:p w:rsidR="00C865CA">
      <w:pPr>
        <w:suppressAutoHyphens/>
        <w:spacing w:after="240"/>
        <w:jc w:val="center"/>
        <w:rPr>
          <w:b/>
        </w:rPr>
      </w:pPr>
      <w:bookmarkStart w:id="1" w:name="OLE_LINK1"/>
      <w:bookmarkStart w:id="2" w:name="OLE_LINK2"/>
      <w:r>
        <w:rPr>
          <w:b/>
        </w:rPr>
        <w:t>NOTICE OF NON-STREAMLINED DOMESTIC 214 APPLICATION GRANTED</w:t>
      </w:r>
    </w:p>
    <w:bookmarkEnd w:id="1"/>
    <w:bookmarkEnd w:id="2"/>
    <w:p w:rsidR="00C865CA">
      <w:pPr>
        <w:suppressAutoHyphens/>
        <w:spacing w:after="240"/>
        <w:jc w:val="center"/>
        <w:rPr>
          <w:b/>
        </w:rPr>
      </w:pPr>
      <w:r>
        <w:rPr>
          <w:b/>
        </w:rPr>
        <w:t xml:space="preserve">WC Docket No. </w:t>
      </w:r>
      <w:r w:rsidR="00BE43F4">
        <w:rPr>
          <w:b/>
        </w:rPr>
        <w:t>20-69</w:t>
      </w:r>
    </w:p>
    <w:bookmarkEnd w:id="0"/>
    <w:p w:rsidR="00C865CA" w:rsidP="00C75BC5">
      <w:pPr>
        <w:widowControl/>
        <w:ind w:firstLine="720"/>
        <w:jc w:val="left"/>
        <w:rPr>
          <w:szCs w:val="24"/>
        </w:rPr>
      </w:pPr>
      <w:r>
        <w:t>By this Public Notice, the Wireline Competition Bureau (Bureau) grants the a</w:t>
      </w:r>
      <w:r w:rsidR="00156EDD">
        <w:rPr>
          <w:szCs w:val="24"/>
        </w:rPr>
        <w:t xml:space="preserve">pplication </w:t>
      </w:r>
      <w:r>
        <w:rPr>
          <w:szCs w:val="24"/>
        </w:rPr>
        <w:t xml:space="preserve">filed by </w:t>
      </w:r>
      <w:r w:rsidR="00156EDD">
        <w:rPr>
          <w:szCs w:val="24"/>
        </w:rPr>
        <w:t xml:space="preserve"> </w:t>
      </w:r>
      <w:r w:rsidRPr="003B5ACD">
        <w:rPr>
          <w:szCs w:val="22"/>
        </w:rPr>
        <w:t>Onvoy, LLC (Onvoy) and Garden Valley Telephone Company (Garden Valley) (collectively, Applicants), pursuant to section 214 of the Communications Act of 1934, as amended, and sections 63.03-04 of the Commission’s rules</w:t>
      </w:r>
      <w:bookmarkStart w:id="3" w:name="_Hlk19805232"/>
      <w:r w:rsidRPr="003B5ACD">
        <w:rPr>
          <w:szCs w:val="22"/>
        </w:rPr>
        <w:t>,</w:t>
      </w:r>
      <w:bookmarkEnd w:id="3"/>
      <w:r w:rsidRPr="003B5ACD">
        <w:rPr>
          <w:color w:val="231F20"/>
          <w:szCs w:val="22"/>
        </w:rPr>
        <w:t xml:space="preserve"> req</w:t>
      </w:r>
      <w:r w:rsidRPr="003B5ACD">
        <w:rPr>
          <w:szCs w:val="22"/>
        </w:rPr>
        <w:t xml:space="preserve">uesting approval for the transfer of certain </w:t>
      </w:r>
      <w:r>
        <w:rPr>
          <w:szCs w:val="22"/>
        </w:rPr>
        <w:t>assets</w:t>
      </w:r>
      <w:r w:rsidRPr="003B5ACD">
        <w:rPr>
          <w:szCs w:val="22"/>
        </w:rPr>
        <w:t xml:space="preserve"> of Onvoy </w:t>
      </w:r>
      <w:r>
        <w:rPr>
          <w:szCs w:val="22"/>
        </w:rPr>
        <w:t>to</w:t>
      </w:r>
      <w:r w:rsidRPr="003B5ACD">
        <w:rPr>
          <w:szCs w:val="22"/>
        </w:rPr>
        <w:t xml:space="preserve"> Garden Valley</w:t>
      </w:r>
      <w:r w:rsidR="00156EDD">
        <w:rPr>
          <w:szCs w:val="24"/>
        </w:rPr>
        <w:t>.</w:t>
      </w:r>
      <w:r>
        <w:rPr>
          <w:rStyle w:val="FootnoteReference"/>
          <w:szCs w:val="24"/>
        </w:rPr>
        <w:footnoteReference w:id="2"/>
      </w:r>
      <w:r w:rsidR="0024652E">
        <w:rPr>
          <w:szCs w:val="24"/>
        </w:rPr>
        <w:t xml:space="preserve"> </w:t>
      </w:r>
      <w:r w:rsidR="00C75BC5">
        <w:rPr>
          <w:szCs w:val="24"/>
        </w:rPr>
        <w:t xml:space="preserve"> </w:t>
      </w:r>
      <w:r>
        <w:rPr>
          <w:szCs w:val="24"/>
        </w:rPr>
        <w:t xml:space="preserve">No </w:t>
      </w:r>
      <w:r w:rsidR="009D764B">
        <w:rPr>
          <w:szCs w:val="24"/>
        </w:rPr>
        <w:t xml:space="preserve">party filed </w:t>
      </w:r>
      <w:r>
        <w:rPr>
          <w:szCs w:val="24"/>
        </w:rPr>
        <w:t xml:space="preserve">comments in opposition to </w:t>
      </w:r>
      <w:r w:rsidR="009D764B">
        <w:rPr>
          <w:szCs w:val="24"/>
        </w:rPr>
        <w:t xml:space="preserve">a grant of </w:t>
      </w:r>
      <w:r>
        <w:rPr>
          <w:szCs w:val="24"/>
        </w:rPr>
        <w:t xml:space="preserve">the </w:t>
      </w:r>
      <w:r w:rsidR="009D764B">
        <w:rPr>
          <w:szCs w:val="24"/>
        </w:rPr>
        <w:t>A</w:t>
      </w:r>
      <w:r>
        <w:rPr>
          <w:szCs w:val="24"/>
        </w:rPr>
        <w:t xml:space="preserve">pplication.  </w:t>
      </w:r>
    </w:p>
    <w:p w:rsidR="00C865CA">
      <w:pPr>
        <w:widowControl/>
        <w:ind w:firstLine="720"/>
        <w:jc w:val="left"/>
        <w:rPr>
          <w:szCs w:val="24"/>
        </w:rPr>
      </w:pPr>
    </w:p>
    <w:p w:rsidR="00D438DE">
      <w:pPr>
        <w:widowControl/>
        <w:ind w:firstLine="720"/>
        <w:jc w:val="left"/>
        <w:rPr>
          <w:szCs w:val="24"/>
        </w:rPr>
      </w:pPr>
      <w:r w:rsidRPr="003B5ACD">
        <w:rPr>
          <w:szCs w:val="22"/>
        </w:rPr>
        <w:t>Onvoy</w:t>
      </w:r>
      <w:r w:rsidR="009D764B">
        <w:rPr>
          <w:szCs w:val="22"/>
        </w:rPr>
        <w:t xml:space="preserve"> </w:t>
      </w:r>
      <w:r w:rsidRPr="00C92BBF">
        <w:rPr>
          <w:szCs w:val="22"/>
        </w:rPr>
        <w:t>is authorized to provide competitive local exchange carrier (LEC) and/or interexchange telecommunications services in the District of Columbia and every state except Alaska.</w:t>
      </w:r>
      <w:r w:rsidRPr="00C92BBF">
        <w:rPr>
          <w:color w:val="231F20"/>
          <w:szCs w:val="22"/>
        </w:rPr>
        <w:t xml:space="preserve"> </w:t>
      </w:r>
      <w:r w:rsidRPr="00C92BBF">
        <w:rPr>
          <w:szCs w:val="22"/>
        </w:rPr>
        <w:t xml:space="preserve"> </w:t>
      </w:r>
      <w:r w:rsidRPr="0018501A" w:rsidR="0018501A">
        <w:rPr>
          <w:snapToGrid/>
          <w:kern w:val="0"/>
          <w:szCs w:val="22"/>
        </w:rPr>
        <w:t>Onvoy provide</w:t>
      </w:r>
      <w:r w:rsidR="0018501A">
        <w:rPr>
          <w:snapToGrid/>
          <w:kern w:val="0"/>
          <w:szCs w:val="22"/>
        </w:rPr>
        <w:t>s</w:t>
      </w:r>
      <w:r w:rsidRPr="0018501A" w:rsidR="0018501A">
        <w:rPr>
          <w:snapToGrid/>
          <w:kern w:val="0"/>
          <w:szCs w:val="22"/>
        </w:rPr>
        <w:t xml:space="preserve"> long distance services under its “Garden Valley Long Distance” branded product to approximately 8,100 customers in, and adjacent to, Garden Valley’s service area (the Onvoy/Garden Valley Customer Base).</w:t>
      </w:r>
      <w:r w:rsidR="0018501A">
        <w:rPr>
          <w:snapToGrid/>
          <w:kern w:val="0"/>
          <w:szCs w:val="22"/>
        </w:rPr>
        <w:t xml:space="preserve">  </w:t>
      </w:r>
      <w:r w:rsidRPr="00D438DE">
        <w:rPr>
          <w:snapToGrid/>
          <w:color w:val="231F20"/>
          <w:kern w:val="0"/>
          <w:szCs w:val="22"/>
        </w:rPr>
        <w:t>Garden Valley</w:t>
      </w:r>
      <w:r w:rsidR="009D764B">
        <w:rPr>
          <w:snapToGrid/>
          <w:color w:val="231F20"/>
          <w:kern w:val="0"/>
          <w:szCs w:val="22"/>
        </w:rPr>
        <w:t xml:space="preserve"> </w:t>
      </w:r>
      <w:r w:rsidRPr="00D438DE">
        <w:rPr>
          <w:snapToGrid/>
          <w:color w:val="231F20"/>
          <w:kern w:val="0"/>
          <w:szCs w:val="22"/>
        </w:rPr>
        <w:t xml:space="preserve">provides services as an </w:t>
      </w:r>
      <w:r w:rsidRPr="00D438DE">
        <w:rPr>
          <w:snapToGrid/>
          <w:kern w:val="0"/>
          <w:szCs w:val="22"/>
        </w:rPr>
        <w:t>incumbent LEC to 24 exchanges and as a competitive LEC to two exchanges in Northeastern Minnesota.</w:t>
      </w:r>
      <w:r>
        <w:rPr>
          <w:snapToGrid/>
          <w:kern w:val="0"/>
          <w:szCs w:val="22"/>
        </w:rPr>
        <w:t xml:space="preserve">  </w:t>
      </w:r>
      <w:r w:rsidRPr="00D438DE">
        <w:rPr>
          <w:snapToGrid/>
          <w:kern w:val="0"/>
          <w:szCs w:val="22"/>
        </w:rPr>
        <w:t xml:space="preserve">Pursuant to the terms of the proposed transaction, Garden Valley will acquire all of Onvoy’s rights, title, interest, and obligations to the </w:t>
      </w:r>
      <w:r w:rsidRPr="00D438DE">
        <w:rPr>
          <w:snapToGrid/>
          <w:kern w:val="0"/>
          <w:szCs w:val="22"/>
        </w:rPr>
        <w:t>long distance</w:t>
      </w:r>
      <w:r w:rsidRPr="00D438DE">
        <w:rPr>
          <w:snapToGrid/>
          <w:kern w:val="0"/>
          <w:szCs w:val="22"/>
        </w:rPr>
        <w:t xml:space="preserve"> telephone service accounts related to the Onvoy/Garden Valley Customer Base.  </w:t>
      </w:r>
    </w:p>
    <w:p w:rsidR="00D438DE">
      <w:pPr>
        <w:widowControl/>
        <w:ind w:firstLine="720"/>
        <w:jc w:val="left"/>
        <w:rPr>
          <w:szCs w:val="24"/>
        </w:rPr>
      </w:pPr>
    </w:p>
    <w:p w:rsidR="00C865CA">
      <w:pPr>
        <w:widowControl/>
        <w:ind w:firstLine="720"/>
        <w:jc w:val="left"/>
        <w:rPr>
          <w:szCs w:val="22"/>
        </w:rPr>
      </w:pPr>
      <w:r>
        <w:rPr>
          <w:szCs w:val="24"/>
        </w:rPr>
        <w:t xml:space="preserve">The Bureau finds, upon consideration of the record, that the proposed transfer </w:t>
      </w:r>
      <w:r w:rsidR="00C75BC5">
        <w:rPr>
          <w:szCs w:val="24"/>
        </w:rPr>
        <w:t xml:space="preserve">of assets </w:t>
      </w:r>
      <w:r>
        <w:rPr>
          <w:szCs w:val="24"/>
        </w:rPr>
        <w:t>will serve the public interest, convenience, and necessity, and therefore grants the requested authorization.</w:t>
      </w:r>
      <w:r>
        <w:rPr>
          <w:rStyle w:val="FootnoteReference"/>
        </w:rPr>
        <w:footnoteReference w:id="3"/>
      </w:r>
      <w:r>
        <w:rPr>
          <w:szCs w:val="24"/>
        </w:rPr>
        <w:t xml:space="preserve">  Pursuant to section 1.103 of the Commission’s rules, 47 C.F.R. § 1.103, the consent granted herein is effective upon the release of the Public Notice.  Petitions for reconsideration under section 1.106 or applications for review under section 1.115 of the Commission’s rules, 47 C.F.R. §§ 1.106, 1.115, may be filed within 30 days of the date of this Public Notice.</w:t>
      </w:r>
    </w:p>
    <w:p w:rsidR="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p>
    <w:p w:rsidR="00C865CA">
      <w:pPr>
        <w:pStyle w:val="BodyText3"/>
        <w:rPr>
          <w:sz w:val="22"/>
        </w:rPr>
      </w:pPr>
      <w:r>
        <w:rPr>
          <w:sz w:val="22"/>
        </w:rPr>
        <w:tab/>
        <w:t xml:space="preserve">For further information, please contact </w:t>
      </w:r>
      <w:r w:rsidR="00C75BC5">
        <w:rPr>
          <w:sz w:val="22"/>
        </w:rPr>
        <w:t>Gregory Kwan, 202-418-1191</w:t>
      </w:r>
      <w:r w:rsidR="003A265C">
        <w:rPr>
          <w:sz w:val="22"/>
        </w:rPr>
        <w:t>, C</w:t>
      </w:r>
      <w:r>
        <w:rPr>
          <w:sz w:val="22"/>
        </w:rPr>
        <w:t>ompetition Policy Division, Wireline Competition Bureau.</w:t>
      </w:r>
    </w:p>
    <w:p w:rsidR="00C865CA">
      <w:pPr>
        <w:pStyle w:val="BodyText3"/>
        <w:rPr>
          <w:sz w:val="22"/>
        </w:rPr>
      </w:pPr>
    </w:p>
    <w:p w:rsidR="00C865CA">
      <w:pPr>
        <w:pStyle w:val="BodyText3"/>
        <w:jc w:val="center"/>
        <w:rPr>
          <w:sz w:val="22"/>
        </w:rPr>
      </w:pPr>
      <w:r>
        <w:rPr>
          <w:b/>
          <w:sz w:val="22"/>
        </w:rPr>
        <w:t>-FCC-</w:t>
      </w:r>
    </w:p>
    <w:p w:rsidR="00C865CA">
      <w:pPr>
        <w:widowControl/>
        <w:autoSpaceDE w:val="0"/>
        <w:autoSpaceDN w:val="0"/>
        <w:adjustRightInd w:val="0"/>
      </w:pPr>
      <w:r>
        <w:t xml:space="preserve">      </w:t>
      </w:r>
    </w:p>
    <w:sectPr>
      <w:endnotePr>
        <w:numFmt w:val="decimal"/>
      </w:endnotePr>
      <w:type w:val="continuous"/>
      <w:pgSz w:w="12240" w:h="15840"/>
      <w:pgMar w:top="1440" w:right="1440" w:bottom="144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003">
      <w:rPr>
        <w:rStyle w:val="PageNumber"/>
        <w:noProof/>
      </w:rPr>
      <w:t>2</w:t>
    </w:r>
    <w:r>
      <w:rPr>
        <w:rStyle w:val="PageNumber"/>
      </w:rPr>
      <w:fldChar w:fldCharType="end"/>
    </w:r>
  </w:p>
  <w:p w:rsidR="00C865CA">
    <w:pPr>
      <w:pStyle w:val="Footer"/>
    </w:pPr>
  </w:p>
  <w:p w:rsidR="00C86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CA">
    <w:pPr>
      <w:pStyle w:val="Footer"/>
      <w:jc w:val="center"/>
      <w:rPr>
        <w:b/>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2E46">
      <w:r>
        <w:separator/>
      </w:r>
    </w:p>
  </w:footnote>
  <w:footnote w:type="continuationSeparator" w:id="1">
    <w:p w:rsidR="009D2E46">
      <w:r>
        <w:continuationSeparator/>
      </w:r>
    </w:p>
  </w:footnote>
  <w:footnote w:id="2">
    <w:p w:rsidR="00156EDD" w:rsidRPr="00FA74B1" w:rsidP="00CD654B">
      <w:pPr>
        <w:pStyle w:val="FootnoteText"/>
      </w:pPr>
      <w:r>
        <w:rPr>
          <w:rStyle w:val="FootnoteReference"/>
        </w:rPr>
        <w:footnoteRef/>
      </w:r>
      <w:r>
        <w:t xml:space="preserve"> </w:t>
      </w:r>
      <w:r>
        <w:rPr>
          <w:i/>
        </w:rPr>
        <w:t>Domestic Section 214</w:t>
      </w:r>
      <w:r w:rsidR="00A3103F">
        <w:rPr>
          <w:i/>
        </w:rPr>
        <w:t xml:space="preserve"> Application Filed for the Acquisition of Assets of</w:t>
      </w:r>
      <w:r w:rsidR="00FA74B1">
        <w:rPr>
          <w:i/>
        </w:rPr>
        <w:t xml:space="preserve"> Onvoy, LLX by Garden Valley Telephone Company</w:t>
      </w:r>
      <w:r w:rsidR="00A3103F">
        <w:t xml:space="preserve">, WC Docket No. </w:t>
      </w:r>
      <w:r w:rsidR="00FA74B1">
        <w:t>20-69</w:t>
      </w:r>
      <w:r w:rsidR="00A3103F">
        <w:t xml:space="preserve"> (filed </w:t>
      </w:r>
      <w:r w:rsidR="00FA74B1">
        <w:t>Mar. 4, 2020)</w:t>
      </w:r>
      <w:r w:rsidR="00B01005">
        <w:t xml:space="preserve"> (Application)</w:t>
      </w:r>
      <w:r w:rsidRPr="00FA74B1" w:rsidR="00C75BC5">
        <w:t>.</w:t>
      </w:r>
      <w:r w:rsidR="00DA5137">
        <w:t xml:space="preserve">  A grant of the </w:t>
      </w:r>
      <w:r w:rsidR="00D9214B">
        <w:t>domestic 214 application</w:t>
      </w:r>
      <w:r w:rsidR="00DA5137">
        <w:t xml:space="preserve"> is without prejudice to Commission action on other related, pending applications. </w:t>
      </w:r>
    </w:p>
  </w:footnote>
  <w:footnote w:id="3">
    <w:p w:rsidR="008E6003" w:rsidRPr="00323A67">
      <w:pPr>
        <w:pStyle w:val="FootnoteText"/>
      </w:pPr>
      <w:r w:rsidRPr="00FA74B1">
        <w:rPr>
          <w:rStyle w:val="FootnoteReference"/>
        </w:rPr>
        <w:footnoteRef/>
      </w:r>
      <w:r w:rsidRPr="00FA74B1">
        <w:t xml:space="preserve"> </w:t>
      </w:r>
      <w:r w:rsidRPr="0025072B" w:rsidR="00DA5137">
        <w:rPr>
          <w:i/>
        </w:rPr>
        <w:t>See</w:t>
      </w:r>
      <w:r w:rsidR="00DA5137">
        <w:rPr>
          <w:i/>
        </w:rPr>
        <w:t>, e.g</w:t>
      </w:r>
      <w:r w:rsidR="00DA5137">
        <w:t xml:space="preserve">., </w:t>
      </w:r>
      <w:r w:rsidRPr="004F4239" w:rsidR="00DA5137">
        <w:rPr>
          <w:i/>
        </w:rPr>
        <w:t>Applications of Level 3 Communications, Inc. and CenturyLink, Inc. for Consent to Transfer Control of Licenses and Authorizations</w:t>
      </w:r>
      <w:r w:rsidR="00DA5137">
        <w:t>, Memorandum Opinion and Order, 32 FCC Rcd 9581, 9594, 9605, paras. 26 and 52 (2017) (finding no harm to competition in CenturyLink’s incumbent LEC territory, nor outside of CenturyLink’s incumbent LEC territory, where applicants operate as competitive LECs, and further finding that the t</w:t>
      </w:r>
      <w:r w:rsidRPr="00516C98" w:rsidR="00DA5137">
        <w:t xml:space="preserve">ransaction </w:t>
      </w:r>
      <w:r w:rsidR="00DA5137">
        <w:t>“</w:t>
      </w:r>
      <w:r w:rsidRPr="00516C98" w:rsidR="00DA5137">
        <w:t>will expand the on-net reach of the newly combined firm resulting in a more effective</w:t>
      </w:r>
      <w:r w:rsidR="009D764B">
        <w:t xml:space="preserve"> </w:t>
      </w:r>
      <w:r w:rsidRPr="00516C98" w:rsidR="00DA5137">
        <w:t>and stronger competitor against larger cable and incumbent LEC competitors, among others, particularly outside of Century Link's incumbent LEC region, where it, like </w:t>
      </w:r>
      <w:r w:rsidRPr="004F4239" w:rsidR="00DA5137">
        <w:rPr>
          <w:bCs/>
        </w:rPr>
        <w:t>Level</w:t>
      </w:r>
      <w:r w:rsidRPr="001415BA" w:rsidR="00DA5137">
        <w:t> </w:t>
      </w:r>
      <w:r w:rsidRPr="004F4239" w:rsidR="00DA5137">
        <w:rPr>
          <w:bCs/>
        </w:rPr>
        <w:t>3</w:t>
      </w:r>
      <w:r w:rsidRPr="00516C98" w:rsidR="00DA5137">
        <w:t>, operates as a competitive LEC.</w:t>
      </w:r>
      <w:r w:rsidR="00DA5137">
        <w:t>”).</w:t>
      </w:r>
      <w:r w:rsidRPr="00516C98" w:rsidR="00DA5137">
        <w:t> </w:t>
      </w:r>
    </w:p>
    <w:p w:rsidR="00C865CA">
      <w:pPr>
        <w:pStyle w:val="FootnoteText"/>
        <w:rPr>
          <w:rFonts w:ascii="TimesNewRoman,Italic" w:hAnsi="TimesNewRoman,Italic" w:cs="TimesNewRoman,Italic"/>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CA">
    <w:pPr>
      <w:framePr w:w="950" w:h="1008" w:hRule="atLeast"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49" type="#_x0000_t75" style="width:47.25pt;height:47.25pt;visibility:visible">
          <v:imagedata r:id="rId1" o:title=""/>
        </v:shape>
      </w:pict>
    </w:r>
  </w:p>
  <w:p w:rsidR="00C865CA">
    <w:pPr>
      <w:suppressAutoHyphens/>
      <w:ind w:firstLine="1080"/>
      <w:rPr>
        <w:rFonts w:ascii="Arial Narrow" w:hAnsi="Arial Narrow"/>
      </w:rPr>
    </w:pPr>
    <w:r>
      <w:rPr>
        <w:rFonts w:ascii="News Gothic MT" w:hAnsi="News Gothic MT"/>
        <w:b/>
        <w:sz w:val="96"/>
      </w:rPr>
      <w:t>PUBLIC NOTICE</w:t>
    </w:r>
  </w:p>
  <w:p w:rsidR="00C865CA">
    <w:pPr>
      <w:suppressAutoHyphens/>
      <w:rPr>
        <w:rFonts w:ascii="Arial Narrow" w:hAnsi="Arial Narrow"/>
      </w:rPr>
    </w:pPr>
  </w:p>
  <w:p w:rsidR="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noProof/>
      </w:rPr>
      <w:pict>
        <v:shapetype id="_x0000_t202" coordsize="21600,21600" o:spt="202" path="m,l,21600r21600,l21600,xe">
          <v:stroke joinstyle="miter"/>
          <v:path gradientshapeok="t" o:connecttype="rect"/>
        </v:shapetype>
        <v:shape id="Text Box 1" o:spid="_x0000_s2050" type="#_x0000_t202" style="width:172.8pt;height:57.6pt;margin-top:0.95pt;margin-left:367.2pt;position:absolute;visibility:visible;z-index:251658240" o:allowincell="f" filled="f" stroked="f">
          <v:textbox>
            <w:txbxContent>
              <w:p w:rsidR="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r>
                  <w:rPr>
                    <w:rFonts w:ascii="Arial" w:hAnsi="Arial"/>
                    <w:sz w:val="16"/>
                  </w:rPr>
                  <w:t>Information  202</w:t>
                </w:r>
                <w:r>
                  <w:rPr>
                    <w:rFonts w:ascii="Arial" w:hAnsi="Arial"/>
                    <w:sz w:val="16"/>
                  </w:rPr>
                  <w:t xml:space="preserve"> / 418-0500</w:t>
                </w:r>
              </w:p>
              <w:p w:rsidR="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r>
                  <w:rPr>
                    <w:rFonts w:ascii="Arial" w:hAnsi="Arial"/>
                    <w:sz w:val="16"/>
                  </w:rPr>
                  <w:t>Demand  202</w:t>
                </w:r>
                <w:r>
                  <w:rPr>
                    <w:rFonts w:ascii="Arial" w:hAnsi="Arial"/>
                    <w:sz w:val="16"/>
                  </w:rPr>
                  <w:t xml:space="preserve"> / 418-2830</w:t>
                </w:r>
              </w:p>
              <w:p w:rsidR="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C865CA">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C865CA"/>
            </w:txbxContent>
          </v:textbox>
        </v:shape>
      </w:pict>
    </w:r>
    <w:r>
      <w:rPr>
        <w:rFonts w:ascii="Arial Narrow" w:hAnsi="Arial Narrow"/>
        <w:b/>
      </w:rPr>
      <w:tab/>
    </w:r>
    <w:r>
      <w:rPr>
        <w:rFonts w:ascii="Arial Narrow" w:hAnsi="Arial Narrow"/>
        <w:b/>
      </w:rPr>
      <w:tab/>
      <w:t>Federal Communications Commission</w:t>
    </w:r>
  </w:p>
  <w:p w:rsidR="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C865C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C865CA">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C86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35B0FFA2"/>
    <w:lvl w:ilvl="0">
      <w:start w:val="1"/>
      <w:numFmt w:val="decimal"/>
      <w:pStyle w:val="ParaNum"/>
      <w:lvlText w:val="%1."/>
      <w:lvlJc w:val="left"/>
      <w:pPr>
        <w:tabs>
          <w:tab w:val="num" w:pos="1080"/>
        </w:tabs>
        <w:ind w:left="0" w:firstLine="720"/>
      </w:pPr>
      <w:rPr>
        <w:b w:val="0"/>
        <w:i w:val="0"/>
      </w:rPr>
    </w:lvl>
  </w:abstractNum>
  <w:abstractNum w:abstractNumId="1">
    <w:nsid w:val="02867871"/>
    <w:multiLevelType w:val="hybridMultilevel"/>
    <w:tmpl w:val="BF0CE23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3F40A0F"/>
    <w:multiLevelType w:val="singleLevel"/>
    <w:tmpl w:val="08143C50"/>
    <w:lvl w:ilvl="0">
      <w:start w:val="1"/>
      <w:numFmt w:val="bullet"/>
      <w:pStyle w:val="Bullet"/>
      <w:lvlText w:val=""/>
      <w:lvlJc w:val="left"/>
      <w:pPr>
        <w:tabs>
          <w:tab w:val="num" w:pos="360"/>
        </w:tabs>
        <w:ind w:left="360" w:hanging="360"/>
      </w:pPr>
      <w:rPr>
        <w:rFonts w:ascii="Symbol" w:hAnsi="Symbol" w:hint="default"/>
      </w:rPr>
    </w:lvl>
  </w:abstractNum>
  <w:abstractNum w:abstractNumId="3">
    <w:nsid w:val="27E06CBB"/>
    <w:multiLevelType w:val="multilevel"/>
    <w:tmpl w:val="8D96592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5">
    <w:nsid w:val="4E2D6667"/>
    <w:multiLevelType w:val="hybridMultilevel"/>
    <w:tmpl w:val="55006EB2"/>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73DF0DF6"/>
    <w:multiLevelType w:val="hybridMultilevel"/>
    <w:tmpl w:val="79902C0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75C607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0"/>
  </w:num>
  <w:num w:numId="30">
    <w:abstractNumId w:val="4"/>
  </w:num>
  <w:num w:numId="31">
    <w:abstractNumId w:val="7"/>
  </w:num>
  <w:num w:numId="32">
    <w:abstractNumId w:val="5"/>
  </w:num>
  <w:num w:numId="33">
    <w:abstractNumId w:val="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F6"/>
    <w:rsid w:val="000051B4"/>
    <w:rsid w:val="00041EED"/>
    <w:rsid w:val="000939F7"/>
    <w:rsid w:val="00094718"/>
    <w:rsid w:val="000A1066"/>
    <w:rsid w:val="001415BA"/>
    <w:rsid w:val="00156EDD"/>
    <w:rsid w:val="0018501A"/>
    <w:rsid w:val="001B4185"/>
    <w:rsid w:val="00203A31"/>
    <w:rsid w:val="0023361B"/>
    <w:rsid w:val="0024652E"/>
    <w:rsid w:val="0025072B"/>
    <w:rsid w:val="0025701E"/>
    <w:rsid w:val="002C0235"/>
    <w:rsid w:val="002C671E"/>
    <w:rsid w:val="00301621"/>
    <w:rsid w:val="00323A67"/>
    <w:rsid w:val="00357A35"/>
    <w:rsid w:val="003812C0"/>
    <w:rsid w:val="003A265C"/>
    <w:rsid w:val="003B5ACD"/>
    <w:rsid w:val="003D7B4B"/>
    <w:rsid w:val="004679F3"/>
    <w:rsid w:val="00485523"/>
    <w:rsid w:val="00496B6B"/>
    <w:rsid w:val="004F4239"/>
    <w:rsid w:val="00516C98"/>
    <w:rsid w:val="00527305"/>
    <w:rsid w:val="00575C7E"/>
    <w:rsid w:val="005A7CBD"/>
    <w:rsid w:val="005B3DD3"/>
    <w:rsid w:val="006215E8"/>
    <w:rsid w:val="00635CF6"/>
    <w:rsid w:val="006F2D73"/>
    <w:rsid w:val="006F3F0E"/>
    <w:rsid w:val="00851CAB"/>
    <w:rsid w:val="008E6003"/>
    <w:rsid w:val="008F2690"/>
    <w:rsid w:val="00945C2D"/>
    <w:rsid w:val="009C41EC"/>
    <w:rsid w:val="009D2E46"/>
    <w:rsid w:val="009D764B"/>
    <w:rsid w:val="00A21B60"/>
    <w:rsid w:val="00A3103F"/>
    <w:rsid w:val="00A410C8"/>
    <w:rsid w:val="00A8565A"/>
    <w:rsid w:val="00A9211F"/>
    <w:rsid w:val="00A95185"/>
    <w:rsid w:val="00B01005"/>
    <w:rsid w:val="00B614DF"/>
    <w:rsid w:val="00B66207"/>
    <w:rsid w:val="00BC00AE"/>
    <w:rsid w:val="00BE43F4"/>
    <w:rsid w:val="00C43692"/>
    <w:rsid w:val="00C75BC5"/>
    <w:rsid w:val="00C865CA"/>
    <w:rsid w:val="00C92BBF"/>
    <w:rsid w:val="00CD654B"/>
    <w:rsid w:val="00D41597"/>
    <w:rsid w:val="00D438DE"/>
    <w:rsid w:val="00D9214B"/>
    <w:rsid w:val="00DA5137"/>
    <w:rsid w:val="00E0427F"/>
    <w:rsid w:val="00E10475"/>
    <w:rsid w:val="00E45B8C"/>
    <w:rsid w:val="00E74D3B"/>
    <w:rsid w:val="00EB240A"/>
    <w:rsid w:val="00EE7530"/>
    <w:rsid w:val="00F1026D"/>
    <w:rsid w:val="00FA5EF0"/>
    <w:rsid w:val="00FA74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numPr>
        <w:numId w:val="20"/>
      </w:numPr>
      <w:suppressAutoHyphens/>
      <w:spacing w:after="220"/>
      <w:outlineLvl w:val="0"/>
    </w:pPr>
    <w:rPr>
      <w:b/>
      <w:caps/>
    </w:rPr>
  </w:style>
  <w:style w:type="paragraph" w:styleId="Heading2">
    <w:name w:val="heading 2"/>
    <w:basedOn w:val="Normal"/>
    <w:next w:val="Normal"/>
    <w:qFormat/>
    <w:pPr>
      <w:keepNext/>
      <w:numPr>
        <w:ilvl w:val="1"/>
        <w:numId w:val="21"/>
      </w:numPr>
      <w:spacing w:after="220"/>
      <w:outlineLvl w:val="1"/>
    </w:pPr>
    <w:rPr>
      <w:b/>
    </w:rPr>
  </w:style>
  <w:style w:type="paragraph" w:styleId="Heading3">
    <w:name w:val="heading 3"/>
    <w:basedOn w:val="Normal"/>
    <w:next w:val="Normal"/>
    <w:qFormat/>
    <w:pPr>
      <w:keepNext/>
      <w:numPr>
        <w:ilvl w:val="2"/>
        <w:numId w:val="22"/>
      </w:numPr>
      <w:spacing w:after="220"/>
      <w:outlineLvl w:val="2"/>
    </w:pPr>
    <w:rPr>
      <w:b/>
    </w:rPr>
  </w:style>
  <w:style w:type="paragraph" w:styleId="Heading4">
    <w:name w:val="heading 4"/>
    <w:basedOn w:val="Normal"/>
    <w:next w:val="Normal"/>
    <w:qFormat/>
    <w:pPr>
      <w:keepNext/>
      <w:numPr>
        <w:ilvl w:val="3"/>
        <w:numId w:val="23"/>
      </w:numPr>
      <w:spacing w:after="220"/>
      <w:outlineLvl w:val="3"/>
    </w:pPr>
    <w:rPr>
      <w:b/>
    </w:rPr>
  </w:style>
  <w:style w:type="paragraph" w:styleId="Heading5">
    <w:name w:val="heading 5"/>
    <w:basedOn w:val="Normal"/>
    <w:next w:val="Normal"/>
    <w:qFormat/>
    <w:pPr>
      <w:keepNext/>
      <w:numPr>
        <w:ilvl w:val="4"/>
        <w:numId w:val="24"/>
      </w:numPr>
      <w:tabs>
        <w:tab w:val="left" w:pos="2880"/>
      </w:tabs>
      <w:suppressAutoHyphens/>
      <w:spacing w:after="220"/>
      <w:outlineLvl w:val="4"/>
    </w:pPr>
    <w:rPr>
      <w:b/>
    </w:rPr>
  </w:style>
  <w:style w:type="paragraph" w:styleId="Heading6">
    <w:name w:val="heading 6"/>
    <w:basedOn w:val="Normal"/>
    <w:next w:val="Normal"/>
    <w:qFormat/>
    <w:pPr>
      <w:numPr>
        <w:ilvl w:val="5"/>
        <w:numId w:val="25"/>
      </w:numPr>
      <w:tabs>
        <w:tab w:val="left" w:pos="2880"/>
      </w:tabs>
      <w:spacing w:after="220"/>
      <w:outlineLvl w:val="5"/>
    </w:pPr>
    <w:rPr>
      <w:b/>
    </w:rPr>
  </w:style>
  <w:style w:type="paragraph" w:styleId="Heading7">
    <w:name w:val="heading 7"/>
    <w:basedOn w:val="Normal"/>
    <w:next w:val="Normal"/>
    <w:qFormat/>
    <w:pPr>
      <w:numPr>
        <w:ilvl w:val="6"/>
        <w:numId w:val="26"/>
      </w:numPr>
      <w:spacing w:after="240"/>
      <w:outlineLvl w:val="6"/>
    </w:pPr>
    <w:rPr>
      <w:b/>
    </w:rPr>
  </w:style>
  <w:style w:type="paragraph" w:styleId="Heading8">
    <w:name w:val="heading 8"/>
    <w:basedOn w:val="Normal"/>
    <w:next w:val="Normal"/>
    <w:qFormat/>
    <w:pPr>
      <w:numPr>
        <w:ilvl w:val="7"/>
        <w:numId w:val="27"/>
      </w:numPr>
      <w:tabs>
        <w:tab w:val="left" w:pos="5040"/>
      </w:tabs>
      <w:spacing w:after="240"/>
      <w:outlineLvl w:val="7"/>
    </w:pPr>
    <w:rPr>
      <w:b/>
    </w:rPr>
  </w:style>
  <w:style w:type="paragraph" w:styleId="Heading9">
    <w:name w:val="heading 9"/>
    <w:basedOn w:val="Normal"/>
    <w:next w:val="Normal"/>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2 Char Char,Footnote Text Char1 Char Char,Footnote Text Char2 Char,Footnote Text Char2 Char1 Char Char Char Char,Footnote Text Char3 Char Char,Footnote Text Char4 Char Char Char Char"/>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numPr>
        <w:numId w:val="19"/>
      </w:numPr>
      <w:tabs>
        <w:tab w:val="clear" w:pos="360"/>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numPr>
        <w:numId w:val="29"/>
      </w:numPr>
      <w:tabs>
        <w:tab w:val="clear" w:pos="108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BodyTextIndent2">
    <w:name w:val="Body Text Indent 2"/>
    <w:basedOn w:val="Normal"/>
    <w:pPr>
      <w:ind w:firstLine="720"/>
    </w:pPr>
    <w:rPr>
      <w:sz w:val="24"/>
    </w:rPr>
  </w:style>
  <w:style w:type="paragraph" w:styleId="BalloonText">
    <w:name w:val="Balloon Text"/>
    <w:basedOn w:val="Normal"/>
    <w:semiHidden/>
    <w:rPr>
      <w:rFonts w:ascii="Tahoma" w:hAnsi="Tahoma" w:cs="Tahoma"/>
      <w:sz w:val="16"/>
      <w:szCs w:val="16"/>
    </w:rPr>
  </w:style>
  <w:style w:type="character" w:customStyle="1" w:styleId="EmailStyle51">
    <w:name w:val="EmailStyle51"/>
    <w:semiHidden/>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