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AF372E" w14:paraId="6745D18D" w14:textId="1E9B144E">
      <w:pPr>
        <w:widowControl/>
        <w:jc w:val="center"/>
        <w:rPr>
          <w:b/>
        </w:rPr>
      </w:pPr>
      <w:bookmarkStart w:id="0" w:name="_Hlk27823008"/>
      <w:r w:rsidRPr="0070224F">
        <w:rPr>
          <w:rFonts w:ascii="Times New Roman Bold" w:hAnsi="Times New Roman Bold"/>
          <w:b/>
          <w:kern w:val="0"/>
          <w:szCs w:val="22"/>
        </w:rPr>
        <w:t>Before</w:t>
      </w:r>
      <w:r>
        <w:rPr>
          <w:b/>
        </w:rPr>
        <w:t xml:space="preserve"> the</w:t>
      </w:r>
    </w:p>
    <w:p w:rsidR="00921803" w:rsidP="00AF372E" w14:paraId="7C850E6C" w14:textId="77777777">
      <w:pPr>
        <w:pStyle w:val="StyleBoldCentered"/>
        <w:widowControl/>
      </w:pPr>
      <w:r>
        <w:t>F</w:t>
      </w:r>
      <w:r>
        <w:rPr>
          <w:caps w:val="0"/>
        </w:rPr>
        <w:t>ederal Communications Commission</w:t>
      </w:r>
    </w:p>
    <w:p w:rsidR="004C2EE3" w:rsidP="00AF372E" w14:paraId="17873D46" w14:textId="77777777">
      <w:pPr>
        <w:pStyle w:val="StyleBoldCentered"/>
        <w:widowControl/>
      </w:pPr>
      <w:r>
        <w:rPr>
          <w:caps w:val="0"/>
        </w:rPr>
        <w:t>Washington, D.C. 20554</w:t>
      </w:r>
    </w:p>
    <w:p w:rsidR="004C2EE3" w:rsidP="00AF372E" w14:paraId="3A46599B" w14:textId="77777777">
      <w:pPr>
        <w:widowControl/>
      </w:pPr>
    </w:p>
    <w:p w:rsidR="004C2EE3" w:rsidP="00AF372E" w14:paraId="37E86B79" w14:textId="77777777">
      <w:pPr>
        <w:widowControl/>
      </w:pPr>
    </w:p>
    <w:tbl>
      <w:tblPr>
        <w:tblW w:w="0" w:type="auto"/>
        <w:tblLayout w:type="fixed"/>
        <w:tblLook w:val="0000"/>
      </w:tblPr>
      <w:tblGrid>
        <w:gridCol w:w="4698"/>
        <w:gridCol w:w="630"/>
        <w:gridCol w:w="4248"/>
      </w:tblGrid>
      <w:tr w14:paraId="33F6DEC2" w14:textId="77777777">
        <w:tblPrEx>
          <w:tblW w:w="0" w:type="auto"/>
          <w:tblLayout w:type="fixed"/>
          <w:tblLook w:val="0000"/>
        </w:tblPrEx>
        <w:tc>
          <w:tcPr>
            <w:tcW w:w="4698" w:type="dxa"/>
          </w:tcPr>
          <w:p w:rsidR="00643A14" w:rsidP="00AF372E" w14:paraId="76C53E70" w14:textId="77777777">
            <w:pPr>
              <w:widowControl/>
              <w:tabs>
                <w:tab w:val="center" w:pos="4680"/>
              </w:tabs>
              <w:suppressAutoHyphens/>
              <w:rPr>
                <w:spacing w:val="-2"/>
              </w:rPr>
            </w:pPr>
            <w:r>
              <w:rPr>
                <w:spacing w:val="-2"/>
              </w:rPr>
              <w:t>In the matter of:</w:t>
            </w:r>
          </w:p>
          <w:p w:rsidR="001D274A" w:rsidP="00AF372E" w14:paraId="12C593C8" w14:textId="77777777">
            <w:pPr>
              <w:widowControl/>
              <w:tabs>
                <w:tab w:val="center" w:pos="4680"/>
              </w:tabs>
              <w:suppressAutoHyphens/>
              <w:rPr>
                <w:spacing w:val="-2"/>
              </w:rPr>
            </w:pPr>
          </w:p>
          <w:p w:rsidR="001D274A" w:rsidP="00AF372E" w14:paraId="3750F31B" w14:textId="33C9C59D">
            <w:pPr>
              <w:widowControl/>
              <w:tabs>
                <w:tab w:val="center" w:pos="4680"/>
              </w:tabs>
              <w:suppressAutoHyphens/>
              <w:rPr>
                <w:spacing w:val="-2"/>
              </w:rPr>
            </w:pPr>
            <w:r>
              <w:rPr>
                <w:spacing w:val="-2"/>
              </w:rPr>
              <w:t>The Zayo Group, LLC, Application for Assignment of License of 42 Microwave Licenses from</w:t>
            </w:r>
            <w:r w:rsidR="004C53FC">
              <w:rPr>
                <w:spacing w:val="-2"/>
              </w:rPr>
              <w:t xml:space="preserve"> E</w:t>
            </w:r>
            <w:bookmarkStart w:id="1" w:name="_GoBack"/>
            <w:bookmarkEnd w:id="1"/>
            <w:r w:rsidR="004C53FC">
              <w:rPr>
                <w:spacing w:val="-2"/>
              </w:rPr>
              <w:t>agle-Net Alliance</w:t>
            </w:r>
            <w:r>
              <w:rPr>
                <w:spacing w:val="-2"/>
              </w:rPr>
              <w:t>;</w:t>
            </w:r>
          </w:p>
          <w:p w:rsidR="001D274A" w:rsidP="00AF372E" w14:paraId="74324B5D" w14:textId="488229AB">
            <w:pPr>
              <w:widowControl/>
              <w:tabs>
                <w:tab w:val="center" w:pos="4680"/>
              </w:tabs>
              <w:suppressAutoHyphens/>
              <w:rPr>
                <w:spacing w:val="-2"/>
              </w:rPr>
            </w:pPr>
          </w:p>
          <w:p w:rsidR="001D274A" w:rsidP="00AF372E" w14:paraId="44855AC4" w14:textId="050777C9">
            <w:pPr>
              <w:widowControl/>
              <w:tabs>
                <w:tab w:val="center" w:pos="4680"/>
              </w:tabs>
              <w:suppressAutoHyphens/>
              <w:rPr>
                <w:spacing w:val="-2"/>
              </w:rPr>
            </w:pPr>
            <w:r>
              <w:rPr>
                <w:spacing w:val="-2"/>
              </w:rPr>
              <w:t>and</w:t>
            </w:r>
          </w:p>
          <w:p w:rsidR="001D274A" w:rsidP="00AF372E" w14:paraId="71F4A5B2" w14:textId="77777777">
            <w:pPr>
              <w:widowControl/>
              <w:tabs>
                <w:tab w:val="center" w:pos="4680"/>
              </w:tabs>
              <w:suppressAutoHyphens/>
              <w:rPr>
                <w:spacing w:val="-2"/>
              </w:rPr>
            </w:pPr>
          </w:p>
          <w:p w:rsidR="001D274A" w:rsidRPr="007A7052" w:rsidP="00AF372E" w14:paraId="5C9A8529" w14:textId="1CDA9ED6">
            <w:pPr>
              <w:widowControl/>
              <w:tabs>
                <w:tab w:val="center" w:pos="4680"/>
              </w:tabs>
              <w:suppressAutoHyphens/>
              <w:rPr>
                <w:spacing w:val="-2"/>
              </w:rPr>
            </w:pPr>
            <w:r>
              <w:rPr>
                <w:spacing w:val="-2"/>
              </w:rPr>
              <w:t>The Zayo Group, LLC, Request for Waiver of Section 1.917(a) of the Commission’s Rules.</w:t>
            </w:r>
          </w:p>
        </w:tc>
        <w:tc>
          <w:tcPr>
            <w:tcW w:w="630" w:type="dxa"/>
          </w:tcPr>
          <w:p w:rsidR="004C2EE3" w:rsidP="00AF372E" w14:paraId="2EF34F49" w14:textId="77777777">
            <w:pPr>
              <w:widowControl/>
              <w:tabs>
                <w:tab w:val="center" w:pos="4680"/>
              </w:tabs>
              <w:suppressAutoHyphens/>
              <w:rPr>
                <w:b/>
                <w:spacing w:val="-2"/>
              </w:rPr>
            </w:pPr>
            <w:r>
              <w:rPr>
                <w:b/>
                <w:spacing w:val="-2"/>
              </w:rPr>
              <w:t>)</w:t>
            </w:r>
          </w:p>
          <w:p w:rsidR="004C2EE3" w:rsidP="00AF372E" w14:paraId="473571BF" w14:textId="77777777">
            <w:pPr>
              <w:widowControl/>
              <w:tabs>
                <w:tab w:val="center" w:pos="4680"/>
              </w:tabs>
              <w:suppressAutoHyphens/>
              <w:rPr>
                <w:b/>
                <w:spacing w:val="-2"/>
              </w:rPr>
            </w:pPr>
            <w:r>
              <w:rPr>
                <w:b/>
                <w:spacing w:val="-2"/>
              </w:rPr>
              <w:t>)</w:t>
            </w:r>
          </w:p>
          <w:p w:rsidR="004C2EE3" w:rsidP="00AF372E" w14:paraId="68597823" w14:textId="77777777">
            <w:pPr>
              <w:widowControl/>
              <w:tabs>
                <w:tab w:val="center" w:pos="4680"/>
              </w:tabs>
              <w:suppressAutoHyphens/>
              <w:rPr>
                <w:b/>
                <w:spacing w:val="-2"/>
              </w:rPr>
            </w:pPr>
            <w:r>
              <w:rPr>
                <w:b/>
                <w:spacing w:val="-2"/>
              </w:rPr>
              <w:t>)</w:t>
            </w:r>
          </w:p>
          <w:p w:rsidR="004C2EE3" w:rsidP="00AF372E" w14:paraId="4B62C90E" w14:textId="77777777">
            <w:pPr>
              <w:widowControl/>
              <w:tabs>
                <w:tab w:val="center" w:pos="4680"/>
              </w:tabs>
              <w:suppressAutoHyphens/>
              <w:rPr>
                <w:b/>
                <w:spacing w:val="-2"/>
              </w:rPr>
            </w:pPr>
            <w:r>
              <w:rPr>
                <w:b/>
                <w:spacing w:val="-2"/>
              </w:rPr>
              <w:t>)</w:t>
            </w:r>
          </w:p>
          <w:p w:rsidR="004C2EE3" w:rsidP="00AF372E" w14:paraId="27C7FEF8" w14:textId="77777777">
            <w:pPr>
              <w:widowControl/>
              <w:tabs>
                <w:tab w:val="center" w:pos="4680"/>
              </w:tabs>
              <w:suppressAutoHyphens/>
              <w:rPr>
                <w:b/>
                <w:spacing w:val="-2"/>
              </w:rPr>
            </w:pPr>
            <w:r>
              <w:rPr>
                <w:b/>
                <w:spacing w:val="-2"/>
              </w:rPr>
              <w:t>)</w:t>
            </w:r>
          </w:p>
          <w:p w:rsidR="004C2EE3" w:rsidP="00AF372E" w14:paraId="3E8D449D" w14:textId="77777777">
            <w:pPr>
              <w:widowControl/>
              <w:tabs>
                <w:tab w:val="center" w:pos="4680"/>
              </w:tabs>
              <w:suppressAutoHyphens/>
              <w:rPr>
                <w:b/>
                <w:spacing w:val="-2"/>
              </w:rPr>
            </w:pPr>
            <w:r>
              <w:rPr>
                <w:b/>
                <w:spacing w:val="-2"/>
              </w:rPr>
              <w:t>)</w:t>
            </w:r>
          </w:p>
          <w:p w:rsidR="004C2EE3" w:rsidP="00AF372E" w14:paraId="4C8E10AE" w14:textId="77777777">
            <w:pPr>
              <w:widowControl/>
              <w:tabs>
                <w:tab w:val="center" w:pos="4680"/>
              </w:tabs>
              <w:suppressAutoHyphens/>
              <w:rPr>
                <w:b/>
                <w:spacing w:val="-2"/>
              </w:rPr>
            </w:pPr>
            <w:r>
              <w:rPr>
                <w:b/>
                <w:spacing w:val="-2"/>
              </w:rPr>
              <w:t>)</w:t>
            </w:r>
          </w:p>
          <w:p w:rsidR="004C2EE3" w:rsidP="00AF372E" w14:paraId="0122AE4B" w14:textId="77777777">
            <w:pPr>
              <w:widowControl/>
              <w:tabs>
                <w:tab w:val="center" w:pos="4680"/>
              </w:tabs>
              <w:suppressAutoHyphens/>
              <w:rPr>
                <w:b/>
                <w:spacing w:val="-2"/>
              </w:rPr>
            </w:pPr>
            <w:r>
              <w:rPr>
                <w:b/>
                <w:spacing w:val="-2"/>
              </w:rPr>
              <w:t>)</w:t>
            </w:r>
          </w:p>
          <w:p w:rsidR="004C2EE3" w:rsidP="00AF372E" w14:paraId="2A8526E0" w14:textId="77777777">
            <w:pPr>
              <w:widowControl/>
              <w:tabs>
                <w:tab w:val="center" w:pos="4680"/>
              </w:tabs>
              <w:suppressAutoHyphens/>
              <w:rPr>
                <w:b/>
                <w:spacing w:val="-2"/>
              </w:rPr>
            </w:pPr>
            <w:r>
              <w:rPr>
                <w:b/>
                <w:spacing w:val="-2"/>
              </w:rPr>
              <w:t>)</w:t>
            </w:r>
          </w:p>
          <w:p w:rsidR="00436D0A" w:rsidP="00AF372E" w14:paraId="5131189F" w14:textId="77777777">
            <w:pPr>
              <w:widowControl/>
              <w:tabs>
                <w:tab w:val="center" w:pos="4680"/>
              </w:tabs>
              <w:suppressAutoHyphens/>
              <w:rPr>
                <w:b/>
                <w:spacing w:val="-2"/>
              </w:rPr>
            </w:pPr>
            <w:r>
              <w:rPr>
                <w:b/>
                <w:spacing w:val="-2"/>
              </w:rPr>
              <w:t>)</w:t>
            </w:r>
          </w:p>
          <w:p w:rsidR="00436D0A" w:rsidP="00AF372E" w14:paraId="638A6869" w14:textId="77777777">
            <w:pPr>
              <w:widowControl/>
              <w:tabs>
                <w:tab w:val="center" w:pos="4680"/>
              </w:tabs>
              <w:suppressAutoHyphens/>
              <w:rPr>
                <w:spacing w:val="-2"/>
              </w:rPr>
            </w:pPr>
            <w:r>
              <w:rPr>
                <w:spacing w:val="-2"/>
              </w:rPr>
              <w:t>)</w:t>
            </w:r>
          </w:p>
          <w:p w:rsidR="00436D0A" w:rsidP="00AF372E" w14:paraId="4FD461CE" w14:textId="77777777">
            <w:pPr>
              <w:widowControl/>
              <w:tabs>
                <w:tab w:val="center" w:pos="4680"/>
              </w:tabs>
              <w:suppressAutoHyphens/>
              <w:rPr>
                <w:spacing w:val="-2"/>
              </w:rPr>
            </w:pPr>
            <w:r>
              <w:rPr>
                <w:spacing w:val="-2"/>
              </w:rPr>
              <w:t>)</w:t>
            </w:r>
            <w:r>
              <w:rPr>
                <w:spacing w:val="-2"/>
              </w:rPr>
              <w:br/>
              <w:t>)</w:t>
            </w:r>
          </w:p>
          <w:p w:rsidR="00436D0A" w:rsidP="00AF372E" w14:paraId="21B8F7A0" w14:textId="77777777">
            <w:pPr>
              <w:widowControl/>
              <w:tabs>
                <w:tab w:val="center" w:pos="4680"/>
              </w:tabs>
              <w:suppressAutoHyphens/>
              <w:rPr>
                <w:spacing w:val="-2"/>
              </w:rPr>
            </w:pPr>
            <w:r>
              <w:rPr>
                <w:spacing w:val="-2"/>
              </w:rPr>
              <w:t>)</w:t>
            </w:r>
          </w:p>
          <w:p w:rsidR="00436D0A" w:rsidP="00AF372E" w14:paraId="50007C28" w14:textId="77777777">
            <w:pPr>
              <w:widowControl/>
              <w:tabs>
                <w:tab w:val="center" w:pos="4680"/>
              </w:tabs>
              <w:suppressAutoHyphens/>
              <w:rPr>
                <w:spacing w:val="-2"/>
              </w:rPr>
            </w:pPr>
            <w:r>
              <w:rPr>
                <w:spacing w:val="-2"/>
              </w:rPr>
              <w:t>)</w:t>
            </w:r>
          </w:p>
          <w:p w:rsidR="00436D0A" w:rsidP="00AF372E" w14:paraId="3DA7EBDD" w14:textId="77777777">
            <w:pPr>
              <w:widowControl/>
              <w:tabs>
                <w:tab w:val="center" w:pos="4680"/>
              </w:tabs>
              <w:suppressAutoHyphens/>
              <w:rPr>
                <w:spacing w:val="-2"/>
              </w:rPr>
            </w:pPr>
            <w:r>
              <w:rPr>
                <w:spacing w:val="-2"/>
              </w:rPr>
              <w:t>)</w:t>
            </w:r>
          </w:p>
          <w:p w:rsidR="00436D0A" w:rsidP="00AF372E" w14:paraId="2CFB3DCF" w14:textId="6499CF0B">
            <w:pPr>
              <w:widowControl/>
              <w:tabs>
                <w:tab w:val="center" w:pos="4680"/>
              </w:tabs>
              <w:suppressAutoHyphens/>
              <w:rPr>
                <w:spacing w:val="-2"/>
              </w:rPr>
            </w:pPr>
            <w:r>
              <w:rPr>
                <w:spacing w:val="-2"/>
              </w:rPr>
              <w:t>)</w:t>
            </w:r>
          </w:p>
        </w:tc>
        <w:tc>
          <w:tcPr>
            <w:tcW w:w="4248" w:type="dxa"/>
          </w:tcPr>
          <w:p w:rsidR="004C2EE3" w:rsidP="00AF372E" w14:paraId="3D7EFA07" w14:textId="77777777">
            <w:pPr>
              <w:widowControl/>
              <w:tabs>
                <w:tab w:val="center" w:pos="4680"/>
              </w:tabs>
              <w:suppressAutoHyphens/>
              <w:rPr>
                <w:spacing w:val="-2"/>
              </w:rPr>
            </w:pPr>
          </w:p>
          <w:p w:rsidR="00CB48A0" w:rsidP="00AF372E" w14:paraId="4B4AB17D" w14:textId="77777777">
            <w:pPr>
              <w:widowControl/>
              <w:tabs>
                <w:tab w:val="center" w:pos="4680"/>
              </w:tabs>
              <w:suppressAutoHyphens/>
              <w:rPr>
                <w:spacing w:val="-2"/>
              </w:rPr>
            </w:pPr>
          </w:p>
          <w:p w:rsidR="00A21770" w:rsidP="00AF372E" w14:paraId="62112FE7" w14:textId="52410268">
            <w:pPr>
              <w:widowControl/>
              <w:tabs>
                <w:tab w:val="center" w:pos="4680"/>
              </w:tabs>
              <w:suppressAutoHyphens/>
              <w:rPr>
                <w:spacing w:val="-2"/>
              </w:rPr>
            </w:pPr>
            <w:r>
              <w:rPr>
                <w:spacing w:val="-2"/>
              </w:rPr>
              <w:t xml:space="preserve">File No. </w:t>
            </w:r>
            <w:r w:rsidR="00304CF5">
              <w:rPr>
                <w:spacing w:val="-2"/>
              </w:rPr>
              <w:t>0</w:t>
            </w:r>
            <w:r w:rsidRPr="00CB48A0">
              <w:rPr>
                <w:spacing w:val="-2"/>
              </w:rPr>
              <w:t>008846678</w:t>
            </w:r>
          </w:p>
          <w:p w:rsidR="00CB48A0" w:rsidP="00AF372E" w14:paraId="100892DD" w14:textId="0D1E59FA">
            <w:pPr>
              <w:widowControl/>
              <w:tabs>
                <w:tab w:val="center" w:pos="4680"/>
              </w:tabs>
              <w:suppressAutoHyphens/>
              <w:rPr>
                <w:spacing w:val="-2"/>
              </w:rPr>
            </w:pPr>
            <w:r>
              <w:rPr>
                <w:spacing w:val="-2"/>
              </w:rPr>
              <w:t>(</w:t>
            </w:r>
            <w:r w:rsidRPr="00436D0A">
              <w:rPr>
                <w:spacing w:val="-2"/>
              </w:rPr>
              <w:t xml:space="preserve">WQOQ378, WQOQ379, WQOQ380, WQOQ386, WQOQ387, WQTM245, WQTM246, WQZR652, WQZR655 </w:t>
            </w:r>
            <w:r w:rsidR="00643A14">
              <w:rPr>
                <w:spacing w:val="-2"/>
              </w:rPr>
              <w:t>, W</w:t>
            </w:r>
            <w:r w:rsidRPr="00436D0A">
              <w:rPr>
                <w:spacing w:val="-2"/>
              </w:rPr>
              <w:t>QZR659</w:t>
            </w:r>
            <w:r>
              <w:rPr>
                <w:spacing w:val="-2"/>
              </w:rPr>
              <w:t>)</w:t>
            </w:r>
            <w:r w:rsidR="00643A14">
              <w:rPr>
                <w:spacing w:val="-2"/>
              </w:rPr>
              <w:t xml:space="preserve">, </w:t>
            </w:r>
            <w:r>
              <w:rPr>
                <w:spacing w:val="-2"/>
              </w:rPr>
              <w:t>(</w:t>
            </w:r>
            <w:r w:rsidRPr="00436D0A">
              <w:rPr>
                <w:spacing w:val="-2"/>
              </w:rPr>
              <w:t>WQQP831, WQQP837, WQQP873WQQQ494, WQQQ599, WQQQ617, WQQQ623, WQQU349, WQQU366, WQQU368, WQQU386, WQQU792, WQQV478, WQQV486, WQQV878, WQQV879, WQQX393, WQQX400, WQQX402, WQQX408, WQQX411, WQRB772, WQRB775, WQRE203, WQRE446, WQRE460, WQRH806, WQRH807, WQTQ323, WQUI797, WQUI800</w:t>
            </w:r>
            <w:r w:rsidR="00541B55">
              <w:rPr>
                <w:spacing w:val="-2"/>
              </w:rPr>
              <w:t>,</w:t>
            </w:r>
            <w:r w:rsidRPr="00436D0A">
              <w:rPr>
                <w:spacing w:val="-2"/>
              </w:rPr>
              <w:t xml:space="preserve"> and WQUN945</w:t>
            </w:r>
            <w:r>
              <w:rPr>
                <w:spacing w:val="-2"/>
              </w:rPr>
              <w:t>)</w:t>
            </w:r>
          </w:p>
        </w:tc>
      </w:tr>
    </w:tbl>
    <w:p w:rsidR="004C2EE3" w:rsidP="00AF372E" w14:paraId="20CC9457" w14:textId="77777777">
      <w:pPr>
        <w:widowControl/>
      </w:pPr>
    </w:p>
    <w:p w:rsidR="00841AB1" w:rsidP="00AF372E" w14:paraId="63639B9B" w14:textId="53B2BC9C">
      <w:pPr>
        <w:pStyle w:val="StyleBoldCentered"/>
        <w:widowControl/>
      </w:pPr>
      <w:r>
        <w:t>ORDER</w:t>
      </w:r>
    </w:p>
    <w:p w:rsidR="004C2EE3" w:rsidP="00AF372E" w14:paraId="7F556684" w14:textId="77777777">
      <w:pPr>
        <w:widowControl/>
        <w:tabs>
          <w:tab w:val="left" w:pos="-720"/>
        </w:tabs>
        <w:suppressAutoHyphens/>
        <w:spacing w:line="227" w:lineRule="auto"/>
        <w:rPr>
          <w:spacing w:val="-2"/>
        </w:rPr>
      </w:pPr>
    </w:p>
    <w:p w:rsidR="004C2EE3" w:rsidP="00AF372E" w14:paraId="0A4AD4A9" w14:textId="6C1013FA">
      <w:pPr>
        <w:widowControl/>
        <w:tabs>
          <w:tab w:val="left" w:pos="720"/>
          <w:tab w:val="right" w:pos="9360"/>
        </w:tabs>
        <w:suppressAutoHyphens/>
        <w:spacing w:line="227" w:lineRule="auto"/>
        <w:rPr>
          <w:spacing w:val="-2"/>
        </w:rPr>
      </w:pPr>
      <w:r>
        <w:rPr>
          <w:b/>
          <w:spacing w:val="-2"/>
        </w:rPr>
        <w:t xml:space="preserve">Adopted:  </w:t>
      </w:r>
      <w:r w:rsidR="004E18DA">
        <w:rPr>
          <w:b/>
          <w:spacing w:val="-2"/>
        </w:rPr>
        <w:t>January</w:t>
      </w:r>
      <w:r w:rsidR="00AF372E">
        <w:rPr>
          <w:b/>
          <w:spacing w:val="-2"/>
        </w:rPr>
        <w:t xml:space="preserve"> </w:t>
      </w:r>
      <w:r w:rsidR="003F3776">
        <w:rPr>
          <w:b/>
          <w:spacing w:val="-2"/>
        </w:rPr>
        <w:t>3</w:t>
      </w:r>
      <w:r w:rsidR="00AF372E">
        <w:rPr>
          <w:b/>
          <w:spacing w:val="-2"/>
        </w:rPr>
        <w:t>, 20</w:t>
      </w:r>
      <w:r w:rsidR="00187A3C">
        <w:rPr>
          <w:b/>
          <w:spacing w:val="-2"/>
        </w:rPr>
        <w:t>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E18DA">
        <w:rPr>
          <w:b/>
          <w:spacing w:val="-2"/>
        </w:rPr>
        <w:t>January</w:t>
      </w:r>
      <w:r w:rsidR="00AF372E">
        <w:rPr>
          <w:b/>
          <w:spacing w:val="-2"/>
        </w:rPr>
        <w:t xml:space="preserve"> </w:t>
      </w:r>
      <w:r w:rsidR="003F3776">
        <w:rPr>
          <w:b/>
          <w:spacing w:val="-2"/>
        </w:rPr>
        <w:t>3</w:t>
      </w:r>
      <w:r w:rsidR="00AF372E">
        <w:rPr>
          <w:b/>
          <w:spacing w:val="-2"/>
        </w:rPr>
        <w:t>, 20</w:t>
      </w:r>
      <w:r w:rsidR="004E18DA">
        <w:rPr>
          <w:b/>
          <w:spacing w:val="-2"/>
        </w:rPr>
        <w:t>20</w:t>
      </w:r>
    </w:p>
    <w:p w:rsidR="00822CE0" w:rsidP="00AF372E" w14:paraId="73CD10DD" w14:textId="77777777">
      <w:pPr>
        <w:widowControl/>
      </w:pPr>
    </w:p>
    <w:p w:rsidR="004C2EE3" w:rsidP="00AF372E" w14:paraId="1D0CD457" w14:textId="77777777">
      <w:pPr>
        <w:widowControl/>
        <w:rPr>
          <w:spacing w:val="-2"/>
        </w:rPr>
      </w:pPr>
      <w:r>
        <w:t xml:space="preserve">By </w:t>
      </w:r>
      <w:r w:rsidR="004E4A22">
        <w:t>the</w:t>
      </w:r>
      <w:r w:rsidR="002A2D2E">
        <w:t xml:space="preserve"> </w:t>
      </w:r>
      <w:r w:rsidR="00CB48A0">
        <w:rPr>
          <w:spacing w:val="-2"/>
        </w:rPr>
        <w:t>Chief, Policy and Licensing Division, Public Safety and Homeland Security Bureau</w:t>
      </w:r>
      <w:r>
        <w:rPr>
          <w:spacing w:val="-2"/>
        </w:rPr>
        <w:t>:</w:t>
      </w:r>
    </w:p>
    <w:p w:rsidR="00822CE0" w:rsidP="00AF372E" w14:paraId="103AD05F" w14:textId="77777777">
      <w:pPr>
        <w:widowControl/>
        <w:rPr>
          <w:spacing w:val="-2"/>
        </w:rPr>
      </w:pPr>
    </w:p>
    <w:p w:rsidR="00412FC5" w:rsidP="00AF372E" w14:paraId="3B5879EB" w14:textId="461531D1">
      <w:pPr>
        <w:pStyle w:val="Heading1"/>
        <w:widowControl/>
      </w:pPr>
      <w:r>
        <w:t>INTRODUCTION</w:t>
      </w:r>
      <w:r w:rsidR="001B481B">
        <w:t xml:space="preserve"> </w:t>
      </w:r>
    </w:p>
    <w:p w:rsidR="006D6455" w:rsidP="00D763FB" w14:paraId="0B6C66B8" w14:textId="11AE47A9">
      <w:pPr>
        <w:pStyle w:val="ParaNum"/>
        <w:widowControl/>
        <w:tabs>
          <w:tab w:val="clear" w:pos="1080"/>
          <w:tab w:val="num" w:pos="1440"/>
        </w:tabs>
      </w:pPr>
      <w:r>
        <w:t xml:space="preserve">On </w:t>
      </w:r>
      <w:r w:rsidR="000638EA">
        <w:t xml:space="preserve">October, 25, 2019, </w:t>
      </w:r>
      <w:r w:rsidR="00A11B92">
        <w:t>t</w:t>
      </w:r>
      <w:r w:rsidR="007F63C5">
        <w:t xml:space="preserve">he </w:t>
      </w:r>
      <w:r w:rsidR="007F63C5">
        <w:t>Zayo</w:t>
      </w:r>
      <w:r w:rsidR="007F63C5">
        <w:t xml:space="preserve"> Group, LLC (Zayo)</w:t>
      </w:r>
      <w:r w:rsidR="000638EA">
        <w:t xml:space="preserve"> filed an application requesting the approval of the assignment of </w:t>
      </w:r>
      <w:r w:rsidR="001D72A1">
        <w:t>10</w:t>
      </w:r>
      <w:r w:rsidR="000638EA">
        <w:t xml:space="preserve"> microwave licenses</w:t>
      </w:r>
      <w:r w:rsidR="00982122">
        <w:t xml:space="preserve"> </w:t>
      </w:r>
      <w:r w:rsidR="000638EA">
        <w:t>from Eagle-Net Alliance (Eagle</w:t>
      </w:r>
      <w:r w:rsidR="00982122">
        <w:t>-</w:t>
      </w:r>
      <w:r w:rsidR="000638EA">
        <w:t>Net) to Zayo</w:t>
      </w:r>
      <w:r w:rsidR="001D72A1">
        <w:t>.</w:t>
      </w:r>
      <w:r>
        <w:rPr>
          <w:rStyle w:val="FootnoteReference"/>
        </w:rPr>
        <w:footnoteReference w:id="3"/>
      </w:r>
      <w:r w:rsidR="00927021">
        <w:t xml:space="preserve">  </w:t>
      </w:r>
      <w:r w:rsidR="000638EA">
        <w:t>On December 19, 2019,</w:t>
      </w:r>
      <w:r w:rsidR="00927021">
        <w:t xml:space="preserve"> Zayo</w:t>
      </w:r>
      <w:r w:rsidR="004C53FC">
        <w:t xml:space="preserve"> </w:t>
      </w:r>
      <w:r w:rsidR="00073002">
        <w:t xml:space="preserve">amended </w:t>
      </w:r>
      <w:r w:rsidR="00927021">
        <w:t>its</w:t>
      </w:r>
      <w:r w:rsidR="00073002">
        <w:t xml:space="preserve"> application</w:t>
      </w:r>
      <w:r w:rsidR="009D203D">
        <w:t>,</w:t>
      </w:r>
      <w:r w:rsidR="004C53FC">
        <w:t xml:space="preserve"> </w:t>
      </w:r>
      <w:r w:rsidR="00CF56CE">
        <w:t xml:space="preserve">seeking </w:t>
      </w:r>
      <w:r>
        <w:t xml:space="preserve">Commission approval of the </w:t>
      </w:r>
      <w:r w:rsidR="00073002">
        <w:t>assignment of</w:t>
      </w:r>
      <w:r w:rsidR="001B481B">
        <w:t xml:space="preserve"> an additional</w:t>
      </w:r>
      <w:r w:rsidR="00073002">
        <w:t xml:space="preserve"> </w:t>
      </w:r>
      <w:r w:rsidR="001D72A1">
        <w:t>32</w:t>
      </w:r>
      <w:r>
        <w:t xml:space="preserve"> microwave licenses from </w:t>
      </w:r>
      <w:r w:rsidRPr="00073002" w:rsidR="00073002">
        <w:t>Eagle</w:t>
      </w:r>
      <w:r w:rsidR="00982122">
        <w:t>-</w:t>
      </w:r>
      <w:r w:rsidRPr="00073002" w:rsidR="00073002">
        <w:t>Net</w:t>
      </w:r>
      <w:r w:rsidR="00073002">
        <w:t xml:space="preserve"> to Zayo</w:t>
      </w:r>
      <w:r w:rsidR="00927021">
        <w:t>, increasing the number of microwave licenses to be assigned to 42</w:t>
      </w:r>
      <w:r w:rsidR="00073002">
        <w:t>.</w:t>
      </w:r>
      <w:r>
        <w:rPr>
          <w:rStyle w:val="FootnoteReference"/>
        </w:rPr>
        <w:footnoteReference w:id="4"/>
      </w:r>
      <w:r w:rsidRPr="00073002" w:rsidR="00073002">
        <w:t xml:space="preserve"> </w:t>
      </w:r>
      <w:r>
        <w:t xml:space="preserve"> </w:t>
      </w:r>
      <w:r w:rsidR="009D203D">
        <w:t xml:space="preserve">As </w:t>
      </w:r>
      <w:r w:rsidR="001B481B">
        <w:t>with</w:t>
      </w:r>
      <w:r w:rsidR="009D203D">
        <w:t xml:space="preserve"> </w:t>
      </w:r>
      <w:r w:rsidR="00CF56CE">
        <w:t>its</w:t>
      </w:r>
      <w:r w:rsidR="009D203D">
        <w:t xml:space="preserve"> initial application, Zayo</w:t>
      </w:r>
      <w:r w:rsidR="004C53FC">
        <w:t xml:space="preserve"> </w:t>
      </w:r>
      <w:r w:rsidRPr="009D203D" w:rsidR="009D203D">
        <w:t xml:space="preserve">requests </w:t>
      </w:r>
      <w:r w:rsidR="001B481B">
        <w:t xml:space="preserve">a </w:t>
      </w:r>
      <w:r w:rsidRPr="009D203D" w:rsidR="009D203D">
        <w:t>waiver of section 1.917(a) of the Commission’s rules</w:t>
      </w:r>
      <w:r>
        <w:rPr>
          <w:rStyle w:val="FootnoteReference"/>
        </w:rPr>
        <w:footnoteReference w:id="5"/>
      </w:r>
      <w:r w:rsidRPr="009D203D" w:rsidR="009D203D">
        <w:t xml:space="preserve"> governing who may sign applications</w:t>
      </w:r>
      <w:r w:rsidR="009D203D">
        <w:t xml:space="preserve"> </w:t>
      </w:r>
      <w:r w:rsidRPr="009D203D" w:rsidR="009D203D">
        <w:t xml:space="preserve">so that it may sign the amended application on behalf of </w:t>
      </w:r>
      <w:r w:rsidR="00A21770">
        <w:t>the assignor,</w:t>
      </w:r>
      <w:r w:rsidR="004C53FC">
        <w:t xml:space="preserve"> Eagle-Net</w:t>
      </w:r>
      <w:r w:rsidRPr="009D203D" w:rsidR="009D203D">
        <w:t>.</w:t>
      </w:r>
      <w:r>
        <w:rPr>
          <w:rStyle w:val="FootnoteReference"/>
        </w:rPr>
        <w:footnoteReference w:id="6"/>
      </w:r>
      <w:r w:rsidRPr="009D203D" w:rsidR="009D203D">
        <w:t xml:space="preserve"> </w:t>
      </w:r>
      <w:r w:rsidR="001B481B">
        <w:t xml:space="preserve"> </w:t>
      </w:r>
      <w:r w:rsidRPr="009D203D" w:rsidR="009D203D">
        <w:t>Zayo also requests that the Commission approve the</w:t>
      </w:r>
      <w:r w:rsidR="004C53FC">
        <w:t xml:space="preserve"> Eagle-Net</w:t>
      </w:r>
      <w:r w:rsidRPr="009D203D" w:rsidR="009D203D">
        <w:t>-to-</w:t>
      </w:r>
      <w:r w:rsidRPr="009D203D" w:rsidR="009D203D">
        <w:t>Zayo</w:t>
      </w:r>
      <w:r w:rsidRPr="009D203D" w:rsidR="009D203D">
        <w:t xml:space="preserve"> assignment effective </w:t>
      </w:r>
      <w:r w:rsidRPr="001B481B" w:rsidR="009D203D">
        <w:rPr>
          <w:i/>
        </w:rPr>
        <w:t>nunc</w:t>
      </w:r>
      <w:r w:rsidRPr="001B481B" w:rsidR="009D203D">
        <w:rPr>
          <w:i/>
        </w:rPr>
        <w:t xml:space="preserve"> pro </w:t>
      </w:r>
      <w:r w:rsidRPr="001B481B" w:rsidR="009D203D">
        <w:rPr>
          <w:i/>
        </w:rPr>
        <w:t>tunc</w:t>
      </w:r>
      <w:r w:rsidR="00A21770">
        <w:t xml:space="preserve"> </w:t>
      </w:r>
      <w:r w:rsidR="00927021">
        <w:t xml:space="preserve">to </w:t>
      </w:r>
      <w:r w:rsidRPr="009D203D" w:rsidR="009D203D">
        <w:t>May 2, 2</w:t>
      </w:r>
      <w:r w:rsidR="001B481B">
        <w:t>018</w:t>
      </w:r>
      <w:r w:rsidRPr="009D203D" w:rsidR="009D203D">
        <w:t>.</w:t>
      </w:r>
      <w:r>
        <w:rPr>
          <w:rStyle w:val="FootnoteReference"/>
        </w:rPr>
        <w:footnoteReference w:id="7"/>
      </w:r>
      <w:r w:rsidRPr="009D203D" w:rsidR="009D203D">
        <w:t xml:space="preserve"> </w:t>
      </w:r>
      <w:r w:rsidR="001B481B">
        <w:t xml:space="preserve"> </w:t>
      </w:r>
      <w:r w:rsidRPr="009D203D" w:rsidR="009D203D">
        <w:t xml:space="preserve">For the reasons set forth below, we grant the </w:t>
      </w:r>
      <w:r w:rsidRPr="009D203D" w:rsidR="009D203D">
        <w:t xml:space="preserve">waiver request, deny the request for </w:t>
      </w:r>
      <w:r w:rsidRPr="001B481B" w:rsidR="009D203D">
        <w:rPr>
          <w:i/>
        </w:rPr>
        <w:t>nunc</w:t>
      </w:r>
      <w:r w:rsidRPr="001B481B" w:rsidR="009D203D">
        <w:rPr>
          <w:i/>
        </w:rPr>
        <w:t xml:space="preserve"> pro </w:t>
      </w:r>
      <w:r w:rsidRPr="001B481B" w:rsidR="009D203D">
        <w:rPr>
          <w:i/>
        </w:rPr>
        <w:t>tunc</w:t>
      </w:r>
      <w:r w:rsidRPr="009D203D" w:rsidR="009D203D">
        <w:t xml:space="preserve"> treatment of the </w:t>
      </w:r>
      <w:r w:rsidR="009D203D">
        <w:t xml:space="preserve">assignment </w:t>
      </w:r>
      <w:r w:rsidR="00CF56CE">
        <w:t>application</w:t>
      </w:r>
      <w:r w:rsidR="00982122">
        <w:t>,</w:t>
      </w:r>
      <w:r w:rsidR="00CF56CE">
        <w:t xml:space="preserve"> </w:t>
      </w:r>
      <w:r w:rsidRPr="009D203D" w:rsidR="009D203D">
        <w:t xml:space="preserve">and direct processing of the </w:t>
      </w:r>
      <w:r w:rsidR="00A21770">
        <w:t xml:space="preserve">assignment </w:t>
      </w:r>
      <w:r w:rsidRPr="009D203D" w:rsidR="009D203D">
        <w:t>application</w:t>
      </w:r>
      <w:r w:rsidR="00EF780E">
        <w:t>.</w:t>
      </w:r>
    </w:p>
    <w:p w:rsidR="007F63C5" w:rsidP="00AF372E" w14:paraId="4F4A5260" w14:textId="77777777">
      <w:pPr>
        <w:pStyle w:val="Heading1"/>
        <w:widowControl/>
      </w:pPr>
      <w:r>
        <w:t>BACKGROUND</w:t>
      </w:r>
    </w:p>
    <w:p w:rsidR="007F63C5" w:rsidP="00AF372E" w14:paraId="7147031D" w14:textId="77777777">
      <w:pPr>
        <w:pStyle w:val="ParaNum"/>
        <w:widowControl/>
        <w:tabs>
          <w:tab w:val="clear" w:pos="1080"/>
          <w:tab w:val="num" w:pos="1440"/>
        </w:tabs>
      </w:pPr>
      <w:r>
        <w:t>In 2011, Eagle-Net received a funding grant from the National Telecommunications and Information Agency (NTIA) to construct a broadband network to provide service to certain rural Colorado communities.</w:t>
      </w:r>
      <w:r>
        <w:rPr>
          <w:rStyle w:val="FootnoteReference"/>
        </w:rPr>
        <w:footnoteReference w:id="8"/>
      </w:r>
      <w:r>
        <w:t xml:space="preserve">  In connection with that grant, Eagle-Net applied for and received the captioned microwave licenses and constructed the licensed facilities.    </w:t>
      </w:r>
    </w:p>
    <w:p w:rsidR="0012669F" w:rsidP="00AF372E" w14:paraId="5CC7EA2D" w14:textId="45C2C2B8">
      <w:pPr>
        <w:pStyle w:val="ParaNum"/>
        <w:widowControl/>
        <w:tabs>
          <w:tab w:val="clear" w:pos="1080"/>
          <w:tab w:val="num" w:pos="1440"/>
        </w:tabs>
      </w:pPr>
      <w:r>
        <w:t xml:space="preserve">Zayo represents that </w:t>
      </w:r>
      <w:r w:rsidRPr="00353DCC">
        <w:t xml:space="preserve">Eagle-Net </w:t>
      </w:r>
      <w:r>
        <w:t xml:space="preserve">could not </w:t>
      </w:r>
      <w:r w:rsidR="00A21770">
        <w:t xml:space="preserve">sustain </w:t>
      </w:r>
      <w:r>
        <w:t xml:space="preserve">its </w:t>
      </w:r>
      <w:r w:rsidR="00A21770">
        <w:t xml:space="preserve">broadband </w:t>
      </w:r>
      <w:r>
        <w:t>network</w:t>
      </w:r>
      <w:r w:rsidR="00A21770">
        <w:t xml:space="preserve"> financially </w:t>
      </w:r>
      <w:r>
        <w:t>and that NTIA therefore requested Zayo</w:t>
      </w:r>
      <w:r w:rsidR="0053149B">
        <w:t>—</w:t>
      </w:r>
      <w:r>
        <w:t>one of</w:t>
      </w:r>
      <w:r w:rsidR="004C53FC">
        <w:t xml:space="preserve"> Eagle-Net</w:t>
      </w:r>
      <w:r>
        <w:t>’s partners in the broadband network</w:t>
      </w:r>
      <w:r w:rsidR="0053149B">
        <w:t>—</w:t>
      </w:r>
      <w:r>
        <w:t>to assume management of</w:t>
      </w:r>
      <w:r w:rsidR="004C53FC">
        <w:t xml:space="preserve"> Eagle-Net</w:t>
      </w:r>
      <w:r>
        <w:t>’s facilities.</w:t>
      </w:r>
      <w:r>
        <w:rPr>
          <w:vertAlign w:val="superscript"/>
        </w:rPr>
        <w:footnoteReference w:id="9"/>
      </w:r>
      <w:r>
        <w:t xml:space="preserve"> </w:t>
      </w:r>
      <w:r w:rsidR="00F167B1">
        <w:t xml:space="preserve"> </w:t>
      </w:r>
      <w:r>
        <w:t>It did so</w:t>
      </w:r>
      <w:r w:rsidR="00D763FB">
        <w:t>,</w:t>
      </w:r>
      <w:r>
        <w:t xml:space="preserve"> and on June 5, 2017</w:t>
      </w:r>
      <w:r w:rsidR="00D763FB">
        <w:t>,</w:t>
      </w:r>
      <w:r>
        <w:t xml:space="preserve"> </w:t>
      </w:r>
      <w:r w:rsidR="00A21770">
        <w:t>an insolvent</w:t>
      </w:r>
      <w:r w:rsidR="004C53FC">
        <w:t xml:space="preserve"> Eagle-Net </w:t>
      </w:r>
      <w:r w:rsidR="00A21770">
        <w:t xml:space="preserve">was </w:t>
      </w:r>
      <w:r>
        <w:t>dissolved.</w:t>
      </w:r>
      <w:r>
        <w:rPr>
          <w:rStyle w:val="FootnoteReference"/>
        </w:rPr>
        <w:footnoteReference w:id="10"/>
      </w:r>
      <w:r>
        <w:t xml:space="preserve"> </w:t>
      </w:r>
      <w:r w:rsidR="00A21770">
        <w:t xml:space="preserve"> </w:t>
      </w:r>
      <w:r>
        <w:t>On May 2, 2018, again at NTIA’s request, Zayo</w:t>
      </w:r>
      <w:r w:rsidR="00F167B1">
        <w:t xml:space="preserve"> </w:t>
      </w:r>
      <w:r>
        <w:t>took ownership of certain</w:t>
      </w:r>
      <w:r w:rsidR="004C53FC">
        <w:t xml:space="preserve"> Eagle-Net </w:t>
      </w:r>
      <w:r>
        <w:t xml:space="preserve"> assets including the captioned microwave licenses.</w:t>
      </w:r>
      <w:r>
        <w:rPr>
          <w:vertAlign w:val="superscript"/>
        </w:rPr>
        <w:footnoteReference w:id="11"/>
      </w:r>
      <w:r>
        <w:t xml:space="preserve"> </w:t>
      </w:r>
      <w:r w:rsidR="00D763FB">
        <w:t xml:space="preserve"> </w:t>
      </w:r>
      <w:r w:rsidRPr="0012669F">
        <w:t>Zayo, however, failed to file an application for assignment of the microwave licenses from Eagle-Net to Zayo, something that Zayo contends was “[d]</w:t>
      </w:r>
      <w:r w:rsidRPr="0012669F">
        <w:t>ue</w:t>
      </w:r>
      <w:r w:rsidRPr="0012669F">
        <w:t xml:space="preserve"> to an administrative oversight.”</w:t>
      </w:r>
      <w:r>
        <w:rPr>
          <w:vertAlign w:val="superscript"/>
        </w:rPr>
        <w:footnoteReference w:id="12"/>
      </w:r>
      <w:r w:rsidR="000638EA">
        <w:t xml:space="preserve">  Zayo now seeks to amend its application to include the additional </w:t>
      </w:r>
      <w:r w:rsidR="00092C12">
        <w:t>32</w:t>
      </w:r>
      <w:r w:rsidR="000638EA">
        <w:t xml:space="preserve"> licenses.</w:t>
      </w:r>
      <w:r w:rsidRPr="0012669F">
        <w:t xml:space="preserve"> </w:t>
      </w:r>
    </w:p>
    <w:p w:rsidR="00176D42" w:rsidP="00AF372E" w14:paraId="1EE312F5" w14:textId="5BB4EEA0">
      <w:pPr>
        <w:pStyle w:val="ParaNum"/>
        <w:widowControl/>
        <w:tabs>
          <w:tab w:val="clear" w:pos="1080"/>
          <w:tab w:val="num" w:pos="1440"/>
        </w:tabs>
      </w:pPr>
      <w:r>
        <w:t xml:space="preserve">Zayo </w:t>
      </w:r>
      <w:r w:rsidR="003F1B06">
        <w:t>ha</w:t>
      </w:r>
      <w:r w:rsidR="00F167B1">
        <w:t>s</w:t>
      </w:r>
      <w:r w:rsidR="003F1B06">
        <w:t xml:space="preserve"> been operating</w:t>
      </w:r>
      <w:r>
        <w:t xml:space="preserve"> </w:t>
      </w:r>
      <w:r w:rsidR="00B9558E">
        <w:t xml:space="preserve">all 42 </w:t>
      </w:r>
      <w:r>
        <w:t xml:space="preserve">microwave facilities without Commission authorization </w:t>
      </w:r>
      <w:r w:rsidR="003F1B06">
        <w:t>since May 2, 2018</w:t>
      </w:r>
      <w:r w:rsidR="00F167B1">
        <w:t xml:space="preserve">.  In the statement accompanying </w:t>
      </w:r>
      <w:r w:rsidR="00092C12">
        <w:t xml:space="preserve">the </w:t>
      </w:r>
      <w:r w:rsidRPr="00092C12" w:rsidR="00092C12">
        <w:t xml:space="preserve">Zayo-Eagle-Net Application </w:t>
      </w:r>
      <w:r w:rsidR="002A5984">
        <w:t>and in the statement</w:t>
      </w:r>
      <w:r w:rsidR="00F167B1">
        <w:t xml:space="preserve"> accompanying the</w:t>
      </w:r>
      <w:r w:rsidRPr="00092C12" w:rsidR="00092C12">
        <w:t xml:space="preserve"> Zayo-Eagle-Net Amendment</w:t>
      </w:r>
      <w:r w:rsidR="002A5984">
        <w:t>,</w:t>
      </w:r>
      <w:r w:rsidR="00F167B1">
        <w:t xml:space="preserve"> Zayo seeks </w:t>
      </w:r>
      <w:r w:rsidR="003F1B06">
        <w:t xml:space="preserve">retroactive assignment of the </w:t>
      </w:r>
      <w:r w:rsidR="00F167B1">
        <w:t xml:space="preserve">microwave </w:t>
      </w:r>
      <w:r>
        <w:t xml:space="preserve">licenses from Eagle-Net to </w:t>
      </w:r>
      <w:r>
        <w:t>Zayo</w:t>
      </w:r>
      <w:r>
        <w:t xml:space="preserve"> </w:t>
      </w:r>
      <w:r w:rsidRPr="00A21770" w:rsidR="003F1B06">
        <w:rPr>
          <w:i/>
        </w:rPr>
        <w:t>nunc</w:t>
      </w:r>
      <w:r w:rsidRPr="00A21770" w:rsidR="003F1B06">
        <w:rPr>
          <w:i/>
        </w:rPr>
        <w:t xml:space="preserve"> pro </w:t>
      </w:r>
      <w:r w:rsidRPr="00A21770" w:rsidR="003F1B06">
        <w:rPr>
          <w:i/>
        </w:rPr>
        <w:t>tunc</w:t>
      </w:r>
      <w:r w:rsidR="003F1B06">
        <w:t xml:space="preserve"> </w:t>
      </w:r>
      <w:r>
        <w:t xml:space="preserve">to </w:t>
      </w:r>
      <w:r w:rsidRPr="002278C8">
        <w:t>May 2, 2018</w:t>
      </w:r>
      <w:r>
        <w:t>, the date it assumed ownership of Eagle-Net’s assets.</w:t>
      </w:r>
      <w:r>
        <w:rPr>
          <w:rStyle w:val="FootnoteReference"/>
        </w:rPr>
        <w:footnoteReference w:id="13"/>
      </w:r>
      <w:r>
        <w:t xml:space="preserve">  </w:t>
      </w:r>
    </w:p>
    <w:p w:rsidR="007F63C5" w:rsidP="00AF372E" w14:paraId="085B0B30" w14:textId="76D9B166">
      <w:pPr>
        <w:pStyle w:val="ParaNum"/>
        <w:widowControl/>
        <w:tabs>
          <w:tab w:val="clear" w:pos="1080"/>
          <w:tab w:val="num" w:pos="1440"/>
        </w:tabs>
      </w:pPr>
      <w:r>
        <w:t xml:space="preserve">According to Zayo, </w:t>
      </w:r>
      <w:r>
        <w:t xml:space="preserve">despite </w:t>
      </w:r>
      <w:r w:rsidR="00B9558E">
        <w:t xml:space="preserve">its </w:t>
      </w:r>
      <w:r>
        <w:t>diligence</w:t>
      </w:r>
      <w:r w:rsidR="00B9558E">
        <w:t>,</w:t>
      </w:r>
      <w:r>
        <w:t xml:space="preserve"> </w:t>
      </w:r>
      <w:r>
        <w:t xml:space="preserve">it </w:t>
      </w:r>
      <w:r>
        <w:t>has been unable to locate an official of Eagle-Net to execute the assignment application</w:t>
      </w:r>
      <w:r w:rsidR="00176D42">
        <w:t>s</w:t>
      </w:r>
      <w:r>
        <w:t xml:space="preserve"> as assignor</w:t>
      </w:r>
      <w:r>
        <w:t xml:space="preserve">. </w:t>
      </w:r>
      <w:r w:rsidR="00A21770">
        <w:t xml:space="preserve"> </w:t>
      </w:r>
      <w:r>
        <w:t xml:space="preserve">It therefore </w:t>
      </w:r>
      <w:r>
        <w:t xml:space="preserve">requests </w:t>
      </w:r>
      <w:r w:rsidR="00F167B1">
        <w:t xml:space="preserve">waiver of section </w:t>
      </w:r>
      <w:r w:rsidRPr="00F167B1" w:rsidR="00F167B1">
        <w:t xml:space="preserve">1.917(a) </w:t>
      </w:r>
      <w:r w:rsidR="00F167B1">
        <w:t>of the Commission’s rules</w:t>
      </w:r>
      <w:r>
        <w:rPr>
          <w:rStyle w:val="FootnoteReference"/>
        </w:rPr>
        <w:footnoteReference w:id="14"/>
      </w:r>
      <w:r w:rsidR="00F167B1">
        <w:t xml:space="preserve"> </w:t>
      </w:r>
      <w:r w:rsidR="00A21770">
        <w:t xml:space="preserve">so that it may execute </w:t>
      </w:r>
      <w:r w:rsidR="00F167B1">
        <w:t>the amended assignment application</w:t>
      </w:r>
      <w:r w:rsidR="00A77E20">
        <w:t xml:space="preserve"> on behalf of</w:t>
      </w:r>
      <w:r w:rsidR="004C53FC">
        <w:t xml:space="preserve"> Eagle-</w:t>
      </w:r>
      <w:r w:rsidR="00193224">
        <w:t>Net.</w:t>
      </w:r>
      <w:r>
        <w:rPr>
          <w:rStyle w:val="FootnoteReference"/>
        </w:rPr>
        <w:footnoteReference w:id="15"/>
      </w:r>
      <w:r>
        <w:t xml:space="preserve">  </w:t>
      </w:r>
    </w:p>
    <w:p w:rsidR="007F63C5" w:rsidP="00AF372E" w14:paraId="27C8DD2C" w14:textId="47334B8A">
      <w:pPr>
        <w:pStyle w:val="Heading1"/>
        <w:widowControl/>
      </w:pPr>
      <w:r>
        <w:t>DISCUSSION</w:t>
      </w:r>
    </w:p>
    <w:p w:rsidR="00225F62" w:rsidP="00AF372E" w14:paraId="278EA640" w14:textId="38C67203">
      <w:pPr>
        <w:pStyle w:val="ParaNum"/>
        <w:widowControl/>
        <w:tabs>
          <w:tab w:val="clear" w:pos="1080"/>
          <w:tab w:val="num" w:pos="1440"/>
        </w:tabs>
      </w:pPr>
      <w:r>
        <w:t xml:space="preserve">Zayo’s contention that </w:t>
      </w:r>
      <w:r w:rsidR="007F63C5">
        <w:t>its failure to file a timely assignment application was due to an inadvertent administrative error</w:t>
      </w:r>
      <w:r>
        <w:t xml:space="preserve"> is unpersuasive</w:t>
      </w:r>
      <w:r w:rsidR="007F63C5">
        <w:t xml:space="preserve">.  Zayo, which represents itself as an </w:t>
      </w:r>
      <w:r>
        <w:t>“</w:t>
      </w:r>
      <w:r w:rsidRPr="00A501DB" w:rsidR="007F63C5">
        <w:t>established FCC licensee</w:t>
      </w:r>
      <w:r w:rsidR="007F63C5">
        <w:t>”</w:t>
      </w:r>
      <w:r>
        <w:rPr>
          <w:rStyle w:val="FootnoteReference"/>
        </w:rPr>
        <w:footnoteReference w:id="16"/>
      </w:r>
      <w:r w:rsidR="007F63C5">
        <w:t xml:space="preserve"> is charged with knowledge of the Commission’s rules.</w:t>
      </w:r>
      <w:r>
        <w:rPr>
          <w:rStyle w:val="FootnoteReference"/>
        </w:rPr>
        <w:footnoteReference w:id="17"/>
      </w:r>
      <w:r w:rsidR="007F63C5">
        <w:t xml:space="preserve">  </w:t>
      </w:r>
      <w:r w:rsidRPr="003F18A3" w:rsidR="007F63C5">
        <w:t xml:space="preserve">There is no dispute that Zayo operated the Eagle-Net facilities without Commission authorization for an extended period, repeatedly violating section </w:t>
      </w:r>
      <w:r w:rsidRPr="006C69A4" w:rsidR="007F63C5">
        <w:t>1.948</w:t>
      </w:r>
      <w:r w:rsidRPr="003F18A3" w:rsidR="007F63C5">
        <w:t xml:space="preserve"> of the Commission’s rules</w:t>
      </w:r>
      <w:r>
        <w:rPr>
          <w:rStyle w:val="FootnoteReference"/>
        </w:rPr>
        <w:footnoteReference w:id="18"/>
      </w:r>
      <w:r w:rsidRPr="003F18A3" w:rsidR="007F63C5">
        <w:t xml:space="preserve"> and section </w:t>
      </w:r>
      <w:r w:rsidR="007F63C5">
        <w:t xml:space="preserve">310(d) </w:t>
      </w:r>
      <w:r w:rsidRPr="003F18A3" w:rsidR="007F63C5">
        <w:t>of the Communications Act of 1934, as amended</w:t>
      </w:r>
      <w:r w:rsidR="009A65E7">
        <w:t>.</w:t>
      </w:r>
      <w:r>
        <w:rPr>
          <w:rStyle w:val="FootnoteReference"/>
        </w:rPr>
        <w:footnoteReference w:id="19"/>
      </w:r>
      <w:r w:rsidRPr="003F18A3" w:rsidR="007F63C5">
        <w:t xml:space="preserve">  </w:t>
      </w:r>
      <w:r w:rsidR="007F63C5">
        <w:t>It</w:t>
      </w:r>
      <w:r>
        <w:t>s</w:t>
      </w:r>
      <w:r w:rsidR="007F63C5">
        <w:t xml:space="preserve"> claim of administrative inadvertence, like similar claims </w:t>
      </w:r>
      <w:r w:rsidR="00B3158F">
        <w:t xml:space="preserve">advanced by others </w:t>
      </w:r>
      <w:r w:rsidR="007F63C5">
        <w:t>for failure to file required documents, has been</w:t>
      </w:r>
      <w:r>
        <w:t xml:space="preserve"> uniformly </w:t>
      </w:r>
      <w:r w:rsidR="007F63C5">
        <w:t xml:space="preserve">rejected by the Commission as a defensible reason for not complying with </w:t>
      </w:r>
      <w:r w:rsidR="00A21770">
        <w:t xml:space="preserve">Commission </w:t>
      </w:r>
      <w:r w:rsidR="007F63C5">
        <w:t>rules.</w:t>
      </w:r>
      <w:r>
        <w:rPr>
          <w:rStyle w:val="FootnoteReference"/>
        </w:rPr>
        <w:footnoteReference w:id="20"/>
      </w:r>
      <w:r w:rsidR="007F63C5">
        <w:t xml:space="preserve"> </w:t>
      </w:r>
      <w:r w:rsidR="00B3158F">
        <w:t xml:space="preserve"> Were we to grant </w:t>
      </w:r>
      <w:r w:rsidRPr="000C7305" w:rsidR="000C7305">
        <w:t>Zayo</w:t>
      </w:r>
      <w:r w:rsidR="00982122">
        <w:t>’s</w:t>
      </w:r>
      <w:r w:rsidRPr="000C7305" w:rsidR="000C7305">
        <w:t xml:space="preserve"> request</w:t>
      </w:r>
      <w:r w:rsidR="00B3158F">
        <w:t xml:space="preserve"> to make our approval of the assignment application </w:t>
      </w:r>
      <w:r w:rsidR="00982122">
        <w:t>retroactive</w:t>
      </w:r>
      <w:r w:rsidRPr="000C7305" w:rsidR="000C7305">
        <w:t xml:space="preserve"> </w:t>
      </w:r>
      <w:r w:rsidR="00B9558E">
        <w:t xml:space="preserve">to </w:t>
      </w:r>
      <w:r w:rsidRPr="000C7305" w:rsidR="000C7305">
        <w:t>May 2, 2018</w:t>
      </w:r>
      <w:r w:rsidR="00B9558E">
        <w:t>,</w:t>
      </w:r>
      <w:r w:rsidRPr="000C7305" w:rsidR="000C7305">
        <w:t xml:space="preserve"> </w:t>
      </w:r>
      <w:r>
        <w:t xml:space="preserve">we </w:t>
      </w:r>
      <w:r w:rsidRPr="000C7305" w:rsidR="000C7305">
        <w:t xml:space="preserve">would </w:t>
      </w:r>
      <w:r>
        <w:t xml:space="preserve">effectively </w:t>
      </w:r>
      <w:r w:rsidRPr="000C7305" w:rsidR="000C7305">
        <w:t xml:space="preserve">insulate Zayo from responsibility for </w:t>
      </w:r>
      <w:r>
        <w:t xml:space="preserve">its long-term </w:t>
      </w:r>
      <w:r w:rsidRPr="000C7305" w:rsidR="000C7305">
        <w:t>unauthorized operation of the microwave facilities</w:t>
      </w:r>
      <w:r>
        <w:t xml:space="preserve">.  Our precedent establishing that “administrative oversight” does not excuse rule violations, and the fact that Zayo represents itself to be an experienced Commission licensee, combine to </w:t>
      </w:r>
      <w:r w:rsidR="005B35FB">
        <w:t xml:space="preserve">require </w:t>
      </w:r>
      <w:r>
        <w:t>denial of Zayo’s proposal</w:t>
      </w:r>
      <w:r w:rsidR="00B9558E">
        <w:t>.</w:t>
      </w:r>
    </w:p>
    <w:p w:rsidR="00060892" w:rsidP="00AF372E" w14:paraId="3BA80771" w14:textId="2653E1CA">
      <w:pPr>
        <w:pStyle w:val="ParaNum"/>
        <w:widowControl/>
        <w:tabs>
          <w:tab w:val="clear" w:pos="1080"/>
          <w:tab w:val="num" w:pos="1440"/>
        </w:tabs>
      </w:pPr>
      <w:r>
        <w:t>We note, however, that it has not been the Commission’s practice</w:t>
      </w:r>
      <w:r w:rsidR="00E72077">
        <w:t>,</w:t>
      </w:r>
      <w:r>
        <w:t xml:space="preserve"> </w:t>
      </w:r>
      <w:r w:rsidR="00FF40D4">
        <w:t>generally</w:t>
      </w:r>
      <w:r w:rsidR="00E72077">
        <w:t>,</w:t>
      </w:r>
      <w:r w:rsidR="00FF40D4">
        <w:t xml:space="preserve"> </w:t>
      </w:r>
      <w:r>
        <w:t>to deny or dismiss otherwise conforming untimely assignment applications</w:t>
      </w:r>
      <w:r w:rsidR="00D35189">
        <w:t>.</w:t>
      </w:r>
      <w:r>
        <w:t xml:space="preserve"> </w:t>
      </w:r>
      <w:r w:rsidR="00203594">
        <w:t xml:space="preserve"> </w:t>
      </w:r>
      <w:r w:rsidR="00DF2F22">
        <w:t>I</w:t>
      </w:r>
      <w:r>
        <w:t>nstead</w:t>
      </w:r>
      <w:r w:rsidR="000C7305">
        <w:t>,</w:t>
      </w:r>
      <w:r>
        <w:t xml:space="preserve"> </w:t>
      </w:r>
      <w:r w:rsidR="00D35189">
        <w:t xml:space="preserve">the Commission </w:t>
      </w:r>
      <w:r>
        <w:t xml:space="preserve">typically </w:t>
      </w:r>
      <w:r w:rsidR="00D35189">
        <w:t xml:space="preserve">has </w:t>
      </w:r>
      <w:r w:rsidR="00E72077">
        <w:t xml:space="preserve">granted such applications but reserved its right to initiate </w:t>
      </w:r>
      <w:r>
        <w:t>enforcement action</w:t>
      </w:r>
      <w:r w:rsidR="00225F62">
        <w:t>.</w:t>
      </w:r>
      <w:r>
        <w:rPr>
          <w:vertAlign w:val="superscript"/>
        </w:rPr>
        <w:footnoteReference w:id="21"/>
      </w:r>
      <w:r w:rsidR="00225F62">
        <w:t xml:space="preserve">  We believe that to be the appropriate approach here and, accordingly, (a) </w:t>
      </w:r>
      <w:r w:rsidRPr="00D35189" w:rsidR="00D35189">
        <w:t xml:space="preserve">refer the matter of Zayo’s unauthorized </w:t>
      </w:r>
      <w:r w:rsidR="00304CF5">
        <w:t>transfer and oper</w:t>
      </w:r>
      <w:r w:rsidRPr="00D35189" w:rsidR="00304CF5">
        <w:t>ation</w:t>
      </w:r>
      <w:r w:rsidR="00304CF5">
        <w:t xml:space="preserve"> </w:t>
      </w:r>
      <w:r w:rsidRPr="00D35189" w:rsidR="00D35189">
        <w:t>of the captioned microwave facilities to the Commission’s Enforcement Bureau</w:t>
      </w:r>
      <w:r w:rsidR="00982122">
        <w:t>,</w:t>
      </w:r>
      <w:r w:rsidRPr="00D35189" w:rsidR="00D35189">
        <w:t xml:space="preserve"> </w:t>
      </w:r>
      <w:r w:rsidR="00225F62">
        <w:t xml:space="preserve">and (b) instruct staff to state on the resulting license that grant thereof is without prejudice to whatever action the Enforcement Bureau may take. </w:t>
      </w:r>
    </w:p>
    <w:p w:rsidR="007F63C5" w:rsidP="00187A3C" w14:paraId="38324CEC" w14:textId="37C1A70E">
      <w:pPr>
        <w:pStyle w:val="ParaNum"/>
        <w:widowControl/>
        <w:tabs>
          <w:tab w:val="clear" w:pos="1080"/>
          <w:tab w:val="num" w:pos="1440"/>
        </w:tabs>
      </w:pPr>
      <w:r>
        <w:t>W</w:t>
      </w:r>
      <w:r w:rsidR="006C090C">
        <w:t>hen an assign</w:t>
      </w:r>
      <w:r w:rsidR="002C4B1A">
        <w:t>or</w:t>
      </w:r>
      <w:r w:rsidR="006C090C">
        <w:t xml:space="preserve"> has ceased to exist</w:t>
      </w:r>
      <w:r w:rsidR="0053149B">
        <w:t>—</w:t>
      </w:r>
      <w:r w:rsidR="006C090C">
        <w:t>as is the case</w:t>
      </w:r>
      <w:r w:rsidR="002C4B1A">
        <w:t xml:space="preserve"> with</w:t>
      </w:r>
      <w:r w:rsidR="004C53FC">
        <w:t xml:space="preserve"> Eagle-Net </w:t>
      </w:r>
      <w:r w:rsidR="0053149B">
        <w:t>—</w:t>
      </w:r>
      <w:r w:rsidR="002C4B1A">
        <w:t>the Commission has waived the assignor’s signature</w:t>
      </w:r>
      <w:r w:rsidR="00FC38B1">
        <w:t xml:space="preserve"> on an assignment application</w:t>
      </w:r>
      <w:r w:rsidR="002C4B1A">
        <w:t>.</w:t>
      </w:r>
      <w:r>
        <w:rPr>
          <w:vertAlign w:val="superscript"/>
        </w:rPr>
        <w:footnoteReference w:id="22"/>
      </w:r>
      <w:r w:rsidRPr="002C4B1A" w:rsidR="002C4B1A">
        <w:t xml:space="preserve"> </w:t>
      </w:r>
      <w:r w:rsidR="002C4B1A">
        <w:t xml:space="preserve"> </w:t>
      </w:r>
      <w:r w:rsidR="00067DF9">
        <w:t xml:space="preserve">Here Zayo, as a former partner with </w:t>
      </w:r>
      <w:r w:rsidR="00067DF9">
        <w:t>Eagle-Net in the broadband project</w:t>
      </w:r>
      <w:r w:rsidR="00982122">
        <w:t>,</w:t>
      </w:r>
      <w:r w:rsidR="00067DF9">
        <w:t xml:space="preserve"> would have been authorized to execute the assignment application had it been timely.  </w:t>
      </w:r>
      <w:r w:rsidR="00193224">
        <w:t>C</w:t>
      </w:r>
      <w:r w:rsidRPr="00193224" w:rsidR="00193224">
        <w:t>onsistent with the Commission’s waiver standard, Zayo has shown that “the applicant has no reasonable alternative”</w:t>
      </w:r>
      <w:r>
        <w:rPr>
          <w:vertAlign w:val="superscript"/>
        </w:rPr>
        <w:footnoteReference w:id="23"/>
      </w:r>
      <w:r w:rsidR="00193224">
        <w:t xml:space="preserve"> for execution of the application. </w:t>
      </w:r>
      <w:r w:rsidRPr="00193224" w:rsidR="00193224">
        <w:t xml:space="preserve"> </w:t>
      </w:r>
      <w:r w:rsidR="00BB428A">
        <w:t>Accordingly, we waive the assignor’s signature on the application form and</w:t>
      </w:r>
      <w:r w:rsidR="0053149B">
        <w:t>—</w:t>
      </w:r>
      <w:r w:rsidR="00FC38B1">
        <w:t>as Zayo has requested</w:t>
      </w:r>
      <w:r w:rsidR="0053149B">
        <w:t>—</w:t>
      </w:r>
      <w:r w:rsidR="00BB428A">
        <w:t>consent to Zayo’s signing the assignment application</w:t>
      </w:r>
      <w:r w:rsidR="005B35FB">
        <w:t>,</w:t>
      </w:r>
      <w:r w:rsidR="00BB428A">
        <w:t xml:space="preserve"> </w:t>
      </w:r>
      <w:r w:rsidR="005B35FB">
        <w:t>F</w:t>
      </w:r>
      <w:r w:rsidR="00BB428A">
        <w:t>or</w:t>
      </w:r>
      <w:r w:rsidR="00FC38B1">
        <w:t xml:space="preserve">m </w:t>
      </w:r>
      <w:r w:rsidR="00734C3A">
        <w:t>603</w:t>
      </w:r>
      <w:r w:rsidR="005B35FB">
        <w:t>,</w:t>
      </w:r>
      <w:r w:rsidR="00734C3A">
        <w:t xml:space="preserve"> </w:t>
      </w:r>
      <w:r w:rsidR="00FC38B1">
        <w:t xml:space="preserve">in the space provided for an assignor’s signature. </w:t>
      </w:r>
    </w:p>
    <w:p w:rsidR="000222F8" w:rsidP="00AF372E" w14:paraId="273D4A86" w14:textId="59525952">
      <w:pPr>
        <w:pStyle w:val="Heading1"/>
        <w:widowControl/>
      </w:pPr>
      <w:r>
        <w:t>Ordering clauses</w:t>
      </w:r>
    </w:p>
    <w:p w:rsidR="000222F8" w:rsidP="00187A3C" w14:paraId="7560C0C8" w14:textId="7BA90547">
      <w:pPr>
        <w:pStyle w:val="ParaNum"/>
        <w:widowControl/>
        <w:tabs>
          <w:tab w:val="clear" w:pos="1080"/>
          <w:tab w:val="num" w:pos="1440"/>
        </w:tabs>
      </w:pPr>
      <w:r>
        <w:t xml:space="preserve">Accordingly, </w:t>
      </w:r>
      <w:r w:rsidRPr="00156EC0">
        <w:rPr>
          <w:b/>
        </w:rPr>
        <w:t>IT IS ORDERED</w:t>
      </w:r>
      <w:r>
        <w:t xml:space="preserve"> that the </w:t>
      </w:r>
      <w:r w:rsidR="0017364A">
        <w:t xml:space="preserve">application for assignment of license, as amended, filed by </w:t>
      </w:r>
      <w:bookmarkStart w:id="2" w:name="_Hlk27760043"/>
      <w:r>
        <w:t>the Zayo Group, LLC</w:t>
      </w:r>
      <w:bookmarkEnd w:id="2"/>
      <w:r>
        <w:t xml:space="preserve">, </w:t>
      </w:r>
      <w:r w:rsidRPr="005B35FB">
        <w:t>File No. 0008846678</w:t>
      </w:r>
      <w:r>
        <w:t>,</w:t>
      </w:r>
      <w:r w:rsidRPr="005B35FB">
        <w:t xml:space="preserve"> </w:t>
      </w:r>
      <w:r>
        <w:t xml:space="preserve">seeking Commission consent to assign </w:t>
      </w:r>
      <w:r w:rsidR="0017364A">
        <w:t>42</w:t>
      </w:r>
      <w:r>
        <w:t xml:space="preserve"> m</w:t>
      </w:r>
      <w:r w:rsidR="00BD3A75">
        <w:t>icrowave radio station licenses</w:t>
      </w:r>
      <w:r>
        <w:t xml:space="preserve"> from Eagle-Net Alliance to </w:t>
      </w:r>
      <w:r>
        <w:t xml:space="preserve">The </w:t>
      </w:r>
      <w:r>
        <w:t xml:space="preserve">Zayo </w:t>
      </w:r>
      <w:r w:rsidR="00BD3A75">
        <w:t>Group</w:t>
      </w:r>
      <w:r w:rsidR="0017364A">
        <w:t>,</w:t>
      </w:r>
      <w:r w:rsidR="00BD3A75">
        <w:t xml:space="preserve"> LLC</w:t>
      </w:r>
      <w:r w:rsidR="0017364A">
        <w:t xml:space="preserve"> IS</w:t>
      </w:r>
      <w:r w:rsidR="0036403C">
        <w:t xml:space="preserve"> GRANTED</w:t>
      </w:r>
      <w:r w:rsidR="0017364A">
        <w:t xml:space="preserve">. </w:t>
      </w:r>
    </w:p>
    <w:p w:rsidR="0017364A" w:rsidP="00187A3C" w14:paraId="4DF724EF" w14:textId="51A6895A">
      <w:pPr>
        <w:pStyle w:val="ParaNum"/>
        <w:widowControl/>
        <w:tabs>
          <w:tab w:val="clear" w:pos="1080"/>
          <w:tab w:val="num" w:pos="1440"/>
        </w:tabs>
      </w:pPr>
      <w:r w:rsidRPr="00156EC0">
        <w:rPr>
          <w:b/>
        </w:rPr>
        <w:t>IT IS FURTHER ORDERED</w:t>
      </w:r>
      <w:r>
        <w:t xml:space="preserve">, that the </w:t>
      </w:r>
      <w:r w:rsidR="00FC38B1">
        <w:t xml:space="preserve">Licensing Branch </w:t>
      </w:r>
      <w:r>
        <w:t xml:space="preserve">of the Policy and Licensing Division of the Public Safety and Homeland Security Bureau SHALL PROCESS the application for assignment of license, File No. </w:t>
      </w:r>
      <w:r w:rsidRPr="00925FCF" w:rsidR="00925FCF">
        <w:t>0008846678</w:t>
      </w:r>
      <w:r w:rsidR="00925FCF">
        <w:t xml:space="preserve"> </w:t>
      </w:r>
      <w:bookmarkStart w:id="3" w:name="_Hlk27760417"/>
      <w:r w:rsidR="00925FCF">
        <w:t xml:space="preserve">filed by </w:t>
      </w:r>
      <w:r w:rsidR="005B35FB">
        <w:t>T</w:t>
      </w:r>
      <w:r w:rsidRPr="00925FCF" w:rsidR="00925FCF">
        <w:t>he Zayo Group, LLC</w:t>
      </w:r>
      <w:r w:rsidR="00925FCF">
        <w:t>, as amended December 19, 2019</w:t>
      </w:r>
      <w:bookmarkEnd w:id="3"/>
      <w:r w:rsidR="00925FCF">
        <w:t>, and SHALL CONDITION grant of said application</w:t>
      </w:r>
      <w:r w:rsidR="005B35FB">
        <w:t xml:space="preserve"> as </w:t>
      </w:r>
      <w:r w:rsidR="00925FCF">
        <w:t xml:space="preserve">being without prejudice to such action as the Commission’s Enforcement Bureau may take for </w:t>
      </w:r>
      <w:r w:rsidR="005B35FB">
        <w:t>T</w:t>
      </w:r>
      <w:r w:rsidR="00925FCF">
        <w:t>he Zayo</w:t>
      </w:r>
      <w:r w:rsidRPr="00925FCF" w:rsidR="00925FCF">
        <w:t xml:space="preserve"> Group</w:t>
      </w:r>
      <w:r w:rsidR="00925FCF">
        <w:t>, LLC</w:t>
      </w:r>
      <w:r w:rsidRPr="00925FCF" w:rsidR="00925FCF">
        <w:t xml:space="preserve">’s unauthorized </w:t>
      </w:r>
      <w:r w:rsidR="00304CF5">
        <w:t xml:space="preserve">transfer and </w:t>
      </w:r>
      <w:r w:rsidRPr="00925FCF" w:rsidR="00925FCF">
        <w:t>operation</w:t>
      </w:r>
      <w:r w:rsidR="00925FCF">
        <w:t xml:space="preserve"> of the stations being assigned. </w:t>
      </w:r>
    </w:p>
    <w:p w:rsidR="0017364A" w:rsidP="00187A3C" w14:paraId="3F25009E" w14:textId="3201527B">
      <w:pPr>
        <w:pStyle w:val="ParaNum"/>
        <w:widowControl/>
        <w:tabs>
          <w:tab w:val="clear" w:pos="1080"/>
          <w:tab w:val="num" w:pos="1440"/>
        </w:tabs>
      </w:pPr>
      <w:r w:rsidRPr="00156EC0">
        <w:rPr>
          <w:b/>
        </w:rPr>
        <w:t>IT IS FURTHER ORDERED</w:t>
      </w:r>
      <w:r>
        <w:t xml:space="preserve"> that the request for waiver </w:t>
      </w:r>
      <w:r w:rsidR="005B35FB">
        <w:t>of section 1.917(a) of the Commission’s rules,</w:t>
      </w:r>
      <w:r>
        <w:rPr>
          <w:rStyle w:val="FootnoteReference"/>
        </w:rPr>
        <w:footnoteReference w:id="24"/>
      </w:r>
      <w:r w:rsidR="005B35FB">
        <w:t xml:space="preserve"> </w:t>
      </w:r>
      <w:r>
        <w:t xml:space="preserve">accompanying the application for assignment of license </w:t>
      </w:r>
      <w:r w:rsidRPr="00925FCF">
        <w:t xml:space="preserve">filed by </w:t>
      </w:r>
      <w:r w:rsidR="005B35FB">
        <w:t>T</w:t>
      </w:r>
      <w:r w:rsidRPr="00925FCF">
        <w:t xml:space="preserve">he </w:t>
      </w:r>
      <w:bookmarkStart w:id="4" w:name="_Hlk27760564"/>
      <w:r w:rsidRPr="00925FCF">
        <w:t>Zayo Group, LLC</w:t>
      </w:r>
      <w:bookmarkEnd w:id="4"/>
      <w:r w:rsidRPr="00925FCF">
        <w:t>, as amended December 19, 2019</w:t>
      </w:r>
      <w:r>
        <w:t xml:space="preserve">, </w:t>
      </w:r>
      <w:r w:rsidRPr="00156EC0">
        <w:rPr>
          <w:b/>
        </w:rPr>
        <w:t>IS GRANTED</w:t>
      </w:r>
      <w:r>
        <w:t xml:space="preserve"> and that </w:t>
      </w:r>
      <w:r w:rsidR="005B35FB">
        <w:t>T</w:t>
      </w:r>
      <w:r>
        <w:t xml:space="preserve">he </w:t>
      </w:r>
      <w:r w:rsidRPr="00925FCF">
        <w:t>Zayo Group, LLC</w:t>
      </w:r>
      <w:r w:rsidR="005263DD">
        <w:t>,</w:t>
      </w:r>
      <w:r>
        <w:t xml:space="preserve"> IS AUTHORIZED</w:t>
      </w:r>
      <w:r w:rsidR="005263DD">
        <w:t xml:space="preserve">, </w:t>
      </w:r>
      <w:r w:rsidRPr="005263DD" w:rsidR="005263DD">
        <w:t>on behalf of the assignor</w:t>
      </w:r>
      <w:r w:rsidR="005263DD">
        <w:t>,</w:t>
      </w:r>
      <w:r>
        <w:t xml:space="preserve"> to execute </w:t>
      </w:r>
      <w:r w:rsidR="0036403C">
        <w:t>the application</w:t>
      </w:r>
      <w:r w:rsidR="005263DD">
        <w:t xml:space="preserve">, as amended, File No. </w:t>
      </w:r>
      <w:r w:rsidRPr="005263DD" w:rsidR="005263DD">
        <w:t>008846678</w:t>
      </w:r>
      <w:r w:rsidR="005263DD">
        <w:t>,</w:t>
      </w:r>
      <w:r w:rsidR="0036403C">
        <w:t xml:space="preserve"> for Commission consent to </w:t>
      </w:r>
      <w:r w:rsidR="005263DD">
        <w:t xml:space="preserve">the </w:t>
      </w:r>
      <w:r w:rsidR="0036403C">
        <w:t xml:space="preserve">assignment of </w:t>
      </w:r>
      <w:r w:rsidR="005263DD">
        <w:t xml:space="preserve">license from </w:t>
      </w:r>
      <w:r w:rsidRPr="005263DD" w:rsidR="005263DD">
        <w:t>Eagle-Net Alliance to The Zayo Group</w:t>
      </w:r>
      <w:r w:rsidR="0036403C">
        <w:t xml:space="preserve"> </w:t>
      </w:r>
      <w:r>
        <w:t>.</w:t>
      </w:r>
    </w:p>
    <w:p w:rsidR="00BD3A75" w:rsidP="00187A3C" w14:paraId="1BD0AB26" w14:textId="4D71E5F6">
      <w:pPr>
        <w:pStyle w:val="ParaNum"/>
        <w:widowControl/>
        <w:tabs>
          <w:tab w:val="clear" w:pos="1080"/>
          <w:tab w:val="num" w:pos="1440"/>
        </w:tabs>
      </w:pPr>
      <w:r w:rsidRPr="00156EC0">
        <w:rPr>
          <w:b/>
        </w:rPr>
        <w:t>IT IS FURTHER ORDERED</w:t>
      </w:r>
      <w:r>
        <w:t xml:space="preserve"> that </w:t>
      </w:r>
      <w:r w:rsidR="005B35FB">
        <w:t>T</w:t>
      </w:r>
      <w:r>
        <w:t>he</w:t>
      </w:r>
      <w:r w:rsidRPr="00925FCF">
        <w:t xml:space="preserve"> Zayo Group, LLC</w:t>
      </w:r>
      <w:r>
        <w:t xml:space="preserve">’s unauthorized </w:t>
      </w:r>
      <w:r w:rsidR="00292DC7">
        <w:t xml:space="preserve">transfer and </w:t>
      </w:r>
      <w:r>
        <w:t xml:space="preserve">operation of </w:t>
      </w:r>
      <w:r w:rsidR="00CF56CE">
        <w:t xml:space="preserve">the microwave stations listed in the caption of this </w:t>
      </w:r>
      <w:r w:rsidRPr="00CF56CE" w:rsidR="00CF56CE">
        <w:rPr>
          <w:i/>
        </w:rPr>
        <w:t>Order</w:t>
      </w:r>
      <w:r w:rsidR="00CF56CE">
        <w:t xml:space="preserve"> is, hereby, referred to the Enforcement Bureau of the Federal Communications Commission.</w:t>
      </w:r>
    </w:p>
    <w:p w:rsidR="000D091B" w:rsidRPr="001B4B42" w:rsidP="00AF372E" w14:paraId="2F429943" w14:textId="77777777">
      <w:pPr>
        <w:pStyle w:val="ParaNum"/>
        <w:widowControl/>
        <w:tabs>
          <w:tab w:val="clear" w:pos="1080"/>
        </w:tabs>
      </w:pPr>
      <w:r>
        <w:t xml:space="preserve">This action is taken under delegated authority pursuant to Sections 0.191 and 0.392 of the Commission’s rules, 47 CFR §§ 0.191, 0.392.  </w:t>
      </w:r>
    </w:p>
    <w:p w:rsidR="000D091B" w:rsidRPr="001B4B42" w:rsidP="00AF372E" w14:paraId="28FE6B9E" w14:textId="77777777">
      <w:pPr>
        <w:pStyle w:val="ParaNum"/>
        <w:keepNext/>
        <w:keepLines/>
        <w:widowControl/>
        <w:numPr>
          <w:ilvl w:val="0"/>
          <w:numId w:val="0"/>
        </w:numPr>
        <w:spacing w:after="0"/>
        <w:ind w:left="3600" w:firstLine="720"/>
        <w:rPr>
          <w:szCs w:val="22"/>
        </w:rPr>
      </w:pPr>
      <w:r w:rsidRPr="001B4B42">
        <w:rPr>
          <w:szCs w:val="22"/>
        </w:rPr>
        <w:t xml:space="preserve">FEDERAL COMMUNICATIONS COMMISSION </w:t>
      </w:r>
    </w:p>
    <w:p w:rsidR="000D091B" w:rsidRPr="001B4B42" w:rsidP="00AF372E" w14:paraId="437362CA" w14:textId="77777777">
      <w:pPr>
        <w:pStyle w:val="ParaNum"/>
        <w:keepNext/>
        <w:keepLines/>
        <w:widowControl/>
        <w:numPr>
          <w:ilvl w:val="0"/>
          <w:numId w:val="0"/>
        </w:numPr>
        <w:spacing w:after="0"/>
        <w:ind w:left="720"/>
        <w:rPr>
          <w:szCs w:val="22"/>
        </w:rPr>
      </w:pPr>
    </w:p>
    <w:p w:rsidR="000D091B" w:rsidRPr="001B4B42" w:rsidP="00AF372E" w14:paraId="3CA1C9C8" w14:textId="77777777">
      <w:pPr>
        <w:pStyle w:val="ParaNum"/>
        <w:keepNext/>
        <w:keepLines/>
        <w:widowControl/>
        <w:numPr>
          <w:ilvl w:val="0"/>
          <w:numId w:val="0"/>
        </w:numPr>
        <w:spacing w:after="0"/>
        <w:ind w:left="720"/>
        <w:rPr>
          <w:szCs w:val="22"/>
        </w:rPr>
      </w:pPr>
    </w:p>
    <w:p w:rsidR="000D091B" w:rsidRPr="001B4B42" w:rsidP="00AF372E" w14:paraId="25C6D4CD" w14:textId="77777777">
      <w:pPr>
        <w:pStyle w:val="ParaNum"/>
        <w:keepNext/>
        <w:keepLines/>
        <w:widowControl/>
        <w:numPr>
          <w:ilvl w:val="0"/>
          <w:numId w:val="0"/>
        </w:numPr>
        <w:spacing w:after="0"/>
        <w:ind w:left="720"/>
        <w:rPr>
          <w:szCs w:val="22"/>
        </w:rPr>
      </w:pPr>
    </w:p>
    <w:p w:rsidR="000D091B" w:rsidRPr="001B4B42" w:rsidP="00AF372E" w14:paraId="57DE7977" w14:textId="77777777">
      <w:pPr>
        <w:pStyle w:val="ParaNum"/>
        <w:keepNext/>
        <w:keepLines/>
        <w:widowControl/>
        <w:numPr>
          <w:ilvl w:val="0"/>
          <w:numId w:val="0"/>
        </w:numPr>
        <w:spacing w:after="0"/>
        <w:ind w:left="720"/>
        <w:rPr>
          <w:szCs w:val="22"/>
        </w:rPr>
      </w:pPr>
    </w:p>
    <w:p w:rsidR="000D091B" w:rsidRPr="001B4B42" w:rsidP="00AF372E" w14:paraId="0CE69E87" w14:textId="77777777">
      <w:pPr>
        <w:pStyle w:val="ParaNum"/>
        <w:keepNext/>
        <w:keepLines/>
        <w:widowControl/>
        <w:numPr>
          <w:ilvl w:val="0"/>
          <w:numId w:val="0"/>
        </w:numPr>
        <w:spacing w:after="0"/>
        <w:ind w:left="3600" w:firstLine="720"/>
        <w:rPr>
          <w:szCs w:val="22"/>
        </w:rPr>
      </w:pPr>
      <w:r w:rsidRPr="001B4B42">
        <w:rPr>
          <w:szCs w:val="22"/>
        </w:rPr>
        <w:t xml:space="preserve">Michael J. Wilhelm  </w:t>
      </w:r>
    </w:p>
    <w:p w:rsidR="000D091B" w:rsidRPr="001B4B42" w:rsidP="00AF372E" w14:paraId="065C61C9" w14:textId="77777777">
      <w:pPr>
        <w:pStyle w:val="ParaNum"/>
        <w:keepNext/>
        <w:keepLines/>
        <w:widowControl/>
        <w:numPr>
          <w:ilvl w:val="0"/>
          <w:numId w:val="0"/>
        </w:numPr>
        <w:spacing w:after="0"/>
        <w:ind w:left="3600" w:firstLine="720"/>
        <w:rPr>
          <w:szCs w:val="22"/>
        </w:rPr>
      </w:pPr>
      <w:r w:rsidRPr="001B4B42">
        <w:rPr>
          <w:szCs w:val="22"/>
        </w:rPr>
        <w:t xml:space="preserve">Chief, Policy and Licensing Division </w:t>
      </w:r>
    </w:p>
    <w:p w:rsidR="000D091B" w:rsidRPr="000D091B" w:rsidP="00AF372E" w14:paraId="21200D1A" w14:textId="77777777">
      <w:pPr>
        <w:pStyle w:val="ParaNum"/>
        <w:keepNext/>
        <w:keepLines/>
        <w:widowControl/>
        <w:numPr>
          <w:ilvl w:val="0"/>
          <w:numId w:val="0"/>
        </w:numPr>
        <w:spacing w:after="0"/>
        <w:ind w:left="3600" w:firstLine="720"/>
        <w:rPr>
          <w:szCs w:val="22"/>
        </w:rPr>
      </w:pPr>
      <w:r w:rsidRPr="001B4B42">
        <w:rPr>
          <w:szCs w:val="22"/>
        </w:rPr>
        <w:t>Public Safety and Homeland Security Bureau</w:t>
      </w:r>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8A3E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8C7D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D92E2AC" w14:textId="77777777">
    <w:pPr>
      <w:pStyle w:val="Footer"/>
      <w:jc w:val="center"/>
    </w:pPr>
    <w:r>
      <w:fldChar w:fldCharType="begin"/>
    </w:r>
    <w:r>
      <w:instrText xml:space="preserve"> PAGE   \* MERGEFORMAT </w:instrText>
    </w:r>
    <w:r>
      <w:fldChar w:fldCharType="separate"/>
    </w:r>
    <w:r w:rsidR="00C05316">
      <w:rPr>
        <w:noProof/>
      </w:rPr>
      <w:t>4</w:t>
    </w:r>
    <w:r>
      <w:rPr>
        <w:noProof/>
      </w:rPr>
      <w:fldChar w:fldCharType="end"/>
    </w:r>
  </w:p>
  <w:p w:rsidR="00D25FB5" w14:paraId="070ECDE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2D64C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33F7" w14:paraId="5B109375" w14:textId="77777777">
      <w:r>
        <w:separator/>
      </w:r>
    </w:p>
  </w:footnote>
  <w:footnote w:type="continuationSeparator" w:id="1">
    <w:p w:rsidR="000333F7" w:rsidP="00C721AC" w14:paraId="617663EC" w14:textId="77777777">
      <w:pPr>
        <w:spacing w:before="120"/>
        <w:rPr>
          <w:sz w:val="20"/>
        </w:rPr>
      </w:pPr>
      <w:r>
        <w:rPr>
          <w:sz w:val="20"/>
        </w:rPr>
        <w:t xml:space="preserve">(Continued from previous page)  </w:t>
      </w:r>
      <w:r>
        <w:rPr>
          <w:sz w:val="20"/>
        </w:rPr>
        <w:separator/>
      </w:r>
    </w:p>
  </w:footnote>
  <w:footnote w:type="continuationNotice" w:id="2">
    <w:p w:rsidR="000333F7" w:rsidP="00C721AC" w14:paraId="72117E93" w14:textId="77777777">
      <w:pPr>
        <w:jc w:val="right"/>
        <w:rPr>
          <w:sz w:val="20"/>
        </w:rPr>
      </w:pPr>
    </w:p>
  </w:footnote>
  <w:footnote w:id="3">
    <w:p w:rsidR="00927021" w:rsidP="00927021" w14:paraId="26832E73" w14:textId="18F16A3F">
      <w:pPr>
        <w:pStyle w:val="FootnoteText"/>
      </w:pPr>
      <w:r>
        <w:rPr>
          <w:rStyle w:val="FootnoteReference"/>
        </w:rPr>
        <w:footnoteRef/>
      </w:r>
      <w:r>
        <w:t xml:space="preserve"> </w:t>
      </w:r>
      <w:r w:rsidR="004840D1">
        <w:t xml:space="preserve">Application for Commission Approval of Assignment of License from Eagle-Net Alliance to The Zayo Group, LLC, FCC </w:t>
      </w:r>
      <w:r w:rsidRPr="001B481B">
        <w:t>File No. 0008846678, filed Oct</w:t>
      </w:r>
      <w:r w:rsidR="004840D1">
        <w:t>.</w:t>
      </w:r>
      <w:r w:rsidRPr="001B481B">
        <w:t xml:space="preserve"> 25, 2019</w:t>
      </w:r>
      <w:r w:rsidR="004840D1">
        <w:t xml:space="preserve"> (Inactive)</w:t>
      </w:r>
      <w:r w:rsidR="004569ED">
        <w:t xml:space="preserve"> (Eagle-Net</w:t>
      </w:r>
      <w:r w:rsidR="00F371F0">
        <w:t>-to-Zayo</w:t>
      </w:r>
      <w:r w:rsidR="004569ED">
        <w:t xml:space="preserve"> Application).</w:t>
      </w:r>
    </w:p>
  </w:footnote>
  <w:footnote w:id="4">
    <w:p w:rsidR="001B481B" w14:paraId="584E3695" w14:textId="7840FE4D">
      <w:pPr>
        <w:pStyle w:val="FootnoteText"/>
      </w:pPr>
      <w:r>
        <w:rPr>
          <w:rStyle w:val="FootnoteReference"/>
        </w:rPr>
        <w:footnoteRef/>
      </w:r>
      <w:r>
        <w:t xml:space="preserve"> </w:t>
      </w:r>
      <w:r w:rsidRPr="004840D1" w:rsidR="004840D1">
        <w:t>Application for Commission Approval of Assignment of License from Eagle-Net Alliance to The Zayo Group, LLC, FCC File No. 0008846678, filed October 25, 2019</w:t>
      </w:r>
      <w:r w:rsidR="004840D1">
        <w:t>, as amended Dec.19, 2019</w:t>
      </w:r>
      <w:r w:rsidRPr="004840D1" w:rsidR="004840D1">
        <w:t xml:space="preserve"> (</w:t>
      </w:r>
      <w:r w:rsidR="004840D1">
        <w:t>Pending</w:t>
      </w:r>
      <w:r w:rsidRPr="004840D1" w:rsidR="004840D1">
        <w:t>)</w:t>
      </w:r>
      <w:r w:rsidR="004569ED">
        <w:t xml:space="preserve"> (</w:t>
      </w:r>
      <w:r w:rsidR="00F371F0">
        <w:t>Eagle-Net</w:t>
      </w:r>
      <w:r w:rsidR="00982122">
        <w:t>-</w:t>
      </w:r>
      <w:r w:rsidR="00F371F0">
        <w:t xml:space="preserve">to-Zayo </w:t>
      </w:r>
      <w:r w:rsidRPr="004569ED" w:rsidR="004569ED">
        <w:t>A</w:t>
      </w:r>
      <w:r w:rsidR="004569ED">
        <w:t>mendment).</w:t>
      </w:r>
    </w:p>
  </w:footnote>
  <w:footnote w:id="5">
    <w:p w:rsidR="004C53FC" w14:paraId="417100FA" w14:textId="5458B7FF">
      <w:pPr>
        <w:pStyle w:val="FootnoteText"/>
      </w:pPr>
      <w:r>
        <w:rPr>
          <w:rStyle w:val="FootnoteReference"/>
        </w:rPr>
        <w:footnoteRef/>
      </w:r>
      <w:r>
        <w:t xml:space="preserve"> 47 CFR 1.917(a). </w:t>
      </w:r>
    </w:p>
  </w:footnote>
  <w:footnote w:id="6">
    <w:p w:rsidR="009D203D" w14:paraId="167B7137" w14:textId="7068C216">
      <w:pPr>
        <w:pStyle w:val="FootnoteText"/>
      </w:pPr>
      <w:r>
        <w:rPr>
          <w:rStyle w:val="FootnoteReference"/>
        </w:rPr>
        <w:footnoteRef/>
      </w:r>
      <w:r>
        <w:t xml:space="preserve"> Zayo sought identical waiver relief when it filed the </w:t>
      </w:r>
      <w:r w:rsidRPr="004569ED" w:rsidR="004569ED">
        <w:t xml:space="preserve">Zayo-Eagle-Net Application </w:t>
      </w:r>
      <w:r>
        <w:t>on October 25, 2019</w:t>
      </w:r>
      <w:r w:rsidR="004840D1">
        <w:t xml:space="preserve">. </w:t>
      </w:r>
      <w:r w:rsidRPr="004840D1" w:rsidR="004840D1">
        <w:rPr>
          <w:i/>
        </w:rPr>
        <w:t xml:space="preserve">See </w:t>
      </w:r>
      <w:r w:rsidRPr="004840D1" w:rsidR="004840D1">
        <w:t xml:space="preserve">Description of Transaction, Public Interest Statement and Request for Waiver attached to </w:t>
      </w:r>
      <w:r w:rsidRPr="00F371F0" w:rsidR="00F371F0">
        <w:t>Eagle</w:t>
      </w:r>
      <w:r w:rsidR="00F371F0">
        <w:t>-N</w:t>
      </w:r>
      <w:r w:rsidRPr="00F371F0" w:rsidR="00F371F0">
        <w:t xml:space="preserve">et to-Zayo </w:t>
      </w:r>
      <w:r w:rsidRPr="004569ED" w:rsidR="004569ED">
        <w:t>Application</w:t>
      </w:r>
      <w:r w:rsidR="004569ED">
        <w:t xml:space="preserve"> </w:t>
      </w:r>
      <w:r w:rsidRPr="004840D1" w:rsidR="004840D1">
        <w:t xml:space="preserve">(Zayo </w:t>
      </w:r>
      <w:r w:rsidR="004569ED">
        <w:t xml:space="preserve">Waiver </w:t>
      </w:r>
      <w:r w:rsidRPr="004840D1" w:rsidR="004840D1">
        <w:t xml:space="preserve">Request) at 1.  </w:t>
      </w:r>
    </w:p>
  </w:footnote>
  <w:footnote w:id="7">
    <w:p w:rsidR="00D763FB" w14:paraId="696500D6" w14:textId="50E56B30">
      <w:pPr>
        <w:pStyle w:val="FootnoteText"/>
      </w:pPr>
      <w:r>
        <w:rPr>
          <w:rStyle w:val="FootnoteReference"/>
        </w:rPr>
        <w:footnoteRef/>
      </w:r>
      <w:r>
        <w:t xml:space="preserve"> Zayo took ownership of the above-captioned microwave licenses from Eagle-Net on May 2, 2018.</w:t>
      </w:r>
      <w:r w:rsidR="00B9558E">
        <w:t xml:space="preserve"> </w:t>
      </w:r>
      <w:r w:rsidR="004569ED">
        <w:t xml:space="preserve"> </w:t>
      </w:r>
      <w:r w:rsidRPr="005851D7" w:rsidR="004569ED">
        <w:rPr>
          <w:i/>
        </w:rPr>
        <w:t xml:space="preserve">Id. </w:t>
      </w:r>
    </w:p>
  </w:footnote>
  <w:footnote w:id="8">
    <w:p w:rsidR="007F63C5" w:rsidP="007F63C5" w14:paraId="6A92EB91" w14:textId="77777777">
      <w:pPr>
        <w:pStyle w:val="FootnoteText"/>
      </w:pPr>
      <w:r>
        <w:rPr>
          <w:rStyle w:val="FootnoteReference"/>
        </w:rPr>
        <w:footnoteRef/>
      </w:r>
      <w:r>
        <w:t xml:space="preserve"> </w:t>
      </w:r>
      <w:r w:rsidRPr="00DD7CC5">
        <w:rPr>
          <w:i/>
        </w:rPr>
        <w:t>See</w:t>
      </w:r>
      <w:r w:rsidRPr="00DD7CC5">
        <w:t xml:space="preserve"> NTIA B</w:t>
      </w:r>
      <w:r>
        <w:t>roadband Technologies Improvement Program (B</w:t>
      </w:r>
      <w:r w:rsidRPr="00DD7CC5">
        <w:t>TOP</w:t>
      </w:r>
      <w:r>
        <w:t>)</w:t>
      </w:r>
      <w:r w:rsidRPr="00DD7CC5">
        <w:t xml:space="preserve"> Award No. NT11BIX5570001.</w:t>
      </w:r>
    </w:p>
  </w:footnote>
  <w:footnote w:id="9">
    <w:p w:rsidR="00F167B1" w:rsidP="00F167B1" w14:paraId="2A9271D4" w14:textId="5FA646F4">
      <w:pPr>
        <w:pStyle w:val="FootnoteText"/>
      </w:pPr>
      <w:r>
        <w:rPr>
          <w:rStyle w:val="FootnoteReference"/>
        </w:rPr>
        <w:footnoteRef/>
      </w:r>
      <w:r>
        <w:t xml:space="preserve"> </w:t>
      </w:r>
      <w:r w:rsidRPr="00092C12" w:rsidR="00092C12">
        <w:t>Zayo Waiver Request</w:t>
      </w:r>
      <w:r w:rsidRPr="00092C12" w:rsidR="00092C12">
        <w:rPr>
          <w:i/>
        </w:rPr>
        <w:t xml:space="preserve"> </w:t>
      </w:r>
      <w:r w:rsidR="00092C12">
        <w:t>at 1 (“</w:t>
      </w:r>
      <w:r w:rsidRPr="00092C12" w:rsidR="00092C12">
        <w:t>In July 2015, Eagle-Net asked Zayo Group (one of its network partners) to assume management of its network. Three years later at the behest of NTIA and in order to prevent the imminent disruption of service caused by Eagle</w:t>
      </w:r>
      <w:r w:rsidR="00092C12">
        <w:t xml:space="preserve"> </w:t>
      </w:r>
      <w:r w:rsidRPr="00092C12" w:rsidR="00092C12">
        <w:t>Net’s insolvency and dissolution (on June 5, 2017), Zayo Group agreed to assume ownership of certain Eagle-Net assets on an expedited basis, including the FCC licenses referenced herein</w:t>
      </w:r>
      <w:r w:rsidR="00092C12">
        <w:t>.”)</w:t>
      </w:r>
      <w:r w:rsidRPr="00092C12" w:rsidR="00092C12">
        <w:t xml:space="preserve"> </w:t>
      </w:r>
    </w:p>
  </w:footnote>
  <w:footnote w:id="10">
    <w:p w:rsidR="00A21770" w14:paraId="44868379" w14:textId="5EA53F23">
      <w:pPr>
        <w:pStyle w:val="FootnoteText"/>
      </w:pPr>
      <w:r>
        <w:rPr>
          <w:rStyle w:val="FootnoteReference"/>
        </w:rPr>
        <w:footnoteRef/>
      </w:r>
      <w:r>
        <w:t xml:space="preserve"> </w:t>
      </w:r>
      <w:r w:rsidRPr="00A21770">
        <w:rPr>
          <w:i/>
        </w:rPr>
        <w:t>Id.</w:t>
      </w:r>
    </w:p>
  </w:footnote>
  <w:footnote w:id="11">
    <w:p w:rsidR="00F167B1" w:rsidP="00F167B1" w14:paraId="4CD72100" w14:textId="77777777">
      <w:pPr>
        <w:pStyle w:val="FootnoteText"/>
      </w:pPr>
      <w:r>
        <w:rPr>
          <w:rStyle w:val="FootnoteReference"/>
        </w:rPr>
        <w:footnoteRef/>
      </w:r>
      <w:r>
        <w:t xml:space="preserve"> </w:t>
      </w:r>
      <w:r>
        <w:rPr>
          <w:i/>
        </w:rPr>
        <w:t>Id.</w:t>
      </w:r>
    </w:p>
  </w:footnote>
  <w:footnote w:id="12">
    <w:p w:rsidR="0012669F" w:rsidP="0012669F" w14:paraId="48D31B41" w14:textId="77777777">
      <w:pPr>
        <w:pStyle w:val="FootnoteText"/>
      </w:pPr>
      <w:r>
        <w:rPr>
          <w:rStyle w:val="FootnoteReference"/>
        </w:rPr>
        <w:footnoteRef/>
      </w:r>
      <w:r>
        <w:t xml:space="preserve"> </w:t>
      </w:r>
      <w:r>
        <w:rPr>
          <w:i/>
        </w:rPr>
        <w:t>Id.</w:t>
      </w:r>
    </w:p>
  </w:footnote>
  <w:footnote w:id="13">
    <w:p w:rsidR="00D74472" w14:paraId="699251B4" w14:textId="79C66505">
      <w:pPr>
        <w:pStyle w:val="FootnoteText"/>
      </w:pPr>
      <w:r>
        <w:rPr>
          <w:rStyle w:val="FootnoteReference"/>
        </w:rPr>
        <w:footnoteRef/>
      </w:r>
      <w:r>
        <w:t xml:space="preserve"> Zayo requests “a waiver of Section 1.948(a) of the Commission’s rules to the extent deemed necessary to authorize the assignment of these licenses.”  Zayo Request at 1.  Section 1.948(a) states “</w:t>
      </w:r>
      <w:r w:rsidRPr="00D74472">
        <w:t xml:space="preserve">Except as provided in this section, authorizations in the Wireless Radio Services may be assigned by the licensee to another party, voluntarily or involuntarily, directly or indirectly, or the control of a licensee holding such authorizations may be transferred, </w:t>
      </w:r>
      <w:r w:rsidRPr="00D74472">
        <w:rPr>
          <w:u w:val="single"/>
        </w:rPr>
        <w:t>only upon application to and approval by the Commission</w:t>
      </w:r>
      <w:r w:rsidRPr="00D74472">
        <w:t>.</w:t>
      </w:r>
      <w:r>
        <w:t>” (Emphasis supplied.)  We</w:t>
      </w:r>
      <w:r w:rsidR="0045147C">
        <w:t xml:space="preserve"> do not find a waiver of Section 1.948(a) “necessary to authorize the assignment of these licenses” inasmuch as Zayo has complied with section 1.948(a) by filing the assignment application which we approve in the instant </w:t>
      </w:r>
      <w:r w:rsidRPr="0045147C" w:rsidR="0045147C">
        <w:rPr>
          <w:i/>
        </w:rPr>
        <w:t>Order</w:t>
      </w:r>
      <w:r w:rsidR="0045147C">
        <w:t xml:space="preserve">. </w:t>
      </w:r>
    </w:p>
  </w:footnote>
  <w:footnote w:id="14">
    <w:p w:rsidR="00A21770" w14:paraId="332C2251" w14:textId="0127A709">
      <w:pPr>
        <w:pStyle w:val="FootnoteText"/>
      </w:pPr>
      <w:r>
        <w:rPr>
          <w:rStyle w:val="FootnoteReference"/>
        </w:rPr>
        <w:footnoteRef/>
      </w:r>
      <w:r>
        <w:t xml:space="preserve"> 47 CFR </w:t>
      </w:r>
      <w:r w:rsidRPr="00FD2745">
        <w:t>§</w:t>
      </w:r>
      <w:r>
        <w:t xml:space="preserve"> 1.917(a). </w:t>
      </w:r>
    </w:p>
  </w:footnote>
  <w:footnote w:id="15">
    <w:p w:rsidR="007F63C5" w:rsidRPr="00A77E20" w:rsidP="007F63C5" w14:paraId="17EC0698" w14:textId="7690D58B">
      <w:pPr>
        <w:pStyle w:val="FootnoteText"/>
        <w:rPr>
          <w:u w:val="single"/>
        </w:rPr>
      </w:pPr>
      <w:r>
        <w:rPr>
          <w:rStyle w:val="FootnoteReference"/>
        </w:rPr>
        <w:footnoteRef/>
      </w:r>
      <w:r>
        <w:t xml:space="preserve"> </w:t>
      </w:r>
      <w:r w:rsidRPr="00B3158F">
        <w:rPr>
          <w:i/>
          <w:color w:val="0D0D0D" w:themeColor="text1" w:themeTint="F2"/>
        </w:rPr>
        <w:t>Id.</w:t>
      </w:r>
      <w:r w:rsidRPr="00B3158F">
        <w:rPr>
          <w:color w:val="0D0D0D" w:themeColor="text1" w:themeTint="F2"/>
        </w:rPr>
        <w:t xml:space="preserve"> at </w:t>
      </w:r>
      <w:r w:rsidRPr="00B3158F" w:rsidR="00B175BC">
        <w:rPr>
          <w:color w:val="0D0D0D" w:themeColor="text1" w:themeTint="F2"/>
        </w:rPr>
        <w:t>3.</w:t>
      </w:r>
      <w:r w:rsidRPr="00B3158F" w:rsidR="00A77E20">
        <w:rPr>
          <w:color w:val="0D0D0D" w:themeColor="text1" w:themeTint="F2"/>
        </w:rPr>
        <w:t xml:space="preserve"> </w:t>
      </w:r>
      <w:r w:rsidR="00B3158F">
        <w:rPr>
          <w:color w:val="0D0D0D" w:themeColor="text1" w:themeTint="F2"/>
        </w:rPr>
        <w:t xml:space="preserve">47 CFR § </w:t>
      </w:r>
      <w:r w:rsidRPr="00B3158F" w:rsidR="00A77E20">
        <w:rPr>
          <w:color w:val="0D0D0D" w:themeColor="text1" w:themeTint="F2"/>
        </w:rPr>
        <w:t>1.917(a) requires that applications be executed by the </w:t>
      </w:r>
      <w:hyperlink r:id="rId1" w:history="1">
        <w:r w:rsidRPr="00B3158F" w:rsidR="00A77E20">
          <w:rPr>
            <w:rStyle w:val="Hyperlink"/>
            <w:color w:val="0D0D0D" w:themeColor="text1" w:themeTint="F2"/>
            <w:u w:val="none"/>
          </w:rPr>
          <w:t>applicant</w:t>
        </w:r>
      </w:hyperlink>
      <w:r w:rsidRPr="00B3158F" w:rsidR="00A77E20">
        <w:rPr>
          <w:color w:val="0D0D0D" w:themeColor="text1" w:themeTint="F2"/>
        </w:rPr>
        <w:t>, if the </w:t>
      </w:r>
      <w:hyperlink r:id="rId1" w:history="1">
        <w:r w:rsidRPr="00B3158F" w:rsidR="00A77E20">
          <w:rPr>
            <w:rStyle w:val="Hyperlink"/>
            <w:color w:val="0D0D0D" w:themeColor="text1" w:themeTint="F2"/>
            <w:u w:val="none"/>
          </w:rPr>
          <w:t>applicant</w:t>
        </w:r>
      </w:hyperlink>
      <w:r w:rsidRPr="00B3158F" w:rsidR="00A77E20">
        <w:rPr>
          <w:color w:val="0D0D0D" w:themeColor="text1" w:themeTint="F2"/>
        </w:rPr>
        <w:t> is an </w:t>
      </w:r>
      <w:hyperlink r:id="rId1" w:history="1">
        <w:r w:rsidRPr="00B3158F" w:rsidR="00A77E20">
          <w:rPr>
            <w:rStyle w:val="Hyperlink"/>
            <w:color w:val="0D0D0D" w:themeColor="text1" w:themeTint="F2"/>
            <w:u w:val="none"/>
          </w:rPr>
          <w:t>individual</w:t>
        </w:r>
      </w:hyperlink>
      <w:r w:rsidRPr="00B3158F" w:rsidR="00A77E20">
        <w:rPr>
          <w:color w:val="0D0D0D" w:themeColor="text1" w:themeTint="F2"/>
        </w:rPr>
        <w:t>; by a partner if the </w:t>
      </w:r>
      <w:hyperlink r:id="rId1" w:history="1">
        <w:r w:rsidRPr="00B3158F" w:rsidR="00A77E20">
          <w:rPr>
            <w:rStyle w:val="Hyperlink"/>
            <w:color w:val="0D0D0D" w:themeColor="text1" w:themeTint="F2"/>
            <w:u w:val="none"/>
          </w:rPr>
          <w:t>applicant</w:t>
        </w:r>
      </w:hyperlink>
      <w:r w:rsidRPr="00B3158F" w:rsidR="00A77E20">
        <w:rPr>
          <w:color w:val="0D0D0D" w:themeColor="text1" w:themeTint="F2"/>
        </w:rPr>
        <w:t> is a partnership; by an officer, director, or duly authorized employee, if the </w:t>
      </w:r>
      <w:hyperlink r:id="rId1" w:history="1">
        <w:r w:rsidRPr="00B3158F" w:rsidR="00A77E20">
          <w:rPr>
            <w:rStyle w:val="Hyperlink"/>
            <w:color w:val="0D0D0D" w:themeColor="text1" w:themeTint="F2"/>
            <w:u w:val="none"/>
          </w:rPr>
          <w:t>applicant</w:t>
        </w:r>
      </w:hyperlink>
      <w:r w:rsidRPr="00B3158F" w:rsidR="00A77E20">
        <w:rPr>
          <w:color w:val="0D0D0D" w:themeColor="text1" w:themeTint="F2"/>
        </w:rPr>
        <w:t> is a corporation; by a member who is an officer, if the </w:t>
      </w:r>
      <w:hyperlink r:id="rId1" w:history="1">
        <w:r w:rsidRPr="00B3158F" w:rsidR="00A77E20">
          <w:rPr>
            <w:rStyle w:val="Hyperlink"/>
            <w:color w:val="0D0D0D" w:themeColor="text1" w:themeTint="F2"/>
            <w:u w:val="none"/>
          </w:rPr>
          <w:t>applicant</w:t>
        </w:r>
      </w:hyperlink>
      <w:r w:rsidRPr="00B3158F" w:rsidR="00A77E20">
        <w:rPr>
          <w:color w:val="0D0D0D" w:themeColor="text1" w:themeTint="F2"/>
        </w:rPr>
        <w:t> is an unincorporated association; or by the trustee if the </w:t>
      </w:r>
      <w:hyperlink r:id="rId1" w:history="1">
        <w:r w:rsidRPr="00B3158F" w:rsidR="00A77E20">
          <w:rPr>
            <w:rStyle w:val="Hyperlink"/>
            <w:color w:val="0D0D0D" w:themeColor="text1" w:themeTint="F2"/>
            <w:u w:val="none"/>
          </w:rPr>
          <w:t>applicant</w:t>
        </w:r>
      </w:hyperlink>
      <w:r w:rsidRPr="00B3158F" w:rsidR="00A77E20">
        <w:rPr>
          <w:color w:val="0D0D0D" w:themeColor="text1" w:themeTint="F2"/>
        </w:rPr>
        <w:t> is an amateur radio service club.</w:t>
      </w:r>
      <w:r w:rsidR="00B3158F">
        <w:rPr>
          <w:color w:val="0D0D0D" w:themeColor="text1" w:themeTint="F2"/>
        </w:rPr>
        <w:t xml:space="preserve"> </w:t>
      </w:r>
      <w:r w:rsidR="00B9558E">
        <w:rPr>
          <w:color w:val="0D0D0D" w:themeColor="text1" w:themeTint="F2"/>
        </w:rPr>
        <w:t xml:space="preserve"> </w:t>
      </w:r>
      <w:r w:rsidR="00B3158F">
        <w:rPr>
          <w:color w:val="0D0D0D" w:themeColor="text1" w:themeTint="F2"/>
        </w:rPr>
        <w:t>Zayo in this instance does not fall in any of the above categories.</w:t>
      </w:r>
    </w:p>
  </w:footnote>
  <w:footnote w:id="16">
    <w:p w:rsidR="007F63C5" w:rsidP="007F63C5" w14:paraId="41779D36" w14:textId="6A6AF16D">
      <w:pPr>
        <w:pStyle w:val="FootnoteText"/>
      </w:pPr>
      <w:r>
        <w:rPr>
          <w:rStyle w:val="FootnoteReference"/>
        </w:rPr>
        <w:footnoteRef/>
      </w:r>
      <w:r>
        <w:t xml:space="preserve"> </w:t>
      </w:r>
      <w:r w:rsidRPr="0036403C" w:rsidR="0036403C">
        <w:t xml:space="preserve">Zayo Waiver Request </w:t>
      </w:r>
      <w:r>
        <w:t xml:space="preserve">at </w:t>
      </w:r>
      <w:r w:rsidR="00F6008B">
        <w:t>3.</w:t>
      </w:r>
    </w:p>
  </w:footnote>
  <w:footnote w:id="17">
    <w:p w:rsidR="007F63C5" w:rsidP="007F63C5" w14:paraId="24D6F3DD" w14:textId="58C6B236">
      <w:pPr>
        <w:pStyle w:val="FootnoteText"/>
      </w:pPr>
      <w:r>
        <w:rPr>
          <w:rStyle w:val="FootnoteReference"/>
        </w:rPr>
        <w:footnoteRef/>
      </w:r>
      <w:r>
        <w:t xml:space="preserve"> </w:t>
      </w:r>
      <w:r w:rsidRPr="00A21770" w:rsidR="00203594">
        <w:rPr>
          <w:i/>
        </w:rPr>
        <w:t>See</w:t>
      </w:r>
      <w:r w:rsidRPr="00203594" w:rsidR="00203594">
        <w:t xml:space="preserve"> </w:t>
      </w:r>
      <w:r w:rsidRPr="00CC48B8" w:rsidR="00CC48B8">
        <w:t xml:space="preserve">47 CFR § 0.406; </w:t>
      </w:r>
      <w:r w:rsidRPr="00B3158F" w:rsidR="00B3158F">
        <w:rPr>
          <w:i/>
        </w:rPr>
        <w:t xml:space="preserve">See also </w:t>
      </w:r>
      <w:r w:rsidRPr="00B3158F" w:rsidR="00CC48B8">
        <w:rPr>
          <w:i/>
        </w:rPr>
        <w:t>Discussion Radio, Inc</w:t>
      </w:r>
      <w:r w:rsidRPr="00203594" w:rsidR="00CC48B8">
        <w:t xml:space="preserve">., </w:t>
      </w:r>
      <w:r w:rsidRPr="00B3158F" w:rsidR="00CC48B8">
        <w:t>Memorandum Opinion and Order and Notice of Apparent Liability</w:t>
      </w:r>
      <w:r w:rsidR="00CC48B8">
        <w:t>, 19 FCC Rcd 7433, 7439</w:t>
      </w:r>
      <w:r w:rsidRPr="00203594" w:rsidR="00CC48B8">
        <w:t xml:space="preserve"> (2004) </w:t>
      </w:r>
      <w:r w:rsidRPr="00CC48B8" w:rsidR="00CC48B8">
        <w:t>(a Commission licensee is charged with knowledge of the full range of its obligations</w:t>
      </w:r>
      <w:r w:rsidR="00CC48B8">
        <w:t>)</w:t>
      </w:r>
      <w:r w:rsidRPr="00CC48B8" w:rsidR="00CC48B8">
        <w:t xml:space="preserve">); </w:t>
      </w:r>
    </w:p>
  </w:footnote>
  <w:footnote w:id="18">
    <w:p w:rsidR="007F63C5" w:rsidP="007F63C5" w14:paraId="6556378E" w14:textId="63214A4B">
      <w:pPr>
        <w:pStyle w:val="FootnoteText"/>
      </w:pPr>
      <w:r>
        <w:rPr>
          <w:rStyle w:val="FootnoteReference"/>
        </w:rPr>
        <w:footnoteRef/>
      </w:r>
      <w:r>
        <w:t xml:space="preserve"> </w:t>
      </w:r>
      <w:r w:rsidRPr="006C69A4">
        <w:t>47 C</w:t>
      </w:r>
      <w:r>
        <w:t>FR</w:t>
      </w:r>
      <w:r w:rsidRPr="006C69A4">
        <w:t xml:space="preserve"> § 1.948</w:t>
      </w:r>
      <w:r w:rsidR="00B9558E">
        <w:t>.</w:t>
      </w:r>
    </w:p>
  </w:footnote>
  <w:footnote w:id="19">
    <w:p w:rsidR="0089442C" w:rsidP="0089442C" w14:paraId="6F02334F" w14:textId="4437E323">
      <w:pPr>
        <w:pStyle w:val="FootnoteText"/>
      </w:pPr>
      <w:r>
        <w:rPr>
          <w:rStyle w:val="FootnoteReference"/>
        </w:rPr>
        <w:footnoteRef/>
      </w:r>
      <w:r>
        <w:t xml:space="preserve"> </w:t>
      </w:r>
      <w:r w:rsidRPr="0010263D">
        <w:t>47 U</w:t>
      </w:r>
      <w:r>
        <w:t xml:space="preserve">.S.C. </w:t>
      </w:r>
      <w:r w:rsidRPr="00FD2745">
        <w:t>§</w:t>
      </w:r>
      <w:r>
        <w:t xml:space="preserve"> 310(d).</w:t>
      </w:r>
    </w:p>
  </w:footnote>
  <w:footnote w:id="20">
    <w:p w:rsidR="00924EAD" w14:paraId="3010B8F4" w14:textId="69B86C15">
      <w:pPr>
        <w:pStyle w:val="FootnoteText"/>
      </w:pPr>
      <w:r>
        <w:rPr>
          <w:rStyle w:val="FootnoteReference"/>
        </w:rPr>
        <w:footnoteRef/>
      </w:r>
      <w:r>
        <w:t xml:space="preserve"> </w:t>
      </w:r>
      <w:r w:rsidRPr="003F3776">
        <w:rPr>
          <w:i/>
        </w:rPr>
        <w:t>See, e.g.</w:t>
      </w:r>
      <w:r>
        <w:t xml:space="preserve">, </w:t>
      </w:r>
      <w:r w:rsidRPr="00924EAD">
        <w:rPr>
          <w:i/>
        </w:rPr>
        <w:t>Empire Broadcasting</w:t>
      </w:r>
      <w:r w:rsidRPr="00924EAD">
        <w:t xml:space="preserve">, Memorandum Opinion and Order, 25 FCC 2d 68, 69 (1970) (mere oversight or failure to be aware of the Commission's requirements will not excuse licensee from its obligation to operate in compliance with the Commission's Rules); </w:t>
      </w:r>
      <w:r w:rsidRPr="00924EAD">
        <w:rPr>
          <w:i/>
        </w:rPr>
        <w:t>Shared Data Networks</w:t>
      </w:r>
      <w:r w:rsidRPr="00924EAD">
        <w:t>, Notice of Apparent Liability for Forfeiture, 20 FCC Rcd 18184, 18187 (EB 2005) (earth station licensee's lack of awareness of its responsibilities is not a mitigating factor warranting a downward adjustment in a proposed forfeiture amount)</w:t>
      </w:r>
      <w:r w:rsidR="002A4DB1">
        <w:t xml:space="preserve">. </w:t>
      </w:r>
      <w:r w:rsidRPr="002A4DB1" w:rsidR="002A4DB1">
        <w:t> </w:t>
      </w:r>
      <w:r w:rsidRPr="002A4DB1" w:rsidR="002A4DB1">
        <w:rPr>
          <w:i/>
          <w:iCs/>
        </w:rPr>
        <w:t>See also, Standard Communications Corp.</w:t>
      </w:r>
      <w:r w:rsidRPr="002A4DB1" w:rsidR="002A4DB1">
        <w:t>, Memorandum Opinion and Order</w:t>
      </w:r>
      <w:r w:rsidRPr="003F3776" w:rsidR="002A4DB1">
        <w:rPr>
          <w:color w:val="FF0000"/>
        </w:rPr>
        <w:t>, </w:t>
      </w:r>
      <w:hyperlink r:id="rId2" w:history="1">
        <w:r w:rsidRPr="003F3776" w:rsidR="002A4DB1">
          <w:rPr>
            <w:rStyle w:val="Hyperlink"/>
            <w:color w:val="0D0D0D" w:themeColor="text1" w:themeTint="F2"/>
            <w:u w:val="none"/>
          </w:rPr>
          <w:t>1 FCC Rcd 358 (1986)</w:t>
        </w:r>
      </w:hyperlink>
      <w:r w:rsidR="002A4DB1">
        <w:t xml:space="preserve"> </w:t>
      </w:r>
      <w:r w:rsidRPr="002A4DB1" w:rsidR="002A4DB1">
        <w:t>(stating that “employee acts or omissions, such as clerical errors in failing to file required forms, do not excuse violations”);</w:t>
      </w:r>
      <w:r w:rsidR="002A4DB1">
        <w:t xml:space="preserve"> </w:t>
      </w:r>
      <w:hyperlink r:id="rId3" w:anchor="co_pp_sp_4493_15021" w:history="1">
        <w:r w:rsidRPr="003F3776" w:rsidR="002A4DB1">
          <w:rPr>
            <w:rStyle w:val="Hyperlink"/>
            <w:i/>
            <w:iCs/>
            <w:color w:val="0D0D0D" w:themeColor="text1" w:themeTint="F2"/>
            <w:u w:val="none"/>
          </w:rPr>
          <w:t>Anderson Communications</w:t>
        </w:r>
        <w:r w:rsidRPr="003F3776" w:rsidR="002A4DB1">
          <w:rPr>
            <w:rStyle w:val="Hyperlink"/>
            <w:color w:val="0D0D0D" w:themeColor="text1" w:themeTint="F2"/>
            <w:u w:val="none"/>
          </w:rPr>
          <w:t xml:space="preserve">, Memorandum Opinion and Order, 16 FCC Rcd 15020, 15021 para. 5 </w:t>
        </w:r>
        <w:r w:rsidRPr="003F3776" w:rsidR="003204F2">
          <w:rPr>
            <w:rStyle w:val="Hyperlink"/>
            <w:color w:val="0D0D0D" w:themeColor="text1" w:themeTint="F2"/>
            <w:u w:val="none"/>
          </w:rPr>
          <w:t>(2001</w:t>
        </w:r>
        <w:r w:rsidRPr="003F3776" w:rsidR="002A4DB1">
          <w:rPr>
            <w:rStyle w:val="Hyperlink"/>
            <w:color w:val="0D0D0D" w:themeColor="text1" w:themeTint="F2"/>
            <w:u w:val="none"/>
          </w:rPr>
          <w:t>)</w:t>
        </w:r>
      </w:hyperlink>
      <w:r w:rsidR="003204F2">
        <w:t xml:space="preserve"> (</w:t>
      </w:r>
      <w:r w:rsidRPr="003204F2" w:rsidR="003204F2">
        <w:t xml:space="preserve">“[w]e </w:t>
      </w:r>
      <w:r w:rsidRPr="003204F2" w:rsidR="003204F2">
        <w:t>do</w:t>
      </w:r>
      <w:r w:rsidRPr="003204F2" w:rsidR="003204F2">
        <w:t xml:space="preserve"> not believe that an inadvertent failure to renew a license in a timely manner is so unique or unusual to warrant a waiver of the rules.”</w:t>
      </w:r>
      <w:r w:rsidR="003204F2">
        <w:t>).</w:t>
      </w:r>
    </w:p>
  </w:footnote>
  <w:footnote w:id="21">
    <w:p w:rsidR="00866E5E" w:rsidP="0089442C" w14:paraId="679C5962" w14:textId="70D14B18">
      <w:pPr>
        <w:pStyle w:val="FootnoteText"/>
      </w:pPr>
      <w:r>
        <w:rPr>
          <w:rStyle w:val="FootnoteReference"/>
        </w:rPr>
        <w:footnoteRef/>
      </w:r>
      <w:r>
        <w:t xml:space="preserve"> </w:t>
      </w:r>
      <w:r w:rsidRPr="006C0F10">
        <w:rPr>
          <w:i/>
        </w:rPr>
        <w:t>See</w:t>
      </w:r>
      <w:r>
        <w:rPr>
          <w:i/>
        </w:rPr>
        <w:t xml:space="preserve">, e.g., </w:t>
      </w:r>
      <w:r w:rsidRPr="006C0F10">
        <w:t>FCC</w:t>
      </w:r>
      <w:r>
        <w:t xml:space="preserve"> File No. 0007736579 (Assignment of licenses, call signs </w:t>
      </w:r>
      <w:r w:rsidRPr="006C0F10">
        <w:t>WQKB390 and WQUU211</w:t>
      </w:r>
      <w:r>
        <w:t xml:space="preserve">, from </w:t>
      </w:r>
      <w:r w:rsidRPr="006C0F10">
        <w:t>Cascadelink</w:t>
      </w:r>
      <w:r w:rsidRPr="006C0F10">
        <w:t>, Inc</w:t>
      </w:r>
      <w:r w:rsidR="0036403C">
        <w:t>.</w:t>
      </w:r>
      <w:r w:rsidRPr="006C0F10">
        <w:t xml:space="preserve"> </w:t>
      </w:r>
      <w:r>
        <w:t xml:space="preserve">to </w:t>
      </w:r>
      <w:r w:rsidRPr="006C0F10">
        <w:t>Astound Broadband, LLC</w:t>
      </w:r>
      <w:r>
        <w:t xml:space="preserve">).  There, the parties’ request for </w:t>
      </w:r>
      <w:r w:rsidRPr="005B35FB">
        <w:rPr>
          <w:i/>
        </w:rPr>
        <w:t>nunc</w:t>
      </w:r>
      <w:r w:rsidRPr="005B35FB">
        <w:rPr>
          <w:i/>
        </w:rPr>
        <w:t xml:space="preserve"> pro </w:t>
      </w:r>
      <w:r w:rsidRPr="005B35FB">
        <w:rPr>
          <w:i/>
        </w:rPr>
        <w:t>tunc</w:t>
      </w:r>
      <w:r>
        <w:t xml:space="preserve"> treatment was denied and the assignment application granted with the notation that the grant, “</w:t>
      </w:r>
      <w:r w:rsidRPr="00866E5E">
        <w:t>does not preclude or prejudice any enforcement action related to the unauthorized assignment of authorization</w:t>
      </w:r>
      <w:r>
        <w:t>.”)</w:t>
      </w:r>
      <w:r w:rsidR="00541B55">
        <w:t>.</w:t>
      </w:r>
    </w:p>
  </w:footnote>
  <w:footnote w:id="22">
    <w:p w:rsidR="002C4B1A" w:rsidP="002C4B1A" w14:paraId="65AEBF8D" w14:textId="3F83081A">
      <w:pPr>
        <w:pStyle w:val="FootnoteText"/>
      </w:pPr>
      <w:r>
        <w:rPr>
          <w:rStyle w:val="FootnoteReference"/>
        </w:rPr>
        <w:footnoteRef/>
      </w:r>
      <w:r>
        <w:t xml:space="preserve"> </w:t>
      </w:r>
      <w:r w:rsidR="00866E5E">
        <w:rPr>
          <w:i/>
        </w:rPr>
        <w:t>Cf</w:t>
      </w:r>
      <w:r w:rsidR="00067DF9">
        <w:rPr>
          <w:i/>
        </w:rPr>
        <w:t>.</w:t>
      </w:r>
      <w:r w:rsidRPr="00203594">
        <w:t xml:space="preserve"> </w:t>
      </w:r>
      <w:r w:rsidRPr="00866E5E">
        <w:rPr>
          <w:i/>
        </w:rPr>
        <w:t xml:space="preserve">Applications for Consent to Assignment of Private Land Mobile Radio Authorizations from Lotus Development Corp., </w:t>
      </w:r>
      <w:r w:rsidRPr="00261F7C">
        <w:t>et al.</w:t>
      </w:r>
      <w:r w:rsidRPr="00866E5E">
        <w:rPr>
          <w:i/>
        </w:rPr>
        <w:t xml:space="preserve"> to IBM Research and Development Corp</w:t>
      </w:r>
      <w:r w:rsidRPr="00203594">
        <w:t xml:space="preserve">., </w:t>
      </w:r>
      <w:r w:rsidRPr="00866E5E">
        <w:t>Order</w:t>
      </w:r>
      <w:r w:rsidRPr="00203594">
        <w:t>, 16 FCC Rcd 5209</w:t>
      </w:r>
      <w:r w:rsidR="00067DF9">
        <w:t xml:space="preserve">, 5210 </w:t>
      </w:r>
      <w:r w:rsidR="00067DF9">
        <w:t>para</w:t>
      </w:r>
      <w:r w:rsidR="00067DF9">
        <w:t>. 6</w:t>
      </w:r>
      <w:r w:rsidRPr="00203594">
        <w:t xml:space="preserve"> (WTB 2001)</w:t>
      </w:r>
      <w:r w:rsidR="00866E5E">
        <w:t>.</w:t>
      </w:r>
      <w:r w:rsidRPr="00203594">
        <w:t xml:space="preserve"> </w:t>
      </w:r>
      <w:r w:rsidR="00734C3A">
        <w:t>(“</w:t>
      </w:r>
      <w:r w:rsidRPr="00734C3A" w:rsidR="00734C3A">
        <w:t xml:space="preserve">A waiver of the signature requirement is warranted as to the captioned applications to assign the three Sequent licenses. </w:t>
      </w:r>
      <w:r w:rsidR="00B9558E">
        <w:t xml:space="preserve"> </w:t>
      </w:r>
      <w:r w:rsidRPr="00734C3A" w:rsidR="00734C3A">
        <w:t>We find that IBM has demonstrated that it lacks a reasonable alternative to providing the signature, on Form 1046, of a former Sequent employee with direct knowledge of the stations. Given that Sequent fully merged into IBM, </w:t>
      </w:r>
      <w:r w:rsidRPr="00734C3A" w:rsidR="00734C3A">
        <w:rPr>
          <w:i/>
          <w:iCs/>
        </w:rPr>
        <w:t>i.e.</w:t>
      </w:r>
      <w:r w:rsidRPr="00734C3A" w:rsidR="00734C3A">
        <w:t>, dissolved, there cannot be any directors, officers, or authorized employees of Sequent to sign the assignment applications. Thus, we grant IBM's waiver requests concerning the Sequent assignment applications</w:t>
      </w:r>
      <w:r w:rsidR="00734C3A">
        <w:t>.”)</w:t>
      </w:r>
      <w:r w:rsidR="00067DF9">
        <w:t xml:space="preserve">  </w:t>
      </w:r>
    </w:p>
  </w:footnote>
  <w:footnote w:id="23">
    <w:p w:rsidR="00193224" w:rsidP="00193224" w14:paraId="08DFFCEE" w14:textId="060453C9">
      <w:pPr>
        <w:pStyle w:val="FootnoteText"/>
      </w:pPr>
      <w:r>
        <w:rPr>
          <w:rStyle w:val="FootnoteReference"/>
        </w:rPr>
        <w:footnoteRef/>
      </w:r>
      <w:r>
        <w:t xml:space="preserve"> </w:t>
      </w:r>
      <w:r w:rsidRPr="009A1B88">
        <w:rPr>
          <w:i/>
        </w:rPr>
        <w:t>See</w:t>
      </w:r>
      <w:r>
        <w:t xml:space="preserve"> 47 CFR §</w:t>
      </w:r>
      <w:r w:rsidRPr="009A1B88">
        <w:t>1.925(b)(3)(ii)</w:t>
      </w:r>
      <w:r>
        <w:t>.</w:t>
      </w:r>
      <w:r w:rsidR="00BB6D80">
        <w:t xml:space="preserve"> </w:t>
      </w:r>
      <w:r>
        <w:t xml:space="preserve"> </w:t>
      </w:r>
      <w:r w:rsidRPr="0017364A">
        <w:rPr>
          <w:i/>
          <w:iCs/>
        </w:rPr>
        <w:t>See</w:t>
      </w:r>
      <w:r>
        <w:rPr>
          <w:i/>
          <w:iCs/>
        </w:rPr>
        <w:t xml:space="preserve"> also</w:t>
      </w:r>
      <w:r w:rsidRPr="0017364A">
        <w:rPr>
          <w:i/>
          <w:iCs/>
          <w:color w:val="0D0D0D" w:themeColor="text1" w:themeTint="F2"/>
        </w:rPr>
        <w:t> </w:t>
      </w:r>
      <w:hyperlink r:id="rId4" w:anchor="co_pp_sp_350_1166" w:history="1">
        <w:r w:rsidRPr="0017364A">
          <w:rPr>
            <w:rStyle w:val="Hyperlink"/>
            <w:i/>
            <w:iCs/>
            <w:color w:val="0D0D0D" w:themeColor="text1" w:themeTint="F2"/>
            <w:u w:val="none"/>
          </w:rPr>
          <w:t>Northeast Cellular Telephone Co. v. FCC</w:t>
        </w:r>
        <w:r w:rsidRPr="0017364A">
          <w:rPr>
            <w:rStyle w:val="Hyperlink"/>
            <w:color w:val="0D0D0D" w:themeColor="text1" w:themeTint="F2"/>
            <w:u w:val="none"/>
          </w:rPr>
          <w:t>, 897 F.2d 1164, 1166 (D.C. Cir. 1990)</w:t>
        </w:r>
      </w:hyperlink>
      <w:r w:rsidRPr="0017364A">
        <w:rPr>
          <w:color w:val="0D0D0D" w:themeColor="text1" w:themeTint="F2"/>
        </w:rPr>
        <w:t> (</w:t>
      </w:r>
      <w:r w:rsidRPr="0017364A">
        <w:rPr>
          <w:i/>
          <w:iCs/>
          <w:color w:val="0D0D0D" w:themeColor="text1" w:themeTint="F2"/>
        </w:rPr>
        <w:t>citing </w:t>
      </w:r>
      <w:hyperlink r:id="rId5" w:anchor="co_pp_sp_350_1159" w:history="1">
        <w:r w:rsidRPr="0017364A">
          <w:rPr>
            <w:rStyle w:val="Hyperlink"/>
            <w:bCs/>
            <w:i/>
            <w:iCs/>
            <w:color w:val="0D0D0D" w:themeColor="text1" w:themeTint="F2"/>
            <w:u w:val="none"/>
          </w:rPr>
          <w:t>WAIT</w:t>
        </w:r>
        <w:r w:rsidRPr="0017364A">
          <w:rPr>
            <w:rStyle w:val="Hyperlink"/>
            <w:i/>
            <w:iCs/>
            <w:color w:val="0D0D0D" w:themeColor="text1" w:themeTint="F2"/>
            <w:u w:val="none"/>
          </w:rPr>
          <w:t>  </w:t>
        </w:r>
        <w:r w:rsidRPr="0017364A">
          <w:rPr>
            <w:rStyle w:val="Hyperlink"/>
            <w:bCs/>
            <w:i/>
            <w:iCs/>
            <w:color w:val="0D0D0D" w:themeColor="text1" w:themeTint="F2"/>
            <w:u w:val="none"/>
          </w:rPr>
          <w:t>Radio</w:t>
        </w:r>
        <w:r w:rsidRPr="0017364A">
          <w:rPr>
            <w:rStyle w:val="Hyperlink"/>
            <w:i/>
            <w:iCs/>
            <w:color w:val="0D0D0D" w:themeColor="text1" w:themeTint="F2"/>
            <w:u w:val="none"/>
          </w:rPr>
          <w:t> v. FCC</w:t>
        </w:r>
        <w:r w:rsidRPr="0017364A">
          <w:rPr>
            <w:rStyle w:val="Hyperlink"/>
            <w:color w:val="0D0D0D" w:themeColor="text1" w:themeTint="F2"/>
            <w:u w:val="none"/>
          </w:rPr>
          <w:t>, 418 F.2d 1153, 1159 (D.C. Cir. 1969)</w:t>
        </w:r>
      </w:hyperlink>
      <w:r w:rsidRPr="0017364A">
        <w:rPr>
          <w:color w:val="0D0D0D" w:themeColor="text1" w:themeTint="F2"/>
        </w:rPr>
        <w:t>, </w:t>
      </w:r>
      <w:r w:rsidRPr="0017364A">
        <w:rPr>
          <w:i/>
          <w:iCs/>
          <w:color w:val="0D0D0D" w:themeColor="text1" w:themeTint="F2"/>
        </w:rPr>
        <w:t>aff'd</w:t>
      </w:r>
      <w:r w:rsidRPr="0017364A">
        <w:rPr>
          <w:color w:val="0D0D0D" w:themeColor="text1" w:themeTint="F2"/>
        </w:rPr>
        <w:t>, </w:t>
      </w:r>
      <w:hyperlink r:id="rId6" w:history="1">
        <w:r w:rsidRPr="0017364A">
          <w:rPr>
            <w:rStyle w:val="Hyperlink"/>
            <w:color w:val="0D0D0D" w:themeColor="text1" w:themeTint="F2"/>
            <w:u w:val="none"/>
          </w:rPr>
          <w:t>459 F.2d 1203 (1973)</w:t>
        </w:r>
      </w:hyperlink>
      <w:r w:rsidRPr="0017364A">
        <w:rPr>
          <w:color w:val="0D0D0D" w:themeColor="text1" w:themeTint="F2"/>
        </w:rPr>
        <w:t>, </w:t>
      </w:r>
      <w:r w:rsidRPr="0017364A">
        <w:rPr>
          <w:i/>
          <w:iCs/>
          <w:color w:val="0D0D0D" w:themeColor="text1" w:themeTint="F2"/>
        </w:rPr>
        <w:t>cert. denied</w:t>
      </w:r>
      <w:r w:rsidRPr="0017364A">
        <w:rPr>
          <w:color w:val="0D0D0D" w:themeColor="text1" w:themeTint="F2"/>
        </w:rPr>
        <w:t>, </w:t>
      </w:r>
      <w:hyperlink r:id="rId7" w:history="1">
        <w:r w:rsidRPr="0017364A">
          <w:rPr>
            <w:rStyle w:val="Hyperlink"/>
            <w:color w:val="0D0D0D" w:themeColor="text1" w:themeTint="F2"/>
            <w:u w:val="none"/>
          </w:rPr>
          <w:t>409 U.S. 1027 (1972)</w:t>
        </w:r>
      </w:hyperlink>
      <w:r w:rsidRPr="0017364A">
        <w:rPr>
          <w:color w:val="0D0D0D" w:themeColor="text1" w:themeTint="F2"/>
        </w:rPr>
        <w:t>).</w:t>
      </w:r>
    </w:p>
  </w:footnote>
  <w:footnote w:id="24">
    <w:p w:rsidR="005B35FB" w14:paraId="7528F5CF" w14:textId="5F4C3B34">
      <w:pPr>
        <w:pStyle w:val="FootnoteText"/>
      </w:pPr>
      <w:r>
        <w:rPr>
          <w:rStyle w:val="FootnoteReference"/>
        </w:rPr>
        <w:footnoteRef/>
      </w:r>
      <w:r>
        <w:t xml:space="preserve"> 47 CFR </w:t>
      </w:r>
      <w:r w:rsidRPr="00FD2745">
        <w:t>§</w:t>
      </w:r>
      <w:r>
        <w:t xml:space="preserve"> 1.917(a).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06028E" w14:textId="12FEBBF7">
    <w:pPr>
      <w:pStyle w:val="Header"/>
      <w:rPr>
        <w:b w:val="0"/>
      </w:rPr>
    </w:pPr>
    <w:r>
      <w:tab/>
      <w:t>Federal Communications Commission</w:t>
    </w:r>
    <w:r>
      <w:tab/>
    </w:r>
    <w:r w:rsidR="005263DD">
      <w:t xml:space="preserve">DA </w:t>
    </w:r>
    <w:r w:rsidR="00187A3C">
      <w:t>20</w:t>
    </w:r>
    <w:r w:rsidR="005263DD">
      <w:t>-</w:t>
    </w:r>
    <w:r w:rsidR="00A11B92">
      <w:t>4</w:t>
    </w:r>
  </w:p>
  <w:p w:rsidR="00D25FB5" w14:paraId="0B9CCA5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90B53C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AB1481" w14:textId="02B8320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263DD">
      <w:t xml:space="preserve"> </w:t>
    </w:r>
    <w:r w:rsidR="005263DD">
      <w:rPr>
        <w:spacing w:val="-2"/>
      </w:rPr>
      <w:t xml:space="preserve">DA </w:t>
    </w:r>
    <w:r w:rsidR="00187A3C">
      <w:rPr>
        <w:spacing w:val="-2"/>
      </w:rPr>
      <w:t>20</w:t>
    </w:r>
    <w:r w:rsidR="005263DD">
      <w:rPr>
        <w:spacing w:val="-2"/>
      </w:rPr>
      <w:t>-</w:t>
    </w:r>
    <w:r w:rsidR="00A11B92">
      <w:rPr>
        <w:spacing w:val="-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C5"/>
    <w:rsid w:val="000029D2"/>
    <w:rsid w:val="000222F8"/>
    <w:rsid w:val="000333F7"/>
    <w:rsid w:val="00036039"/>
    <w:rsid w:val="00037F90"/>
    <w:rsid w:val="00060892"/>
    <w:rsid w:val="000638EA"/>
    <w:rsid w:val="00067DF9"/>
    <w:rsid w:val="00073002"/>
    <w:rsid w:val="00073C60"/>
    <w:rsid w:val="000875BF"/>
    <w:rsid w:val="00092C12"/>
    <w:rsid w:val="00096D8C"/>
    <w:rsid w:val="000C0B65"/>
    <w:rsid w:val="000C7305"/>
    <w:rsid w:val="000D091B"/>
    <w:rsid w:val="000E05FE"/>
    <w:rsid w:val="000E3D42"/>
    <w:rsid w:val="0010263D"/>
    <w:rsid w:val="00122BD5"/>
    <w:rsid w:val="0012669F"/>
    <w:rsid w:val="00133F79"/>
    <w:rsid w:val="00156EC0"/>
    <w:rsid w:val="001631E6"/>
    <w:rsid w:val="0017364A"/>
    <w:rsid w:val="00176D42"/>
    <w:rsid w:val="001773B2"/>
    <w:rsid w:val="00185552"/>
    <w:rsid w:val="00187A3C"/>
    <w:rsid w:val="00193224"/>
    <w:rsid w:val="00194A66"/>
    <w:rsid w:val="001B481B"/>
    <w:rsid w:val="001B4B42"/>
    <w:rsid w:val="001D274A"/>
    <w:rsid w:val="001D6BCF"/>
    <w:rsid w:val="001D72A1"/>
    <w:rsid w:val="001E01CA"/>
    <w:rsid w:val="00203594"/>
    <w:rsid w:val="00225F62"/>
    <w:rsid w:val="002278C8"/>
    <w:rsid w:val="00261F7C"/>
    <w:rsid w:val="00275CF5"/>
    <w:rsid w:val="0028301F"/>
    <w:rsid w:val="00285017"/>
    <w:rsid w:val="00292DC7"/>
    <w:rsid w:val="002A2D2E"/>
    <w:rsid w:val="002A4DB1"/>
    <w:rsid w:val="002A5984"/>
    <w:rsid w:val="002C00E8"/>
    <w:rsid w:val="002C4B1A"/>
    <w:rsid w:val="002F21F1"/>
    <w:rsid w:val="00304CF5"/>
    <w:rsid w:val="003204F2"/>
    <w:rsid w:val="00343749"/>
    <w:rsid w:val="00353DCC"/>
    <w:rsid w:val="0036403C"/>
    <w:rsid w:val="003660ED"/>
    <w:rsid w:val="003A091C"/>
    <w:rsid w:val="003B0550"/>
    <w:rsid w:val="003B694F"/>
    <w:rsid w:val="003F171C"/>
    <w:rsid w:val="003F18A3"/>
    <w:rsid w:val="003F1B06"/>
    <w:rsid w:val="003F3776"/>
    <w:rsid w:val="003F7CA4"/>
    <w:rsid w:val="004016E0"/>
    <w:rsid w:val="00412FC5"/>
    <w:rsid w:val="00422276"/>
    <w:rsid w:val="004242F1"/>
    <w:rsid w:val="00436D0A"/>
    <w:rsid w:val="00445A00"/>
    <w:rsid w:val="0045147C"/>
    <w:rsid w:val="00451B0F"/>
    <w:rsid w:val="004569ED"/>
    <w:rsid w:val="004840D1"/>
    <w:rsid w:val="00492C82"/>
    <w:rsid w:val="004A116B"/>
    <w:rsid w:val="004C2EE3"/>
    <w:rsid w:val="004C53FC"/>
    <w:rsid w:val="004E18DA"/>
    <w:rsid w:val="004E4A22"/>
    <w:rsid w:val="00511968"/>
    <w:rsid w:val="005263DD"/>
    <w:rsid w:val="0053149B"/>
    <w:rsid w:val="00541B55"/>
    <w:rsid w:val="0055614C"/>
    <w:rsid w:val="00562AF4"/>
    <w:rsid w:val="005669FD"/>
    <w:rsid w:val="00566D06"/>
    <w:rsid w:val="005851D7"/>
    <w:rsid w:val="00592FA7"/>
    <w:rsid w:val="005B35FB"/>
    <w:rsid w:val="005C23CB"/>
    <w:rsid w:val="005E14C2"/>
    <w:rsid w:val="005E53E1"/>
    <w:rsid w:val="005F07DC"/>
    <w:rsid w:val="00600BAB"/>
    <w:rsid w:val="00607BA5"/>
    <w:rsid w:val="0061180A"/>
    <w:rsid w:val="00626EB6"/>
    <w:rsid w:val="00641524"/>
    <w:rsid w:val="00643A14"/>
    <w:rsid w:val="00655D03"/>
    <w:rsid w:val="00683388"/>
    <w:rsid w:val="00683F84"/>
    <w:rsid w:val="006A6A81"/>
    <w:rsid w:val="006C090C"/>
    <w:rsid w:val="006C0F10"/>
    <w:rsid w:val="006C69A4"/>
    <w:rsid w:val="006D6455"/>
    <w:rsid w:val="006F7393"/>
    <w:rsid w:val="0070224F"/>
    <w:rsid w:val="007115F7"/>
    <w:rsid w:val="00734C3A"/>
    <w:rsid w:val="007647BB"/>
    <w:rsid w:val="00785689"/>
    <w:rsid w:val="00790BE0"/>
    <w:rsid w:val="0079754B"/>
    <w:rsid w:val="007A048F"/>
    <w:rsid w:val="007A1E6D"/>
    <w:rsid w:val="007A7052"/>
    <w:rsid w:val="007B0EB2"/>
    <w:rsid w:val="007C60C5"/>
    <w:rsid w:val="007D4023"/>
    <w:rsid w:val="007F63C5"/>
    <w:rsid w:val="007F7574"/>
    <w:rsid w:val="00806941"/>
    <w:rsid w:val="00810B6F"/>
    <w:rsid w:val="0081496C"/>
    <w:rsid w:val="00822CE0"/>
    <w:rsid w:val="00841AB1"/>
    <w:rsid w:val="00842656"/>
    <w:rsid w:val="00866E5E"/>
    <w:rsid w:val="0089442C"/>
    <w:rsid w:val="008C68F1"/>
    <w:rsid w:val="00921803"/>
    <w:rsid w:val="00924EAD"/>
    <w:rsid w:val="00925FCF"/>
    <w:rsid w:val="00926503"/>
    <w:rsid w:val="00927021"/>
    <w:rsid w:val="00961355"/>
    <w:rsid w:val="009726D8"/>
    <w:rsid w:val="00982122"/>
    <w:rsid w:val="009A1B88"/>
    <w:rsid w:val="009A65E7"/>
    <w:rsid w:val="009B6B7B"/>
    <w:rsid w:val="009D203D"/>
    <w:rsid w:val="009D7308"/>
    <w:rsid w:val="009F76DB"/>
    <w:rsid w:val="00A11B92"/>
    <w:rsid w:val="00A2103C"/>
    <w:rsid w:val="00A21770"/>
    <w:rsid w:val="00A32C3B"/>
    <w:rsid w:val="00A45F4F"/>
    <w:rsid w:val="00A501DB"/>
    <w:rsid w:val="00A600A9"/>
    <w:rsid w:val="00A77E20"/>
    <w:rsid w:val="00A9764C"/>
    <w:rsid w:val="00AA55B7"/>
    <w:rsid w:val="00AA5B9E"/>
    <w:rsid w:val="00AB2407"/>
    <w:rsid w:val="00AB53DF"/>
    <w:rsid w:val="00AF372E"/>
    <w:rsid w:val="00B07E5C"/>
    <w:rsid w:val="00B175BC"/>
    <w:rsid w:val="00B3158F"/>
    <w:rsid w:val="00B43B00"/>
    <w:rsid w:val="00B811F7"/>
    <w:rsid w:val="00B83D00"/>
    <w:rsid w:val="00B9558E"/>
    <w:rsid w:val="00BA5DC6"/>
    <w:rsid w:val="00BA6196"/>
    <w:rsid w:val="00BB428A"/>
    <w:rsid w:val="00BB6D80"/>
    <w:rsid w:val="00BC5564"/>
    <w:rsid w:val="00BC6D8C"/>
    <w:rsid w:val="00BD3A75"/>
    <w:rsid w:val="00BD7754"/>
    <w:rsid w:val="00C05316"/>
    <w:rsid w:val="00C27013"/>
    <w:rsid w:val="00C34006"/>
    <w:rsid w:val="00C36B4C"/>
    <w:rsid w:val="00C426B1"/>
    <w:rsid w:val="00C66160"/>
    <w:rsid w:val="00C721AC"/>
    <w:rsid w:val="00C90D6A"/>
    <w:rsid w:val="00CA09C3"/>
    <w:rsid w:val="00CA247E"/>
    <w:rsid w:val="00CA6D21"/>
    <w:rsid w:val="00CB48A0"/>
    <w:rsid w:val="00CC48B8"/>
    <w:rsid w:val="00CC72B6"/>
    <w:rsid w:val="00CD774F"/>
    <w:rsid w:val="00CF380E"/>
    <w:rsid w:val="00CF56CE"/>
    <w:rsid w:val="00D0218D"/>
    <w:rsid w:val="00D0330F"/>
    <w:rsid w:val="00D25FB5"/>
    <w:rsid w:val="00D35189"/>
    <w:rsid w:val="00D44223"/>
    <w:rsid w:val="00D74472"/>
    <w:rsid w:val="00D763FB"/>
    <w:rsid w:val="00DA2529"/>
    <w:rsid w:val="00DB130A"/>
    <w:rsid w:val="00DB2EBB"/>
    <w:rsid w:val="00DB30CE"/>
    <w:rsid w:val="00DC10A1"/>
    <w:rsid w:val="00DC655F"/>
    <w:rsid w:val="00DD0B59"/>
    <w:rsid w:val="00DD7CC5"/>
    <w:rsid w:val="00DD7EBD"/>
    <w:rsid w:val="00DE48CA"/>
    <w:rsid w:val="00DF2F22"/>
    <w:rsid w:val="00DF62B6"/>
    <w:rsid w:val="00E07225"/>
    <w:rsid w:val="00E5409F"/>
    <w:rsid w:val="00E619D8"/>
    <w:rsid w:val="00E63325"/>
    <w:rsid w:val="00E72077"/>
    <w:rsid w:val="00E843F9"/>
    <w:rsid w:val="00ED57FC"/>
    <w:rsid w:val="00EE6488"/>
    <w:rsid w:val="00EF780E"/>
    <w:rsid w:val="00F021FA"/>
    <w:rsid w:val="00F167B1"/>
    <w:rsid w:val="00F371F0"/>
    <w:rsid w:val="00F6008B"/>
    <w:rsid w:val="00F62E97"/>
    <w:rsid w:val="00F64209"/>
    <w:rsid w:val="00F91F7A"/>
    <w:rsid w:val="00F93BF5"/>
    <w:rsid w:val="00FC38B1"/>
    <w:rsid w:val="00FD2745"/>
    <w:rsid w:val="00FF40D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D0418E6-ABE4-40F6-86AC-D583E7D5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7F63C5"/>
  </w:style>
  <w:style w:type="character" w:customStyle="1" w:styleId="ParaNumChar">
    <w:name w:val="ParaNum Char"/>
    <w:basedOn w:val="DefaultParagraphFont"/>
    <w:link w:val="ParaNum"/>
    <w:uiPriority w:val="99"/>
    <w:locked/>
    <w:rsid w:val="000D091B"/>
    <w:rPr>
      <w:snapToGrid w:val="0"/>
      <w:kern w:val="28"/>
      <w:sz w:val="22"/>
    </w:rPr>
  </w:style>
  <w:style w:type="character" w:styleId="CommentReference">
    <w:name w:val="annotation reference"/>
    <w:basedOn w:val="DefaultParagraphFont"/>
    <w:rsid w:val="00176D42"/>
    <w:rPr>
      <w:sz w:val="16"/>
      <w:szCs w:val="16"/>
    </w:rPr>
  </w:style>
  <w:style w:type="paragraph" w:styleId="CommentText">
    <w:name w:val="annotation text"/>
    <w:basedOn w:val="Normal"/>
    <w:link w:val="CommentTextChar"/>
    <w:rsid w:val="00176D42"/>
    <w:rPr>
      <w:sz w:val="20"/>
    </w:rPr>
  </w:style>
  <w:style w:type="character" w:customStyle="1" w:styleId="CommentTextChar">
    <w:name w:val="Comment Text Char"/>
    <w:basedOn w:val="DefaultParagraphFont"/>
    <w:link w:val="CommentText"/>
    <w:rsid w:val="00176D42"/>
    <w:rPr>
      <w:snapToGrid w:val="0"/>
      <w:kern w:val="28"/>
    </w:rPr>
  </w:style>
  <w:style w:type="paragraph" w:styleId="CommentSubject">
    <w:name w:val="annotation subject"/>
    <w:basedOn w:val="CommentText"/>
    <w:next w:val="CommentText"/>
    <w:link w:val="CommentSubjectChar"/>
    <w:rsid w:val="00176D42"/>
    <w:rPr>
      <w:b/>
      <w:bCs/>
    </w:rPr>
  </w:style>
  <w:style w:type="character" w:customStyle="1" w:styleId="CommentSubjectChar">
    <w:name w:val="Comment Subject Char"/>
    <w:basedOn w:val="CommentTextChar"/>
    <w:link w:val="CommentSubject"/>
    <w:rsid w:val="00176D42"/>
    <w:rPr>
      <w:b/>
      <w:bCs/>
      <w:snapToGrid w:val="0"/>
      <w:kern w:val="28"/>
    </w:rPr>
  </w:style>
  <w:style w:type="paragraph" w:styleId="BalloonText">
    <w:name w:val="Balloon Text"/>
    <w:basedOn w:val="Normal"/>
    <w:link w:val="BalloonTextChar"/>
    <w:rsid w:val="00176D42"/>
    <w:rPr>
      <w:rFonts w:ascii="Segoe UI" w:hAnsi="Segoe UI" w:cs="Segoe UI"/>
      <w:sz w:val="18"/>
      <w:szCs w:val="18"/>
    </w:rPr>
  </w:style>
  <w:style w:type="character" w:customStyle="1" w:styleId="BalloonTextChar">
    <w:name w:val="Balloon Text Char"/>
    <w:basedOn w:val="DefaultParagraphFont"/>
    <w:link w:val="BalloonText"/>
    <w:rsid w:val="00176D42"/>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A77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aw.cornell.edu/cfr/text/47/1.917" TargetMode="External" /><Relationship Id="rId2" Type="http://schemas.openxmlformats.org/officeDocument/2006/relationships/hyperlink" Target="https://1.next.westlaw.com/Link/Document/FullText?findType=Y&amp;serNum=1986029091&amp;pubNum=0004493&amp;originatingDoc=I313955f75e0711e39ac8bab74931929c&amp;refType=CA&amp;originationContext=document&amp;transitionType=DocumentItem&amp;contextData=(sc.Search)" TargetMode="External" /><Relationship Id="rId3" Type="http://schemas.openxmlformats.org/officeDocument/2006/relationships/hyperlink" Target="https://1.next.westlaw.com/Link/Document/FullText?findType=Y&amp;serNum=2001665380&amp;pubNum=0004493&amp;originatingDoc=I459ba2c5066d11e99a6efc60af1b5d9c&amp;refType=CA&amp;fi=co_pp_sp_4493_15021&amp;originationContext=document&amp;transitionType=DocumentItem&amp;contextData=(sc.Search)" TargetMode="External" /><Relationship Id="rId4" Type="http://schemas.openxmlformats.org/officeDocument/2006/relationships/hyperlink" Target="https://1.next.westlaw.com/Link/Document/FullText?findType=Y&amp;serNum=1990047144&amp;pubNum=0000350&amp;originatingDoc=Iab49d071171e11ea812e8c769f754212&amp;refType=RP&amp;fi=co_pp_sp_350_1166&amp;originationContext=document&amp;transitionType=DocumentItem&amp;contextData=(sc.Search)" TargetMode="External" /><Relationship Id="rId5" Type="http://schemas.openxmlformats.org/officeDocument/2006/relationships/hyperlink" Target="https://1.next.westlaw.com/Link/Document/FullText?findType=Y&amp;serNum=1969121124&amp;pubNum=0000350&amp;originatingDoc=Iab49d071171e11ea812e8c769f754212&amp;refType=RP&amp;fi=co_pp_sp_350_1159&amp;originationContext=document&amp;transitionType=DocumentItem&amp;contextData=(sc.Search)" TargetMode="External" /><Relationship Id="rId6" Type="http://schemas.openxmlformats.org/officeDocument/2006/relationships/hyperlink" Target="https://1.next.westlaw.com/Link/Document/FullText?findType=Y&amp;serNum=1972109901&amp;pubNum=0000350&amp;originatingDoc=Iab49d071171e11ea812e8c769f754212&amp;refType=RP&amp;originationContext=document&amp;transitionType=DocumentItem&amp;contextData=(sc.Search)" TargetMode="External" /><Relationship Id="rId7" Type="http://schemas.openxmlformats.org/officeDocument/2006/relationships/hyperlink" Target="https://1.next.westlaw.com/Link/Document/FullText?findType=Y&amp;serNum=1972202463&amp;pubNum=0000780&amp;originatingDoc=Iab49d071171e11ea812e8c769f754212&amp;refType=RP&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