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E5884" w:rsidP="00C82B6B" w14:paraId="720ED52F" w14:textId="77777777">
      <w:pPr>
        <w:jc w:val="right"/>
        <w:rPr>
          <w:sz w:val="24"/>
        </w:rPr>
      </w:pPr>
    </w:p>
    <w:p w:rsidR="00013A8B" w:rsidRPr="00B20363" w:rsidP="00013A8B" w14:paraId="5518E66F" w14:textId="689856EA">
      <w:pPr>
        <w:jc w:val="right"/>
        <w:rPr>
          <w:b/>
          <w:sz w:val="24"/>
        </w:rPr>
      </w:pPr>
      <w:r>
        <w:rPr>
          <w:b/>
          <w:sz w:val="24"/>
        </w:rPr>
        <w:t xml:space="preserve">DA </w:t>
      </w:r>
      <w:r w:rsidR="00030F8B">
        <w:rPr>
          <w:b/>
          <w:sz w:val="24"/>
        </w:rPr>
        <w:t>20-503</w:t>
      </w:r>
    </w:p>
    <w:p w:rsidR="00013A8B" w:rsidRPr="00B20363" w:rsidP="00013A8B" w14:paraId="374D22F7" w14:textId="27362EAE">
      <w:pPr>
        <w:spacing w:before="60"/>
        <w:jc w:val="right"/>
        <w:rPr>
          <w:b/>
          <w:sz w:val="24"/>
        </w:rPr>
      </w:pPr>
      <w:r>
        <w:rPr>
          <w:b/>
          <w:sz w:val="24"/>
        </w:rPr>
        <w:t xml:space="preserve">Released:  </w:t>
      </w:r>
      <w:r w:rsidR="0053422A">
        <w:rPr>
          <w:b/>
          <w:sz w:val="24"/>
        </w:rPr>
        <w:t xml:space="preserve">May </w:t>
      </w:r>
      <w:r w:rsidR="009331D9">
        <w:rPr>
          <w:b/>
          <w:sz w:val="24"/>
        </w:rPr>
        <w:t>11</w:t>
      </w:r>
      <w:r w:rsidR="0053422A">
        <w:rPr>
          <w:b/>
          <w:sz w:val="24"/>
        </w:rPr>
        <w:t>, 2020</w:t>
      </w:r>
    </w:p>
    <w:p w:rsidR="00013A8B" w:rsidP="00013A8B" w14:paraId="25433420" w14:textId="77777777">
      <w:pPr>
        <w:jc w:val="right"/>
        <w:rPr>
          <w:sz w:val="24"/>
        </w:rPr>
      </w:pPr>
    </w:p>
    <w:p w:rsidR="00013A8B" w:rsidRPr="00B20363" w:rsidP="00013A8B" w14:paraId="1E3373AA" w14:textId="4B29E8CD">
      <w:pPr>
        <w:spacing w:after="240"/>
        <w:jc w:val="center"/>
        <w:rPr>
          <w:rFonts w:ascii="Times New Roman Bold" w:hAnsi="Times New Roman Bold"/>
          <w:b/>
          <w:caps/>
          <w:sz w:val="24"/>
        </w:rPr>
      </w:pPr>
      <w:r>
        <w:rPr>
          <w:rFonts w:ascii="Times New Roman Bold" w:hAnsi="Times New Roman Bold"/>
          <w:b/>
          <w:caps/>
          <w:sz w:val="24"/>
        </w:rPr>
        <w:t xml:space="preserve">Wireless Telecommunications bureau announces </w:t>
      </w:r>
      <w:r w:rsidR="00A83A52">
        <w:rPr>
          <w:rFonts w:ascii="Times New Roman Bold" w:hAnsi="Times New Roman Bold"/>
          <w:b/>
          <w:caps/>
          <w:sz w:val="24"/>
        </w:rPr>
        <w:t xml:space="preserve">The </w:t>
      </w:r>
      <w:r w:rsidR="00B853C3">
        <w:rPr>
          <w:rFonts w:ascii="Times New Roman Bold" w:hAnsi="Times New Roman Bold"/>
          <w:b/>
          <w:caps/>
          <w:sz w:val="24"/>
        </w:rPr>
        <w:t xml:space="preserve">Process </w:t>
      </w:r>
      <w:r w:rsidR="00A16A45">
        <w:rPr>
          <w:rFonts w:ascii="Times New Roman Bold" w:hAnsi="Times New Roman Bold"/>
          <w:b/>
          <w:caps/>
          <w:sz w:val="24"/>
        </w:rPr>
        <w:t>for</w:t>
      </w:r>
      <w:r>
        <w:rPr>
          <w:rFonts w:ascii="Times New Roman Bold" w:hAnsi="Times New Roman Bold"/>
          <w:b/>
          <w:caps/>
          <w:sz w:val="24"/>
        </w:rPr>
        <w:t xml:space="preserve"> accelerated relocation election</w:t>
      </w:r>
      <w:r w:rsidR="00A83A52">
        <w:rPr>
          <w:rFonts w:ascii="Times New Roman Bold" w:hAnsi="Times New Roman Bold"/>
          <w:b/>
          <w:caps/>
          <w:sz w:val="24"/>
        </w:rPr>
        <w:t>s</w:t>
      </w:r>
      <w:r>
        <w:rPr>
          <w:rFonts w:ascii="Times New Roman Bold" w:hAnsi="Times New Roman Bold"/>
          <w:b/>
          <w:caps/>
          <w:sz w:val="24"/>
        </w:rPr>
        <w:t xml:space="preserve"> </w:t>
      </w:r>
      <w:r w:rsidR="00A91DDB">
        <w:rPr>
          <w:rFonts w:ascii="Times New Roman Bold" w:hAnsi="Times New Roman Bold"/>
          <w:b/>
          <w:caps/>
          <w:sz w:val="24"/>
        </w:rPr>
        <w:t xml:space="preserve">by </w:t>
      </w:r>
      <w:r w:rsidR="00E4548C">
        <w:rPr>
          <w:rFonts w:ascii="Times New Roman Bold" w:hAnsi="Times New Roman Bold"/>
          <w:b/>
          <w:caps/>
          <w:sz w:val="24"/>
        </w:rPr>
        <w:t xml:space="preserve">ELIGIBLE </w:t>
      </w:r>
      <w:r>
        <w:rPr>
          <w:rFonts w:ascii="Times New Roman Bold" w:hAnsi="Times New Roman Bold"/>
          <w:b/>
          <w:caps/>
          <w:sz w:val="24"/>
        </w:rPr>
        <w:t>space station operators in the 3.7</w:t>
      </w:r>
      <w:r w:rsidR="00F46CB7">
        <w:rPr>
          <w:rFonts w:ascii="Times New Roman Bold" w:hAnsi="Times New Roman Bold"/>
          <w:b/>
          <w:caps/>
          <w:sz w:val="24"/>
        </w:rPr>
        <w:t>-4.2</w:t>
      </w:r>
      <w:r>
        <w:rPr>
          <w:rFonts w:ascii="Times New Roman Bold" w:hAnsi="Times New Roman Bold"/>
          <w:b/>
          <w:caps/>
          <w:sz w:val="24"/>
        </w:rPr>
        <w:t xml:space="preserve"> Ghz band</w:t>
      </w:r>
    </w:p>
    <w:p w:rsidR="00F96F63" w:rsidRPr="0053422A" w:rsidP="0053422A" w14:paraId="2186F820" w14:textId="77777777">
      <w:pPr>
        <w:jc w:val="center"/>
        <w:rPr>
          <w:b/>
          <w:sz w:val="24"/>
        </w:rPr>
      </w:pPr>
      <w:r>
        <w:rPr>
          <w:b/>
          <w:sz w:val="24"/>
        </w:rPr>
        <w:t>GN Docket No. 18-</w:t>
      </w:r>
      <w:r w:rsidR="007D65DB">
        <w:rPr>
          <w:b/>
          <w:sz w:val="24"/>
        </w:rPr>
        <w:t>1</w:t>
      </w:r>
      <w:r>
        <w:rPr>
          <w:b/>
          <w:sz w:val="24"/>
        </w:rPr>
        <w:t>22</w:t>
      </w:r>
      <w:bookmarkStart w:id="0" w:name="TOChere"/>
    </w:p>
    <w:bookmarkEnd w:id="0"/>
    <w:p w:rsidR="00F96F63" w:rsidP="00F96F63" w14:paraId="51E9B7EB" w14:textId="77777777">
      <w:pPr>
        <w:rPr>
          <w:sz w:val="24"/>
        </w:rPr>
      </w:pPr>
    </w:p>
    <w:p w:rsidR="0075402F" w:rsidRPr="002E1558" w:rsidP="008E5CFF" w14:paraId="019E3AFE" w14:textId="0758BEA2">
      <w:pPr>
        <w:spacing w:after="120"/>
        <w:ind w:firstLine="720"/>
        <w:rPr>
          <w:szCs w:val="22"/>
        </w:rPr>
      </w:pPr>
      <w:r w:rsidRPr="002E1558">
        <w:rPr>
          <w:szCs w:val="22"/>
        </w:rPr>
        <w:t>With this Public Notice, the Wireless Telecommunications Bureau (</w:t>
      </w:r>
      <w:r w:rsidRPr="002E1558" w:rsidR="003A63FD">
        <w:rPr>
          <w:szCs w:val="22"/>
        </w:rPr>
        <w:t>WTB</w:t>
      </w:r>
      <w:r w:rsidRPr="002E1558">
        <w:rPr>
          <w:szCs w:val="22"/>
        </w:rPr>
        <w:t>) announces the</w:t>
      </w:r>
      <w:r w:rsidRPr="002E1558" w:rsidR="00F27EF2">
        <w:rPr>
          <w:szCs w:val="22"/>
        </w:rPr>
        <w:t xml:space="preserve"> process </w:t>
      </w:r>
      <w:r w:rsidRPr="002E1558">
        <w:rPr>
          <w:szCs w:val="22"/>
        </w:rPr>
        <w:t xml:space="preserve">for </w:t>
      </w:r>
      <w:r w:rsidR="00B853C3">
        <w:rPr>
          <w:szCs w:val="22"/>
        </w:rPr>
        <w:t xml:space="preserve">eligible </w:t>
      </w:r>
      <w:r w:rsidRPr="002E1558">
        <w:rPr>
          <w:szCs w:val="22"/>
        </w:rPr>
        <w:t>space station operators to make an Accelerated Relocation Election.</w:t>
      </w:r>
      <w:r>
        <w:rPr>
          <w:rStyle w:val="FootnoteReference"/>
          <w:szCs w:val="22"/>
        </w:rPr>
        <w:footnoteReference w:id="3"/>
      </w:r>
      <w:r w:rsidRPr="002E1558">
        <w:rPr>
          <w:szCs w:val="22"/>
        </w:rPr>
        <w:t xml:space="preserve"> </w:t>
      </w:r>
      <w:r w:rsidRPr="002E1558" w:rsidR="00E90ABB">
        <w:rPr>
          <w:szCs w:val="22"/>
        </w:rPr>
        <w:t xml:space="preserve"> On March 3, 2020</w:t>
      </w:r>
      <w:r w:rsidRPr="002E1558" w:rsidR="00875079">
        <w:rPr>
          <w:szCs w:val="22"/>
        </w:rPr>
        <w:t>,</w:t>
      </w:r>
      <w:r w:rsidRPr="002E1558" w:rsidR="00E90ABB">
        <w:rPr>
          <w:szCs w:val="22"/>
        </w:rPr>
        <w:t xml:space="preserve"> the Federal Communications Commission (Commission) released </w:t>
      </w:r>
      <w:r w:rsidRPr="002E1558" w:rsidR="003159A6">
        <w:rPr>
          <w:szCs w:val="22"/>
        </w:rPr>
        <w:t xml:space="preserve">the </w:t>
      </w:r>
      <w:r w:rsidRPr="002E1558" w:rsidR="00B33E17">
        <w:rPr>
          <w:i/>
          <w:iCs/>
          <w:szCs w:val="22"/>
        </w:rPr>
        <w:t>Expanding Flexible Use of the 3.7 to 4.2 GHz Band</w:t>
      </w:r>
      <w:r w:rsidRPr="002E1558" w:rsidR="003159A6">
        <w:rPr>
          <w:szCs w:val="22"/>
        </w:rPr>
        <w:t xml:space="preserve"> </w:t>
      </w:r>
      <w:r w:rsidRPr="002E1558" w:rsidR="00E90ABB">
        <w:rPr>
          <w:i/>
          <w:iCs/>
          <w:szCs w:val="22"/>
        </w:rPr>
        <w:t>Report and Order</w:t>
      </w:r>
      <w:r w:rsidRPr="008E5CFF" w:rsidR="00090770">
        <w:rPr>
          <w:szCs w:val="22"/>
        </w:rPr>
        <w:t>,</w:t>
      </w:r>
      <w:r w:rsidR="00090770">
        <w:rPr>
          <w:i/>
          <w:iCs/>
          <w:szCs w:val="22"/>
        </w:rPr>
        <w:t xml:space="preserve"> </w:t>
      </w:r>
      <w:r w:rsidR="00090770">
        <w:rPr>
          <w:szCs w:val="22"/>
        </w:rPr>
        <w:t>which</w:t>
      </w:r>
      <w:r w:rsidRPr="002E1558" w:rsidR="00875079">
        <w:rPr>
          <w:i/>
          <w:iCs/>
          <w:szCs w:val="22"/>
        </w:rPr>
        <w:t xml:space="preserve"> </w:t>
      </w:r>
      <w:r w:rsidRPr="002E1558" w:rsidR="00E90ABB">
        <w:rPr>
          <w:szCs w:val="22"/>
        </w:rPr>
        <w:t>adopt</w:t>
      </w:r>
      <w:r w:rsidR="00090770">
        <w:rPr>
          <w:szCs w:val="22"/>
        </w:rPr>
        <w:t>ed</w:t>
      </w:r>
      <w:r w:rsidRPr="002E1558" w:rsidR="00E90ABB">
        <w:rPr>
          <w:szCs w:val="22"/>
        </w:rPr>
        <w:t xml:space="preserve"> new rules to </w:t>
      </w:r>
      <w:r w:rsidRPr="002E1558" w:rsidR="002646CC">
        <w:rPr>
          <w:szCs w:val="22"/>
        </w:rPr>
        <w:t xml:space="preserve">make </w:t>
      </w:r>
      <w:r w:rsidRPr="002E1558" w:rsidR="00E90ABB">
        <w:rPr>
          <w:szCs w:val="22"/>
        </w:rPr>
        <w:t>280 megahertz of mid</w:t>
      </w:r>
      <w:r w:rsidRPr="002E1558" w:rsidR="00F27EF2">
        <w:rPr>
          <w:szCs w:val="22"/>
        </w:rPr>
        <w:t>-</w:t>
      </w:r>
      <w:r w:rsidRPr="002E1558" w:rsidR="00E90ABB">
        <w:rPr>
          <w:szCs w:val="22"/>
        </w:rPr>
        <w:t>band spectrum</w:t>
      </w:r>
      <w:r w:rsidRPr="002E1558" w:rsidR="00CB1774">
        <w:rPr>
          <w:szCs w:val="22"/>
        </w:rPr>
        <w:t xml:space="preserve"> available</w:t>
      </w:r>
      <w:r w:rsidRPr="002E1558" w:rsidR="00E90ABB">
        <w:rPr>
          <w:szCs w:val="22"/>
        </w:rPr>
        <w:t xml:space="preserve"> for flexible use</w:t>
      </w:r>
      <w:r w:rsidR="00B749F6">
        <w:rPr>
          <w:szCs w:val="22"/>
        </w:rPr>
        <w:t xml:space="preserve"> </w:t>
      </w:r>
      <w:r w:rsidRPr="00EC7C26" w:rsidR="00B749F6">
        <w:rPr>
          <w:szCs w:val="22"/>
        </w:rPr>
        <w:t>through a Commission-administered public auction of overlay licenses</w:t>
      </w:r>
      <w:r w:rsidRPr="002E1558" w:rsidR="00E90ABB">
        <w:rPr>
          <w:szCs w:val="22"/>
        </w:rPr>
        <w:t>,</w:t>
      </w:r>
      <w:r w:rsidRPr="002E1558" w:rsidR="00833E69">
        <w:rPr>
          <w:szCs w:val="22"/>
        </w:rPr>
        <w:t xml:space="preserve"> plus a 20 megahertz guard band, throughout the contiguous United States by transitioning existing services out o</w:t>
      </w:r>
      <w:r w:rsidRPr="002E1558" w:rsidR="008D1AE0">
        <w:rPr>
          <w:szCs w:val="22"/>
        </w:rPr>
        <w:t>f</w:t>
      </w:r>
      <w:r w:rsidRPr="002E1558" w:rsidR="00833E69">
        <w:rPr>
          <w:szCs w:val="22"/>
        </w:rPr>
        <w:t xml:space="preserve"> the lower portion and in to the upper 200 megahertz of the </w:t>
      </w:r>
      <w:r w:rsidRPr="002E1558" w:rsidR="009D3546">
        <w:rPr>
          <w:szCs w:val="22"/>
        </w:rPr>
        <w:t>3.7-4.2 GHz band (</w:t>
      </w:r>
      <w:r w:rsidRPr="002E1558" w:rsidR="00833E69">
        <w:rPr>
          <w:szCs w:val="22"/>
        </w:rPr>
        <w:t>C-</w:t>
      </w:r>
      <w:r w:rsidR="00E31B42">
        <w:rPr>
          <w:szCs w:val="22"/>
        </w:rPr>
        <w:t>b</w:t>
      </w:r>
      <w:r w:rsidRPr="002E1558" w:rsidR="00833E69">
        <w:rPr>
          <w:szCs w:val="22"/>
        </w:rPr>
        <w:t>and</w:t>
      </w:r>
      <w:r w:rsidRPr="002E1558" w:rsidR="009D3546">
        <w:rPr>
          <w:szCs w:val="22"/>
        </w:rPr>
        <w:t>)</w:t>
      </w:r>
      <w:r w:rsidRPr="002E1558" w:rsidR="00F66F9C">
        <w:rPr>
          <w:szCs w:val="22"/>
        </w:rPr>
        <w:t>.</w:t>
      </w:r>
      <w:r>
        <w:rPr>
          <w:rStyle w:val="FootnoteReference"/>
          <w:szCs w:val="22"/>
        </w:rPr>
        <w:footnoteReference w:id="4"/>
      </w:r>
      <w:r w:rsidRPr="002E1558" w:rsidR="00F66F9C">
        <w:rPr>
          <w:szCs w:val="22"/>
        </w:rPr>
        <w:t xml:space="preserve"> </w:t>
      </w:r>
      <w:r w:rsidRPr="002E1558" w:rsidR="000C1A79">
        <w:rPr>
          <w:szCs w:val="22"/>
        </w:rPr>
        <w:t xml:space="preserve"> </w:t>
      </w:r>
    </w:p>
    <w:p w:rsidR="00001A95" w:rsidRPr="002E1558" w:rsidP="008E5CFF" w14:paraId="0F30BD71" w14:textId="51ED4451">
      <w:pPr>
        <w:tabs>
          <w:tab w:val="left" w:pos="5490"/>
        </w:tabs>
        <w:spacing w:after="120"/>
        <w:ind w:firstLine="720"/>
        <w:rPr>
          <w:szCs w:val="22"/>
        </w:rPr>
      </w:pPr>
      <w:r w:rsidRPr="002E1558">
        <w:rPr>
          <w:szCs w:val="22"/>
        </w:rPr>
        <w:t xml:space="preserve">The </w:t>
      </w:r>
      <w:r w:rsidR="00152061">
        <w:rPr>
          <w:i/>
          <w:iCs/>
          <w:szCs w:val="22"/>
        </w:rPr>
        <w:t xml:space="preserve">Report and </w:t>
      </w:r>
      <w:r w:rsidRPr="002E1558">
        <w:rPr>
          <w:i/>
          <w:iCs/>
          <w:szCs w:val="22"/>
        </w:rPr>
        <w:t>Orde</w:t>
      </w:r>
      <w:r w:rsidRPr="002E1558" w:rsidR="002056E0">
        <w:rPr>
          <w:i/>
          <w:iCs/>
          <w:szCs w:val="22"/>
        </w:rPr>
        <w:t>r</w:t>
      </w:r>
      <w:r w:rsidRPr="002E1558" w:rsidR="002056E0">
        <w:rPr>
          <w:szCs w:val="22"/>
        </w:rPr>
        <w:t xml:space="preserve"> </w:t>
      </w:r>
      <w:r w:rsidRPr="002E1558">
        <w:rPr>
          <w:szCs w:val="22"/>
        </w:rPr>
        <w:t>establishe</w:t>
      </w:r>
      <w:r w:rsidRPr="002E1558" w:rsidR="008227CF">
        <w:rPr>
          <w:szCs w:val="22"/>
        </w:rPr>
        <w:t>d</w:t>
      </w:r>
      <w:r w:rsidRPr="002E1558">
        <w:rPr>
          <w:szCs w:val="22"/>
        </w:rPr>
        <w:t xml:space="preserve"> a deadline of December 5, 2025, for </w:t>
      </w:r>
      <w:r w:rsidR="00F46CB7">
        <w:rPr>
          <w:szCs w:val="22"/>
        </w:rPr>
        <w:t>incumbent space station</w:t>
      </w:r>
      <w:r w:rsidRPr="002E1558" w:rsidR="00F46CB7">
        <w:rPr>
          <w:szCs w:val="22"/>
        </w:rPr>
        <w:t xml:space="preserve"> </w:t>
      </w:r>
      <w:r w:rsidRPr="002E1558" w:rsidR="002F073D">
        <w:rPr>
          <w:szCs w:val="22"/>
        </w:rPr>
        <w:t>operators to complete</w:t>
      </w:r>
      <w:r w:rsidR="00AD2E78">
        <w:rPr>
          <w:szCs w:val="22"/>
        </w:rPr>
        <w:t xml:space="preserve"> </w:t>
      </w:r>
      <w:r w:rsidR="00090770">
        <w:rPr>
          <w:szCs w:val="22"/>
        </w:rPr>
        <w:t xml:space="preserve">the </w:t>
      </w:r>
      <w:r w:rsidRPr="002E1558" w:rsidR="002F073D">
        <w:rPr>
          <w:szCs w:val="22"/>
        </w:rPr>
        <w:t xml:space="preserve">transition </w:t>
      </w:r>
      <w:r w:rsidR="00090770">
        <w:rPr>
          <w:szCs w:val="22"/>
        </w:rPr>
        <w:t xml:space="preserve">of </w:t>
      </w:r>
      <w:r w:rsidRPr="002E1558" w:rsidR="002F073D">
        <w:rPr>
          <w:szCs w:val="22"/>
        </w:rPr>
        <w:t>their operations to the upper 200 megahertz of the band</w:t>
      </w:r>
      <w:r w:rsidRPr="002E1558">
        <w:rPr>
          <w:szCs w:val="22"/>
        </w:rPr>
        <w:t xml:space="preserve">, </w:t>
      </w:r>
      <w:r w:rsidR="00F46CB7">
        <w:rPr>
          <w:szCs w:val="22"/>
        </w:rPr>
        <w:t>while</w:t>
      </w:r>
      <w:r w:rsidR="00090770">
        <w:rPr>
          <w:szCs w:val="22"/>
        </w:rPr>
        <w:t xml:space="preserve"> </w:t>
      </w:r>
      <w:r w:rsidRPr="002E1558">
        <w:rPr>
          <w:szCs w:val="22"/>
        </w:rPr>
        <w:t>provid</w:t>
      </w:r>
      <w:r w:rsidR="00F46CB7">
        <w:rPr>
          <w:szCs w:val="22"/>
        </w:rPr>
        <w:t>ing</w:t>
      </w:r>
      <w:r w:rsidRPr="002E1558">
        <w:rPr>
          <w:szCs w:val="22"/>
        </w:rPr>
        <w:t xml:space="preserve"> an opportunity for accelerated clearing of the band by allowing </w:t>
      </w:r>
      <w:r w:rsidR="00E4548C">
        <w:rPr>
          <w:szCs w:val="22"/>
        </w:rPr>
        <w:t>eligible</w:t>
      </w:r>
      <w:r w:rsidRPr="002E1558" w:rsidR="00E4548C">
        <w:rPr>
          <w:szCs w:val="22"/>
        </w:rPr>
        <w:t xml:space="preserve"> </w:t>
      </w:r>
      <w:r w:rsidRPr="002E1558">
        <w:rPr>
          <w:szCs w:val="22"/>
        </w:rPr>
        <w:t>space station operators</w:t>
      </w:r>
      <w:r>
        <w:rPr>
          <w:rStyle w:val="FootnoteReference"/>
          <w:szCs w:val="22"/>
        </w:rPr>
        <w:footnoteReference w:id="5"/>
      </w:r>
      <w:r w:rsidRPr="002E1558">
        <w:rPr>
          <w:szCs w:val="22"/>
        </w:rPr>
        <w:t xml:space="preserve"> to commit to relocate </w:t>
      </w:r>
      <w:r w:rsidRPr="002E1558" w:rsidR="00090770">
        <w:rPr>
          <w:szCs w:val="22"/>
        </w:rPr>
        <w:t xml:space="preserve">voluntarily </w:t>
      </w:r>
      <w:r w:rsidRPr="002E1558">
        <w:rPr>
          <w:szCs w:val="22"/>
        </w:rPr>
        <w:t>on a two-phased accelerated schedule</w:t>
      </w:r>
      <w:r w:rsidRPr="002E1558" w:rsidR="0041278C">
        <w:rPr>
          <w:szCs w:val="22"/>
        </w:rPr>
        <w:t>,</w:t>
      </w:r>
      <w:r w:rsidRPr="002E1558">
        <w:rPr>
          <w:szCs w:val="22"/>
        </w:rPr>
        <w:t xml:space="preserve"> with a Phase I deadline of December 5, 2021, and a Phase II deadline of December 5, 2023.</w:t>
      </w:r>
      <w:r>
        <w:rPr>
          <w:rStyle w:val="FootnoteReference"/>
          <w:szCs w:val="22"/>
        </w:rPr>
        <w:footnoteReference w:id="6"/>
      </w:r>
      <w:r w:rsidRPr="002E1558" w:rsidR="0024252E">
        <w:rPr>
          <w:szCs w:val="22"/>
        </w:rPr>
        <w:t xml:space="preserve"> </w:t>
      </w:r>
    </w:p>
    <w:p w:rsidR="00833E69" w:rsidRPr="002E1558" w:rsidP="00B30AAF" w14:paraId="2BA76944" w14:textId="22E8ACD7">
      <w:pPr>
        <w:spacing w:after="120"/>
        <w:ind w:firstLine="720"/>
        <w:rPr>
          <w:szCs w:val="22"/>
        </w:rPr>
      </w:pPr>
      <w:r>
        <w:rPr>
          <w:szCs w:val="22"/>
        </w:rPr>
        <w:t>T</w:t>
      </w:r>
      <w:r w:rsidRPr="002E1558" w:rsidR="006070B1">
        <w:rPr>
          <w:szCs w:val="22"/>
        </w:rPr>
        <w:t xml:space="preserve">he </w:t>
      </w:r>
      <w:r w:rsidR="00152061">
        <w:rPr>
          <w:i/>
          <w:iCs/>
          <w:szCs w:val="22"/>
        </w:rPr>
        <w:t xml:space="preserve">Report and </w:t>
      </w:r>
      <w:r w:rsidRPr="002E1558" w:rsidR="006070B1">
        <w:rPr>
          <w:i/>
          <w:iCs/>
          <w:szCs w:val="22"/>
        </w:rPr>
        <w:t>Order</w:t>
      </w:r>
      <w:r w:rsidRPr="002E1558" w:rsidR="009707A6">
        <w:rPr>
          <w:szCs w:val="22"/>
        </w:rPr>
        <w:t xml:space="preserve"> </w:t>
      </w:r>
      <w:r w:rsidRPr="002E1558" w:rsidR="009331D9">
        <w:rPr>
          <w:szCs w:val="22"/>
        </w:rPr>
        <w:t xml:space="preserve">required eligible space station operators </w:t>
      </w:r>
      <w:r w:rsidRPr="002E1558" w:rsidR="009331D9">
        <w:rPr>
          <w:szCs w:val="22"/>
        </w:rPr>
        <w:t xml:space="preserve">committing to </w:t>
      </w:r>
      <w:r w:rsidR="009331D9">
        <w:rPr>
          <w:szCs w:val="22"/>
        </w:rPr>
        <w:t>accelerated</w:t>
      </w:r>
      <w:r w:rsidRPr="002E1558" w:rsidR="009331D9">
        <w:rPr>
          <w:szCs w:val="22"/>
        </w:rPr>
        <w:t xml:space="preserve"> clearing </w:t>
      </w:r>
      <w:r w:rsidR="009331D9">
        <w:rPr>
          <w:szCs w:val="22"/>
        </w:rPr>
        <w:t>to</w:t>
      </w:r>
      <w:r w:rsidRPr="002E1558" w:rsidR="009331D9">
        <w:rPr>
          <w:szCs w:val="22"/>
        </w:rPr>
        <w:t xml:space="preserve"> make the</w:t>
      </w:r>
      <w:r w:rsidR="009331D9">
        <w:rPr>
          <w:szCs w:val="22"/>
        </w:rPr>
        <w:t>ir</w:t>
      </w:r>
      <w:r w:rsidRPr="002E1558" w:rsidR="009331D9">
        <w:rPr>
          <w:szCs w:val="22"/>
        </w:rPr>
        <w:t xml:space="preserve"> election by May 29, 2020</w:t>
      </w:r>
      <w:r w:rsidR="009331D9">
        <w:rPr>
          <w:szCs w:val="22"/>
        </w:rPr>
        <w:t xml:space="preserve"> to</w:t>
      </w:r>
      <w:r w:rsidRPr="002E1558" w:rsidR="009331D9">
        <w:rPr>
          <w:szCs w:val="22"/>
        </w:rPr>
        <w:t xml:space="preserve"> provide </w:t>
      </w:r>
      <w:r w:rsidR="009331D9">
        <w:rPr>
          <w:szCs w:val="22"/>
        </w:rPr>
        <w:t xml:space="preserve">potential </w:t>
      </w:r>
      <w:r w:rsidRPr="002E1558" w:rsidR="009331D9">
        <w:rPr>
          <w:szCs w:val="22"/>
        </w:rPr>
        <w:t>bidders with adequate certainty regarding the clearing date and payment obligations associated with each license</w:t>
      </w:r>
      <w:r w:rsidR="009331D9">
        <w:rPr>
          <w:szCs w:val="22"/>
        </w:rPr>
        <w:t xml:space="preserve"> should </w:t>
      </w:r>
      <w:r w:rsidRPr="00EC7C26" w:rsidR="009331D9">
        <w:rPr>
          <w:szCs w:val="22"/>
        </w:rPr>
        <w:t>they become overlay licensees</w:t>
      </w:r>
      <w:r w:rsidRPr="002E1558" w:rsidR="009331D9">
        <w:rPr>
          <w:szCs w:val="22"/>
        </w:rPr>
        <w:t>.</w:t>
      </w:r>
      <w:r>
        <w:rPr>
          <w:rStyle w:val="FootnoteReference"/>
          <w:szCs w:val="22"/>
        </w:rPr>
        <w:footnoteReference w:id="7"/>
      </w:r>
      <w:r w:rsidR="009331D9">
        <w:rPr>
          <w:szCs w:val="22"/>
        </w:rPr>
        <w:t xml:space="preserve">  </w:t>
      </w:r>
      <w:r w:rsidRPr="002E1558" w:rsidR="00045958">
        <w:rPr>
          <w:szCs w:val="22"/>
        </w:rPr>
        <w:t xml:space="preserve">The </w:t>
      </w:r>
      <w:r w:rsidR="00B749F6">
        <w:rPr>
          <w:i/>
          <w:iCs/>
          <w:szCs w:val="22"/>
        </w:rPr>
        <w:t xml:space="preserve">Report and </w:t>
      </w:r>
      <w:r w:rsidRPr="002E1558" w:rsidR="00045958">
        <w:rPr>
          <w:i/>
          <w:iCs/>
          <w:szCs w:val="22"/>
        </w:rPr>
        <w:t>Order</w:t>
      </w:r>
      <w:r w:rsidRPr="002E1558" w:rsidR="00045958">
        <w:rPr>
          <w:szCs w:val="22"/>
        </w:rPr>
        <w:t xml:space="preserve"> detail</w:t>
      </w:r>
      <w:r w:rsidRPr="002E1558" w:rsidR="001626CB">
        <w:rPr>
          <w:szCs w:val="22"/>
        </w:rPr>
        <w:t>ed</w:t>
      </w:r>
      <w:r w:rsidRPr="002E1558" w:rsidR="00045958">
        <w:rPr>
          <w:szCs w:val="22"/>
        </w:rPr>
        <w:t xml:space="preserve"> the commitments </w:t>
      </w:r>
      <w:r w:rsidR="00152061">
        <w:rPr>
          <w:szCs w:val="22"/>
        </w:rPr>
        <w:t xml:space="preserve">that </w:t>
      </w:r>
      <w:r w:rsidR="00B5712A">
        <w:rPr>
          <w:szCs w:val="22"/>
        </w:rPr>
        <w:t xml:space="preserve">eligible </w:t>
      </w:r>
      <w:r w:rsidRPr="002E1558" w:rsidR="00045958">
        <w:rPr>
          <w:szCs w:val="22"/>
        </w:rPr>
        <w:t xml:space="preserve">space station operators </w:t>
      </w:r>
      <w:r w:rsidR="008B09C6">
        <w:rPr>
          <w:szCs w:val="22"/>
        </w:rPr>
        <w:t xml:space="preserve">must </w:t>
      </w:r>
      <w:r w:rsidRPr="002E1558" w:rsidR="00045958">
        <w:rPr>
          <w:szCs w:val="22"/>
        </w:rPr>
        <w:t>make when filing an Accelerated Relocation Election</w:t>
      </w:r>
      <w:r w:rsidRPr="002E1558" w:rsidR="009A42DE">
        <w:rPr>
          <w:szCs w:val="22"/>
        </w:rPr>
        <w:t xml:space="preserve">.  </w:t>
      </w:r>
      <w:r w:rsidR="00191096">
        <w:rPr>
          <w:szCs w:val="22"/>
        </w:rPr>
        <w:t>By</w:t>
      </w:r>
      <w:r w:rsidRPr="002E1558" w:rsidR="00045958">
        <w:rPr>
          <w:szCs w:val="22"/>
        </w:rPr>
        <w:t xml:space="preserve"> electing accelerated relocation</w:t>
      </w:r>
      <w:r w:rsidRPr="002E1558" w:rsidR="009A42DE">
        <w:rPr>
          <w:szCs w:val="22"/>
        </w:rPr>
        <w:t>,</w:t>
      </w:r>
      <w:r w:rsidRPr="002E1558">
        <w:rPr>
          <w:szCs w:val="22"/>
        </w:rPr>
        <w:t xml:space="preserve"> an eligible space station operator voluntarily commits</w:t>
      </w:r>
      <w:r w:rsidR="00191096">
        <w:rPr>
          <w:szCs w:val="22"/>
        </w:rPr>
        <w:t xml:space="preserve"> </w:t>
      </w:r>
      <w:r w:rsidR="008C7780">
        <w:rPr>
          <w:szCs w:val="22"/>
        </w:rPr>
        <w:t>adhere to the requirements, policies, and procedures established</w:t>
      </w:r>
      <w:r w:rsidR="00191096">
        <w:rPr>
          <w:szCs w:val="22"/>
        </w:rPr>
        <w:t xml:space="preserve"> in the </w:t>
      </w:r>
      <w:r w:rsidR="00191096">
        <w:rPr>
          <w:i/>
          <w:iCs/>
          <w:szCs w:val="22"/>
        </w:rPr>
        <w:t>Report and Order</w:t>
      </w:r>
      <w:r w:rsidR="003F77C8">
        <w:rPr>
          <w:szCs w:val="22"/>
        </w:rPr>
        <w:t>.</w:t>
      </w:r>
      <w:r>
        <w:rPr>
          <w:rStyle w:val="FootnoteReference"/>
          <w:szCs w:val="22"/>
        </w:rPr>
        <w:footnoteReference w:id="8"/>
      </w:r>
      <w:r w:rsidR="00191096">
        <w:rPr>
          <w:szCs w:val="22"/>
        </w:rPr>
        <w:t xml:space="preserve"> </w:t>
      </w:r>
      <w:r w:rsidR="004F019C">
        <w:rPr>
          <w:szCs w:val="22"/>
        </w:rPr>
        <w:t xml:space="preserve"> </w:t>
      </w:r>
      <w:r w:rsidR="003F77C8">
        <w:rPr>
          <w:szCs w:val="22"/>
        </w:rPr>
        <w:t>Commitments include</w:t>
      </w:r>
      <w:r w:rsidRPr="002E1558">
        <w:rPr>
          <w:szCs w:val="22"/>
        </w:rPr>
        <w:t>:</w:t>
      </w:r>
      <w:r w:rsidRPr="002E1558" w:rsidR="00045958">
        <w:rPr>
          <w:szCs w:val="22"/>
        </w:rPr>
        <w:t xml:space="preserve"> </w:t>
      </w:r>
    </w:p>
    <w:p w:rsidR="00833E69" w:rsidRPr="002E1558" w:rsidP="003A2A2F" w14:paraId="1BF02078" w14:textId="74B98F58">
      <w:pPr>
        <w:pStyle w:val="ListParagraph"/>
        <w:numPr>
          <w:ilvl w:val="0"/>
          <w:numId w:val="7"/>
        </w:numPr>
        <w:spacing w:after="120"/>
        <w:contextualSpacing w:val="0"/>
        <w:rPr>
          <w:szCs w:val="22"/>
        </w:rPr>
      </w:pPr>
      <w:r w:rsidRPr="002E1558">
        <w:rPr>
          <w:szCs w:val="22"/>
        </w:rPr>
        <w:t>pay</w:t>
      </w:r>
      <w:r w:rsidR="0085492F">
        <w:rPr>
          <w:szCs w:val="22"/>
        </w:rPr>
        <w:t>ing</w:t>
      </w:r>
      <w:r w:rsidRPr="002E1558">
        <w:rPr>
          <w:szCs w:val="22"/>
        </w:rPr>
        <w:t xml:space="preserve"> the administrative costs of the </w:t>
      </w:r>
      <w:r w:rsidR="00B749F6">
        <w:rPr>
          <w:szCs w:val="22"/>
        </w:rPr>
        <w:t xml:space="preserve">Relocation Payment </w:t>
      </w:r>
      <w:r w:rsidRPr="002E1558">
        <w:rPr>
          <w:szCs w:val="22"/>
        </w:rPr>
        <w:t xml:space="preserve">Clearinghouse until the Commission awards licenses to the winning bidders in the auction, at which time </w:t>
      </w:r>
      <w:r w:rsidRPr="002E1558" w:rsidR="008B09C6">
        <w:rPr>
          <w:szCs w:val="22"/>
        </w:rPr>
        <w:t xml:space="preserve">the </w:t>
      </w:r>
      <w:r w:rsidR="008B09C6">
        <w:rPr>
          <w:szCs w:val="22"/>
        </w:rPr>
        <w:t xml:space="preserve">eligible </w:t>
      </w:r>
      <w:r w:rsidRPr="002E1558" w:rsidR="008B09C6">
        <w:rPr>
          <w:szCs w:val="22"/>
        </w:rPr>
        <w:t xml:space="preserve">space station operator </w:t>
      </w:r>
      <w:r w:rsidR="008B09C6">
        <w:rPr>
          <w:szCs w:val="22"/>
        </w:rPr>
        <w:t xml:space="preserve">will be reimbursed for </w:t>
      </w:r>
      <w:r w:rsidRPr="002E1558">
        <w:rPr>
          <w:szCs w:val="22"/>
        </w:rPr>
        <w:t xml:space="preserve">those administrative costs </w:t>
      </w:r>
      <w:r w:rsidR="008B09C6">
        <w:rPr>
          <w:szCs w:val="22"/>
        </w:rPr>
        <w:t>that it paid</w:t>
      </w:r>
      <w:r w:rsidRPr="002E1558" w:rsidR="00CB2640">
        <w:rPr>
          <w:szCs w:val="22"/>
        </w:rPr>
        <w:t>;</w:t>
      </w:r>
      <w:r>
        <w:rPr>
          <w:rStyle w:val="FootnoteReference"/>
          <w:szCs w:val="22"/>
        </w:rPr>
        <w:footnoteReference w:id="9"/>
      </w:r>
      <w:r w:rsidRPr="002E1558">
        <w:rPr>
          <w:szCs w:val="22"/>
        </w:rPr>
        <w:t xml:space="preserve"> </w:t>
      </w:r>
      <w:r w:rsidRPr="002E1558">
        <w:rPr>
          <w:szCs w:val="22"/>
        </w:rPr>
        <w:t xml:space="preserve"> </w:t>
      </w:r>
    </w:p>
    <w:p w:rsidR="00833E69" w:rsidRPr="002E1558" w:rsidP="003A2A2F" w14:paraId="5F2EFDF9" w14:textId="67992829">
      <w:pPr>
        <w:pStyle w:val="ListParagraph"/>
        <w:numPr>
          <w:ilvl w:val="0"/>
          <w:numId w:val="7"/>
        </w:numPr>
        <w:spacing w:after="120"/>
        <w:contextualSpacing w:val="0"/>
        <w:rPr>
          <w:szCs w:val="22"/>
        </w:rPr>
      </w:pPr>
      <w:r w:rsidRPr="002E1558">
        <w:rPr>
          <w:szCs w:val="22"/>
        </w:rPr>
        <w:t>relocat</w:t>
      </w:r>
      <w:r w:rsidR="0085492F">
        <w:rPr>
          <w:szCs w:val="22"/>
        </w:rPr>
        <w:t>ing</w:t>
      </w:r>
      <w:r w:rsidRPr="002E1558">
        <w:rPr>
          <w:szCs w:val="22"/>
        </w:rPr>
        <w:t xml:space="preserve"> its own services out of the lower 300 megahertz by the Accelerated Relocation Deadlines (both Phase I and Phase II) </w:t>
      </w:r>
      <w:r w:rsidRPr="002E1558" w:rsidR="009A2779">
        <w:rPr>
          <w:szCs w:val="22"/>
        </w:rPr>
        <w:t>and</w:t>
      </w:r>
      <w:r w:rsidRPr="002E1558">
        <w:rPr>
          <w:szCs w:val="22"/>
        </w:rPr>
        <w:t xml:space="preserve"> tak</w:t>
      </w:r>
      <w:r w:rsidR="007D1DA3">
        <w:rPr>
          <w:szCs w:val="22"/>
        </w:rPr>
        <w:t>ing</w:t>
      </w:r>
      <w:r w:rsidRPr="002E1558">
        <w:rPr>
          <w:szCs w:val="22"/>
        </w:rPr>
        <w:t xml:space="preserve"> responsibility for relocating its associated incumbent earth stations by those same deadlines</w:t>
      </w:r>
      <w:r w:rsidRPr="002E1558" w:rsidR="00CB2640">
        <w:rPr>
          <w:szCs w:val="22"/>
        </w:rPr>
        <w:t>;</w:t>
      </w:r>
      <w:r>
        <w:rPr>
          <w:rStyle w:val="FootnoteReference"/>
          <w:szCs w:val="22"/>
        </w:rPr>
        <w:footnoteReference w:id="10"/>
      </w:r>
      <w:r w:rsidRPr="002E1558">
        <w:rPr>
          <w:szCs w:val="22"/>
        </w:rPr>
        <w:t xml:space="preserve">  </w:t>
      </w:r>
    </w:p>
    <w:p w:rsidR="00590A1E" w:rsidP="0086655A" w14:paraId="3A7889D4" w14:textId="5734B822">
      <w:pPr>
        <w:pStyle w:val="ListParagraph"/>
        <w:numPr>
          <w:ilvl w:val="0"/>
          <w:numId w:val="7"/>
        </w:numPr>
        <w:spacing w:after="120"/>
        <w:contextualSpacing w:val="0"/>
        <w:rPr>
          <w:szCs w:val="22"/>
        </w:rPr>
      </w:pPr>
      <w:r w:rsidRPr="002E1558">
        <w:rPr>
          <w:szCs w:val="22"/>
        </w:rPr>
        <w:t>plan</w:t>
      </w:r>
      <w:r w:rsidR="00475630">
        <w:rPr>
          <w:szCs w:val="22"/>
        </w:rPr>
        <w:t>ning</w:t>
      </w:r>
      <w:r w:rsidRPr="002E1558">
        <w:rPr>
          <w:szCs w:val="22"/>
        </w:rPr>
        <w:t>, coordinat</w:t>
      </w:r>
      <w:r w:rsidR="0085492F">
        <w:rPr>
          <w:szCs w:val="22"/>
        </w:rPr>
        <w:t>ing</w:t>
      </w:r>
      <w:r w:rsidRPr="002E1558">
        <w:rPr>
          <w:szCs w:val="22"/>
        </w:rPr>
        <w:t>, and perform</w:t>
      </w:r>
      <w:r w:rsidR="0085492F">
        <w:rPr>
          <w:szCs w:val="22"/>
        </w:rPr>
        <w:t>ing</w:t>
      </w:r>
      <w:r w:rsidRPr="002E1558">
        <w:rPr>
          <w:szCs w:val="22"/>
        </w:rPr>
        <w:t xml:space="preserve"> (or contract</w:t>
      </w:r>
      <w:r w:rsidR="002A6460">
        <w:rPr>
          <w:szCs w:val="22"/>
        </w:rPr>
        <w:t>ing</w:t>
      </w:r>
      <w:r w:rsidRPr="002E1558">
        <w:rPr>
          <w:szCs w:val="22"/>
        </w:rPr>
        <w:t xml:space="preserve"> for the performance of) all the tasks necessary to migrate any incumbent earth station that receives or sends signals to a space station owned by that operator, whether the satellite service provider is in direct privity of contract with the earth station operator or indirectly through another entity</w:t>
      </w:r>
      <w:r w:rsidR="00E40B27">
        <w:rPr>
          <w:szCs w:val="22"/>
        </w:rPr>
        <w:t xml:space="preserve"> such as a programmer</w:t>
      </w:r>
      <w:r w:rsidR="00AD2E78">
        <w:rPr>
          <w:szCs w:val="22"/>
        </w:rPr>
        <w:t xml:space="preserve">; </w:t>
      </w:r>
      <w:r w:rsidRPr="00AD2E78" w:rsidR="00AD2E78">
        <w:rPr>
          <w:szCs w:val="22"/>
        </w:rPr>
        <w:t>in short, the space station operator must provide a turnkey solution to the transition</w:t>
      </w:r>
      <w:r w:rsidR="009278A1">
        <w:rPr>
          <w:szCs w:val="22"/>
        </w:rPr>
        <w:t>;</w:t>
      </w:r>
      <w:r>
        <w:rPr>
          <w:rStyle w:val="FootnoteReference"/>
          <w:szCs w:val="22"/>
        </w:rPr>
        <w:footnoteReference w:id="11"/>
      </w:r>
      <w:r>
        <w:rPr>
          <w:szCs w:val="22"/>
        </w:rPr>
        <w:t xml:space="preserve"> and</w:t>
      </w:r>
    </w:p>
    <w:p w:rsidR="007D65DB" w:rsidRPr="002E1558" w:rsidP="003A2A2F" w14:paraId="54C8B7EB" w14:textId="63ED9C3F">
      <w:pPr>
        <w:pStyle w:val="ListParagraph"/>
        <w:numPr>
          <w:ilvl w:val="0"/>
          <w:numId w:val="7"/>
        </w:numPr>
        <w:spacing w:after="120"/>
        <w:contextualSpacing w:val="0"/>
        <w:rPr>
          <w:szCs w:val="22"/>
        </w:rPr>
      </w:pPr>
      <w:r>
        <w:rPr>
          <w:szCs w:val="22"/>
        </w:rPr>
        <w:t xml:space="preserve">cooperating in good faith with the Relocation Coordinator and </w:t>
      </w:r>
      <w:r w:rsidR="008C3F2B">
        <w:rPr>
          <w:szCs w:val="22"/>
        </w:rPr>
        <w:t>paying</w:t>
      </w:r>
      <w:r w:rsidR="00590A1E">
        <w:rPr>
          <w:szCs w:val="22"/>
        </w:rPr>
        <w:t xml:space="preserve"> all administrative costs of the Relocation Coordinator if </w:t>
      </w:r>
      <w:r w:rsidR="00CD7CD4">
        <w:rPr>
          <w:szCs w:val="22"/>
        </w:rPr>
        <w:t xml:space="preserve">it is </w:t>
      </w:r>
      <w:r w:rsidR="00670D56">
        <w:rPr>
          <w:szCs w:val="22"/>
        </w:rPr>
        <w:t xml:space="preserve">selected by the committee of </w:t>
      </w:r>
      <w:r w:rsidR="0086655A">
        <w:rPr>
          <w:szCs w:val="22"/>
        </w:rPr>
        <w:t>electing space station operators</w:t>
      </w:r>
      <w:r w:rsidR="00590A1E">
        <w:rPr>
          <w:szCs w:val="22"/>
        </w:rPr>
        <w:t>.</w:t>
      </w:r>
      <w:r>
        <w:rPr>
          <w:rStyle w:val="FootnoteReference"/>
          <w:szCs w:val="22"/>
        </w:rPr>
        <w:footnoteReference w:id="12"/>
      </w:r>
      <w:r w:rsidR="00590A1E">
        <w:rPr>
          <w:szCs w:val="22"/>
        </w:rPr>
        <w:t xml:space="preserve"> </w:t>
      </w:r>
    </w:p>
    <w:p w:rsidR="005E208E" w:rsidRPr="002E1558" w:rsidP="003A2A2F" w14:paraId="41A6E0E8" w14:textId="50E66312">
      <w:pPr>
        <w:spacing w:after="120"/>
        <w:ind w:firstLine="720"/>
        <w:rPr>
          <w:szCs w:val="22"/>
        </w:rPr>
      </w:pPr>
      <w:r w:rsidRPr="002E1558">
        <w:rPr>
          <w:szCs w:val="22"/>
        </w:rPr>
        <w:t xml:space="preserve">The </w:t>
      </w:r>
      <w:r w:rsidR="00B749F6">
        <w:rPr>
          <w:i/>
          <w:iCs/>
          <w:szCs w:val="22"/>
        </w:rPr>
        <w:t xml:space="preserve">Report and </w:t>
      </w:r>
      <w:r w:rsidRPr="002E1558">
        <w:rPr>
          <w:i/>
          <w:iCs/>
          <w:szCs w:val="22"/>
        </w:rPr>
        <w:t>Order</w:t>
      </w:r>
      <w:r w:rsidRPr="002E1558">
        <w:rPr>
          <w:szCs w:val="22"/>
        </w:rPr>
        <w:t xml:space="preserve"> </w:t>
      </w:r>
      <w:r w:rsidRPr="002E1558" w:rsidR="009A42DE">
        <w:rPr>
          <w:szCs w:val="22"/>
        </w:rPr>
        <w:t>also describe</w:t>
      </w:r>
      <w:r w:rsidRPr="002E1558" w:rsidR="007D500C">
        <w:rPr>
          <w:szCs w:val="22"/>
        </w:rPr>
        <w:t>d</w:t>
      </w:r>
      <w:r w:rsidRPr="002E1558">
        <w:rPr>
          <w:szCs w:val="22"/>
        </w:rPr>
        <w:t xml:space="preserve"> a schedule of </w:t>
      </w:r>
      <w:r w:rsidRPr="002E1558" w:rsidR="005631E0">
        <w:rPr>
          <w:szCs w:val="22"/>
        </w:rPr>
        <w:t>decreasing</w:t>
      </w:r>
      <w:r w:rsidRPr="002E1558">
        <w:rPr>
          <w:szCs w:val="22"/>
        </w:rPr>
        <w:t xml:space="preserve"> accelerated relocation payments for the six months following each Accelerated Relocation </w:t>
      </w:r>
      <w:r w:rsidRPr="002E1558" w:rsidR="004C208F">
        <w:rPr>
          <w:szCs w:val="22"/>
        </w:rPr>
        <w:t>D</w:t>
      </w:r>
      <w:r w:rsidRPr="002E1558">
        <w:rPr>
          <w:szCs w:val="22"/>
        </w:rPr>
        <w:t>eadline</w:t>
      </w:r>
      <w:r w:rsidR="008B09C6">
        <w:rPr>
          <w:szCs w:val="22"/>
        </w:rPr>
        <w:t xml:space="preserve"> if an eligible</w:t>
      </w:r>
      <w:r w:rsidRPr="002E1558" w:rsidR="008B09C6">
        <w:rPr>
          <w:szCs w:val="22"/>
        </w:rPr>
        <w:t xml:space="preserve"> space station operator </w:t>
      </w:r>
      <w:r w:rsidR="008B09C6">
        <w:rPr>
          <w:szCs w:val="22"/>
        </w:rPr>
        <w:t>that commits to accelerated relocation fails to meet its deadline.  I</w:t>
      </w:r>
      <w:r w:rsidRPr="002E1558">
        <w:rPr>
          <w:szCs w:val="22"/>
        </w:rPr>
        <w:t xml:space="preserve">f an </w:t>
      </w:r>
      <w:r w:rsidR="00344366">
        <w:rPr>
          <w:szCs w:val="22"/>
        </w:rPr>
        <w:t>eligible</w:t>
      </w:r>
      <w:r w:rsidRPr="002E1558" w:rsidR="00344366">
        <w:rPr>
          <w:szCs w:val="22"/>
        </w:rPr>
        <w:t xml:space="preserve"> </w:t>
      </w:r>
      <w:r w:rsidRPr="002E1558">
        <w:rPr>
          <w:szCs w:val="22"/>
        </w:rPr>
        <w:t xml:space="preserve">space station operator </w:t>
      </w:r>
      <w:r w:rsidR="008B09C6">
        <w:rPr>
          <w:szCs w:val="22"/>
        </w:rPr>
        <w:t>that commits to accelerated relocation fails to</w:t>
      </w:r>
      <w:r w:rsidR="00AD2E78">
        <w:rPr>
          <w:szCs w:val="22"/>
        </w:rPr>
        <w:t xml:space="preserve"> </w:t>
      </w:r>
      <w:r w:rsidRPr="002E1558">
        <w:rPr>
          <w:szCs w:val="22"/>
        </w:rPr>
        <w:t xml:space="preserve">complete the transition within six months of the relevant deadline, its associated </w:t>
      </w:r>
      <w:r w:rsidR="008B09C6">
        <w:rPr>
          <w:szCs w:val="22"/>
        </w:rPr>
        <w:t xml:space="preserve">accelerated relocation </w:t>
      </w:r>
      <w:r w:rsidRPr="002E1558">
        <w:rPr>
          <w:szCs w:val="22"/>
        </w:rPr>
        <w:t>payment will drop to zero.</w:t>
      </w:r>
      <w:r>
        <w:rPr>
          <w:rStyle w:val="FootnoteReference"/>
          <w:szCs w:val="22"/>
        </w:rPr>
        <w:footnoteReference w:id="13"/>
      </w:r>
    </w:p>
    <w:p w:rsidR="00930ECF" w:rsidRPr="002E1558" w:rsidP="003A2A2F" w14:paraId="6A366918" w14:textId="009BEBA7">
      <w:pPr>
        <w:spacing w:after="120"/>
        <w:ind w:firstLine="720"/>
        <w:rPr>
          <w:szCs w:val="22"/>
        </w:rPr>
      </w:pPr>
      <w:r w:rsidRPr="002E1558">
        <w:rPr>
          <w:szCs w:val="22"/>
        </w:rPr>
        <w:t xml:space="preserve">The </w:t>
      </w:r>
      <w:r w:rsidR="00B749F6">
        <w:rPr>
          <w:i/>
          <w:iCs/>
          <w:szCs w:val="22"/>
        </w:rPr>
        <w:t xml:space="preserve">Report and </w:t>
      </w:r>
      <w:r w:rsidRPr="002E1558">
        <w:rPr>
          <w:i/>
          <w:iCs/>
          <w:szCs w:val="22"/>
        </w:rPr>
        <w:t>Order</w:t>
      </w:r>
      <w:r w:rsidRPr="002E1558">
        <w:rPr>
          <w:szCs w:val="22"/>
        </w:rPr>
        <w:t xml:space="preserve"> direct</w:t>
      </w:r>
      <w:r w:rsidRPr="002E1558" w:rsidR="00027E97">
        <w:rPr>
          <w:szCs w:val="22"/>
        </w:rPr>
        <w:t>ed</w:t>
      </w:r>
      <w:r w:rsidRPr="002E1558">
        <w:rPr>
          <w:szCs w:val="22"/>
        </w:rPr>
        <w:t xml:space="preserve"> that </w:t>
      </w:r>
      <w:r w:rsidR="00B5712A">
        <w:rPr>
          <w:szCs w:val="22"/>
        </w:rPr>
        <w:t xml:space="preserve">eligible </w:t>
      </w:r>
      <w:r w:rsidRPr="002E1558">
        <w:rPr>
          <w:szCs w:val="22"/>
        </w:rPr>
        <w:t xml:space="preserve">space station operators </w:t>
      </w:r>
      <w:r w:rsidR="008B09C6">
        <w:rPr>
          <w:szCs w:val="22"/>
        </w:rPr>
        <w:t xml:space="preserve">that </w:t>
      </w:r>
      <w:r w:rsidRPr="002E1558">
        <w:rPr>
          <w:szCs w:val="22"/>
        </w:rPr>
        <w:t>choose to clear on the accelerated timeframe in exchange for an accelerated relocation payment</w:t>
      </w:r>
      <w:r w:rsidRPr="002E1558" w:rsidR="00683164">
        <w:rPr>
          <w:szCs w:val="22"/>
        </w:rPr>
        <w:t xml:space="preserve"> </w:t>
      </w:r>
      <w:r w:rsidRPr="002E1558">
        <w:rPr>
          <w:szCs w:val="22"/>
        </w:rPr>
        <w:t>must do so via a written commitment by filing an Accelerated Relocation Election in GN Docket No. 18-122.</w:t>
      </w:r>
      <w:r>
        <w:rPr>
          <w:rStyle w:val="FootnoteReference"/>
          <w:szCs w:val="22"/>
        </w:rPr>
        <w:footnoteReference w:id="14"/>
      </w:r>
      <w:r w:rsidRPr="002E1558">
        <w:rPr>
          <w:szCs w:val="22"/>
        </w:rPr>
        <w:t xml:space="preserve"> </w:t>
      </w:r>
      <w:r w:rsidRPr="002E1558" w:rsidR="006E6150">
        <w:rPr>
          <w:szCs w:val="22"/>
        </w:rPr>
        <w:t xml:space="preserve"> </w:t>
      </w:r>
      <w:r w:rsidR="009331D9">
        <w:rPr>
          <w:szCs w:val="22"/>
        </w:rPr>
        <w:t>S</w:t>
      </w:r>
      <w:r w:rsidR="00B420B4">
        <w:rPr>
          <w:szCs w:val="22"/>
        </w:rPr>
        <w:t>uch elections</w:t>
      </w:r>
      <w:r w:rsidR="00B420B4">
        <w:rPr>
          <w:szCs w:val="22"/>
        </w:rPr>
        <w:t xml:space="preserve"> </w:t>
      </w:r>
      <w:r w:rsidR="009331D9">
        <w:rPr>
          <w:szCs w:val="22"/>
        </w:rPr>
        <w:t xml:space="preserve">are </w:t>
      </w:r>
      <w:r w:rsidR="00B420B4">
        <w:rPr>
          <w:szCs w:val="22"/>
        </w:rPr>
        <w:t>public and irrevocable.</w:t>
      </w:r>
      <w:r>
        <w:rPr>
          <w:rStyle w:val="FootnoteReference"/>
          <w:szCs w:val="22"/>
        </w:rPr>
        <w:footnoteReference w:id="15"/>
      </w:r>
      <w:r w:rsidR="00B420B4">
        <w:rPr>
          <w:szCs w:val="22"/>
        </w:rPr>
        <w:t xml:space="preserve">  </w:t>
      </w:r>
      <w:r w:rsidRPr="002E1558" w:rsidR="006E6150">
        <w:rPr>
          <w:szCs w:val="22"/>
        </w:rPr>
        <w:t xml:space="preserve">Pursuant to the </w:t>
      </w:r>
      <w:r w:rsidR="00B749F6">
        <w:rPr>
          <w:i/>
          <w:iCs/>
          <w:szCs w:val="22"/>
        </w:rPr>
        <w:t xml:space="preserve">Report and </w:t>
      </w:r>
      <w:r w:rsidRPr="002E1558" w:rsidR="006E6150">
        <w:rPr>
          <w:i/>
          <w:iCs/>
          <w:szCs w:val="22"/>
        </w:rPr>
        <w:t>Order</w:t>
      </w:r>
      <w:r w:rsidRPr="002E1558" w:rsidR="006E6150">
        <w:rPr>
          <w:szCs w:val="22"/>
        </w:rPr>
        <w:t xml:space="preserve">, </w:t>
      </w:r>
      <w:r w:rsidRPr="002E1558" w:rsidR="0026042D">
        <w:rPr>
          <w:szCs w:val="22"/>
        </w:rPr>
        <w:t>WTB</w:t>
      </w:r>
      <w:r w:rsidRPr="002E1558" w:rsidR="006E6150">
        <w:rPr>
          <w:szCs w:val="22"/>
        </w:rPr>
        <w:t xml:space="preserve"> prescribes the following </w:t>
      </w:r>
      <w:r w:rsidRPr="002E1558" w:rsidR="00DF7B1F">
        <w:rPr>
          <w:szCs w:val="22"/>
        </w:rPr>
        <w:t>format</w:t>
      </w:r>
      <w:r w:rsidRPr="002E1558" w:rsidR="006E6150">
        <w:rPr>
          <w:szCs w:val="22"/>
        </w:rPr>
        <w:t xml:space="preserve"> for filing an</w:t>
      </w:r>
      <w:r w:rsidRPr="002E1558" w:rsidR="00DF7B1F">
        <w:rPr>
          <w:szCs w:val="22"/>
        </w:rPr>
        <w:t xml:space="preserve"> </w:t>
      </w:r>
      <w:r w:rsidRPr="002E1558" w:rsidR="006E6150">
        <w:rPr>
          <w:szCs w:val="22"/>
        </w:rPr>
        <w:t xml:space="preserve">Accelerated Relocation Election: </w:t>
      </w:r>
    </w:p>
    <w:p w:rsidR="00904671" w:rsidRPr="002E1558" w:rsidP="003A2A2F" w14:paraId="4B8C74DC" w14:textId="34C622CF">
      <w:pPr>
        <w:pStyle w:val="ListParagraph"/>
        <w:numPr>
          <w:ilvl w:val="0"/>
          <w:numId w:val="7"/>
        </w:numPr>
        <w:spacing w:after="120"/>
        <w:contextualSpacing w:val="0"/>
        <w:rPr>
          <w:szCs w:val="22"/>
        </w:rPr>
      </w:pPr>
      <w:r w:rsidRPr="002E1558">
        <w:rPr>
          <w:szCs w:val="22"/>
        </w:rPr>
        <w:t xml:space="preserve">The election must state that the </w:t>
      </w:r>
      <w:r w:rsidR="00344366">
        <w:rPr>
          <w:szCs w:val="22"/>
        </w:rPr>
        <w:t>eligible</w:t>
      </w:r>
      <w:r w:rsidRPr="002E1558" w:rsidR="00344366">
        <w:rPr>
          <w:szCs w:val="22"/>
        </w:rPr>
        <w:t xml:space="preserve"> </w:t>
      </w:r>
      <w:r w:rsidRPr="002E1558">
        <w:rPr>
          <w:szCs w:val="22"/>
        </w:rPr>
        <w:t xml:space="preserve">space station operator elects to perform an accelerated relocation, understands </w:t>
      </w:r>
      <w:r w:rsidR="00892DE4">
        <w:rPr>
          <w:szCs w:val="22"/>
        </w:rPr>
        <w:t xml:space="preserve">and accepts </w:t>
      </w:r>
      <w:r w:rsidRPr="002E1558">
        <w:rPr>
          <w:szCs w:val="22"/>
        </w:rPr>
        <w:t xml:space="preserve">the commitments made when filing an </w:t>
      </w:r>
      <w:r w:rsidRPr="002E1558" w:rsidR="007E1935">
        <w:rPr>
          <w:szCs w:val="22"/>
        </w:rPr>
        <w:t>Accelerated</w:t>
      </w:r>
      <w:r w:rsidRPr="002E1558">
        <w:rPr>
          <w:szCs w:val="22"/>
        </w:rPr>
        <w:t xml:space="preserve"> </w:t>
      </w:r>
      <w:r w:rsidRPr="002E1558" w:rsidR="007E1935">
        <w:rPr>
          <w:szCs w:val="22"/>
        </w:rPr>
        <w:t>Relocation Election</w:t>
      </w:r>
      <w:r w:rsidRPr="002E1558">
        <w:rPr>
          <w:szCs w:val="22"/>
        </w:rPr>
        <w:t xml:space="preserve">, and understands </w:t>
      </w:r>
      <w:r w:rsidR="00892DE4">
        <w:rPr>
          <w:szCs w:val="22"/>
        </w:rPr>
        <w:t xml:space="preserve">and accepts </w:t>
      </w:r>
      <w:r w:rsidRPr="002E1558">
        <w:rPr>
          <w:szCs w:val="22"/>
        </w:rPr>
        <w:t xml:space="preserve">the reduction in payments </w:t>
      </w:r>
      <w:r w:rsidRPr="002E1558">
        <w:rPr>
          <w:szCs w:val="22"/>
        </w:rPr>
        <w:t xml:space="preserve">for missing deadlines as outlined in the </w:t>
      </w:r>
      <w:r w:rsidR="00B749F6">
        <w:rPr>
          <w:i/>
          <w:iCs/>
        </w:rPr>
        <w:t xml:space="preserve">Report and </w:t>
      </w:r>
      <w:r w:rsidRPr="002E1558">
        <w:rPr>
          <w:i/>
          <w:iCs/>
          <w:szCs w:val="22"/>
        </w:rPr>
        <w:t>Order</w:t>
      </w:r>
      <w:r w:rsidRPr="002E1558">
        <w:rPr>
          <w:szCs w:val="22"/>
        </w:rPr>
        <w:t xml:space="preserve">. </w:t>
      </w:r>
    </w:p>
    <w:p w:rsidR="009A6A5F" w:rsidRPr="002E1558" w:rsidP="003A2A2F" w14:paraId="37010C80" w14:textId="1C00DD80">
      <w:pPr>
        <w:pStyle w:val="ListParagraph"/>
        <w:numPr>
          <w:ilvl w:val="0"/>
          <w:numId w:val="7"/>
        </w:numPr>
        <w:spacing w:after="120"/>
        <w:contextualSpacing w:val="0"/>
        <w:rPr>
          <w:szCs w:val="22"/>
        </w:rPr>
      </w:pPr>
      <w:r w:rsidRPr="002E1558">
        <w:rPr>
          <w:szCs w:val="22"/>
        </w:rPr>
        <w:t xml:space="preserve">The election must be signed by a company officer of the </w:t>
      </w:r>
      <w:r w:rsidRPr="002E1558" w:rsidR="008C1A0D">
        <w:rPr>
          <w:szCs w:val="22"/>
        </w:rPr>
        <w:t xml:space="preserve">eligible </w:t>
      </w:r>
      <w:r w:rsidRPr="002E1558">
        <w:rPr>
          <w:szCs w:val="22"/>
        </w:rPr>
        <w:t>space station</w:t>
      </w:r>
      <w:r w:rsidRPr="002E1558" w:rsidR="009A42DE">
        <w:rPr>
          <w:szCs w:val="22"/>
        </w:rPr>
        <w:t xml:space="preserve"> operator</w:t>
      </w:r>
      <w:r w:rsidR="00B420B4">
        <w:rPr>
          <w:szCs w:val="22"/>
        </w:rPr>
        <w:t xml:space="preserve"> with authority to bind the company</w:t>
      </w:r>
      <w:r w:rsidRPr="002E1558">
        <w:rPr>
          <w:szCs w:val="22"/>
        </w:rPr>
        <w:t xml:space="preserve">. </w:t>
      </w:r>
    </w:p>
    <w:p w:rsidR="009A6A5F" w:rsidRPr="002E1558" w:rsidP="003A2A2F" w14:paraId="5951C054" w14:textId="30322EB3">
      <w:pPr>
        <w:pStyle w:val="ListParagraph"/>
        <w:numPr>
          <w:ilvl w:val="0"/>
          <w:numId w:val="7"/>
        </w:numPr>
        <w:spacing w:after="120"/>
        <w:contextualSpacing w:val="0"/>
        <w:rPr>
          <w:szCs w:val="22"/>
        </w:rPr>
      </w:pPr>
      <w:r w:rsidRPr="002E1558">
        <w:rPr>
          <w:szCs w:val="22"/>
        </w:rPr>
        <w:t xml:space="preserve">The election must </w:t>
      </w:r>
      <w:r w:rsidR="005631E0">
        <w:rPr>
          <w:szCs w:val="22"/>
        </w:rPr>
        <w:t xml:space="preserve">acknowledge </w:t>
      </w:r>
      <w:r w:rsidRPr="002E1558">
        <w:rPr>
          <w:szCs w:val="22"/>
        </w:rPr>
        <w:t>the Commission</w:t>
      </w:r>
      <w:r w:rsidRPr="002E1558" w:rsidR="001501DA">
        <w:rPr>
          <w:szCs w:val="22"/>
        </w:rPr>
        <w:t>’s</w:t>
      </w:r>
      <w:r w:rsidRPr="002E1558">
        <w:rPr>
          <w:szCs w:val="22"/>
        </w:rPr>
        <w:t xml:space="preserve"> authority to adopt</w:t>
      </w:r>
      <w:r w:rsidRPr="002E1558" w:rsidR="0075402F">
        <w:rPr>
          <w:szCs w:val="22"/>
        </w:rPr>
        <w:t xml:space="preserve"> </w:t>
      </w:r>
      <w:r w:rsidR="009E6742">
        <w:rPr>
          <w:szCs w:val="22"/>
        </w:rPr>
        <w:t xml:space="preserve">the </w:t>
      </w:r>
      <w:r w:rsidRPr="002E1558">
        <w:rPr>
          <w:szCs w:val="22"/>
        </w:rPr>
        <w:t xml:space="preserve">accelerated relocation </w:t>
      </w:r>
      <w:r w:rsidRPr="002E1558" w:rsidR="006C6461">
        <w:rPr>
          <w:szCs w:val="22"/>
        </w:rPr>
        <w:t xml:space="preserve">payment </w:t>
      </w:r>
      <w:r w:rsidRPr="002E1558" w:rsidR="001501DA">
        <w:rPr>
          <w:szCs w:val="22"/>
        </w:rPr>
        <w:t>and the reduction in payments for missing deadlines</w:t>
      </w:r>
      <w:r w:rsidRPr="002E1558">
        <w:rPr>
          <w:szCs w:val="22"/>
        </w:rPr>
        <w:t xml:space="preserve">. </w:t>
      </w:r>
    </w:p>
    <w:p w:rsidR="00F5715C" w:rsidRPr="00AD2E78" w:rsidP="003A2A2F" w14:paraId="1B765872" w14:textId="266EB9B9">
      <w:pPr>
        <w:pStyle w:val="ListParagraph"/>
        <w:numPr>
          <w:ilvl w:val="0"/>
          <w:numId w:val="7"/>
        </w:numPr>
        <w:spacing w:after="120"/>
        <w:contextualSpacing w:val="0"/>
        <w:rPr>
          <w:szCs w:val="22"/>
        </w:rPr>
      </w:pPr>
      <w:r w:rsidRPr="00AD2E78">
        <w:rPr>
          <w:szCs w:val="22"/>
        </w:rPr>
        <w:t xml:space="preserve">The election must acknowledge that </w:t>
      </w:r>
      <w:r w:rsidR="00E40B27">
        <w:rPr>
          <w:szCs w:val="22"/>
        </w:rPr>
        <w:t xml:space="preserve">sufficient eligible space station operators must elect accelerated relocation such that </w:t>
      </w:r>
      <w:r w:rsidRPr="00AD2E78">
        <w:rPr>
          <w:szCs w:val="22"/>
        </w:rPr>
        <w:t xml:space="preserve">at least 80% of </w:t>
      </w:r>
      <w:r w:rsidR="00E40B27">
        <w:rPr>
          <w:szCs w:val="22"/>
        </w:rPr>
        <w:t xml:space="preserve">the total possible </w:t>
      </w:r>
      <w:r w:rsidRPr="00AD2E78">
        <w:rPr>
          <w:szCs w:val="22"/>
        </w:rPr>
        <w:t>accelerated relocation payment</w:t>
      </w:r>
      <w:r w:rsidR="00A17E76">
        <w:rPr>
          <w:szCs w:val="22"/>
        </w:rPr>
        <w:t>s</w:t>
      </w:r>
      <w:r w:rsidRPr="00AD2E78">
        <w:rPr>
          <w:szCs w:val="22"/>
        </w:rPr>
        <w:t xml:space="preserve"> </w:t>
      </w:r>
      <w:r w:rsidR="00E40B27">
        <w:rPr>
          <w:szCs w:val="22"/>
        </w:rPr>
        <w:t xml:space="preserve">are </w:t>
      </w:r>
      <w:r w:rsidRPr="00AD2E78">
        <w:rPr>
          <w:szCs w:val="22"/>
        </w:rPr>
        <w:t xml:space="preserve">accepted </w:t>
      </w:r>
      <w:r w:rsidRPr="00AD2E78" w:rsidR="00B27B1B">
        <w:rPr>
          <w:szCs w:val="22"/>
        </w:rPr>
        <w:t>for</w:t>
      </w:r>
      <w:r w:rsidRPr="00AD2E78">
        <w:rPr>
          <w:szCs w:val="22"/>
        </w:rPr>
        <w:t xml:space="preserve"> the Commission to accept elections and require overlay licensees to pay accelerated relocation payments. </w:t>
      </w:r>
    </w:p>
    <w:p w:rsidR="003809AC" w:rsidRPr="002E1558" w:rsidP="003A2A2F" w14:paraId="4564AF0E" w14:textId="32AC4A5D">
      <w:pPr>
        <w:spacing w:after="120"/>
        <w:ind w:firstLine="720"/>
        <w:rPr>
          <w:szCs w:val="22"/>
        </w:rPr>
      </w:pPr>
      <w:r>
        <w:rPr>
          <w:szCs w:val="22"/>
        </w:rPr>
        <w:t>T</w:t>
      </w:r>
      <w:r w:rsidRPr="00152061">
        <w:rPr>
          <w:szCs w:val="22"/>
        </w:rPr>
        <w:t>he information collection requirements were approved by OMB on May 5, 2020 under OMB control number 3060-1272</w:t>
      </w:r>
      <w:r>
        <w:rPr>
          <w:szCs w:val="22"/>
        </w:rPr>
        <w:t>.</w:t>
      </w:r>
    </w:p>
    <w:p w:rsidR="003809AC" w:rsidRPr="002E1558" w:rsidP="003A2A2F" w14:paraId="3A7232E0" w14:textId="3949E500">
      <w:pPr>
        <w:autoSpaceDE w:val="0"/>
        <w:autoSpaceDN w:val="0"/>
        <w:adjustRightInd w:val="0"/>
        <w:spacing w:after="120"/>
        <w:ind w:firstLine="720"/>
        <w:rPr>
          <w:color w:val="000000"/>
          <w:szCs w:val="22"/>
        </w:rPr>
      </w:pPr>
      <w:r w:rsidRPr="002E1558">
        <w:rPr>
          <w:color w:val="000000"/>
          <w:szCs w:val="22"/>
        </w:rPr>
        <w:t>If</w:t>
      </w:r>
      <w:r w:rsidRPr="002E1558">
        <w:rPr>
          <w:color w:val="000000"/>
          <w:szCs w:val="22"/>
        </w:rPr>
        <w:t xml:space="preserve"> an </w:t>
      </w:r>
      <w:r w:rsidRPr="002E1558" w:rsidR="00696C18">
        <w:rPr>
          <w:color w:val="000000"/>
          <w:szCs w:val="22"/>
        </w:rPr>
        <w:t xml:space="preserve">eligible </w:t>
      </w:r>
      <w:r w:rsidRPr="002E1558">
        <w:rPr>
          <w:color w:val="000000"/>
          <w:szCs w:val="22"/>
        </w:rPr>
        <w:t xml:space="preserve">space station operator </w:t>
      </w:r>
      <w:r w:rsidRPr="002E1558">
        <w:rPr>
          <w:color w:val="000000"/>
          <w:szCs w:val="22"/>
        </w:rPr>
        <w:t>elects not to make an Accelerated Relocation Election, that operator</w:t>
      </w:r>
      <w:r w:rsidRPr="002E1558">
        <w:rPr>
          <w:color w:val="000000"/>
          <w:szCs w:val="22"/>
        </w:rPr>
        <w:t xml:space="preserve"> </w:t>
      </w:r>
      <w:r w:rsidRPr="002E1558">
        <w:rPr>
          <w:color w:val="000000"/>
          <w:szCs w:val="22"/>
        </w:rPr>
        <w:t>will forfeit</w:t>
      </w:r>
      <w:r w:rsidRPr="002E1558">
        <w:rPr>
          <w:color w:val="000000"/>
          <w:szCs w:val="22"/>
        </w:rPr>
        <w:t xml:space="preserve"> </w:t>
      </w:r>
      <w:r w:rsidRPr="002E1558">
        <w:rPr>
          <w:color w:val="000000"/>
          <w:szCs w:val="22"/>
        </w:rPr>
        <w:t>its eligibility to receive</w:t>
      </w:r>
      <w:r w:rsidRPr="002E1558">
        <w:rPr>
          <w:color w:val="000000"/>
          <w:szCs w:val="22"/>
        </w:rPr>
        <w:t xml:space="preserve"> accelerated relocation payments, even if it completes all tasks by the Accelerated Relocation Deadlines and files a Certification of Accelerated Relocation.</w:t>
      </w:r>
      <w:r>
        <w:rPr>
          <w:rStyle w:val="FootnoteReference"/>
          <w:szCs w:val="22"/>
        </w:rPr>
        <w:footnoteReference w:id="16"/>
      </w:r>
      <w:r w:rsidRPr="002E1558">
        <w:rPr>
          <w:color w:val="000000"/>
          <w:szCs w:val="22"/>
        </w:rPr>
        <w:t xml:space="preserve"> </w:t>
      </w:r>
      <w:r w:rsidRPr="002E1558" w:rsidR="000C1B25">
        <w:rPr>
          <w:color w:val="000000"/>
          <w:szCs w:val="22"/>
        </w:rPr>
        <w:t xml:space="preserve"> </w:t>
      </w:r>
    </w:p>
    <w:p w:rsidR="00940137" w:rsidRPr="002E1558" w:rsidP="003A2A2F" w14:paraId="10CB2BA3" w14:textId="77777777">
      <w:pPr>
        <w:autoSpaceDE w:val="0"/>
        <w:autoSpaceDN w:val="0"/>
        <w:adjustRightInd w:val="0"/>
        <w:spacing w:after="120"/>
        <w:ind w:firstLine="720"/>
        <w:rPr>
          <w:b/>
          <w:bCs/>
          <w:i/>
          <w:iCs/>
          <w:color w:val="000000"/>
          <w:szCs w:val="22"/>
        </w:rPr>
      </w:pPr>
      <w:r w:rsidRPr="002E1558">
        <w:rPr>
          <w:b/>
          <w:bCs/>
          <w:i/>
          <w:iCs/>
          <w:color w:val="000000"/>
          <w:szCs w:val="22"/>
        </w:rPr>
        <w:t>Filing Procedures</w:t>
      </w:r>
    </w:p>
    <w:p w:rsidR="00940137" w:rsidRPr="002E1558" w:rsidP="003A2A2F" w14:paraId="5B7DF104" w14:textId="6EF702CD">
      <w:pPr>
        <w:widowControl/>
        <w:autoSpaceDE w:val="0"/>
        <w:autoSpaceDN w:val="0"/>
        <w:adjustRightInd w:val="0"/>
        <w:spacing w:after="120"/>
        <w:ind w:firstLine="720"/>
        <w:rPr>
          <w:color w:val="000000"/>
          <w:szCs w:val="22"/>
        </w:rPr>
      </w:pPr>
      <w:r w:rsidRPr="002E1558">
        <w:rPr>
          <w:color w:val="000000"/>
          <w:szCs w:val="22"/>
        </w:rPr>
        <w:t>Information required by the</w:t>
      </w:r>
      <w:r w:rsidRPr="002E1558">
        <w:rPr>
          <w:color w:val="000000"/>
          <w:szCs w:val="22"/>
        </w:rPr>
        <w:t xml:space="preserve"> </w:t>
      </w:r>
      <w:r w:rsidR="00B749F6">
        <w:rPr>
          <w:i/>
          <w:iCs/>
        </w:rPr>
        <w:t xml:space="preserve">Report and </w:t>
      </w:r>
      <w:r w:rsidRPr="002E1558">
        <w:rPr>
          <w:i/>
          <w:iCs/>
          <w:color w:val="000000"/>
          <w:szCs w:val="22"/>
        </w:rPr>
        <w:t>Order</w:t>
      </w:r>
      <w:r w:rsidRPr="002E1558">
        <w:rPr>
          <w:color w:val="000000"/>
          <w:szCs w:val="22"/>
        </w:rPr>
        <w:t>, and repeated in this Public Notice, must be submitted electronically in</w:t>
      </w:r>
      <w:r w:rsidRPr="002E1558" w:rsidR="00A7073A">
        <w:rPr>
          <w:color w:val="000000"/>
          <w:szCs w:val="22"/>
        </w:rPr>
        <w:t xml:space="preserve"> the</w:t>
      </w:r>
      <w:r w:rsidRPr="002E1558">
        <w:rPr>
          <w:color w:val="000000"/>
          <w:szCs w:val="22"/>
        </w:rPr>
        <w:t xml:space="preserve"> </w:t>
      </w:r>
      <w:r w:rsidRPr="002E1558" w:rsidR="00A7073A">
        <w:rPr>
          <w:color w:val="000000"/>
          <w:szCs w:val="22"/>
        </w:rPr>
        <w:t>Electronic Comment Filing System, (</w:t>
      </w:r>
      <w:r w:rsidRPr="002E1558">
        <w:rPr>
          <w:color w:val="000000"/>
          <w:szCs w:val="22"/>
        </w:rPr>
        <w:t>ECFS</w:t>
      </w:r>
      <w:r w:rsidRPr="002E1558" w:rsidR="00A7073A">
        <w:rPr>
          <w:color w:val="000000"/>
          <w:szCs w:val="22"/>
        </w:rPr>
        <w:t>)</w:t>
      </w:r>
      <w:r w:rsidRPr="002E1558">
        <w:rPr>
          <w:color w:val="000000"/>
          <w:szCs w:val="22"/>
        </w:rPr>
        <w:t xml:space="preserve">, </w:t>
      </w:r>
      <w:hyperlink r:id="rId5" w:history="1">
        <w:r w:rsidRPr="002E1558">
          <w:rPr>
            <w:rStyle w:val="Hyperlink"/>
            <w:szCs w:val="22"/>
          </w:rPr>
          <w:t>https://www.fcc.gov/ecfs/filings</w:t>
        </w:r>
      </w:hyperlink>
      <w:r w:rsidRPr="002E1558">
        <w:rPr>
          <w:color w:val="000000"/>
          <w:szCs w:val="22"/>
        </w:rPr>
        <w:t xml:space="preserve">, in docket number GN 18-122. </w:t>
      </w:r>
      <w:r w:rsidRPr="002E1558" w:rsidR="009D609F">
        <w:rPr>
          <w:color w:val="000000"/>
          <w:szCs w:val="22"/>
        </w:rPr>
        <w:t xml:space="preserve"> </w:t>
      </w:r>
    </w:p>
    <w:p w:rsidR="00595530" w:rsidRPr="00A71BEA" w:rsidP="00595530" w14:paraId="00227F78" w14:textId="77777777">
      <w:pPr>
        <w:ind w:firstLine="720"/>
      </w:pPr>
      <w:r w:rsidRPr="00A71BEA">
        <w:t xml:space="preserve">Paper Filers:  Parties who choose to file by paper must file an original and one copy of each filing.  </w:t>
      </w:r>
    </w:p>
    <w:p w:rsidR="00595530" w:rsidRPr="00A71BEA" w:rsidP="00595530" w14:paraId="4680DA76" w14:textId="77777777">
      <w:r w:rsidRPr="00A71BEA">
        <w:t xml:space="preserve"> </w:t>
      </w:r>
    </w:p>
    <w:p w:rsidR="00595530" w:rsidRPr="00A71BEA" w:rsidP="00595530" w14:paraId="5849BFBA" w14:textId="77777777">
      <w:pPr>
        <w:ind w:firstLine="720"/>
      </w:pPr>
      <w:r w:rsidRPr="00A71BEA">
        <w:t xml:space="preserve">Filings can be sent by commercial overnight courier, or by first-class or overnight U.S. Postal Service mail. All filings must be addressed to the Commission’s Secretary, Office of the Secretary, Federal Communications Commission. </w:t>
      </w:r>
    </w:p>
    <w:p w:rsidR="00595530" w:rsidRPr="00A71BEA" w:rsidP="00595530" w14:paraId="204D2926" w14:textId="6322BEA7">
      <w:r>
        <w:tab/>
      </w:r>
      <w:r w:rsidRPr="00A71BEA">
        <w:t xml:space="preserve"> </w:t>
      </w:r>
    </w:p>
    <w:p w:rsidR="00595530" w:rsidRPr="00A71BEA" w:rsidP="00595530" w14:paraId="4B3063D5" w14:textId="77777777">
      <w:pPr>
        <w:ind w:firstLine="720"/>
      </w:pPr>
      <w:r w:rsidRPr="00A71BEA">
        <w:t xml:space="preserve">Commercial overnight mail (other than U.S. Postal Service Express Mail and Priority Mail) must be sent to 9050 Junction Drive, Annapolis Junction, MD 20701.U.S.  </w:t>
      </w:r>
    </w:p>
    <w:p w:rsidR="00595530" w:rsidRPr="00A71BEA" w:rsidP="00595530" w14:paraId="1A72B1BB" w14:textId="77777777">
      <w:r w:rsidRPr="00A71BEA">
        <w:t xml:space="preserve"> Postal Service first-class, Express, and Priority mail must be addressed to 445 12th Street, SW, Washington DC  20554 </w:t>
      </w:r>
    </w:p>
    <w:p w:rsidR="00595530" w:rsidRPr="00A71BEA" w:rsidP="00595530" w14:paraId="3D19141F" w14:textId="77777777">
      <w:r w:rsidRPr="00A71BEA">
        <w:t xml:space="preserve"> </w:t>
      </w:r>
    </w:p>
    <w:p w:rsidR="00595530" w:rsidRPr="00A71BEA" w:rsidP="00595530" w14:paraId="0625C427" w14:textId="77777777">
      <w:pPr>
        <w:ind w:firstLine="720"/>
      </w:pPr>
      <w:r w:rsidRPr="00A71BEA">
        <w:t xml:space="preserve">Effective March 19, 2020, and until further notice, the Commission no longer accepts any hand or messenger delivered filings. This is a temporary measure taken to help protect the health and safety of individuals, and to mitigate the transmission of COVID-19.  See FCC Announces Closure of FCC Headquarters Open Window and Change in Hand-Delivery Policy, Public Notice, DA 20-304 (March 19, 2020).  https://www.fcc.gov/document/fcc-closes-headquarters-open-window-and-changes-hand-delivery-policy </w:t>
      </w:r>
    </w:p>
    <w:p w:rsidR="00595530" w:rsidRPr="00A71BEA" w:rsidP="00595530" w14:paraId="71E2CC4E" w14:textId="77777777">
      <w:r w:rsidRPr="00A71BEA">
        <w:t xml:space="preserve"> </w:t>
      </w:r>
    </w:p>
    <w:p w:rsidR="00595530" w:rsidRPr="00A71BEA" w:rsidP="00595530" w14:paraId="24C4B8C2" w14:textId="77777777">
      <w:pPr>
        <w:ind w:firstLine="720"/>
      </w:pPr>
      <w:r w:rsidRPr="00A71BEA">
        <w:t>During the time the Commission’s building is closed to the general public and until further notice, if more than one docket or rulemaking number appears in the caption of a pro</w:t>
      </w:r>
      <w:bookmarkStart w:id="1" w:name="_GoBack"/>
      <w:bookmarkEnd w:id="1"/>
      <w:r w:rsidRPr="00A71BEA">
        <w:t xml:space="preserve">ceeding, paper filers need not submit two additional copies for each additional docket or rulemaking number; an original and one copy are sufficient. </w:t>
      </w:r>
    </w:p>
    <w:p w:rsidR="00940137" w:rsidRPr="002E1558" w:rsidP="00940137" w14:paraId="16CE9BF1" w14:textId="77777777">
      <w:pPr>
        <w:autoSpaceDE w:val="0"/>
        <w:autoSpaceDN w:val="0"/>
        <w:adjustRightInd w:val="0"/>
        <w:ind w:firstLine="720"/>
        <w:rPr>
          <w:color w:val="000000"/>
          <w:szCs w:val="22"/>
        </w:rPr>
      </w:pPr>
    </w:p>
    <w:p w:rsidR="00940137" w:rsidRPr="002E1558" w:rsidP="00940137" w14:paraId="5272B583" w14:textId="0F413276">
      <w:pPr>
        <w:autoSpaceDE w:val="0"/>
        <w:autoSpaceDN w:val="0"/>
        <w:adjustRightInd w:val="0"/>
        <w:ind w:firstLine="720"/>
        <w:jc w:val="center"/>
        <w:rPr>
          <w:b/>
          <w:bCs/>
          <w:color w:val="000000"/>
          <w:szCs w:val="22"/>
        </w:rPr>
      </w:pPr>
      <w:r w:rsidRPr="002E1558">
        <w:rPr>
          <w:b/>
          <w:bCs/>
          <w:color w:val="000000"/>
          <w:szCs w:val="22"/>
        </w:rPr>
        <w:t>- FCC -</w:t>
      </w:r>
    </w:p>
    <w:p w:rsidR="003809AC" w:rsidRPr="002E1558" w:rsidP="003809AC" w14:paraId="09408202" w14:textId="77777777">
      <w:pPr>
        <w:rPr>
          <w:szCs w:val="22"/>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AA27A7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640DA2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25600C1" w14:textId="121C328C">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rsidR="00021602" w:rsidP="00A24DD9" w14:paraId="5ECBCE5E" w14:textId="3B0E44C3">
    <w:pPr>
      <w:pStyle w:val="Footer"/>
      <w:tabs>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1602" w14:paraId="1DC81BB5" w14:textId="5EC0A849">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91740" w14:paraId="1E4EE756" w14:textId="77777777">
      <w:r>
        <w:separator/>
      </w:r>
    </w:p>
  </w:footnote>
  <w:footnote w:type="continuationSeparator" w:id="1">
    <w:p w:rsidR="00191740" w14:paraId="26B49051" w14:textId="77777777">
      <w:pPr>
        <w:rPr>
          <w:sz w:val="20"/>
        </w:rPr>
      </w:pPr>
      <w:r>
        <w:rPr>
          <w:sz w:val="20"/>
        </w:rPr>
        <w:t xml:space="preserve">(Continued from previous page)  </w:t>
      </w:r>
      <w:r>
        <w:rPr>
          <w:sz w:val="20"/>
        </w:rPr>
        <w:separator/>
      </w:r>
    </w:p>
  </w:footnote>
  <w:footnote w:type="continuationNotice" w:id="2">
    <w:p w:rsidR="00191740" w:rsidP="00910F12" w14:paraId="49162F29" w14:textId="77777777">
      <w:pPr>
        <w:jc w:val="right"/>
        <w:rPr>
          <w:sz w:val="20"/>
        </w:rPr>
      </w:pPr>
      <w:r>
        <w:rPr>
          <w:sz w:val="20"/>
        </w:rPr>
        <w:t>(continued….)</w:t>
      </w:r>
    </w:p>
  </w:footnote>
  <w:footnote w:id="3">
    <w:p w:rsidR="009331D9" w14:paraId="7295F0BD" w14:textId="32DFFBEE">
      <w:pPr>
        <w:pStyle w:val="FootnoteText"/>
      </w:pPr>
      <w:r>
        <w:rPr>
          <w:rStyle w:val="FootnoteReference"/>
        </w:rPr>
        <w:footnoteRef/>
      </w:r>
      <w:r>
        <w:t xml:space="preserve"> The Commission </w:t>
      </w:r>
      <w:r w:rsidRPr="002E1558">
        <w:rPr>
          <w:szCs w:val="22"/>
        </w:rPr>
        <w:t xml:space="preserve">directed WTB to prescribe the precise form </w:t>
      </w:r>
      <w:r>
        <w:rPr>
          <w:szCs w:val="22"/>
        </w:rPr>
        <w:t>by which space station operators should make an Accelerated Relocation</w:t>
      </w:r>
      <w:r w:rsidRPr="002E1558">
        <w:rPr>
          <w:szCs w:val="22"/>
        </w:rPr>
        <w:t xml:space="preserve"> </w:t>
      </w:r>
      <w:r>
        <w:rPr>
          <w:szCs w:val="22"/>
        </w:rPr>
        <w:t>E</w:t>
      </w:r>
      <w:r w:rsidRPr="002E1558">
        <w:rPr>
          <w:szCs w:val="22"/>
        </w:rPr>
        <w:t>lection via public notice no later than May 12, 2020</w:t>
      </w:r>
      <w:r>
        <w:rPr>
          <w:szCs w:val="22"/>
        </w:rPr>
        <w:t xml:space="preserve">.  </w:t>
      </w:r>
      <w:r w:rsidRPr="002E1558">
        <w:t>47 CFR § 27.1412(c)(1).</w:t>
      </w:r>
    </w:p>
  </w:footnote>
  <w:footnote w:id="4">
    <w:p w:rsidR="00F66F9C" w:rsidRPr="002E1558" w:rsidP="00F66F9C" w14:paraId="284D47A2" w14:textId="5B738EE0">
      <w:pPr>
        <w:pStyle w:val="FootnoteText"/>
      </w:pPr>
      <w:r>
        <w:rPr>
          <w:rStyle w:val="FootnoteReference"/>
        </w:rPr>
        <w:footnoteRef/>
      </w:r>
      <w:r>
        <w:t xml:space="preserve"> </w:t>
      </w:r>
      <w:r w:rsidRPr="002E1558">
        <w:rPr>
          <w:i/>
          <w:iCs/>
        </w:rPr>
        <w:t>Expanding Flexible Use of the 3.7 to 4.2 GHz Band</w:t>
      </w:r>
      <w:r w:rsidRPr="002E1558">
        <w:t xml:space="preserve">, </w:t>
      </w:r>
      <w:r w:rsidRPr="002E1558" w:rsidR="00F05792">
        <w:t>Report and Order and</w:t>
      </w:r>
      <w:r w:rsidRPr="002E1558" w:rsidR="00FF0240">
        <w:t xml:space="preserve"> Proposed Modification</w:t>
      </w:r>
      <w:r w:rsidRPr="002E1558" w:rsidR="00592BA1">
        <w:t xml:space="preserve">, </w:t>
      </w:r>
      <w:r w:rsidRPr="002E1558" w:rsidR="00311004">
        <w:t>35 FCC Rcd 2343</w:t>
      </w:r>
      <w:r w:rsidRPr="002E1558" w:rsidR="002122B7">
        <w:t xml:space="preserve">, </w:t>
      </w:r>
      <w:r w:rsidRPr="002E1558" w:rsidR="0037347E">
        <w:t>2345</w:t>
      </w:r>
      <w:r w:rsidRPr="002E1558" w:rsidR="0060173D">
        <w:t>,</w:t>
      </w:r>
      <w:r w:rsidRPr="002E1558" w:rsidR="0037347E">
        <w:t xml:space="preserve"> para. 4</w:t>
      </w:r>
      <w:r w:rsidRPr="002E1558" w:rsidR="0024252E">
        <w:t xml:space="preserve"> (2020) (</w:t>
      </w:r>
      <w:r w:rsidR="00B749F6">
        <w:rPr>
          <w:i/>
          <w:iCs/>
        </w:rPr>
        <w:t xml:space="preserve">Report and </w:t>
      </w:r>
      <w:r w:rsidRPr="002E1558" w:rsidR="0024252E">
        <w:rPr>
          <w:i/>
          <w:iCs/>
        </w:rPr>
        <w:t>Order</w:t>
      </w:r>
      <w:r w:rsidRPr="002E1558" w:rsidR="0024252E">
        <w:t xml:space="preserve">). </w:t>
      </w:r>
      <w:r w:rsidRPr="002E1558" w:rsidR="00311004">
        <w:t xml:space="preserve"> </w:t>
      </w:r>
    </w:p>
  </w:footnote>
  <w:footnote w:id="5">
    <w:p w:rsidR="009331D9" w:rsidRPr="002E1558" w:rsidP="009331D9" w14:paraId="1662AC19" w14:textId="77777777">
      <w:pPr>
        <w:pStyle w:val="FootnoteText"/>
      </w:pPr>
      <w:r w:rsidRPr="002E1558">
        <w:rPr>
          <w:rStyle w:val="FootnoteReference"/>
          <w:sz w:val="20"/>
        </w:rPr>
        <w:footnoteRef/>
      </w:r>
      <w:r w:rsidRPr="002E1558">
        <w:t xml:space="preserve"> An eligible space station operator is defined as an incumbent space station operator that has demonstrated as of February 1, 2020, that it has an existing relationship to provide service via C-band satellite transmission to one or more incumbent earth stations in the contiguous United States.  47 CFR § 27.1411(b)(2).</w:t>
      </w:r>
    </w:p>
  </w:footnote>
  <w:footnote w:id="6">
    <w:p w:rsidR="007D2079" w:rsidRPr="002E1558" w14:paraId="031146D3" w14:textId="4E9A4949">
      <w:pPr>
        <w:pStyle w:val="FootnoteText"/>
      </w:pPr>
      <w:r w:rsidRPr="002E1558">
        <w:rPr>
          <w:rStyle w:val="FootnoteReference"/>
          <w:sz w:val="20"/>
        </w:rPr>
        <w:footnoteRef/>
      </w:r>
      <w:r w:rsidRPr="002E1558">
        <w:t xml:space="preserve"> </w:t>
      </w:r>
      <w:r w:rsidR="00B749F6">
        <w:rPr>
          <w:i/>
          <w:iCs/>
        </w:rPr>
        <w:t>Report and</w:t>
      </w:r>
      <w:r w:rsidR="008003FE">
        <w:rPr>
          <w:i/>
          <w:iCs/>
        </w:rPr>
        <w:t xml:space="preserve"> </w:t>
      </w:r>
      <w:r w:rsidRPr="002E1558" w:rsidR="004F46F7">
        <w:rPr>
          <w:i/>
          <w:iCs/>
        </w:rPr>
        <w:t>Order</w:t>
      </w:r>
      <w:r w:rsidRPr="002E1558" w:rsidR="004F46F7">
        <w:t xml:space="preserve">, 35 FCC Rcd at </w:t>
      </w:r>
      <w:r w:rsidRPr="002E1558" w:rsidR="00D3549D">
        <w:t>2408, para</w:t>
      </w:r>
      <w:r w:rsidRPr="002E1558" w:rsidR="005661D5">
        <w:t>. 155</w:t>
      </w:r>
      <w:r w:rsidRPr="002E1558" w:rsidR="0048190E">
        <w:t>; 47 CFR</w:t>
      </w:r>
      <w:r w:rsidRPr="002E1558" w:rsidR="009177B9">
        <w:t xml:space="preserve"> §</w:t>
      </w:r>
      <w:r w:rsidRPr="002E1558" w:rsidR="0048190E">
        <w:t xml:space="preserve"> 27.1412(b)</w:t>
      </w:r>
      <w:r w:rsidRPr="002E1558" w:rsidR="009177B9">
        <w:t>(1)-(2).</w:t>
      </w:r>
      <w:r w:rsidRPr="002E1558" w:rsidR="0048190E">
        <w:t xml:space="preserve"> </w:t>
      </w:r>
    </w:p>
  </w:footnote>
  <w:footnote w:id="7">
    <w:p w:rsidR="009331D9" w:rsidRPr="002E1558" w:rsidP="009331D9" w14:paraId="3C1A5095" w14:textId="77777777">
      <w:pPr>
        <w:pStyle w:val="FootnoteText"/>
      </w:pPr>
      <w:r w:rsidRPr="002E1558">
        <w:rPr>
          <w:rStyle w:val="FootnoteReference"/>
          <w:sz w:val="20"/>
        </w:rPr>
        <w:footnoteRef/>
      </w:r>
      <w:r>
        <w:rPr>
          <w:i/>
          <w:iCs/>
        </w:rPr>
        <w:t xml:space="preserve"> Report and </w:t>
      </w:r>
      <w:r w:rsidRPr="002E1558">
        <w:rPr>
          <w:i/>
          <w:iCs/>
        </w:rPr>
        <w:t>Order</w:t>
      </w:r>
      <w:r w:rsidRPr="002E1558">
        <w:t>, 35 FCC Rcd at 2454, para. 289; 47 CFR § 27.1412(c).</w:t>
      </w:r>
    </w:p>
  </w:footnote>
  <w:footnote w:id="8">
    <w:p w:rsidR="003F77C8" w14:paraId="513460C1" w14:textId="30EFE8B4">
      <w:pPr>
        <w:pStyle w:val="FootnoteText"/>
      </w:pPr>
      <w:r>
        <w:rPr>
          <w:rStyle w:val="FootnoteReference"/>
        </w:rPr>
        <w:footnoteRef/>
      </w:r>
      <w:r>
        <w:t xml:space="preserve"> </w:t>
      </w:r>
      <w:r w:rsidR="00B56472">
        <w:t xml:space="preserve">For </w:t>
      </w:r>
      <w:r w:rsidR="00533CB9">
        <w:t>example</w:t>
      </w:r>
      <w:r w:rsidR="002F5B68">
        <w:t xml:space="preserve">, </w:t>
      </w:r>
      <w:r w:rsidR="00247A19">
        <w:t xml:space="preserve">the </w:t>
      </w:r>
      <w:r w:rsidR="00247A19">
        <w:rPr>
          <w:i/>
          <w:iCs/>
        </w:rPr>
        <w:t>Report and Order</w:t>
      </w:r>
      <w:r w:rsidR="00247A19">
        <w:t xml:space="preserve"> </w:t>
      </w:r>
      <w:r w:rsidR="00F9192D">
        <w:t xml:space="preserve">adopted various filing requirements for </w:t>
      </w:r>
      <w:r w:rsidR="00532AEE">
        <w:t>electing</w:t>
      </w:r>
      <w:r w:rsidR="002F5B68">
        <w:t xml:space="preserve"> space station operator</w:t>
      </w:r>
      <w:r w:rsidR="00247A19">
        <w:t>s</w:t>
      </w:r>
      <w:r w:rsidR="001533F3">
        <w:t>, such as the submissio</w:t>
      </w:r>
      <w:r w:rsidR="007B7F7C">
        <w:t>n</w:t>
      </w:r>
      <w:r w:rsidR="00026AA9">
        <w:t xml:space="preserve"> </w:t>
      </w:r>
      <w:r w:rsidR="007B7F7C">
        <w:t>of</w:t>
      </w:r>
      <w:r w:rsidR="00247A19">
        <w:t xml:space="preserve"> </w:t>
      </w:r>
      <w:r w:rsidR="00026AA9">
        <w:t xml:space="preserve">a </w:t>
      </w:r>
      <w:r w:rsidR="00532AEE">
        <w:t>T</w:t>
      </w:r>
      <w:r w:rsidR="00026AA9">
        <w:t xml:space="preserve">ransition </w:t>
      </w:r>
      <w:r w:rsidR="00532AEE">
        <w:t>P</w:t>
      </w:r>
      <w:r w:rsidR="00026AA9">
        <w:t>lan</w:t>
      </w:r>
      <w:r w:rsidR="00247A19">
        <w:t>,</w:t>
      </w:r>
      <w:r w:rsidR="00155B84">
        <w:t xml:space="preserve"> quarterly status </w:t>
      </w:r>
      <w:r w:rsidR="00055CFF">
        <w:t>report</w:t>
      </w:r>
      <w:r w:rsidR="00E212B0">
        <w:t>s of clearing efforts</w:t>
      </w:r>
      <w:r w:rsidR="00461283">
        <w:t>, beginning December 31, 2020, and a Certification of Accelerated Relocation demonstrating, in good faith, that it has completed the necessary clearing actions to satisfy each deadline</w:t>
      </w:r>
      <w:r w:rsidR="003E407D">
        <w:t xml:space="preserve">. </w:t>
      </w:r>
      <w:r w:rsidR="00532AEE">
        <w:t xml:space="preserve"> </w:t>
      </w:r>
      <w:r w:rsidR="00A3680B">
        <w:rPr>
          <w:i/>
          <w:iCs/>
        </w:rPr>
        <w:t>Report and Order</w:t>
      </w:r>
      <w:r w:rsidR="00A3680B">
        <w:t xml:space="preserve">, 35 FCC Rcd at </w:t>
      </w:r>
      <w:r w:rsidR="00E802EB">
        <w:t xml:space="preserve">2455, </w:t>
      </w:r>
      <w:r w:rsidR="00A654B7">
        <w:t xml:space="preserve">2457-58, </w:t>
      </w:r>
      <w:r w:rsidR="00292C4F">
        <w:t xml:space="preserve">2461, </w:t>
      </w:r>
      <w:r w:rsidR="00A654B7">
        <w:t>para</w:t>
      </w:r>
      <w:r w:rsidR="00292C4F">
        <w:t>s</w:t>
      </w:r>
      <w:r w:rsidR="00A654B7">
        <w:t xml:space="preserve">. </w:t>
      </w:r>
      <w:r w:rsidR="00292C4F">
        <w:t xml:space="preserve">298, </w:t>
      </w:r>
      <w:r w:rsidR="00A654B7">
        <w:t>302</w:t>
      </w:r>
      <w:r w:rsidR="00C37244">
        <w:t>, 316</w:t>
      </w:r>
      <w:r w:rsidR="00A654B7">
        <w:t>.</w:t>
      </w:r>
      <w:r w:rsidR="00A654B7">
        <w:t xml:space="preserve"> </w:t>
      </w:r>
      <w:r w:rsidR="00923AC0">
        <w:t xml:space="preserve"> </w:t>
      </w:r>
    </w:p>
  </w:footnote>
  <w:footnote w:id="9">
    <w:p w:rsidR="00045958" w:rsidRPr="002E1558" w14:paraId="6AA1BB5E" w14:textId="5D0F7153">
      <w:pPr>
        <w:pStyle w:val="FootnoteText"/>
      </w:pPr>
      <w:r w:rsidRPr="002E1558">
        <w:rPr>
          <w:rStyle w:val="FootnoteReference"/>
          <w:sz w:val="20"/>
        </w:rPr>
        <w:footnoteRef/>
      </w:r>
      <w:r w:rsidRPr="002E1558">
        <w:t xml:space="preserve"> </w:t>
      </w:r>
      <w:r w:rsidR="00B27588">
        <w:rPr>
          <w:i/>
          <w:iCs/>
        </w:rPr>
        <w:t>Id</w:t>
      </w:r>
      <w:r w:rsidR="00B27588">
        <w:t>.</w:t>
      </w:r>
      <w:r w:rsidRPr="002E1558" w:rsidR="00DC0500">
        <w:t xml:space="preserve"> </w:t>
      </w:r>
      <w:r w:rsidRPr="002E1558">
        <w:t xml:space="preserve">at </w:t>
      </w:r>
      <w:r w:rsidRPr="002E1558" w:rsidR="00DC0500">
        <w:t>2455</w:t>
      </w:r>
      <w:r w:rsidRPr="002E1558">
        <w:t>, para 291</w:t>
      </w:r>
      <w:r w:rsidRPr="002E1558" w:rsidR="00483289">
        <w:t xml:space="preserve">; </w:t>
      </w:r>
      <w:r w:rsidRPr="002E1558" w:rsidR="009177B9">
        <w:t>47 CFR § 27.1412(c)(2)</w:t>
      </w:r>
      <w:r w:rsidRPr="002E1558">
        <w:t>.</w:t>
      </w:r>
    </w:p>
  </w:footnote>
  <w:footnote w:id="10">
    <w:p w:rsidR="00045958" w:rsidRPr="002E1558" w14:paraId="599DF8E9" w14:textId="4E7F73A3">
      <w:pPr>
        <w:pStyle w:val="FootnoteText"/>
      </w:pPr>
      <w:r w:rsidRPr="002E1558">
        <w:rPr>
          <w:rStyle w:val="FootnoteReference"/>
          <w:sz w:val="20"/>
        </w:rPr>
        <w:footnoteRef/>
      </w:r>
      <w:r w:rsidRPr="002E1558">
        <w:t xml:space="preserve"> </w:t>
      </w:r>
      <w:r w:rsidR="00B749F6">
        <w:rPr>
          <w:i/>
          <w:iCs/>
        </w:rPr>
        <w:t xml:space="preserve">Report and </w:t>
      </w:r>
      <w:r w:rsidRPr="002E1558">
        <w:rPr>
          <w:i/>
          <w:iCs/>
        </w:rPr>
        <w:t>Order</w:t>
      </w:r>
      <w:r w:rsidRPr="002E1558" w:rsidR="00C1786A">
        <w:t>,</w:t>
      </w:r>
      <w:r w:rsidRPr="002E1558">
        <w:t xml:space="preserve"> </w:t>
      </w:r>
      <w:r w:rsidRPr="002E1558" w:rsidR="002A53EB">
        <w:t>35 FCC Rcd at 2455</w:t>
      </w:r>
      <w:r w:rsidRPr="002E1558">
        <w:t>, para 292.</w:t>
      </w:r>
    </w:p>
  </w:footnote>
  <w:footnote w:id="11">
    <w:p w:rsidR="009278A1" w:rsidRPr="00E4548C" w:rsidP="009278A1" w14:paraId="7B734C9B" w14:textId="77777777">
      <w:pPr>
        <w:pStyle w:val="FootnoteText"/>
      </w:pPr>
      <w:r w:rsidRPr="002E1558">
        <w:rPr>
          <w:rStyle w:val="FootnoteReference"/>
          <w:sz w:val="20"/>
        </w:rPr>
        <w:footnoteRef/>
      </w:r>
      <w:r w:rsidRPr="002E1558">
        <w:t xml:space="preserve"> </w:t>
      </w:r>
      <w:r w:rsidRPr="002E1558">
        <w:rPr>
          <w:i/>
          <w:iCs/>
        </w:rPr>
        <w:t>Id</w:t>
      </w:r>
      <w:r w:rsidRPr="002E1558">
        <w:t>.</w:t>
      </w:r>
      <w:r>
        <w:t xml:space="preserve">  An electing space station operator that experiences earth station transition delays beyond its control must submit a notice of any delays to the Bureau </w:t>
      </w:r>
      <w:r w:rsidRPr="00107E54">
        <w:rPr>
          <w:szCs w:val="22"/>
        </w:rPr>
        <w:t>within 7 days of discovering an inability to accomplish the assigned earth station transition task</w:t>
      </w:r>
      <w:r>
        <w:t xml:space="preserve">.  </w:t>
      </w:r>
      <w:r>
        <w:rPr>
          <w:i/>
          <w:iCs/>
        </w:rPr>
        <w:t>Id.</w:t>
      </w:r>
      <w:r>
        <w:t xml:space="preserve"> at para. 294; 47 CFR </w:t>
      </w:r>
      <w:r w:rsidRPr="002E1558">
        <w:t>§ 27.1412(</w:t>
      </w:r>
      <w:r>
        <w:t>b)(3).</w:t>
      </w:r>
    </w:p>
  </w:footnote>
  <w:footnote w:id="12">
    <w:p w:rsidR="0018614E" w:rsidRPr="0018614E" w14:paraId="2AB6D0DF" w14:textId="70E38222">
      <w:pPr>
        <w:pStyle w:val="FootnoteText"/>
      </w:pPr>
      <w:r>
        <w:rPr>
          <w:rStyle w:val="FootnoteReference"/>
        </w:rPr>
        <w:footnoteRef/>
      </w:r>
      <w:r>
        <w:t xml:space="preserve"> </w:t>
      </w:r>
      <w:r>
        <w:rPr>
          <w:i/>
          <w:iCs/>
        </w:rPr>
        <w:t>Report and Order</w:t>
      </w:r>
      <w:r>
        <w:t>, 35 FCC Rcd at 2459</w:t>
      </w:r>
      <w:r w:rsidR="00A90772">
        <w:t>-60</w:t>
      </w:r>
      <w:r>
        <w:t>, para</w:t>
      </w:r>
      <w:r w:rsidR="00A90772">
        <w:t>s</w:t>
      </w:r>
      <w:r>
        <w:t>. 308</w:t>
      </w:r>
      <w:r w:rsidR="00A90772">
        <w:t>, 314</w:t>
      </w:r>
      <w:r>
        <w:t xml:space="preserve">. </w:t>
      </w:r>
    </w:p>
  </w:footnote>
  <w:footnote w:id="13">
    <w:p w:rsidR="005E208E" w:rsidRPr="002E1558" w14:paraId="6C37BCEE" w14:textId="3A38491C">
      <w:pPr>
        <w:pStyle w:val="FootnoteText"/>
      </w:pPr>
      <w:r w:rsidRPr="002E1558">
        <w:rPr>
          <w:rStyle w:val="FootnoteReference"/>
          <w:sz w:val="20"/>
        </w:rPr>
        <w:footnoteRef/>
      </w:r>
      <w:r w:rsidRPr="002E1558">
        <w:t xml:space="preserve"> </w:t>
      </w:r>
      <w:r w:rsidRPr="002E1558" w:rsidR="00D43149">
        <w:rPr>
          <w:i/>
          <w:iCs/>
        </w:rPr>
        <w:t xml:space="preserve">See </w:t>
      </w:r>
      <w:r w:rsidR="009B1059">
        <w:rPr>
          <w:i/>
          <w:iCs/>
        </w:rPr>
        <w:t>id.</w:t>
      </w:r>
      <w:r w:rsidRPr="002E1558" w:rsidR="003B75E2">
        <w:t xml:space="preserve"> at 2456</w:t>
      </w:r>
      <w:r w:rsidRPr="002E1558">
        <w:t>, para. 297</w:t>
      </w:r>
      <w:r w:rsidRPr="002E1558" w:rsidR="00705BD5">
        <w:t>,</w:t>
      </w:r>
      <w:r w:rsidRPr="002E1558">
        <w:t xml:space="preserve"> </w:t>
      </w:r>
      <w:r w:rsidRPr="002E1558" w:rsidR="00D43149">
        <w:t xml:space="preserve">for Incremental Reduction Chart. </w:t>
      </w:r>
    </w:p>
  </w:footnote>
  <w:footnote w:id="14">
    <w:p w:rsidR="006E6150" w:rsidRPr="002E1558" w14:paraId="1B5788B1" w14:textId="122378DC">
      <w:pPr>
        <w:pStyle w:val="FootnoteText"/>
      </w:pPr>
      <w:r w:rsidRPr="002E1558">
        <w:rPr>
          <w:rStyle w:val="FootnoteReference"/>
          <w:sz w:val="20"/>
        </w:rPr>
        <w:footnoteRef/>
      </w:r>
      <w:r w:rsidRPr="002E1558">
        <w:t xml:space="preserve"> </w:t>
      </w:r>
      <w:r w:rsidRPr="002E1558" w:rsidR="00241551">
        <w:t xml:space="preserve">47 CFR § 27.1412(c); </w:t>
      </w:r>
      <w:r w:rsidR="00225A25">
        <w:rPr>
          <w:i/>
          <w:iCs/>
        </w:rPr>
        <w:t xml:space="preserve">Report and </w:t>
      </w:r>
      <w:r w:rsidRPr="002E1558" w:rsidR="0072036F">
        <w:rPr>
          <w:i/>
          <w:iCs/>
        </w:rPr>
        <w:t>Order</w:t>
      </w:r>
      <w:r w:rsidRPr="002E1558" w:rsidR="00705BD5">
        <w:t>,</w:t>
      </w:r>
      <w:r w:rsidRPr="002E1558" w:rsidR="0072036F">
        <w:t xml:space="preserve"> </w:t>
      </w:r>
      <w:r w:rsidRPr="002E1558" w:rsidR="00BF6937">
        <w:t>35 FCC Rcd at 2454</w:t>
      </w:r>
      <w:r w:rsidRPr="002E1558" w:rsidR="0072036F">
        <w:t>, para. 289</w:t>
      </w:r>
      <w:r w:rsidRPr="002E1558" w:rsidR="00241551">
        <w:t>.</w:t>
      </w:r>
      <w:r w:rsidRPr="002E1558" w:rsidR="00303733">
        <w:t xml:space="preserve"> </w:t>
      </w:r>
      <w:r w:rsidRPr="002E1558" w:rsidR="00705BD5">
        <w:t xml:space="preserve"> </w:t>
      </w:r>
      <w:r w:rsidR="00F46CB7">
        <w:t>Under the</w:t>
      </w:r>
      <w:r w:rsidRPr="002E1558" w:rsidR="00F46CB7">
        <w:t xml:space="preserve"> </w:t>
      </w:r>
      <w:r w:rsidR="00B749F6">
        <w:rPr>
          <w:i/>
          <w:iCs/>
        </w:rPr>
        <w:t xml:space="preserve">Report and </w:t>
      </w:r>
      <w:r w:rsidRPr="002E1558" w:rsidR="00303733">
        <w:rPr>
          <w:i/>
          <w:iCs/>
        </w:rPr>
        <w:t>Order</w:t>
      </w:r>
      <w:r w:rsidRPr="002E1558" w:rsidR="00303733">
        <w:t xml:space="preserve">, at least 80% of accelerated relocation payments must be accepted via Accelerated Relocation Elections in order for the Commission to accept elections and require overlay licensees to pay accelerated relocation payments.  </w:t>
      </w:r>
      <w:r w:rsidR="00B0232D">
        <w:rPr>
          <w:i/>
          <w:iCs/>
        </w:rPr>
        <w:t>Id.</w:t>
      </w:r>
      <w:r w:rsidR="00B0232D">
        <w:t xml:space="preserve"> at para. 290. </w:t>
      </w:r>
    </w:p>
  </w:footnote>
  <w:footnote w:id="15">
    <w:p w:rsidR="00B420B4" w:rsidP="00B420B4" w14:paraId="5084003A" w14:textId="610D0938">
      <w:pPr>
        <w:pStyle w:val="FootnoteText"/>
      </w:pPr>
      <w:r>
        <w:rPr>
          <w:rStyle w:val="FootnoteReference"/>
        </w:rPr>
        <w:footnoteRef/>
      </w:r>
      <w:r>
        <w:t xml:space="preserve"> </w:t>
      </w:r>
      <w:r w:rsidR="0079528C">
        <w:rPr>
          <w:i/>
          <w:iCs/>
        </w:rPr>
        <w:t xml:space="preserve">Report and </w:t>
      </w:r>
      <w:r w:rsidRPr="002E1558">
        <w:rPr>
          <w:i/>
          <w:iCs/>
        </w:rPr>
        <w:t>Order</w:t>
      </w:r>
      <w:r w:rsidRPr="002E1558">
        <w:t xml:space="preserve">, 35 FCC Rcd at 2454, para. 289.  </w:t>
      </w:r>
    </w:p>
  </w:footnote>
  <w:footnote w:id="16">
    <w:p w:rsidR="003809AC" w:rsidRPr="002E1558" w14:paraId="19FE12C6" w14:textId="7ACE6264">
      <w:pPr>
        <w:pStyle w:val="FootnoteText"/>
      </w:pPr>
      <w:r w:rsidRPr="002E1558">
        <w:rPr>
          <w:rStyle w:val="FootnoteReference"/>
          <w:sz w:val="20"/>
        </w:rPr>
        <w:footnoteRef/>
      </w:r>
      <w:r w:rsidRPr="002E1558">
        <w:t xml:space="preserve"> </w:t>
      </w:r>
      <w:r w:rsidR="00445B93">
        <w:rPr>
          <w:i/>
          <w:iCs/>
        </w:rPr>
        <w:t>Id</w:t>
      </w:r>
      <w:r w:rsidR="00445B93">
        <w:t>.</w:t>
      </w:r>
      <w:r w:rsidRPr="002E1558" w:rsidR="0037024D">
        <w:t xml:space="preserve"> at 2457, para. 301</w:t>
      </w:r>
      <w:r w:rsidRPr="002E1558" w:rsidR="00A16A4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61E58AE" w14:textId="39A7126C">
    <w:pPr>
      <w:tabs>
        <w:tab w:val="center" w:pos="4680"/>
        <w:tab w:val="right" w:pos="9360"/>
      </w:tabs>
    </w:pPr>
    <w:r w:rsidRPr="009838BC">
      <w:rPr>
        <w:b/>
      </w:rPr>
      <w:tab/>
      <w:t>Federal Communications Commission</w:t>
    </w:r>
    <w:r w:rsidRPr="009838BC">
      <w:rPr>
        <w:b/>
      </w:rPr>
      <w:tab/>
    </w:r>
    <w:r w:rsidR="00030F8B">
      <w:rPr>
        <w:b/>
      </w:rPr>
      <w:t>DA 20-503</w:t>
    </w:r>
  </w:p>
  <w:p w:rsidR="009838BC" w:rsidRPr="009838BC" w:rsidP="009838BC" w14:paraId="053D063F"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1255C42"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DFFCBE3"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5A723BEB" w14:textId="77777777">
                    <w:pPr>
                      <w:rPr>
                        <w:rFonts w:ascii="Arial" w:hAnsi="Arial"/>
                        <w:b/>
                      </w:rPr>
                    </w:pPr>
                    <w:r>
                      <w:rPr>
                        <w:rFonts w:ascii="Arial" w:hAnsi="Arial"/>
                        <w:b/>
                      </w:rPr>
                      <w:t>Federal Communications Commission</w:t>
                    </w:r>
                  </w:p>
                  <w:p w:rsidR="009838BC" w:rsidP="009838BC" w14:paraId="6B719ED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00E81466"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77404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293D863A"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14FFEF76" w14:textId="77777777">
                    <w:pPr>
                      <w:spacing w:before="40"/>
                      <w:jc w:val="right"/>
                      <w:rPr>
                        <w:rFonts w:ascii="Arial" w:hAnsi="Arial"/>
                        <w:b/>
                        <w:sz w:val="16"/>
                      </w:rPr>
                    </w:pPr>
                    <w:r>
                      <w:rPr>
                        <w:rFonts w:ascii="Arial" w:hAnsi="Arial"/>
                        <w:b/>
                        <w:sz w:val="16"/>
                      </w:rPr>
                      <w:t>News Media Information 202 / 418-0500</w:t>
                    </w:r>
                  </w:p>
                  <w:p w:rsidR="009838BC" w:rsidP="009838BC" w14:paraId="3992400F"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3AB05026" w14:textId="77777777">
                    <w:pPr>
                      <w:jc w:val="right"/>
                    </w:pPr>
                    <w:r>
                      <w:rPr>
                        <w:rFonts w:ascii="Arial" w:hAnsi="Arial"/>
                        <w:b/>
                        <w:sz w:val="16"/>
                      </w:rPr>
                      <w:t>TTY: 1-888-835-5322</w:t>
                    </w:r>
                  </w:p>
                </w:txbxContent>
              </v:textbox>
            </v:shape>
          </w:pict>
        </mc:Fallback>
      </mc:AlternateContent>
    </w:r>
  </w:p>
  <w:p w:rsidR="006F7393" w:rsidRPr="009838BC" w:rsidP="009838BC" w14:paraId="385332D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244B52"/>
    <w:multiLevelType w:val="hybridMultilevel"/>
    <w:tmpl w:val="999EDD8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B3D7D45"/>
    <w:multiLevelType w:val="hybridMultilevel"/>
    <w:tmpl w:val="1CB6B52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07D107A"/>
    <w:multiLevelType w:val="hybridMultilevel"/>
    <w:tmpl w:val="8D706C78"/>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8">
    <w:nsid w:val="5A2B5DB3"/>
    <w:multiLevelType w:val="hybridMultilevel"/>
    <w:tmpl w:val="E514E1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9"/>
  </w:num>
  <w:num w:numId="3">
    <w:abstractNumId w:val="4"/>
  </w:num>
  <w:num w:numId="4">
    <w:abstractNumId w:val="6"/>
  </w:num>
  <w:num w:numId="5">
    <w:abstractNumId w:val="3"/>
  </w:num>
  <w:num w:numId="6">
    <w:abstractNumId w:val="0"/>
  </w:num>
  <w:num w:numId="7">
    <w:abstractNumId w:val="5"/>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A95"/>
    <w:rsid w:val="00001A95"/>
    <w:rsid w:val="000072CE"/>
    <w:rsid w:val="00010958"/>
    <w:rsid w:val="00012567"/>
    <w:rsid w:val="00013A8B"/>
    <w:rsid w:val="00015FB2"/>
    <w:rsid w:val="00021171"/>
    <w:rsid w:val="00021445"/>
    <w:rsid w:val="00021602"/>
    <w:rsid w:val="00023064"/>
    <w:rsid w:val="00026AA9"/>
    <w:rsid w:val="00027E97"/>
    <w:rsid w:val="00030F8B"/>
    <w:rsid w:val="00035194"/>
    <w:rsid w:val="00036039"/>
    <w:rsid w:val="00037F90"/>
    <w:rsid w:val="00045958"/>
    <w:rsid w:val="00047D50"/>
    <w:rsid w:val="00055CFF"/>
    <w:rsid w:val="000634E3"/>
    <w:rsid w:val="000655EF"/>
    <w:rsid w:val="00067BB6"/>
    <w:rsid w:val="00075818"/>
    <w:rsid w:val="0008496D"/>
    <w:rsid w:val="000849F1"/>
    <w:rsid w:val="000875BF"/>
    <w:rsid w:val="00090770"/>
    <w:rsid w:val="00096D8C"/>
    <w:rsid w:val="000A1E55"/>
    <w:rsid w:val="000A20E6"/>
    <w:rsid w:val="000A5EA3"/>
    <w:rsid w:val="000A7BFD"/>
    <w:rsid w:val="000C0B65"/>
    <w:rsid w:val="000C1A79"/>
    <w:rsid w:val="000C1B25"/>
    <w:rsid w:val="000C6332"/>
    <w:rsid w:val="000D053C"/>
    <w:rsid w:val="000D395A"/>
    <w:rsid w:val="000D53A2"/>
    <w:rsid w:val="000D6390"/>
    <w:rsid w:val="000E18F9"/>
    <w:rsid w:val="000E3D42"/>
    <w:rsid w:val="000E5884"/>
    <w:rsid w:val="000E7104"/>
    <w:rsid w:val="000F3B77"/>
    <w:rsid w:val="000F42AC"/>
    <w:rsid w:val="001044B0"/>
    <w:rsid w:val="001049AB"/>
    <w:rsid w:val="00107E54"/>
    <w:rsid w:val="00113954"/>
    <w:rsid w:val="001148C8"/>
    <w:rsid w:val="00117B7D"/>
    <w:rsid w:val="001213DA"/>
    <w:rsid w:val="001229A0"/>
    <w:rsid w:val="00122BD5"/>
    <w:rsid w:val="00143AFF"/>
    <w:rsid w:val="001501DA"/>
    <w:rsid w:val="00152061"/>
    <w:rsid w:val="001532A1"/>
    <w:rsid w:val="001533F3"/>
    <w:rsid w:val="00155B84"/>
    <w:rsid w:val="0016268B"/>
    <w:rsid w:val="001626CB"/>
    <w:rsid w:val="00162B0F"/>
    <w:rsid w:val="001638C3"/>
    <w:rsid w:val="001718D4"/>
    <w:rsid w:val="0017253C"/>
    <w:rsid w:val="00174403"/>
    <w:rsid w:val="00183EFE"/>
    <w:rsid w:val="0018411A"/>
    <w:rsid w:val="0018614E"/>
    <w:rsid w:val="00191096"/>
    <w:rsid w:val="00191740"/>
    <w:rsid w:val="00192337"/>
    <w:rsid w:val="0019748B"/>
    <w:rsid w:val="001979D9"/>
    <w:rsid w:val="001A57E7"/>
    <w:rsid w:val="001A6283"/>
    <w:rsid w:val="001A6EE4"/>
    <w:rsid w:val="001B3172"/>
    <w:rsid w:val="001B42C2"/>
    <w:rsid w:val="001B4E8E"/>
    <w:rsid w:val="001B585F"/>
    <w:rsid w:val="001C3042"/>
    <w:rsid w:val="001D1DAB"/>
    <w:rsid w:val="001D34BF"/>
    <w:rsid w:val="001D643A"/>
    <w:rsid w:val="001D6902"/>
    <w:rsid w:val="001D6BCF"/>
    <w:rsid w:val="001E01CA"/>
    <w:rsid w:val="001E1986"/>
    <w:rsid w:val="001E7663"/>
    <w:rsid w:val="001F1571"/>
    <w:rsid w:val="002056E0"/>
    <w:rsid w:val="002060D9"/>
    <w:rsid w:val="0021005C"/>
    <w:rsid w:val="002122B7"/>
    <w:rsid w:val="00216FA1"/>
    <w:rsid w:val="0022104B"/>
    <w:rsid w:val="00222C62"/>
    <w:rsid w:val="00225A25"/>
    <w:rsid w:val="00226822"/>
    <w:rsid w:val="00231B37"/>
    <w:rsid w:val="00235ADD"/>
    <w:rsid w:val="00241551"/>
    <w:rsid w:val="00241F2A"/>
    <w:rsid w:val="0024252E"/>
    <w:rsid w:val="00247A19"/>
    <w:rsid w:val="0026042D"/>
    <w:rsid w:val="00260594"/>
    <w:rsid w:val="00263F0C"/>
    <w:rsid w:val="002646CC"/>
    <w:rsid w:val="00285017"/>
    <w:rsid w:val="00292C4F"/>
    <w:rsid w:val="00292FD5"/>
    <w:rsid w:val="002A22B8"/>
    <w:rsid w:val="002A2D2E"/>
    <w:rsid w:val="002A50B6"/>
    <w:rsid w:val="002A53EB"/>
    <w:rsid w:val="002A6460"/>
    <w:rsid w:val="002B3FAB"/>
    <w:rsid w:val="002C29C0"/>
    <w:rsid w:val="002D07C9"/>
    <w:rsid w:val="002D1F8C"/>
    <w:rsid w:val="002D4FE0"/>
    <w:rsid w:val="002E1558"/>
    <w:rsid w:val="002E3815"/>
    <w:rsid w:val="002E71B5"/>
    <w:rsid w:val="002F073D"/>
    <w:rsid w:val="002F0B93"/>
    <w:rsid w:val="002F3EB1"/>
    <w:rsid w:val="002F5B68"/>
    <w:rsid w:val="002F680C"/>
    <w:rsid w:val="00302400"/>
    <w:rsid w:val="00303733"/>
    <w:rsid w:val="00311004"/>
    <w:rsid w:val="003159A6"/>
    <w:rsid w:val="0032685C"/>
    <w:rsid w:val="00335ED7"/>
    <w:rsid w:val="00343749"/>
    <w:rsid w:val="0034400F"/>
    <w:rsid w:val="00344366"/>
    <w:rsid w:val="00355BD4"/>
    <w:rsid w:val="00357D50"/>
    <w:rsid w:val="003635F4"/>
    <w:rsid w:val="0037024D"/>
    <w:rsid w:val="003720D5"/>
    <w:rsid w:val="0037347E"/>
    <w:rsid w:val="00376251"/>
    <w:rsid w:val="00380873"/>
    <w:rsid w:val="003809AC"/>
    <w:rsid w:val="003925DC"/>
    <w:rsid w:val="003A0751"/>
    <w:rsid w:val="003A2A2F"/>
    <w:rsid w:val="003A63FD"/>
    <w:rsid w:val="003A73A9"/>
    <w:rsid w:val="003B0550"/>
    <w:rsid w:val="003B16EB"/>
    <w:rsid w:val="003B694F"/>
    <w:rsid w:val="003B75E2"/>
    <w:rsid w:val="003C0363"/>
    <w:rsid w:val="003E407D"/>
    <w:rsid w:val="003F171C"/>
    <w:rsid w:val="003F6C4D"/>
    <w:rsid w:val="003F77C8"/>
    <w:rsid w:val="00400862"/>
    <w:rsid w:val="00407316"/>
    <w:rsid w:val="0041278C"/>
    <w:rsid w:val="00412FC5"/>
    <w:rsid w:val="00416D61"/>
    <w:rsid w:val="00422276"/>
    <w:rsid w:val="004242F1"/>
    <w:rsid w:val="004400B8"/>
    <w:rsid w:val="00442546"/>
    <w:rsid w:val="00445A00"/>
    <w:rsid w:val="00445B93"/>
    <w:rsid w:val="00445E6D"/>
    <w:rsid w:val="00451B0F"/>
    <w:rsid w:val="00453061"/>
    <w:rsid w:val="00454D53"/>
    <w:rsid w:val="00455FB5"/>
    <w:rsid w:val="0046125F"/>
    <w:rsid w:val="00461283"/>
    <w:rsid w:val="004626BB"/>
    <w:rsid w:val="00467213"/>
    <w:rsid w:val="00473F23"/>
    <w:rsid w:val="00475630"/>
    <w:rsid w:val="004769A0"/>
    <w:rsid w:val="0048190E"/>
    <w:rsid w:val="00483289"/>
    <w:rsid w:val="004843B7"/>
    <w:rsid w:val="00487524"/>
    <w:rsid w:val="00490B1C"/>
    <w:rsid w:val="00491538"/>
    <w:rsid w:val="00496106"/>
    <w:rsid w:val="004B0C1D"/>
    <w:rsid w:val="004B7578"/>
    <w:rsid w:val="004C12D0"/>
    <w:rsid w:val="004C208F"/>
    <w:rsid w:val="004C2430"/>
    <w:rsid w:val="004C2EE3"/>
    <w:rsid w:val="004D45F4"/>
    <w:rsid w:val="004D77ED"/>
    <w:rsid w:val="004E4A22"/>
    <w:rsid w:val="004F019C"/>
    <w:rsid w:val="004F2E6C"/>
    <w:rsid w:val="004F46F7"/>
    <w:rsid w:val="00511968"/>
    <w:rsid w:val="005123DD"/>
    <w:rsid w:val="00515FE7"/>
    <w:rsid w:val="00521AE6"/>
    <w:rsid w:val="005247E1"/>
    <w:rsid w:val="005274E4"/>
    <w:rsid w:val="00532AEE"/>
    <w:rsid w:val="00533CB9"/>
    <w:rsid w:val="0053422A"/>
    <w:rsid w:val="00536783"/>
    <w:rsid w:val="00543409"/>
    <w:rsid w:val="00554FD3"/>
    <w:rsid w:val="0055614C"/>
    <w:rsid w:val="00560143"/>
    <w:rsid w:val="005631E0"/>
    <w:rsid w:val="005654F9"/>
    <w:rsid w:val="005661D5"/>
    <w:rsid w:val="005665F0"/>
    <w:rsid w:val="00577E4B"/>
    <w:rsid w:val="00582DA5"/>
    <w:rsid w:val="00590A1E"/>
    <w:rsid w:val="00592BA1"/>
    <w:rsid w:val="00595530"/>
    <w:rsid w:val="00597550"/>
    <w:rsid w:val="005A42FE"/>
    <w:rsid w:val="005A6569"/>
    <w:rsid w:val="005C2BF9"/>
    <w:rsid w:val="005D03F5"/>
    <w:rsid w:val="005D1ABC"/>
    <w:rsid w:val="005E208E"/>
    <w:rsid w:val="005F2C06"/>
    <w:rsid w:val="005F737B"/>
    <w:rsid w:val="0060173D"/>
    <w:rsid w:val="006037C4"/>
    <w:rsid w:val="00603CED"/>
    <w:rsid w:val="006070B1"/>
    <w:rsid w:val="00607BA5"/>
    <w:rsid w:val="006176BF"/>
    <w:rsid w:val="0062029A"/>
    <w:rsid w:val="00626EB6"/>
    <w:rsid w:val="006311EA"/>
    <w:rsid w:val="0063205A"/>
    <w:rsid w:val="006353A3"/>
    <w:rsid w:val="0064303C"/>
    <w:rsid w:val="006439BE"/>
    <w:rsid w:val="006469AB"/>
    <w:rsid w:val="006533F9"/>
    <w:rsid w:val="00655D03"/>
    <w:rsid w:val="00670D56"/>
    <w:rsid w:val="00672F64"/>
    <w:rsid w:val="006766CE"/>
    <w:rsid w:val="00677F41"/>
    <w:rsid w:val="00683164"/>
    <w:rsid w:val="00683F70"/>
    <w:rsid w:val="00683F84"/>
    <w:rsid w:val="006916A7"/>
    <w:rsid w:val="00696C18"/>
    <w:rsid w:val="006A6A81"/>
    <w:rsid w:val="006B44E2"/>
    <w:rsid w:val="006C3690"/>
    <w:rsid w:val="006C3B13"/>
    <w:rsid w:val="006C52A5"/>
    <w:rsid w:val="006C6461"/>
    <w:rsid w:val="006C7AE9"/>
    <w:rsid w:val="006D0915"/>
    <w:rsid w:val="006D2F73"/>
    <w:rsid w:val="006D3A3F"/>
    <w:rsid w:val="006E26AF"/>
    <w:rsid w:val="006E30C3"/>
    <w:rsid w:val="006E6150"/>
    <w:rsid w:val="006F1551"/>
    <w:rsid w:val="006F1A16"/>
    <w:rsid w:val="006F7393"/>
    <w:rsid w:val="006F7519"/>
    <w:rsid w:val="006F7656"/>
    <w:rsid w:val="00701BB6"/>
    <w:rsid w:val="0070224F"/>
    <w:rsid w:val="00703C76"/>
    <w:rsid w:val="007043D8"/>
    <w:rsid w:val="00705BD5"/>
    <w:rsid w:val="0071029B"/>
    <w:rsid w:val="007115F7"/>
    <w:rsid w:val="007137B4"/>
    <w:rsid w:val="0072036F"/>
    <w:rsid w:val="0072312B"/>
    <w:rsid w:val="00725DC0"/>
    <w:rsid w:val="0073715E"/>
    <w:rsid w:val="00741812"/>
    <w:rsid w:val="007441D4"/>
    <w:rsid w:val="007458E4"/>
    <w:rsid w:val="0075402F"/>
    <w:rsid w:val="00755028"/>
    <w:rsid w:val="0077718A"/>
    <w:rsid w:val="00780C61"/>
    <w:rsid w:val="00785689"/>
    <w:rsid w:val="00787AED"/>
    <w:rsid w:val="00790B84"/>
    <w:rsid w:val="0079528C"/>
    <w:rsid w:val="0079754B"/>
    <w:rsid w:val="007A1E6D"/>
    <w:rsid w:val="007A6801"/>
    <w:rsid w:val="007B2C3F"/>
    <w:rsid w:val="007B7F7C"/>
    <w:rsid w:val="007C18E6"/>
    <w:rsid w:val="007D1996"/>
    <w:rsid w:val="007D1DA3"/>
    <w:rsid w:val="007D2079"/>
    <w:rsid w:val="007D500C"/>
    <w:rsid w:val="007D65DB"/>
    <w:rsid w:val="007E0DCC"/>
    <w:rsid w:val="007E11F5"/>
    <w:rsid w:val="007E1935"/>
    <w:rsid w:val="007E3C59"/>
    <w:rsid w:val="007F71FD"/>
    <w:rsid w:val="008003FE"/>
    <w:rsid w:val="00812C4E"/>
    <w:rsid w:val="00821710"/>
    <w:rsid w:val="008227CF"/>
    <w:rsid w:val="00822CE0"/>
    <w:rsid w:val="00822DAF"/>
    <w:rsid w:val="008257E4"/>
    <w:rsid w:val="00833E69"/>
    <w:rsid w:val="00837C62"/>
    <w:rsid w:val="00841AB1"/>
    <w:rsid w:val="00841E98"/>
    <w:rsid w:val="00847999"/>
    <w:rsid w:val="008529AA"/>
    <w:rsid w:val="0085492F"/>
    <w:rsid w:val="008565DE"/>
    <w:rsid w:val="00864C06"/>
    <w:rsid w:val="0086655A"/>
    <w:rsid w:val="00870E8F"/>
    <w:rsid w:val="00875079"/>
    <w:rsid w:val="00885E6E"/>
    <w:rsid w:val="008908C9"/>
    <w:rsid w:val="00891A14"/>
    <w:rsid w:val="00892DE4"/>
    <w:rsid w:val="00897806"/>
    <w:rsid w:val="008A408F"/>
    <w:rsid w:val="008B09C6"/>
    <w:rsid w:val="008B124C"/>
    <w:rsid w:val="008C0DC1"/>
    <w:rsid w:val="008C1A0D"/>
    <w:rsid w:val="008C22FD"/>
    <w:rsid w:val="008C36D0"/>
    <w:rsid w:val="008C3F2B"/>
    <w:rsid w:val="008C7780"/>
    <w:rsid w:val="008D1AE0"/>
    <w:rsid w:val="008D2C3C"/>
    <w:rsid w:val="008D4967"/>
    <w:rsid w:val="008E237C"/>
    <w:rsid w:val="008E5CFF"/>
    <w:rsid w:val="008E6601"/>
    <w:rsid w:val="008F1447"/>
    <w:rsid w:val="008F38FF"/>
    <w:rsid w:val="008F72AC"/>
    <w:rsid w:val="00902823"/>
    <w:rsid w:val="00904671"/>
    <w:rsid w:val="00910F12"/>
    <w:rsid w:val="009177B9"/>
    <w:rsid w:val="00923AC0"/>
    <w:rsid w:val="00926503"/>
    <w:rsid w:val="009278A1"/>
    <w:rsid w:val="00930ECF"/>
    <w:rsid w:val="009331D9"/>
    <w:rsid w:val="00940137"/>
    <w:rsid w:val="0094390E"/>
    <w:rsid w:val="0095085B"/>
    <w:rsid w:val="00951A19"/>
    <w:rsid w:val="00954441"/>
    <w:rsid w:val="00960C75"/>
    <w:rsid w:val="00961D1F"/>
    <w:rsid w:val="009646C1"/>
    <w:rsid w:val="009707A6"/>
    <w:rsid w:val="009755BE"/>
    <w:rsid w:val="0098311B"/>
    <w:rsid w:val="0098348F"/>
    <w:rsid w:val="009838BC"/>
    <w:rsid w:val="009879C0"/>
    <w:rsid w:val="00994F86"/>
    <w:rsid w:val="009A2779"/>
    <w:rsid w:val="009A42DE"/>
    <w:rsid w:val="009A594C"/>
    <w:rsid w:val="009A6421"/>
    <w:rsid w:val="009A6A5F"/>
    <w:rsid w:val="009B1059"/>
    <w:rsid w:val="009B79FC"/>
    <w:rsid w:val="009C46DC"/>
    <w:rsid w:val="009D3546"/>
    <w:rsid w:val="009D609F"/>
    <w:rsid w:val="009E1687"/>
    <w:rsid w:val="009E4510"/>
    <w:rsid w:val="009E56C7"/>
    <w:rsid w:val="009E6742"/>
    <w:rsid w:val="009F15E9"/>
    <w:rsid w:val="009F4765"/>
    <w:rsid w:val="00A031EC"/>
    <w:rsid w:val="00A03571"/>
    <w:rsid w:val="00A0527E"/>
    <w:rsid w:val="00A0785E"/>
    <w:rsid w:val="00A13305"/>
    <w:rsid w:val="00A16A45"/>
    <w:rsid w:val="00A17B65"/>
    <w:rsid w:val="00A17E76"/>
    <w:rsid w:val="00A24DD9"/>
    <w:rsid w:val="00A34093"/>
    <w:rsid w:val="00A3680B"/>
    <w:rsid w:val="00A42934"/>
    <w:rsid w:val="00A42F84"/>
    <w:rsid w:val="00A45F4F"/>
    <w:rsid w:val="00A50499"/>
    <w:rsid w:val="00A573C2"/>
    <w:rsid w:val="00A600A9"/>
    <w:rsid w:val="00A654B7"/>
    <w:rsid w:val="00A662FE"/>
    <w:rsid w:val="00A67EB0"/>
    <w:rsid w:val="00A7065C"/>
    <w:rsid w:val="00A7073A"/>
    <w:rsid w:val="00A7168A"/>
    <w:rsid w:val="00A71BEA"/>
    <w:rsid w:val="00A83A52"/>
    <w:rsid w:val="00A866AC"/>
    <w:rsid w:val="00A90772"/>
    <w:rsid w:val="00A91B7A"/>
    <w:rsid w:val="00A91DDB"/>
    <w:rsid w:val="00AA55B7"/>
    <w:rsid w:val="00AA5B9E"/>
    <w:rsid w:val="00AB2407"/>
    <w:rsid w:val="00AB4E32"/>
    <w:rsid w:val="00AB53DF"/>
    <w:rsid w:val="00AC37EB"/>
    <w:rsid w:val="00AD2E78"/>
    <w:rsid w:val="00AF67A7"/>
    <w:rsid w:val="00AF6D35"/>
    <w:rsid w:val="00B0232D"/>
    <w:rsid w:val="00B07E5C"/>
    <w:rsid w:val="00B20363"/>
    <w:rsid w:val="00B22905"/>
    <w:rsid w:val="00B22BB7"/>
    <w:rsid w:val="00B25672"/>
    <w:rsid w:val="00B26181"/>
    <w:rsid w:val="00B27588"/>
    <w:rsid w:val="00B27B1B"/>
    <w:rsid w:val="00B30AAF"/>
    <w:rsid w:val="00B31348"/>
    <w:rsid w:val="00B326E3"/>
    <w:rsid w:val="00B33967"/>
    <w:rsid w:val="00B33E17"/>
    <w:rsid w:val="00B33E27"/>
    <w:rsid w:val="00B34EE3"/>
    <w:rsid w:val="00B420B4"/>
    <w:rsid w:val="00B511F3"/>
    <w:rsid w:val="00B53ABF"/>
    <w:rsid w:val="00B56472"/>
    <w:rsid w:val="00B5712A"/>
    <w:rsid w:val="00B62FCB"/>
    <w:rsid w:val="00B637D1"/>
    <w:rsid w:val="00B739F1"/>
    <w:rsid w:val="00B749F6"/>
    <w:rsid w:val="00B811F7"/>
    <w:rsid w:val="00B853C3"/>
    <w:rsid w:val="00B9546A"/>
    <w:rsid w:val="00B957C9"/>
    <w:rsid w:val="00B96BAB"/>
    <w:rsid w:val="00B970D2"/>
    <w:rsid w:val="00BA550A"/>
    <w:rsid w:val="00BA5DC6"/>
    <w:rsid w:val="00BA5EC7"/>
    <w:rsid w:val="00BA6196"/>
    <w:rsid w:val="00BB4648"/>
    <w:rsid w:val="00BC1EEA"/>
    <w:rsid w:val="00BC326D"/>
    <w:rsid w:val="00BC6D8C"/>
    <w:rsid w:val="00BC6FA4"/>
    <w:rsid w:val="00BD7ABE"/>
    <w:rsid w:val="00BF6937"/>
    <w:rsid w:val="00C023C8"/>
    <w:rsid w:val="00C16AF2"/>
    <w:rsid w:val="00C1786A"/>
    <w:rsid w:val="00C2186B"/>
    <w:rsid w:val="00C2321A"/>
    <w:rsid w:val="00C261E9"/>
    <w:rsid w:val="00C26286"/>
    <w:rsid w:val="00C315E3"/>
    <w:rsid w:val="00C331A1"/>
    <w:rsid w:val="00C34006"/>
    <w:rsid w:val="00C370ED"/>
    <w:rsid w:val="00C37244"/>
    <w:rsid w:val="00C426B1"/>
    <w:rsid w:val="00C4579D"/>
    <w:rsid w:val="00C464DB"/>
    <w:rsid w:val="00C467AC"/>
    <w:rsid w:val="00C5108F"/>
    <w:rsid w:val="00C62898"/>
    <w:rsid w:val="00C76BA6"/>
    <w:rsid w:val="00C82B6B"/>
    <w:rsid w:val="00C8543E"/>
    <w:rsid w:val="00C8603A"/>
    <w:rsid w:val="00C87633"/>
    <w:rsid w:val="00C905B0"/>
    <w:rsid w:val="00C90D6A"/>
    <w:rsid w:val="00C954B8"/>
    <w:rsid w:val="00CA1BB6"/>
    <w:rsid w:val="00CA33F2"/>
    <w:rsid w:val="00CB1774"/>
    <w:rsid w:val="00CB2640"/>
    <w:rsid w:val="00CB674A"/>
    <w:rsid w:val="00CC5DAF"/>
    <w:rsid w:val="00CC63DC"/>
    <w:rsid w:val="00CC72B6"/>
    <w:rsid w:val="00CD1785"/>
    <w:rsid w:val="00CD51A9"/>
    <w:rsid w:val="00CD6F4E"/>
    <w:rsid w:val="00CD7CD4"/>
    <w:rsid w:val="00CE04C9"/>
    <w:rsid w:val="00CE2D11"/>
    <w:rsid w:val="00CF0D0F"/>
    <w:rsid w:val="00CF3FA2"/>
    <w:rsid w:val="00D01C3A"/>
    <w:rsid w:val="00D0218D"/>
    <w:rsid w:val="00D11119"/>
    <w:rsid w:val="00D11F86"/>
    <w:rsid w:val="00D128E1"/>
    <w:rsid w:val="00D14C39"/>
    <w:rsid w:val="00D16B9A"/>
    <w:rsid w:val="00D212CE"/>
    <w:rsid w:val="00D216CD"/>
    <w:rsid w:val="00D3549D"/>
    <w:rsid w:val="00D36EC4"/>
    <w:rsid w:val="00D43149"/>
    <w:rsid w:val="00D56138"/>
    <w:rsid w:val="00D5772B"/>
    <w:rsid w:val="00D579D3"/>
    <w:rsid w:val="00D70231"/>
    <w:rsid w:val="00D80EA6"/>
    <w:rsid w:val="00D85244"/>
    <w:rsid w:val="00D90898"/>
    <w:rsid w:val="00D94B79"/>
    <w:rsid w:val="00D95EF2"/>
    <w:rsid w:val="00D96261"/>
    <w:rsid w:val="00DA019C"/>
    <w:rsid w:val="00DA2529"/>
    <w:rsid w:val="00DA2777"/>
    <w:rsid w:val="00DA71F9"/>
    <w:rsid w:val="00DB130A"/>
    <w:rsid w:val="00DB3F58"/>
    <w:rsid w:val="00DC0500"/>
    <w:rsid w:val="00DC10A1"/>
    <w:rsid w:val="00DC36C1"/>
    <w:rsid w:val="00DC655F"/>
    <w:rsid w:val="00DD7EBD"/>
    <w:rsid w:val="00DE617C"/>
    <w:rsid w:val="00DF24B6"/>
    <w:rsid w:val="00DF62B6"/>
    <w:rsid w:val="00DF7B1F"/>
    <w:rsid w:val="00E01EA1"/>
    <w:rsid w:val="00E07225"/>
    <w:rsid w:val="00E114E1"/>
    <w:rsid w:val="00E12BF2"/>
    <w:rsid w:val="00E155B7"/>
    <w:rsid w:val="00E212B0"/>
    <w:rsid w:val="00E26C04"/>
    <w:rsid w:val="00E26C9A"/>
    <w:rsid w:val="00E26F55"/>
    <w:rsid w:val="00E30741"/>
    <w:rsid w:val="00E31B42"/>
    <w:rsid w:val="00E376D8"/>
    <w:rsid w:val="00E40711"/>
    <w:rsid w:val="00E40B27"/>
    <w:rsid w:val="00E43879"/>
    <w:rsid w:val="00E4548C"/>
    <w:rsid w:val="00E4554E"/>
    <w:rsid w:val="00E5409F"/>
    <w:rsid w:val="00E7009B"/>
    <w:rsid w:val="00E74918"/>
    <w:rsid w:val="00E802EB"/>
    <w:rsid w:val="00E80412"/>
    <w:rsid w:val="00E80444"/>
    <w:rsid w:val="00E8168D"/>
    <w:rsid w:val="00E8610A"/>
    <w:rsid w:val="00E90ABB"/>
    <w:rsid w:val="00EA211A"/>
    <w:rsid w:val="00EA6725"/>
    <w:rsid w:val="00EA6DAF"/>
    <w:rsid w:val="00EA7410"/>
    <w:rsid w:val="00EB42E3"/>
    <w:rsid w:val="00EB4653"/>
    <w:rsid w:val="00EB4F1F"/>
    <w:rsid w:val="00EB520D"/>
    <w:rsid w:val="00EC0185"/>
    <w:rsid w:val="00EC7C26"/>
    <w:rsid w:val="00ED3A80"/>
    <w:rsid w:val="00ED4162"/>
    <w:rsid w:val="00ED7025"/>
    <w:rsid w:val="00EE27BA"/>
    <w:rsid w:val="00EE5BAF"/>
    <w:rsid w:val="00EF0B4D"/>
    <w:rsid w:val="00EF1E82"/>
    <w:rsid w:val="00EF3497"/>
    <w:rsid w:val="00EF7E5E"/>
    <w:rsid w:val="00F021FA"/>
    <w:rsid w:val="00F04A64"/>
    <w:rsid w:val="00F05792"/>
    <w:rsid w:val="00F16003"/>
    <w:rsid w:val="00F27EF2"/>
    <w:rsid w:val="00F308FB"/>
    <w:rsid w:val="00F4189A"/>
    <w:rsid w:val="00F44539"/>
    <w:rsid w:val="00F45472"/>
    <w:rsid w:val="00F46CB7"/>
    <w:rsid w:val="00F53419"/>
    <w:rsid w:val="00F5715C"/>
    <w:rsid w:val="00F57ACA"/>
    <w:rsid w:val="00F57C8D"/>
    <w:rsid w:val="00F62791"/>
    <w:rsid w:val="00F62E97"/>
    <w:rsid w:val="00F64209"/>
    <w:rsid w:val="00F66F9C"/>
    <w:rsid w:val="00F7532A"/>
    <w:rsid w:val="00F76085"/>
    <w:rsid w:val="00F767A2"/>
    <w:rsid w:val="00F77A95"/>
    <w:rsid w:val="00F812AB"/>
    <w:rsid w:val="00F9192D"/>
    <w:rsid w:val="00F91D97"/>
    <w:rsid w:val="00F93BF5"/>
    <w:rsid w:val="00F93EED"/>
    <w:rsid w:val="00F96242"/>
    <w:rsid w:val="00F96F63"/>
    <w:rsid w:val="00FA1DCE"/>
    <w:rsid w:val="00FA3903"/>
    <w:rsid w:val="00FB27D7"/>
    <w:rsid w:val="00FC1EC8"/>
    <w:rsid w:val="00FC408A"/>
    <w:rsid w:val="00FD668C"/>
    <w:rsid w:val="00FE0A36"/>
    <w:rsid w:val="00FE11EB"/>
    <w:rsid w:val="00FF0240"/>
    <w:rsid w:val="00FF54A5"/>
    <w:rsid w:val="00FF5C71"/>
    <w:rsid w:val="00FF6E9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01C170A-BBF8-440D-B068-C5DF3D9C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Char Char Char,Footnote Text Char Char Char Char,Footnote Text Char1 Char,Footnote Text Char1 Char Char,Footnote Text Char1 Char1 Char Char Char Char,Footnote Text Char2,Footnote Text Char2 Char,Footnote Text Char2 Char Char Char Char,f,fn"/>
    <w:link w:val="FootnoteTextChar"/>
    <w:uiPriority w:val="99"/>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ListParagraph">
    <w:name w:val="List Paragraph"/>
    <w:basedOn w:val="Normal"/>
    <w:uiPriority w:val="34"/>
    <w:qFormat/>
    <w:rsid w:val="00904671"/>
    <w:pPr>
      <w:ind w:left="720"/>
      <w:contextualSpacing/>
    </w:pPr>
  </w:style>
  <w:style w:type="paragraph" w:styleId="BalloonText">
    <w:name w:val="Balloon Text"/>
    <w:basedOn w:val="Normal"/>
    <w:link w:val="BalloonTextChar"/>
    <w:uiPriority w:val="99"/>
    <w:semiHidden/>
    <w:unhideWhenUsed/>
    <w:rsid w:val="009E45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510"/>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9E4510"/>
    <w:rPr>
      <w:sz w:val="16"/>
      <w:szCs w:val="16"/>
    </w:rPr>
  </w:style>
  <w:style w:type="paragraph" w:styleId="CommentText">
    <w:name w:val="annotation text"/>
    <w:basedOn w:val="Normal"/>
    <w:link w:val="CommentTextChar"/>
    <w:uiPriority w:val="99"/>
    <w:semiHidden/>
    <w:unhideWhenUsed/>
    <w:rsid w:val="009E4510"/>
    <w:rPr>
      <w:sz w:val="20"/>
    </w:rPr>
  </w:style>
  <w:style w:type="character" w:customStyle="1" w:styleId="CommentTextChar">
    <w:name w:val="Comment Text Char"/>
    <w:basedOn w:val="DefaultParagraphFont"/>
    <w:link w:val="CommentText"/>
    <w:uiPriority w:val="99"/>
    <w:semiHidden/>
    <w:rsid w:val="009E4510"/>
    <w:rPr>
      <w:snapToGrid w:val="0"/>
      <w:kern w:val="28"/>
    </w:rPr>
  </w:style>
  <w:style w:type="paragraph" w:styleId="CommentSubject">
    <w:name w:val="annotation subject"/>
    <w:basedOn w:val="CommentText"/>
    <w:next w:val="CommentText"/>
    <w:link w:val="CommentSubjectChar"/>
    <w:uiPriority w:val="99"/>
    <w:semiHidden/>
    <w:unhideWhenUsed/>
    <w:rsid w:val="009E4510"/>
    <w:rPr>
      <w:b/>
      <w:bCs/>
    </w:rPr>
  </w:style>
  <w:style w:type="character" w:customStyle="1" w:styleId="CommentSubjectChar">
    <w:name w:val="Comment Subject Char"/>
    <w:basedOn w:val="CommentTextChar"/>
    <w:link w:val="CommentSubject"/>
    <w:uiPriority w:val="99"/>
    <w:semiHidden/>
    <w:rsid w:val="009E4510"/>
    <w:rPr>
      <w:b/>
      <w:bCs/>
      <w:snapToGrid w:val="0"/>
      <w:kern w:val="28"/>
    </w:rPr>
  </w:style>
  <w:style w:type="character" w:customStyle="1" w:styleId="UnresolvedMention">
    <w:name w:val="Unresolved Mention"/>
    <w:basedOn w:val="DefaultParagraphFont"/>
    <w:uiPriority w:val="99"/>
    <w:semiHidden/>
    <w:unhideWhenUsed/>
    <w:rsid w:val="00940137"/>
    <w:rPr>
      <w:color w:val="605E5C"/>
      <w:shd w:val="clear" w:color="auto" w:fill="E1DFDD"/>
    </w:rPr>
  </w:style>
  <w:style w:type="character" w:customStyle="1" w:styleId="FootnoteTextChar">
    <w:name w:val="Footnote Text Char"/>
    <w:aliases w:val="Char Char Char Char,Footnote Text Char Char Char Char Char,Footnote Text Char1 Char Char Char,Footnote Text Char1 Char Char1,Footnote Text Char1 Char1 Char Char Char Char Char,Footnote Text Char2 Char Char,Footnote Text Char2 Char1"/>
    <w:link w:val="FootnoteText"/>
    <w:uiPriority w:val="99"/>
    <w:rsid w:val="00FA1DCE"/>
  </w:style>
  <w:style w:type="paragraph" w:styleId="Revision">
    <w:name w:val="Revision"/>
    <w:hidden/>
    <w:uiPriority w:val="99"/>
    <w:semiHidden/>
    <w:rsid w:val="0017440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