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14720E37" w14:textId="77777777">
      <w:pPr>
        <w:jc w:val="right"/>
        <w:rPr>
          <w:sz w:val="24"/>
        </w:rPr>
      </w:pPr>
    </w:p>
    <w:p w:rsidR="000342A2" w:rsidRPr="00B20363" w:rsidP="000342A2" w14:paraId="3C49A6D3" w14:textId="376C5711">
      <w:pPr>
        <w:jc w:val="right"/>
        <w:rPr>
          <w:b/>
          <w:sz w:val="24"/>
        </w:rPr>
      </w:pPr>
      <w:r>
        <w:rPr>
          <w:b/>
          <w:sz w:val="24"/>
        </w:rPr>
        <w:t>DA 20-</w:t>
      </w:r>
      <w:r w:rsidR="00B627F0">
        <w:rPr>
          <w:b/>
          <w:sz w:val="24"/>
        </w:rPr>
        <w:t>505</w:t>
      </w:r>
    </w:p>
    <w:p w:rsidR="000342A2" w:rsidRPr="00B20363" w:rsidP="000342A2" w14:paraId="7091B09C" w14:textId="77777777">
      <w:pPr>
        <w:jc w:val="right"/>
        <w:rPr>
          <w:b/>
          <w:sz w:val="24"/>
        </w:rPr>
      </w:pPr>
      <w:r>
        <w:rPr>
          <w:b/>
          <w:sz w:val="24"/>
        </w:rPr>
        <w:t>Released:  May 12, 2020</w:t>
      </w:r>
    </w:p>
    <w:p w:rsidR="000342A2" w:rsidP="000342A2" w14:paraId="20314736" w14:textId="77777777">
      <w:pPr>
        <w:jc w:val="right"/>
        <w:rPr>
          <w:sz w:val="24"/>
        </w:rPr>
      </w:pPr>
    </w:p>
    <w:p w:rsidR="000342A2" w:rsidP="000342A2" w14:paraId="1D85A3E2" w14:textId="77777777">
      <w:pPr>
        <w:jc w:val="center"/>
        <w:rPr>
          <w:b/>
          <w:szCs w:val="22"/>
        </w:rPr>
      </w:pPr>
      <w:bookmarkStart w:id="0" w:name="_Hlk529366686"/>
      <w:bookmarkStart w:id="1" w:name="_Hlk529353726"/>
      <w:bookmarkStart w:id="2" w:name="_Hlk529351716"/>
      <w:r w:rsidRPr="00013541">
        <w:rPr>
          <w:b/>
          <w:szCs w:val="22"/>
        </w:rPr>
        <w:t xml:space="preserve">WIRELINE COMPETITION BUREAU </w:t>
      </w:r>
      <w:r>
        <w:rPr>
          <w:b/>
          <w:szCs w:val="22"/>
        </w:rPr>
        <w:t xml:space="preserve">SEEKS COMMENT ON REQUEST TO APPROVE MODIFICATIONS TO THE LOCAL NUMBER PORTABILITY ADMINISTRATOR </w:t>
      </w:r>
    </w:p>
    <w:p w:rsidR="000342A2" w:rsidRPr="00013541" w:rsidP="000342A2" w14:paraId="2AECD099" w14:textId="77777777">
      <w:pPr>
        <w:spacing w:after="240"/>
        <w:jc w:val="center"/>
        <w:rPr>
          <w:b/>
          <w:szCs w:val="22"/>
        </w:rPr>
      </w:pPr>
      <w:r>
        <w:rPr>
          <w:b/>
          <w:szCs w:val="22"/>
        </w:rPr>
        <w:t xml:space="preserve">CODE OF CONDUCT AND VOTING TRUST </w:t>
      </w:r>
    </w:p>
    <w:p w:rsidR="000342A2" w:rsidP="000342A2" w14:paraId="5A0B3999" w14:textId="77777777">
      <w:pPr>
        <w:jc w:val="center"/>
        <w:rPr>
          <w:b/>
          <w:szCs w:val="22"/>
        </w:rPr>
      </w:pPr>
      <w:r>
        <w:rPr>
          <w:b/>
          <w:szCs w:val="22"/>
        </w:rPr>
        <w:t>CC Docket No. 95-116</w:t>
      </w:r>
    </w:p>
    <w:p w:rsidR="000342A2" w:rsidP="000342A2" w14:paraId="7BAD8F60" w14:textId="77777777">
      <w:pPr>
        <w:jc w:val="center"/>
        <w:rPr>
          <w:b/>
          <w:szCs w:val="22"/>
        </w:rPr>
      </w:pPr>
      <w:r w:rsidRPr="00013541">
        <w:rPr>
          <w:b/>
          <w:szCs w:val="22"/>
        </w:rPr>
        <w:t>WC Docket No</w:t>
      </w:r>
      <w:r>
        <w:rPr>
          <w:b/>
          <w:szCs w:val="22"/>
        </w:rPr>
        <w:t>s</w:t>
      </w:r>
      <w:r w:rsidRPr="00013541">
        <w:rPr>
          <w:b/>
          <w:szCs w:val="22"/>
        </w:rPr>
        <w:t xml:space="preserve">. </w:t>
      </w:r>
      <w:r>
        <w:rPr>
          <w:b/>
          <w:szCs w:val="22"/>
        </w:rPr>
        <w:t xml:space="preserve">07-149, 09-109 </w:t>
      </w:r>
    </w:p>
    <w:p w:rsidR="000342A2" w:rsidP="000342A2" w14:paraId="4C624C30" w14:textId="5B28B8CB">
      <w:pPr>
        <w:jc w:val="center"/>
        <w:rPr>
          <w:b/>
          <w:szCs w:val="22"/>
        </w:rPr>
      </w:pPr>
    </w:p>
    <w:p w:rsidR="000342A2" w:rsidRPr="00013541" w:rsidP="000342A2" w14:paraId="4446235B" w14:textId="77777777">
      <w:pPr>
        <w:jc w:val="center"/>
        <w:rPr>
          <w:b/>
          <w:szCs w:val="22"/>
        </w:rPr>
      </w:pPr>
    </w:p>
    <w:p w:rsidR="000342A2" w:rsidP="000342A2" w14:paraId="7211A015" w14:textId="77777777">
      <w:pPr>
        <w:rPr>
          <w:b/>
          <w:szCs w:val="22"/>
        </w:rPr>
      </w:pPr>
      <w:r>
        <w:rPr>
          <w:b/>
          <w:szCs w:val="22"/>
        </w:rPr>
        <w:t>Comment Date:  May 27, 2020</w:t>
      </w:r>
    </w:p>
    <w:p w:rsidR="000342A2" w:rsidRPr="00AA3978" w:rsidP="000342A2" w14:paraId="29372CE2" w14:textId="77777777">
      <w:pPr>
        <w:rPr>
          <w:b/>
          <w:szCs w:val="22"/>
        </w:rPr>
      </w:pPr>
      <w:r>
        <w:rPr>
          <w:b/>
          <w:szCs w:val="22"/>
        </w:rPr>
        <w:t>Reply Comment Date:  June 11, 2020</w:t>
      </w:r>
    </w:p>
    <w:p w:rsidR="000342A2" w:rsidP="000342A2" w14:paraId="44C19944" w14:textId="77777777">
      <w:pPr>
        <w:spacing w:after="120"/>
        <w:ind w:firstLine="720"/>
        <w:rPr>
          <w:szCs w:val="22"/>
        </w:rPr>
      </w:pPr>
    </w:p>
    <w:p w:rsidR="000342A2" w:rsidRPr="009850C7" w:rsidP="000342A2" w14:paraId="5221A443" w14:textId="77777777">
      <w:pPr>
        <w:spacing w:after="120"/>
        <w:ind w:firstLine="634"/>
        <w:rPr>
          <w:szCs w:val="22"/>
        </w:rPr>
      </w:pPr>
      <w:r>
        <w:rPr>
          <w:szCs w:val="22"/>
        </w:rPr>
        <w:t xml:space="preserve">By </w:t>
      </w:r>
      <w:r w:rsidRPr="009D362B">
        <w:rPr>
          <w:szCs w:val="22"/>
        </w:rPr>
        <w:t xml:space="preserve">this Public Notice, the Wireline Competition Bureau (Bureau) seeks comment from interested parties on a request of </w:t>
      </w:r>
      <w:r>
        <w:rPr>
          <w:szCs w:val="22"/>
        </w:rPr>
        <w:t>iconectiv</w:t>
      </w:r>
      <w:r>
        <w:rPr>
          <w:szCs w:val="22"/>
        </w:rPr>
        <w:t>, LLC</w:t>
      </w:r>
      <w:r w:rsidRPr="009D362B">
        <w:rPr>
          <w:szCs w:val="22"/>
        </w:rPr>
        <w:t xml:space="preserve"> (</w:t>
      </w:r>
      <w:r w:rsidRPr="009D362B">
        <w:rPr>
          <w:szCs w:val="22"/>
        </w:rPr>
        <w:t>iconectiv</w:t>
      </w:r>
      <w:r w:rsidRPr="009D362B">
        <w:rPr>
          <w:szCs w:val="22"/>
        </w:rPr>
        <w:t xml:space="preserve">) to approve modifications to the Local Number Portability Administrator Code of Conduct and the Voting Trust, filed on </w:t>
      </w:r>
      <w:r>
        <w:rPr>
          <w:szCs w:val="22"/>
        </w:rPr>
        <w:t>April 22</w:t>
      </w:r>
      <w:r w:rsidRPr="009D362B">
        <w:rPr>
          <w:szCs w:val="22"/>
        </w:rPr>
        <w:t>, 2020.</w:t>
      </w:r>
      <w:r>
        <w:rPr>
          <w:rStyle w:val="FootnoteReference"/>
          <w:szCs w:val="22"/>
        </w:rPr>
        <w:footnoteReference w:id="3"/>
      </w:r>
    </w:p>
    <w:p w:rsidR="000342A2" w:rsidP="000342A2" w14:paraId="6FA78105" w14:textId="77777777">
      <w:pPr>
        <w:spacing w:after="120"/>
        <w:ind w:firstLine="634"/>
        <w:rPr>
          <w:szCs w:val="22"/>
        </w:rPr>
      </w:pPr>
      <w:r w:rsidRPr="009D362B">
        <w:rPr>
          <w:szCs w:val="22"/>
        </w:rPr>
        <w:t xml:space="preserve">As discussed in the </w:t>
      </w:r>
      <w:r w:rsidRPr="009D362B">
        <w:rPr>
          <w:szCs w:val="22"/>
        </w:rPr>
        <w:t>iconectiv</w:t>
      </w:r>
      <w:r w:rsidRPr="009D362B">
        <w:rPr>
          <w:szCs w:val="22"/>
        </w:rPr>
        <w:t xml:space="preserve"> Modification Request</w:t>
      </w:r>
      <w:r>
        <w:rPr>
          <w:szCs w:val="22"/>
        </w:rPr>
        <w:t>, an</w:t>
      </w:r>
      <w:r>
        <w:rPr>
          <w:sz w:val="23"/>
          <w:szCs w:val="23"/>
        </w:rPr>
        <w:t xml:space="preserve"> </w:t>
      </w:r>
      <w:r w:rsidRPr="009850C7">
        <w:rPr>
          <w:szCs w:val="22"/>
        </w:rPr>
        <w:t>affiliate of one of its owners, F.P.-Icon Holdings, L.P. (“FP-Icon” and such affiliate “LMI Holding”) is seeking to indirectly acquire LogMeIn, Inc. (“LogMeIn”).</w:t>
      </w:r>
      <w:r>
        <w:rPr>
          <w:rStyle w:val="FootnoteReference"/>
          <w:szCs w:val="22"/>
        </w:rPr>
        <w:footnoteReference w:id="4"/>
      </w:r>
      <w:r w:rsidRPr="009850C7">
        <w:rPr>
          <w:szCs w:val="22"/>
        </w:rPr>
        <w:t xml:space="preserve">  If that transaction obtains the necessary approvals and closes, LMI Holding would have an indirect controlling interest in LogMeIn, which has four wholly-owned subsidiaries that are interconnected voice over Internet Protocol (VoIP) providers.</w:t>
      </w:r>
      <w:r>
        <w:rPr>
          <w:rStyle w:val="FootnoteReference"/>
          <w:szCs w:val="22"/>
        </w:rPr>
        <w:footnoteReference w:id="5"/>
      </w:r>
      <w:r>
        <w:rPr>
          <w:sz w:val="16"/>
          <w:szCs w:val="16"/>
        </w:rPr>
        <w:t xml:space="preserve">  </w:t>
      </w:r>
      <w:r w:rsidRPr="009D362B">
        <w:rPr>
          <w:szCs w:val="22"/>
        </w:rPr>
        <w:t xml:space="preserve">To ensure that </w:t>
      </w:r>
      <w:r>
        <w:rPr>
          <w:szCs w:val="22"/>
        </w:rPr>
        <w:t>it</w:t>
      </w:r>
      <w:r w:rsidRPr="009D362B">
        <w:rPr>
          <w:szCs w:val="22"/>
        </w:rPr>
        <w:t xml:space="preserve"> continues to meet the neutrality requirements for the L</w:t>
      </w:r>
      <w:r>
        <w:rPr>
          <w:szCs w:val="22"/>
        </w:rPr>
        <w:t>ocal Number Portability Administrator (LNPA)</w:t>
      </w:r>
      <w:r w:rsidRPr="009D362B">
        <w:rPr>
          <w:szCs w:val="22"/>
        </w:rPr>
        <w:t xml:space="preserve">, </w:t>
      </w:r>
      <w:r w:rsidRPr="009D362B">
        <w:rPr>
          <w:szCs w:val="22"/>
        </w:rPr>
        <w:t>iconectiv</w:t>
      </w:r>
      <w:r w:rsidRPr="009D362B">
        <w:rPr>
          <w:szCs w:val="22"/>
        </w:rPr>
        <w:t xml:space="preserve"> proposes certain modifications to the Code of Conduct and the Voting Trust in the </w:t>
      </w:r>
      <w:r w:rsidRPr="009D362B">
        <w:rPr>
          <w:szCs w:val="22"/>
        </w:rPr>
        <w:t>iconectiv</w:t>
      </w:r>
      <w:r w:rsidRPr="009D362B">
        <w:rPr>
          <w:szCs w:val="22"/>
        </w:rPr>
        <w:t xml:space="preserve"> Modification Request</w:t>
      </w:r>
      <w:r>
        <w:rPr>
          <w:szCs w:val="22"/>
        </w:rPr>
        <w:t>,</w:t>
      </w:r>
      <w:r w:rsidRPr="009D362B">
        <w:rPr>
          <w:szCs w:val="22"/>
        </w:rPr>
        <w:t xml:space="preserve"> </w:t>
      </w:r>
      <w:r>
        <w:rPr>
          <w:szCs w:val="22"/>
        </w:rPr>
        <w:t xml:space="preserve">which, if approved, would take effect </w:t>
      </w:r>
      <w:r w:rsidRPr="009D362B">
        <w:rPr>
          <w:szCs w:val="22"/>
        </w:rPr>
        <w:t>if and when the proposed transaction closes.</w:t>
      </w:r>
      <w:r>
        <w:rPr>
          <w:rStyle w:val="FootnoteReference"/>
          <w:szCs w:val="22"/>
        </w:rPr>
        <w:footnoteReference w:id="6"/>
      </w:r>
      <w:bookmarkStart w:id="3" w:name="_Hlk36554680"/>
      <w:bookmarkEnd w:id="0"/>
      <w:bookmarkEnd w:id="1"/>
      <w:bookmarkEnd w:id="2"/>
    </w:p>
    <w:p w:rsidR="000342A2" w:rsidRPr="000342A2" w:rsidP="000342A2" w14:paraId="08D2AE18" w14:textId="4514A543">
      <w:pPr>
        <w:widowControl/>
        <w:spacing w:after="120"/>
        <w:ind w:firstLine="634"/>
        <w:rPr>
          <w:sz w:val="16"/>
          <w:szCs w:val="16"/>
        </w:rPr>
      </w:pPr>
      <w:r w:rsidRPr="009D362B">
        <w:rPr>
          <w:szCs w:val="22"/>
        </w:rPr>
        <w:t xml:space="preserve">Pursuant to sections 1.415 and 1.419 of the Commission’s rules, 47 CFR §§ 1.415, 1.419, interested parties may file comments on or before the date indicated.  </w:t>
      </w:r>
      <w:r w:rsidRPr="009D362B">
        <w:rPr>
          <w:rFonts w:eastAsia="Calibri"/>
          <w:szCs w:val="22"/>
        </w:rPr>
        <w:t>Filings must be addressed to the Commission’s Secretary, Office of the Secretary, Federal Communications Commission.</w:t>
      </w:r>
      <w:r w:rsidRPr="009D362B">
        <w:rPr>
          <w:szCs w:val="22"/>
        </w:rPr>
        <w:t xml:space="preserve">  Comments may be filed by paper or by using the Commission’s Electronic Comment Filing System (ECFS).  </w:t>
      </w:r>
      <w:r w:rsidRPr="009D362B">
        <w:rPr>
          <w:i/>
          <w:szCs w:val="22"/>
        </w:rPr>
        <w:t>See Electronic Filing of Documents in Rulemaking Proceedings</w:t>
      </w:r>
      <w:r w:rsidRPr="009D362B">
        <w:rPr>
          <w:szCs w:val="22"/>
        </w:rPr>
        <w:t>, 63 FR 24121 (1998).</w:t>
      </w:r>
    </w:p>
    <w:p w:rsidR="000342A2" w:rsidRPr="009D362B" w:rsidP="000342A2" w14:paraId="156D7C6E" w14:textId="77777777">
      <w:pPr>
        <w:widowControl/>
        <w:numPr>
          <w:ilvl w:val="0"/>
          <w:numId w:val="7"/>
        </w:numPr>
        <w:rPr>
          <w:szCs w:val="22"/>
        </w:rPr>
      </w:pPr>
      <w:r w:rsidRPr="009D362B">
        <w:rPr>
          <w:szCs w:val="22"/>
        </w:rPr>
        <w:t xml:space="preserve">Electronic Filers:  Comments may be filed electronically using the Internet by accessing the ECFS:  </w:t>
      </w:r>
      <w:bookmarkStart w:id="4" w:name="_Hlk36554769"/>
      <w:hyperlink r:id="rId5" w:history="1">
        <w:r w:rsidRPr="009D362B">
          <w:rPr>
            <w:rStyle w:val="Hyperlink"/>
            <w:szCs w:val="22"/>
          </w:rPr>
          <w:t>http://www.fcc.gov/ecfs/</w:t>
        </w:r>
      </w:hyperlink>
      <w:bookmarkEnd w:id="4"/>
      <w:r w:rsidRPr="009D362B">
        <w:rPr>
          <w:szCs w:val="22"/>
        </w:rPr>
        <w:t>.</w:t>
      </w:r>
    </w:p>
    <w:p w:rsidR="000342A2" w:rsidRPr="009D362B" w:rsidP="000342A2" w14:paraId="244B33CC" w14:textId="77777777">
      <w:pPr>
        <w:widowControl/>
        <w:ind w:left="720"/>
        <w:rPr>
          <w:szCs w:val="22"/>
        </w:rPr>
      </w:pPr>
    </w:p>
    <w:p w:rsidR="000342A2" w:rsidRPr="00F94D22" w:rsidP="000342A2" w14:paraId="740ED68C" w14:textId="77777777">
      <w:pPr>
        <w:widowControl/>
        <w:numPr>
          <w:ilvl w:val="0"/>
          <w:numId w:val="7"/>
        </w:numPr>
        <w:rPr>
          <w:szCs w:val="22"/>
        </w:rPr>
      </w:pPr>
      <w:r w:rsidRPr="009D362B">
        <w:rPr>
          <w:szCs w:val="22"/>
        </w:rPr>
        <w:t>Paper Filers:  Parties who choose to file by paper must file an original and one copy of each filing.</w:t>
      </w:r>
      <w:r>
        <w:rPr>
          <w:szCs w:val="22"/>
        </w:rPr>
        <w:t xml:space="preserve">  </w:t>
      </w:r>
      <w:r w:rsidRPr="00F94D22">
        <w:rPr>
          <w:szCs w:val="22"/>
        </w:rPr>
        <w:t xml:space="preserve">All filings must be addressed to the Commission’s Secretary, Office of the Secretary, Federal Communications Commission.  </w:t>
      </w:r>
    </w:p>
    <w:p w:rsidR="000342A2" w:rsidRPr="00F94D22" w:rsidP="000342A2" w14:paraId="7849B6F6" w14:textId="77777777">
      <w:pPr>
        <w:widowControl/>
        <w:numPr>
          <w:ilvl w:val="0"/>
          <w:numId w:val="8"/>
        </w:numPr>
        <w:tabs>
          <w:tab w:val="left" w:pos="720"/>
        </w:tabs>
        <w:rPr>
          <w:szCs w:val="22"/>
        </w:rPr>
      </w:pPr>
      <w:r w:rsidRPr="00F94D22">
        <w:rPr>
          <w:szCs w:val="22"/>
        </w:rPr>
        <w:t>Filings can be sent by commercial overnight courier, or by first-class or overnight U.S. Postal Service mail.</w:t>
      </w:r>
      <w:r>
        <w:rPr>
          <w:rStyle w:val="FootnoteReference"/>
          <w:szCs w:val="22"/>
        </w:rPr>
        <w:footnoteReference w:id="7"/>
      </w:r>
    </w:p>
    <w:p w:rsidR="000342A2" w:rsidRPr="00F94D22" w:rsidP="000342A2" w14:paraId="3EFCF02E" w14:textId="77777777">
      <w:pPr>
        <w:widowControl/>
        <w:numPr>
          <w:ilvl w:val="0"/>
          <w:numId w:val="8"/>
        </w:numPr>
        <w:rPr>
          <w:szCs w:val="22"/>
        </w:rPr>
      </w:pPr>
      <w:r w:rsidRPr="009D362B">
        <w:rPr>
          <w:szCs w:val="22"/>
        </w:rPr>
        <w:t>Commercial overnight mail (other than U.S. Postal Service Express Mail and Priority Mail) must be sent to 9050 Junction Drive, Annapolis Junction, MD 20701.</w:t>
      </w:r>
    </w:p>
    <w:p w:rsidR="000342A2" w:rsidP="000342A2" w14:paraId="653F3657" w14:textId="77777777">
      <w:pPr>
        <w:widowControl/>
        <w:numPr>
          <w:ilvl w:val="0"/>
          <w:numId w:val="8"/>
        </w:numPr>
        <w:spacing w:after="120"/>
        <w:rPr>
          <w:szCs w:val="22"/>
        </w:rPr>
      </w:pPr>
      <w:r w:rsidRPr="009D362B">
        <w:rPr>
          <w:szCs w:val="22"/>
        </w:rPr>
        <w:t>U.S. Postal Service first-class, Express, and Priority mail must be addressed to 445 12</w:t>
      </w:r>
      <w:r w:rsidRPr="009D362B">
        <w:rPr>
          <w:szCs w:val="22"/>
          <w:vertAlign w:val="superscript"/>
        </w:rPr>
        <w:t>th</w:t>
      </w:r>
      <w:r w:rsidRPr="009D362B">
        <w:rPr>
          <w:szCs w:val="22"/>
        </w:rPr>
        <w:t xml:space="preserve"> Street, SW, Washington, DC 20554.</w:t>
      </w:r>
    </w:p>
    <w:p w:rsidR="000342A2" w:rsidRPr="000342A2" w:rsidP="000342A2" w14:paraId="70C68907" w14:textId="69B87A78">
      <w:pPr>
        <w:widowControl/>
        <w:spacing w:after="120"/>
        <w:ind w:firstLine="720"/>
        <w:rPr>
          <w:szCs w:val="22"/>
        </w:rPr>
      </w:pPr>
      <w:r w:rsidRPr="000342A2">
        <w:rPr>
          <w:szCs w:val="22"/>
        </w:rPr>
        <w:t xml:space="preserve">People with Disabilities:  To request materials in accessible formats for people with disabilities (braille, large print, electronic files, audio format), send an e-mail to </w:t>
      </w:r>
      <w:hyperlink r:id="rId6" w:history="1">
        <w:r w:rsidRPr="000342A2">
          <w:rPr>
            <w:rStyle w:val="Hyperlink"/>
            <w:szCs w:val="22"/>
          </w:rPr>
          <w:t>fcc504@fcc.gov</w:t>
        </w:r>
      </w:hyperlink>
      <w:r w:rsidRPr="000342A2">
        <w:rPr>
          <w:szCs w:val="22"/>
        </w:rPr>
        <w:t xml:space="preserve"> or call the Consumer and Governmental Affairs Bureau at (202) 418-0530 (voice), (202) 418-0432 (tty).</w:t>
      </w:r>
      <w:bookmarkStart w:id="6" w:name="_Hlk29900797"/>
      <w:bookmarkStart w:id="7" w:name="_Hlk30075775"/>
    </w:p>
    <w:p w:rsidR="000342A2" w:rsidRPr="000342A2" w:rsidP="000342A2" w14:paraId="1DDC64EF" w14:textId="7CDA308F">
      <w:pPr>
        <w:widowControl/>
        <w:spacing w:after="120"/>
        <w:ind w:firstLine="720"/>
        <w:rPr>
          <w:szCs w:val="22"/>
        </w:rPr>
      </w:pPr>
      <w:r w:rsidRPr="009D362B">
        <w:rPr>
          <w:szCs w:val="22"/>
        </w:rPr>
        <w:t xml:space="preserve">This proceeding shall be treated as a “permit-but-disclose” proceeding in accordance with the Commission’s </w:t>
      </w:r>
      <w:r w:rsidRPr="009D362B">
        <w:rPr>
          <w:i/>
          <w:szCs w:val="22"/>
        </w:rPr>
        <w:t xml:space="preserve">ex parte </w:t>
      </w:r>
      <w:r w:rsidRPr="009D362B">
        <w:rPr>
          <w:szCs w:val="22"/>
        </w:rPr>
        <w:t>rules.</w:t>
      </w:r>
      <w:r>
        <w:rPr>
          <w:rStyle w:val="FootnoteReference"/>
          <w:szCs w:val="22"/>
        </w:rPr>
        <w:footnoteReference w:id="8"/>
      </w:r>
      <w:r w:rsidRPr="009D362B">
        <w:rPr>
          <w:szCs w:val="22"/>
        </w:rPr>
        <w:t xml:space="preserve">  Persons making </w:t>
      </w:r>
      <w:r w:rsidRPr="009D362B">
        <w:rPr>
          <w:i/>
          <w:szCs w:val="22"/>
        </w:rPr>
        <w:t xml:space="preserve">ex parte </w:t>
      </w:r>
      <w:r w:rsidRPr="009D362B">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D362B">
        <w:rPr>
          <w:i/>
          <w:szCs w:val="22"/>
        </w:rPr>
        <w:t xml:space="preserve">ex parte </w:t>
      </w:r>
      <w:r w:rsidRPr="009D362B">
        <w:rPr>
          <w:szCs w:val="22"/>
        </w:rPr>
        <w:t>presentations are reminded that memoranda summarizing the presentation must (1) list all persons att</w:t>
      </w:r>
      <w:r w:rsidRPr="001376F0">
        <w:t xml:space="preserve">ending or otherwise participating in the meeting at which the </w:t>
      </w:r>
      <w:r w:rsidRPr="001376F0">
        <w:rPr>
          <w:i/>
        </w:rPr>
        <w:t xml:space="preserve">ex parte </w:t>
      </w:r>
      <w:r w:rsidRPr="001376F0">
        <w:t>presentation was made, and (2) summarize all data presented and arguments made during the presentation.  If the presentation consisted in whole or in part of the presentation of data or arguments already reflected in the presenter</w:t>
      </w:r>
      <w:r>
        <w:t>’</w:t>
      </w:r>
      <w:r w:rsidRPr="001376F0">
        <w:t xml:space="preserve">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376F0">
        <w:rPr>
          <w:i/>
        </w:rPr>
        <w:t xml:space="preserve">ex parte </w:t>
      </w:r>
      <w:r w:rsidRPr="001376F0">
        <w:t xml:space="preserve">meetings are deemed to be written </w:t>
      </w:r>
      <w:r w:rsidRPr="001376F0">
        <w:rPr>
          <w:i/>
        </w:rPr>
        <w:t>ex parte</w:t>
      </w:r>
      <w:r w:rsidRPr="001376F0">
        <w:t xml:space="preserve"> presentations and must be filed consistent with rule 1.1206(b).  In proceedings governed by rule 1.49(f) or for which the Commission has made available a method of electronic filing, written </w:t>
      </w:r>
      <w:r w:rsidRPr="001376F0">
        <w:rPr>
          <w:i/>
        </w:rPr>
        <w:t xml:space="preserve">ex parte </w:t>
      </w:r>
      <w:r w:rsidRPr="001376F0">
        <w:t xml:space="preserve">presentations and memoranda summarizing oral </w:t>
      </w:r>
      <w:r w:rsidRPr="001376F0">
        <w:rPr>
          <w:i/>
        </w:rPr>
        <w:t xml:space="preserve">ex parte </w:t>
      </w:r>
      <w:r w:rsidRPr="001376F0">
        <w:t>presentations, and all attachments thereto, must be filed through the electronic comment filing system available for that proceeding, and must be filed in their native format (</w:t>
      </w:r>
      <w:r w:rsidRPr="001376F0">
        <w:rPr>
          <w:i/>
        </w:rPr>
        <w:t>e.g.</w:t>
      </w:r>
      <w:r w:rsidRPr="001376F0">
        <w:t>, .doc, .xml, .ppt, searchable .pdf).  Participants in this proceeding should familiarize themselves with the Commission</w:t>
      </w:r>
      <w:r>
        <w:t>’</w:t>
      </w:r>
      <w:r w:rsidRPr="001376F0">
        <w:t xml:space="preserve">s </w:t>
      </w:r>
      <w:r w:rsidRPr="001376F0">
        <w:rPr>
          <w:i/>
        </w:rPr>
        <w:t xml:space="preserve">ex parte </w:t>
      </w:r>
      <w:r w:rsidRPr="001376F0">
        <w:t>rules.</w:t>
      </w:r>
      <w:bookmarkEnd w:id="3"/>
      <w:bookmarkEnd w:id="6"/>
      <w:bookmarkEnd w:id="7"/>
    </w:p>
    <w:p w:rsidR="000342A2" w:rsidP="000342A2" w14:paraId="2B18F23A" w14:textId="77777777">
      <w:pPr>
        <w:pStyle w:val="Paranum0"/>
      </w:pPr>
      <w:r>
        <w:t xml:space="preserve">For further information, contact Michelle Sclater of the Wireline Competition Bureau at (202) 418-0388 or </w:t>
      </w:r>
      <w:hyperlink r:id="rId7" w:history="1">
        <w:r w:rsidRPr="00425626">
          <w:rPr>
            <w:rStyle w:val="Hyperlink"/>
          </w:rPr>
          <w:t>Michelle.Sclater@fcc.gov</w:t>
        </w:r>
      </w:hyperlink>
      <w:r>
        <w:t>.</w:t>
      </w:r>
    </w:p>
    <w:p w:rsidR="000342A2" w:rsidRPr="00CB66C3" w:rsidP="000342A2" w14:paraId="771166E5" w14:textId="77777777">
      <w:pPr>
        <w:pStyle w:val="Paranum0"/>
      </w:pPr>
    </w:p>
    <w:p w:rsidR="000342A2" w:rsidRPr="00C94ECA" w:rsidP="000342A2" w14:paraId="71A5587F" w14:textId="77777777">
      <w:pPr>
        <w:jc w:val="center"/>
        <w:rPr>
          <w:sz w:val="24"/>
        </w:rPr>
      </w:pPr>
      <w:r w:rsidRPr="00CB66C3">
        <w:rPr>
          <w:b/>
          <w:snapToGrid/>
        </w:rPr>
        <w:t>- FCC -</w:t>
      </w:r>
    </w:p>
    <w:p w:rsidR="00930ECF" w:rsidRPr="00930ECF" w:rsidP="000342A2" w14:paraId="2172C3C1" w14:textId="77777777">
      <w:pPr>
        <w:jc w:val="right"/>
        <w:rPr>
          <w:sz w:val="24"/>
        </w:rPr>
      </w:pPr>
      <w:bookmarkStart w:id="8" w:name="_GoBack"/>
      <w:bookmarkEnd w:id="8"/>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24E78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78408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1B4B4E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3EC105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4997" w14:paraId="7392D7F5" w14:textId="77777777">
      <w:r>
        <w:separator/>
      </w:r>
    </w:p>
  </w:footnote>
  <w:footnote w:type="continuationSeparator" w:id="1">
    <w:p w:rsidR="00E54997" w14:paraId="6A828D62" w14:textId="77777777">
      <w:pPr>
        <w:rPr>
          <w:sz w:val="20"/>
        </w:rPr>
      </w:pPr>
      <w:r>
        <w:rPr>
          <w:sz w:val="20"/>
        </w:rPr>
        <w:t xml:space="preserve">(Continued from previous page)  </w:t>
      </w:r>
      <w:r>
        <w:rPr>
          <w:sz w:val="20"/>
        </w:rPr>
        <w:separator/>
      </w:r>
    </w:p>
  </w:footnote>
  <w:footnote w:type="continuationNotice" w:id="2">
    <w:p w:rsidR="00E54997" w:rsidP="00910F12" w14:paraId="45861BBE" w14:textId="77777777">
      <w:pPr>
        <w:jc w:val="right"/>
        <w:rPr>
          <w:sz w:val="20"/>
        </w:rPr>
      </w:pPr>
      <w:r>
        <w:rPr>
          <w:sz w:val="20"/>
        </w:rPr>
        <w:t>(continued….)</w:t>
      </w:r>
    </w:p>
  </w:footnote>
  <w:footnote w:id="3">
    <w:p w:rsidR="000342A2" w:rsidP="000342A2" w14:paraId="6F410355" w14:textId="77777777">
      <w:pPr>
        <w:pStyle w:val="FootnoteText"/>
      </w:pPr>
      <w:r>
        <w:rPr>
          <w:rStyle w:val="FootnoteReference"/>
        </w:rPr>
        <w:footnoteRef/>
      </w:r>
      <w:r>
        <w:t xml:space="preserve"> </w:t>
      </w:r>
      <w:r w:rsidRPr="00AD2E86">
        <w:t xml:space="preserve">Letter from John Nakahata, Counsel for </w:t>
      </w:r>
      <w:r w:rsidRPr="00AD2E86">
        <w:t>iconectiv</w:t>
      </w:r>
      <w:r w:rsidRPr="00AD2E86">
        <w:t>, LLC, to Kris Monteith, Chief, Wireline Competition Bureau, FCC, WC Docket Nos. 95-116 et al</w:t>
      </w:r>
      <w:r>
        <w:t>.</w:t>
      </w:r>
      <w:r w:rsidRPr="00AD2E86">
        <w:rPr>
          <w:b/>
        </w:rPr>
        <w:t xml:space="preserve"> </w:t>
      </w:r>
      <w:r w:rsidRPr="00AD2E86">
        <w:t xml:space="preserve">(filed Apr. 22, 2020), </w:t>
      </w:r>
      <w:hyperlink r:id="rId1" w:history="1">
        <w:r w:rsidRPr="00AD2E86">
          <w:rPr>
            <w:rStyle w:val="Hyperlink"/>
          </w:rPr>
          <w:t>https://www.fcc.gov/ecfs/filing/10422660325894</w:t>
        </w:r>
      </w:hyperlink>
      <w:r w:rsidRPr="00AD2E86">
        <w:t xml:space="preserve"> (</w:t>
      </w:r>
      <w:r w:rsidRPr="00AD2E86">
        <w:t>iconectiv</w:t>
      </w:r>
      <w:r w:rsidRPr="00AD2E86">
        <w:t xml:space="preserve"> Modification Request).</w:t>
      </w:r>
    </w:p>
  </w:footnote>
  <w:footnote w:id="4">
    <w:p w:rsidR="000342A2" w:rsidP="000342A2" w14:paraId="2C29D62E" w14:textId="77777777">
      <w:pPr>
        <w:pStyle w:val="FootnoteText"/>
      </w:pPr>
      <w:r>
        <w:rPr>
          <w:rStyle w:val="FootnoteReference"/>
        </w:rPr>
        <w:footnoteRef/>
      </w:r>
      <w:r>
        <w:t xml:space="preserve"> </w:t>
      </w:r>
      <w:r w:rsidRPr="00AD2E86">
        <w:t>That transaction is separately before the Bureau in WC Docket No. 19-396, and is more fully described therein.</w:t>
      </w:r>
      <w:r>
        <w:t xml:space="preserve"> </w:t>
      </w:r>
      <w:r>
        <w:rPr>
          <w:sz w:val="23"/>
          <w:szCs w:val="23"/>
        </w:rPr>
        <w:t xml:space="preserve"> </w:t>
      </w:r>
      <w:r w:rsidRPr="00A220F8">
        <w:rPr>
          <w:i/>
          <w:iCs/>
        </w:rPr>
        <w:t>See</w:t>
      </w:r>
      <w:r>
        <w:t xml:space="preserve"> </w:t>
      </w:r>
      <w:r>
        <w:rPr>
          <w:i/>
          <w:iCs/>
        </w:rPr>
        <w:t>Domestic Section 214 Application Filed for the Transfer of Control of LogMeIn, Inc. to Logan Parent, LLC</w:t>
      </w:r>
      <w:r>
        <w:t>, WC Docket No. 19-396, Public Notice 35 FCC Rcd 578 (WCB 2020).</w:t>
      </w:r>
    </w:p>
  </w:footnote>
  <w:footnote w:id="5">
    <w:p w:rsidR="000342A2" w:rsidP="000342A2" w14:paraId="5C0A77C1" w14:textId="77777777">
      <w:pPr>
        <w:pStyle w:val="FootnoteText"/>
      </w:pPr>
      <w:r>
        <w:rPr>
          <w:rStyle w:val="FootnoteReference"/>
        </w:rPr>
        <w:footnoteRef/>
      </w:r>
      <w:r>
        <w:t xml:space="preserve"> The four LogMeIn interconnected VoIP providers are: GetGo Communications, LLC (blanket domestic Section 214 authority and international Section 214 authority granted in FCC File No. ITC-214-20130118-00015); Grasshopper Group, LLC (blanket domestic Section 214 authority and international Section 214 authority granted in FCC File No. ITC-214-20090916-00417); LogMeIn Audio, LLC (blanket domestic Section 214 authority and international Section 214 authority granted in FCC File No. ITC-214-20090113-00015); Jive Communications, Inc. (blanket domestic Section 214 authority and international Section 214 authority granted in FCC File No. ITC-214-20130802-00209).  </w:t>
      </w:r>
      <w:r w:rsidRPr="00A220F8">
        <w:rPr>
          <w:i/>
          <w:iCs/>
        </w:rPr>
        <w:t>See</w:t>
      </w:r>
      <w:r>
        <w:t xml:space="preserve"> </w:t>
      </w:r>
      <w:r>
        <w:t>iconectiv</w:t>
      </w:r>
      <w:r>
        <w:t xml:space="preserve"> Modification Request at 1, n.2.</w:t>
      </w:r>
    </w:p>
  </w:footnote>
  <w:footnote w:id="6">
    <w:p w:rsidR="000342A2" w:rsidP="000342A2" w14:paraId="18A1072D" w14:textId="77777777">
      <w:pPr>
        <w:pStyle w:val="FootnoteText"/>
      </w:pPr>
      <w:r>
        <w:rPr>
          <w:rStyle w:val="FootnoteReference"/>
        </w:rPr>
        <w:footnoteRef/>
      </w:r>
      <w:r>
        <w:t xml:space="preserve"> </w:t>
      </w:r>
      <w:r>
        <w:rPr>
          <w:szCs w:val="22"/>
        </w:rPr>
        <w:t xml:space="preserve">Both the LNPA Code of Conduct and the Voting Trust, in addition to the Commission’s rules and orders, play important roles in ensuring </w:t>
      </w:r>
      <w:r>
        <w:rPr>
          <w:szCs w:val="22"/>
        </w:rPr>
        <w:t>iconectiv’s</w:t>
      </w:r>
      <w:r>
        <w:rPr>
          <w:szCs w:val="22"/>
        </w:rPr>
        <w:t xml:space="preserve"> neutrality </w:t>
      </w:r>
      <w:r w:rsidRPr="00891D92">
        <w:t xml:space="preserve">as the </w:t>
      </w:r>
      <w:r>
        <w:t>LNPA</w:t>
      </w:r>
      <w:r w:rsidRPr="00891D92">
        <w:t>.</w:t>
      </w:r>
      <w:r>
        <w:t xml:space="preserve">  </w:t>
      </w:r>
      <w:r>
        <w:rPr>
          <w:i/>
          <w:iCs/>
        </w:rPr>
        <w:t>See</w:t>
      </w:r>
      <w:r>
        <w:t xml:space="preserve"> </w:t>
      </w:r>
      <w:r>
        <w:rPr>
          <w:i/>
        </w:rPr>
        <w:t>Telcordia Technologies, Inc. Petition to Reform Amendment 57 and to Order a Competitive Bidding Process for Number Portability Administration</w:t>
      </w:r>
      <w:r>
        <w:rPr>
          <w:iCs/>
        </w:rPr>
        <w:t>, WC Docket No. 07-149,</w:t>
      </w:r>
      <w:r>
        <w:rPr>
          <w:i/>
        </w:rPr>
        <w:t xml:space="preserve"> </w:t>
      </w:r>
      <w:r>
        <w:t>et al., Order, 31 FCC Rcd 8406, 8415, para. 22 (2016).</w:t>
      </w:r>
    </w:p>
  </w:footnote>
  <w:footnote w:id="7">
    <w:p w:rsidR="000342A2" w:rsidP="000342A2" w14:paraId="749CF793" w14:textId="77777777">
      <w:pPr>
        <w:pStyle w:val="FootnoteText"/>
      </w:pPr>
      <w:r>
        <w:rPr>
          <w:rStyle w:val="FootnoteReference"/>
        </w:rPr>
        <w:footnoteRef/>
      </w:r>
      <w:r>
        <w:t xml:space="preserve"> </w:t>
      </w:r>
      <w:bookmarkStart w:id="5" w:name="_Hlk40100681"/>
      <w:r w:rsidRPr="006A71F9">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rPr>
        <w:t xml:space="preserve">  FCC Announces Closure of FCC Headquarters Open Window and Change </w:t>
      </w:r>
      <w:r w:rsidRPr="004B1256">
        <w:rPr>
          <w:i/>
          <w:iCs/>
        </w:rPr>
        <w:t>in Hand-Delivery Filing</w:t>
      </w:r>
      <w:r w:rsidRPr="004B1256">
        <w:t>,</w:t>
      </w:r>
      <w:r w:rsidRPr="004B1256">
        <w:rPr>
          <w:i/>
          <w:iCs/>
        </w:rPr>
        <w:t xml:space="preserve"> </w:t>
      </w:r>
      <w:r w:rsidRPr="004B1256">
        <w:t xml:space="preserve">Public Notice, DA 20-304 (rel. Mar. 19, 2020) </w:t>
      </w:r>
      <w:hyperlink r:id="rId2" w:history="1">
        <w:r w:rsidRPr="004B1256">
          <w:rPr>
            <w:rStyle w:val="Hyperlink"/>
          </w:rPr>
          <w:t>https://www.fcc.gov/document/fcc-closes-headquarters-open-window-and-changes-hand-delivery-policy.</w:t>
        </w:r>
      </w:hyperlink>
    </w:p>
    <w:bookmarkEnd w:id="5"/>
  </w:footnote>
  <w:footnote w:id="8">
    <w:p w:rsidR="000342A2" w:rsidRPr="00D94448" w:rsidP="000342A2" w14:paraId="44D2C561" w14:textId="77777777">
      <w:pPr>
        <w:pStyle w:val="FootnoteText"/>
        <w:rPr>
          <w:i/>
        </w:rPr>
      </w:pPr>
      <w:r w:rsidRPr="00D94448">
        <w:rPr>
          <w:rStyle w:val="FootnoteReference"/>
        </w:rPr>
        <w:footnoteRef/>
      </w:r>
      <w:r>
        <w:t xml:space="preserve"> 47 CFR</w:t>
      </w:r>
      <w:r>
        <w:rPr>
          <w:i/>
        </w:rPr>
        <w:t>.</w:t>
      </w:r>
      <w:r>
        <w:t xml:space="preserve"> § </w:t>
      </w:r>
      <w:r w:rsidRPr="00D94448">
        <w:t xml:space="preserve">1.1200 </w:t>
      </w:r>
      <w:r w:rsidRPr="00D94448">
        <w:rPr>
          <w:i/>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14D85A4" w14:textId="26846572">
    <w:pPr>
      <w:tabs>
        <w:tab w:val="center" w:pos="4680"/>
        <w:tab w:val="right" w:pos="9360"/>
      </w:tabs>
    </w:pPr>
    <w:r w:rsidRPr="009838BC">
      <w:rPr>
        <w:b/>
      </w:rPr>
      <w:tab/>
      <w:t>Federal Communications Commission</w:t>
    </w:r>
    <w:r w:rsidRPr="009838BC">
      <w:rPr>
        <w:b/>
      </w:rPr>
      <w:tab/>
    </w:r>
    <w:r w:rsidR="00B627F0">
      <w:rPr>
        <w:b/>
      </w:rPr>
      <w:t>DA 20-505</w:t>
    </w:r>
  </w:p>
  <w:p w:rsidR="009838BC" w:rsidRPr="00B627F0" w:rsidP="00B627F0" w14:paraId="0E402B18" w14:textId="40348AAD">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F976A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440386DA" w14:textId="77777777">
                <w:pPr>
                  <w:rPr>
                    <w:rFonts w:ascii="Arial" w:hAnsi="Arial"/>
                    <w:b/>
                  </w:rPr>
                </w:pPr>
                <w:r>
                  <w:rPr>
                    <w:rFonts w:ascii="Arial" w:hAnsi="Arial"/>
                    <w:b/>
                  </w:rPr>
                  <w:t>Federal Communications Commission</w:t>
                </w:r>
              </w:p>
              <w:p w:rsidR="009838BC" w:rsidP="009838BC" w14:paraId="5659256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4FC897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444A53C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59F43DDF" w14:textId="77777777">
                <w:pPr>
                  <w:spacing w:before="40"/>
                  <w:jc w:val="right"/>
                  <w:rPr>
                    <w:rFonts w:ascii="Arial" w:hAnsi="Arial"/>
                    <w:b/>
                    <w:sz w:val="16"/>
                  </w:rPr>
                </w:pPr>
                <w:r>
                  <w:rPr>
                    <w:rFonts w:ascii="Arial" w:hAnsi="Arial"/>
                    <w:b/>
                    <w:sz w:val="16"/>
                  </w:rPr>
                  <w:t>News Media Information 202 / 418-0500</w:t>
                </w:r>
              </w:p>
              <w:p w:rsidR="009838BC" w:rsidP="009838BC" w14:paraId="09F67AE4"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paraId="4FD53F5D" w14:textId="77777777">
                <w:pPr>
                  <w:jc w:val="right"/>
                </w:pPr>
                <w:r>
                  <w:rPr>
                    <w:rFonts w:ascii="Arial" w:hAnsi="Arial"/>
                    <w:b/>
                    <w:sz w:val="16"/>
                  </w:rPr>
                  <w:t>TTY: 1-888-835-5322</w:t>
                </w:r>
              </w:p>
            </w:txbxContent>
          </v:textbox>
        </v:shape>
      </w:pict>
    </w:r>
  </w:p>
  <w:p w:rsidR="006F7393" w:rsidRPr="009838BC" w:rsidP="009838BC" w14:paraId="727BF55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8EAE2C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F0406EE"/>
    <w:multiLevelType w:val="hybridMultilevel"/>
    <w:tmpl w:val="2E969AF6"/>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0"/>
      <w:numFmt w:val="bullet"/>
      <w:lvlText w:val="-"/>
      <w:lvlJc w:val="left"/>
      <w:pPr>
        <w:tabs>
          <w:tab w:val="num" w:pos="1080"/>
        </w:tabs>
        <w:ind w:left="1080" w:hanging="360"/>
      </w:pPr>
      <w:rPr>
        <w:rFonts w:ascii="Times New Roman" w:eastAsia="Times New Roman" w:hAnsi="Times New Roman"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A2"/>
    <w:rsid w:val="000072CE"/>
    <w:rsid w:val="00013541"/>
    <w:rsid w:val="00013A8B"/>
    <w:rsid w:val="00021445"/>
    <w:rsid w:val="000342A2"/>
    <w:rsid w:val="00036039"/>
    <w:rsid w:val="00037F90"/>
    <w:rsid w:val="000875BF"/>
    <w:rsid w:val="00096D8C"/>
    <w:rsid w:val="000C0B65"/>
    <w:rsid w:val="000E3D42"/>
    <w:rsid w:val="000E5884"/>
    <w:rsid w:val="00122BD5"/>
    <w:rsid w:val="001376F0"/>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25626"/>
    <w:rsid w:val="00445A00"/>
    <w:rsid w:val="00451B0F"/>
    <w:rsid w:val="0046125F"/>
    <w:rsid w:val="00487524"/>
    <w:rsid w:val="00496106"/>
    <w:rsid w:val="004B1256"/>
    <w:rsid w:val="004C12D0"/>
    <w:rsid w:val="004C2EE3"/>
    <w:rsid w:val="004E4A22"/>
    <w:rsid w:val="00511968"/>
    <w:rsid w:val="0055614C"/>
    <w:rsid w:val="00607BA5"/>
    <w:rsid w:val="00626EB6"/>
    <w:rsid w:val="006353A3"/>
    <w:rsid w:val="00655D03"/>
    <w:rsid w:val="00683F84"/>
    <w:rsid w:val="006A6A81"/>
    <w:rsid w:val="006A71F9"/>
    <w:rsid w:val="006E26AF"/>
    <w:rsid w:val="006F7393"/>
    <w:rsid w:val="0070224F"/>
    <w:rsid w:val="007115F7"/>
    <w:rsid w:val="00785689"/>
    <w:rsid w:val="0079754B"/>
    <w:rsid w:val="007A1E6D"/>
    <w:rsid w:val="00822CE0"/>
    <w:rsid w:val="00837C62"/>
    <w:rsid w:val="00841AB1"/>
    <w:rsid w:val="00891D92"/>
    <w:rsid w:val="008C22FD"/>
    <w:rsid w:val="00910F12"/>
    <w:rsid w:val="00926503"/>
    <w:rsid w:val="00930ECF"/>
    <w:rsid w:val="009838BC"/>
    <w:rsid w:val="009850C7"/>
    <w:rsid w:val="009D362B"/>
    <w:rsid w:val="00A220F8"/>
    <w:rsid w:val="00A45F4F"/>
    <w:rsid w:val="00A600A9"/>
    <w:rsid w:val="00A866AC"/>
    <w:rsid w:val="00AA3978"/>
    <w:rsid w:val="00AA55B7"/>
    <w:rsid w:val="00AA5B9E"/>
    <w:rsid w:val="00AB2407"/>
    <w:rsid w:val="00AB53DF"/>
    <w:rsid w:val="00AD2E86"/>
    <w:rsid w:val="00B07E5C"/>
    <w:rsid w:val="00B20363"/>
    <w:rsid w:val="00B326E3"/>
    <w:rsid w:val="00B627F0"/>
    <w:rsid w:val="00B811F7"/>
    <w:rsid w:val="00BA5DC6"/>
    <w:rsid w:val="00BA6196"/>
    <w:rsid w:val="00BC6D8C"/>
    <w:rsid w:val="00C16AF2"/>
    <w:rsid w:val="00C34006"/>
    <w:rsid w:val="00C426B1"/>
    <w:rsid w:val="00C82B6B"/>
    <w:rsid w:val="00C90D6A"/>
    <w:rsid w:val="00C94ECA"/>
    <w:rsid w:val="00CB66C3"/>
    <w:rsid w:val="00CC72B6"/>
    <w:rsid w:val="00D0218D"/>
    <w:rsid w:val="00D216CD"/>
    <w:rsid w:val="00D94448"/>
    <w:rsid w:val="00DA2529"/>
    <w:rsid w:val="00DB130A"/>
    <w:rsid w:val="00DC10A1"/>
    <w:rsid w:val="00DC655F"/>
    <w:rsid w:val="00DD7EBD"/>
    <w:rsid w:val="00DF62B6"/>
    <w:rsid w:val="00E07225"/>
    <w:rsid w:val="00E155B7"/>
    <w:rsid w:val="00E5409F"/>
    <w:rsid w:val="00E54997"/>
    <w:rsid w:val="00EC0185"/>
    <w:rsid w:val="00F021FA"/>
    <w:rsid w:val="00F57ACA"/>
    <w:rsid w:val="00F62E97"/>
    <w:rsid w:val="00F64209"/>
    <w:rsid w:val="00F93BF5"/>
    <w:rsid w:val="00F94D22"/>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5E2145-8DD9-4C19-B25C-43C8DFBB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2A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Footnote Text Char Char Char Char Char Char Char,Footnote Text Char Char1 Char Char Char,Footnote Text Char1 Char Char Char Char Char Char,Footnote Text Char2 Char,Footnote Text Char2 Char Char Char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 Char Char Char Char Char,Footnote Text Char Char1 Char Char Char Char,Footnote Text Char1 Char Char Char Char Char Char Char,Footnote Text Char2 Char Char Char Char Char Char"/>
    <w:link w:val="FootnoteText"/>
    <w:locked/>
    <w:rsid w:val="000342A2"/>
  </w:style>
  <w:style w:type="paragraph" w:customStyle="1" w:styleId="Paranum0">
    <w:name w:val="Paranum"/>
    <w:basedOn w:val="Normal"/>
    <w:autoRedefine/>
    <w:rsid w:val="000342A2"/>
    <w:pPr>
      <w:widowControl/>
      <w:ind w:firstLine="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Michelle.Sclater@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422660325894" TargetMode="External" /><Relationship Id="rId2"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