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273E3" w:rsidRPr="00BE70CC" w:rsidP="00616FC1">
      <w:pPr>
        <w:widowControl/>
        <w:jc w:val="center"/>
        <w:rPr>
          <w:b/>
        </w:rPr>
      </w:pPr>
      <w:r w:rsidRPr="00BE70CC">
        <w:rPr>
          <w:b/>
          <w:kern w:val="0"/>
          <w:szCs w:val="22"/>
        </w:rPr>
        <w:t>Before</w:t>
      </w:r>
      <w:r w:rsidRPr="00BE70CC">
        <w:rPr>
          <w:b/>
        </w:rPr>
        <w:t xml:space="preserve"> the</w:t>
      </w:r>
    </w:p>
    <w:p w:rsidR="00E273E3" w:rsidRPr="00BE70CC" w:rsidP="00616FC1">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616FC1">
      <w:pPr>
        <w:pStyle w:val="StyleBoldCentered"/>
        <w:widowControl/>
        <w:rPr>
          <w:rFonts w:ascii="Times New Roman" w:hAnsi="Times New Roman"/>
        </w:rPr>
      </w:pPr>
      <w:smartTag w:uri="urn:schemas-microsoft-com:office:smarttags" w:element="place">
        <w:smartTag w:uri="urn:schemas-microsoft-com:office:smarttags" w:element="City">
          <w:r w:rsidRPr="00BE70CC">
            <w:rPr>
              <w:rFonts w:ascii="Times New Roman" w:hAnsi="Times New Roman"/>
              <w:caps w:val="0"/>
            </w:rPr>
            <w:t>Washington</w:t>
          </w:r>
        </w:smartTag>
      </w:smartTag>
      <w:r w:rsidR="00BD0B73">
        <w:rPr>
          <w:rFonts w:ascii="Times New Roman" w:hAnsi="Times New Roman"/>
        </w:rPr>
        <w:t>, DC</w:t>
      </w:r>
      <w:r w:rsidRPr="00BE70CC">
        <w:rPr>
          <w:rFonts w:ascii="Times New Roman" w:hAnsi="Times New Roman"/>
        </w:rPr>
        <w:t xml:space="preserve"> </w:t>
      </w:r>
      <w:smartTag w:uri="urn:schemas-microsoft-com:office:smarttags" w:element="PersonName">
        <w:smartTag w:uri="urn:schemas-microsoft-com:office:smarttags" w:element="PostalCode">
          <w:r w:rsidRPr="00BE70CC">
            <w:rPr>
              <w:rFonts w:ascii="Times New Roman" w:hAnsi="Times New Roman"/>
            </w:rPr>
            <w:t>20554</w:t>
          </w:r>
        </w:smartTag>
      </w:smartTag>
    </w:p>
    <w:p w:rsidR="00E273E3" w:rsidRPr="00BE70CC" w:rsidP="00616FC1">
      <w:pPr>
        <w:widowControl/>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E273E3" w:rsidRPr="00BE70CC" w:rsidP="00616FC1">
            <w:pPr>
              <w:widowControl/>
              <w:suppressAutoHyphens/>
              <w:rPr>
                <w:spacing w:val="-2"/>
              </w:rPr>
            </w:pPr>
            <w:r w:rsidRPr="00BE70CC">
              <w:rPr>
                <w:spacing w:val="-2"/>
              </w:rPr>
              <w:t>In the Matter of</w:t>
            </w:r>
          </w:p>
          <w:p w:rsidR="00E273E3" w:rsidRPr="00BE70CC" w:rsidP="00616FC1">
            <w:pPr>
              <w:widowControl/>
              <w:suppressAutoHyphens/>
              <w:rPr>
                <w:spacing w:val="-2"/>
              </w:rPr>
            </w:pPr>
          </w:p>
          <w:p w:rsidR="00E273E3" w:rsidP="00616FC1">
            <w:pPr>
              <w:widowControl/>
              <w:suppressAutoHyphens/>
              <w:rPr>
                <w:spacing w:val="-2"/>
              </w:rPr>
            </w:pPr>
            <w:r>
              <w:rPr>
                <w:spacing w:val="-2"/>
              </w:rPr>
              <w:t>Susan Piatek</w:t>
            </w:r>
          </w:p>
          <w:p w:rsidR="006C237A" w:rsidRPr="00BE70CC" w:rsidP="00616FC1">
            <w:pPr>
              <w:widowControl/>
              <w:suppressAutoHyphens/>
              <w:rPr>
                <w:spacing w:val="-2"/>
              </w:rPr>
            </w:pPr>
            <w:r w:rsidRPr="00E93A72">
              <w:rPr>
                <w:noProof/>
                <w:color w:val="000000"/>
                <w:szCs w:val="22"/>
              </w:rPr>
              <w:t xml:space="preserve">Winter Garden, </w:t>
            </w:r>
            <w:r>
              <w:rPr>
                <w:noProof/>
                <w:color w:val="000000"/>
                <w:szCs w:val="22"/>
              </w:rPr>
              <w:t>Florida</w:t>
            </w:r>
          </w:p>
        </w:tc>
        <w:tc>
          <w:tcPr>
            <w:tcW w:w="630" w:type="dxa"/>
          </w:tcPr>
          <w:p w:rsidR="00E273E3" w:rsidRPr="00BE70CC" w:rsidP="00616FC1">
            <w:pPr>
              <w:widowControl/>
              <w:suppressAutoHyphens/>
              <w:rPr>
                <w:spacing w:val="-2"/>
              </w:rPr>
            </w:pPr>
            <w:r w:rsidRPr="00BE70CC">
              <w:rPr>
                <w:spacing w:val="-2"/>
              </w:rPr>
              <w:t>)</w:t>
            </w:r>
          </w:p>
          <w:p w:rsidR="00E273E3" w:rsidRPr="00BE70CC" w:rsidP="00616FC1">
            <w:pPr>
              <w:widowControl/>
              <w:suppressAutoHyphens/>
              <w:rPr>
                <w:spacing w:val="-2"/>
              </w:rPr>
            </w:pPr>
            <w:r w:rsidRPr="00BE70CC">
              <w:rPr>
                <w:spacing w:val="-2"/>
              </w:rPr>
              <w:t>)</w:t>
            </w:r>
          </w:p>
          <w:p w:rsidR="00E273E3" w:rsidRPr="00BE70CC" w:rsidP="00616FC1">
            <w:pPr>
              <w:widowControl/>
              <w:suppressAutoHyphens/>
              <w:rPr>
                <w:spacing w:val="-2"/>
              </w:rPr>
            </w:pPr>
            <w:r w:rsidRPr="00BE70CC">
              <w:rPr>
                <w:spacing w:val="-2"/>
              </w:rPr>
              <w:t>)</w:t>
            </w:r>
          </w:p>
          <w:p w:rsidR="006C237A" w:rsidP="00616FC1">
            <w:pPr>
              <w:widowControl/>
              <w:suppressAutoHyphens/>
              <w:rPr>
                <w:spacing w:val="-2"/>
              </w:rPr>
            </w:pPr>
            <w:r w:rsidRPr="00BE70CC">
              <w:rPr>
                <w:spacing w:val="-2"/>
              </w:rPr>
              <w:t>)</w:t>
            </w:r>
          </w:p>
          <w:p w:rsidR="00A345F0" w:rsidRPr="00BE70CC" w:rsidP="00616FC1">
            <w:pPr>
              <w:widowControl/>
              <w:suppressAutoHyphens/>
              <w:rPr>
                <w:spacing w:val="-2"/>
              </w:rPr>
            </w:pPr>
          </w:p>
        </w:tc>
        <w:tc>
          <w:tcPr>
            <w:tcW w:w="4248" w:type="dxa"/>
          </w:tcPr>
          <w:p w:rsidR="00E273E3" w:rsidRPr="00BE70CC" w:rsidP="00616FC1">
            <w:pPr>
              <w:widowControl/>
              <w:suppressAutoHyphens/>
              <w:rPr>
                <w:spacing w:val="-2"/>
              </w:rPr>
            </w:pPr>
          </w:p>
          <w:p w:rsidR="00E273E3" w:rsidRPr="00BE70CC" w:rsidP="00616FC1">
            <w:pPr>
              <w:widowControl/>
              <w:suppressAutoHyphens/>
              <w:rPr>
                <w:spacing w:val="-2"/>
              </w:rPr>
            </w:pPr>
          </w:p>
          <w:p w:rsidR="00E273E3" w:rsidRPr="00BE70CC" w:rsidP="00616FC1">
            <w:pPr>
              <w:widowControl/>
              <w:suppressAutoHyphens/>
              <w:ind w:left="432"/>
              <w:rPr>
                <w:spacing w:val="-2"/>
              </w:rPr>
            </w:pPr>
            <w:r w:rsidRPr="00BE70CC">
              <w:rPr>
                <w:spacing w:val="-2"/>
              </w:rPr>
              <w:t xml:space="preserve">File No.:  </w:t>
            </w:r>
            <w:r w:rsidRPr="00E22EEF" w:rsidR="00E22EEF">
              <w:rPr>
                <w:spacing w:val="-2"/>
              </w:rPr>
              <w:t>EB-FIELDSCR-19-00028803</w:t>
            </w:r>
          </w:p>
        </w:tc>
      </w:tr>
    </w:tbl>
    <w:p w:rsidR="00E273E3" w:rsidRPr="00BE70CC" w:rsidP="00616FC1">
      <w:pPr>
        <w:pStyle w:val="StyleBoldCentered"/>
        <w:widowControl/>
        <w:spacing w:after="220"/>
      </w:pPr>
      <w:r w:rsidRPr="00BE70CC">
        <w:t>CITATION AND ORDER</w:t>
      </w:r>
    </w:p>
    <w:p w:rsidR="004D7744" w:rsidP="00616FC1">
      <w:pPr>
        <w:widowControl/>
        <w:spacing w:before="120"/>
        <w:jc w:val="center"/>
        <w:rPr>
          <w:b/>
          <w:color w:val="000000"/>
          <w:spacing w:val="-2"/>
          <w:szCs w:val="22"/>
        </w:rPr>
      </w:pPr>
      <w:r w:rsidRPr="00972667">
        <w:rPr>
          <w:b/>
          <w:color w:val="000000"/>
          <w:spacing w:val="-2"/>
          <w:szCs w:val="22"/>
        </w:rPr>
        <w:t xml:space="preserve">Surveillance Device Causing Harmful Interference to </w:t>
      </w:r>
      <w:r w:rsidR="00223C7A">
        <w:rPr>
          <w:b/>
          <w:color w:val="000000"/>
          <w:spacing w:val="-2"/>
          <w:szCs w:val="22"/>
        </w:rPr>
        <w:t>Satellite</w:t>
      </w:r>
      <w:r w:rsidRPr="00972667" w:rsidR="00223C7A">
        <w:rPr>
          <w:b/>
          <w:color w:val="000000"/>
          <w:spacing w:val="-2"/>
          <w:szCs w:val="22"/>
        </w:rPr>
        <w:t xml:space="preserve"> </w:t>
      </w:r>
      <w:r w:rsidRPr="00972667">
        <w:rPr>
          <w:b/>
          <w:color w:val="000000"/>
          <w:spacing w:val="-2"/>
          <w:szCs w:val="22"/>
        </w:rPr>
        <w:t>Communications</w:t>
      </w:r>
    </w:p>
    <w:p w:rsidR="004D7744" w:rsidRPr="00972667" w:rsidP="00616FC1">
      <w:pPr>
        <w:widowControl/>
        <w:spacing w:before="120"/>
        <w:jc w:val="center"/>
        <w:rPr>
          <w:b/>
          <w:color w:val="000000"/>
          <w:spacing w:val="-2"/>
          <w:szCs w:val="22"/>
        </w:rPr>
      </w:pPr>
    </w:p>
    <w:p w:rsidR="00E273E3" w:rsidRPr="00BE70CC" w:rsidP="00616FC1">
      <w:pPr>
        <w:widowControl/>
        <w:tabs>
          <w:tab w:val="right" w:pos="9360"/>
        </w:tabs>
        <w:suppressAutoHyphens/>
        <w:rPr>
          <w:spacing w:val="-2"/>
        </w:rPr>
      </w:pPr>
      <w:r w:rsidRPr="00BE70CC">
        <w:rPr>
          <w:b/>
          <w:spacing w:val="-2"/>
        </w:rPr>
        <w:t xml:space="preserve">Adopted:  </w:t>
      </w:r>
      <w:r w:rsidR="0057602A">
        <w:rPr>
          <w:b/>
          <w:spacing w:val="-2"/>
        </w:rPr>
        <w:t>Ma</w:t>
      </w:r>
      <w:r w:rsidR="005C23A8">
        <w:rPr>
          <w:b/>
          <w:spacing w:val="-2"/>
        </w:rPr>
        <w:t>y</w:t>
      </w:r>
      <w:r w:rsidR="0057602A">
        <w:rPr>
          <w:b/>
          <w:spacing w:val="-2"/>
        </w:rPr>
        <w:t xml:space="preserve"> </w:t>
      </w:r>
      <w:r w:rsidR="00E03826">
        <w:rPr>
          <w:b/>
          <w:spacing w:val="-2"/>
        </w:rPr>
        <w:t>1</w:t>
      </w:r>
      <w:r>
        <w:rPr>
          <w:b/>
          <w:spacing w:val="-2"/>
        </w:rPr>
        <w:t>2</w:t>
      </w:r>
      <w:r w:rsidR="0057602A">
        <w:rPr>
          <w:b/>
          <w:spacing w:val="-2"/>
        </w:rPr>
        <w:t>, 2020</w:t>
      </w:r>
      <w:r w:rsidRPr="00BE70CC" w:rsidR="006D2212">
        <w:rPr>
          <w:b/>
          <w:spacing w:val="-2"/>
        </w:rPr>
        <w:tab/>
        <w:t xml:space="preserve">Released:  </w:t>
      </w:r>
      <w:r w:rsidR="0057602A">
        <w:rPr>
          <w:b/>
          <w:spacing w:val="-2"/>
        </w:rPr>
        <w:t>Ma</w:t>
      </w:r>
      <w:r w:rsidR="005C23A8">
        <w:rPr>
          <w:b/>
          <w:spacing w:val="-2"/>
        </w:rPr>
        <w:t>y</w:t>
      </w:r>
      <w:r w:rsidR="0057602A">
        <w:rPr>
          <w:b/>
          <w:spacing w:val="-2"/>
        </w:rPr>
        <w:t xml:space="preserve"> </w:t>
      </w:r>
      <w:r w:rsidR="00E03826">
        <w:rPr>
          <w:b/>
          <w:spacing w:val="-2"/>
        </w:rPr>
        <w:t>13</w:t>
      </w:r>
      <w:r w:rsidR="0057602A">
        <w:rPr>
          <w:b/>
          <w:spacing w:val="-2"/>
        </w:rPr>
        <w:t>, 2020</w:t>
      </w:r>
    </w:p>
    <w:p w:rsidR="00E273E3" w:rsidRPr="00BE70CC" w:rsidP="00616FC1">
      <w:pPr>
        <w:widowControl/>
        <w:jc w:val="center"/>
      </w:pPr>
    </w:p>
    <w:p w:rsidR="004D7744" w:rsidP="00616FC1">
      <w:pPr>
        <w:widowControl/>
      </w:pPr>
      <w:r w:rsidRPr="00BE70CC">
        <w:t>By the</w:t>
      </w:r>
      <w:r>
        <w:t xml:space="preserve"> </w:t>
      </w:r>
      <w:r w:rsidR="008C09BB">
        <w:t>Acting Field Director</w:t>
      </w:r>
      <w:r>
        <w:t>, Enforcement Bureau:</w:t>
      </w:r>
    </w:p>
    <w:p w:rsidR="00E273E3" w:rsidRPr="00BE70CC" w:rsidP="00616FC1">
      <w:pPr>
        <w:widowControl/>
        <w:rPr>
          <w:spacing w:val="-2"/>
        </w:rPr>
      </w:pPr>
    </w:p>
    <w:p w:rsidR="00E273E3" w:rsidRPr="00BE70CC" w:rsidP="00616FC1">
      <w:pPr>
        <w:pStyle w:val="Heading1"/>
        <w:widowControl/>
      </w:pPr>
      <w:bookmarkStart w:id="0" w:name="_Toc379288998"/>
      <w:bookmarkStart w:id="1" w:name="_Toc379365499"/>
      <w:r w:rsidRPr="00BE70CC">
        <w:t>NOTICE OF CITATION</w:t>
      </w:r>
      <w:bookmarkEnd w:id="0"/>
      <w:bookmarkEnd w:id="1"/>
    </w:p>
    <w:p w:rsidR="00A204BA" w:rsidRPr="00BE70CC" w:rsidP="00616FC1">
      <w:pPr>
        <w:pStyle w:val="ParaNum"/>
        <w:widowControl/>
        <w:tabs>
          <w:tab w:val="clear" w:pos="1080"/>
        </w:tabs>
      </w:pPr>
      <w:r w:rsidRPr="00534B85">
        <w:t>Today the Federal Communications Commission’s Enforcemen</w:t>
      </w:r>
      <w:bookmarkStart w:id="2" w:name="_GoBack"/>
      <w:bookmarkEnd w:id="2"/>
      <w:r w:rsidRPr="00534B85">
        <w:t>t Bureau (Bureau) takes another step in the Commission’s ongoing effort to</w:t>
      </w:r>
      <w:r>
        <w:t xml:space="preserve"> end harmful interference </w:t>
      </w:r>
      <w:r w:rsidRPr="004D7744">
        <w:rPr>
          <w:szCs w:val="22"/>
        </w:rPr>
        <w:t>to licensed radio operations</w:t>
      </w:r>
      <w:r w:rsidRPr="00534B85">
        <w:t xml:space="preserve">. </w:t>
      </w:r>
      <w:r>
        <w:t xml:space="preserve"> </w:t>
      </w:r>
      <w:r w:rsidR="0077224C">
        <w:t>T</w:t>
      </w:r>
      <w:r w:rsidRPr="00BE70CC" w:rsidR="00500FF2">
        <w:t xml:space="preserve">his </w:t>
      </w:r>
      <w:r w:rsidRPr="004D7744" w:rsidR="00500FF2">
        <w:rPr>
          <w:b/>
        </w:rPr>
        <w:t>CITATION AND ORDER</w:t>
      </w:r>
      <w:r w:rsidRPr="004D7744" w:rsidR="00716E89">
        <w:rPr>
          <w:b/>
        </w:rPr>
        <w:t xml:space="preserve"> </w:t>
      </w:r>
      <w:r w:rsidRPr="00BE70CC" w:rsidR="00716E89">
        <w:t>(Citation)</w:t>
      </w:r>
      <w:r w:rsidR="0077224C">
        <w:t>, notifies</w:t>
      </w:r>
      <w:r w:rsidRPr="00BE70CC" w:rsidR="00500FF2">
        <w:t xml:space="preserve"> </w:t>
      </w:r>
      <w:r w:rsidR="000E4DFA">
        <w:rPr>
          <w:spacing w:val="-2"/>
        </w:rPr>
        <w:t>Susan Piatek</w:t>
      </w:r>
      <w:r w:rsidR="000E4DFA">
        <w:t xml:space="preserve"> </w:t>
      </w:r>
      <w:r w:rsidR="00DE5FE6">
        <w:t xml:space="preserve">(Piatek) </w:t>
      </w:r>
      <w:r w:rsidR="004D7744">
        <w:t xml:space="preserve">that </w:t>
      </w:r>
      <w:r w:rsidR="00732B61">
        <w:rPr>
          <w:szCs w:val="22"/>
        </w:rPr>
        <w:t>she</w:t>
      </w:r>
      <w:r w:rsidR="00382491">
        <w:rPr>
          <w:szCs w:val="22"/>
        </w:rPr>
        <w:t xml:space="preserve"> is</w:t>
      </w:r>
      <w:r w:rsidRPr="004D7744" w:rsidR="004D7744">
        <w:rPr>
          <w:szCs w:val="22"/>
        </w:rPr>
        <w:t xml:space="preserve"> operating a device that is causing harmful interference to </w:t>
      </w:r>
      <w:r w:rsidR="0049491D">
        <w:rPr>
          <w:szCs w:val="22"/>
        </w:rPr>
        <w:t xml:space="preserve">the </w:t>
      </w:r>
      <w:r w:rsidRPr="000E4DFA" w:rsidR="000E4DFA">
        <w:rPr>
          <w:szCs w:val="22"/>
        </w:rPr>
        <w:t>European Space Agen</w:t>
      </w:r>
      <w:r w:rsidR="000E4DFA">
        <w:rPr>
          <w:szCs w:val="22"/>
        </w:rPr>
        <w:t>cy’</w:t>
      </w:r>
      <w:r w:rsidRPr="000E4DFA" w:rsidR="000E4DFA">
        <w:rPr>
          <w:szCs w:val="22"/>
        </w:rPr>
        <w:t>s</w:t>
      </w:r>
      <w:r w:rsidR="008718A0">
        <w:rPr>
          <w:szCs w:val="22"/>
        </w:rPr>
        <w:t xml:space="preserve"> </w:t>
      </w:r>
      <w:r w:rsidR="000E4DFA">
        <w:rPr>
          <w:szCs w:val="22"/>
        </w:rPr>
        <w:t>S</w:t>
      </w:r>
      <w:r w:rsidRPr="000E4DFA" w:rsidR="000E4DFA">
        <w:rPr>
          <w:szCs w:val="22"/>
        </w:rPr>
        <w:t xml:space="preserve">oil Moisture </w:t>
      </w:r>
      <w:r w:rsidR="008723A4">
        <w:rPr>
          <w:szCs w:val="22"/>
        </w:rPr>
        <w:t xml:space="preserve">and </w:t>
      </w:r>
      <w:r w:rsidRPr="000E4DFA" w:rsidR="000E4DFA">
        <w:rPr>
          <w:szCs w:val="22"/>
        </w:rPr>
        <w:t>Ocean Salinity</w:t>
      </w:r>
      <w:r w:rsidR="000E4DFA">
        <w:rPr>
          <w:szCs w:val="22"/>
        </w:rPr>
        <w:t xml:space="preserve"> </w:t>
      </w:r>
      <w:r w:rsidR="001E3C8E">
        <w:rPr>
          <w:szCs w:val="22"/>
        </w:rPr>
        <w:t>s</w:t>
      </w:r>
      <w:r w:rsidRPr="000E4DFA" w:rsidR="000E4DFA">
        <w:rPr>
          <w:szCs w:val="22"/>
        </w:rPr>
        <w:t>atellite</w:t>
      </w:r>
      <w:r w:rsidR="002810D6">
        <w:rPr>
          <w:szCs w:val="22"/>
        </w:rPr>
        <w:t>.</w:t>
      </w:r>
      <w:r>
        <w:rPr>
          <w:rStyle w:val="FootnoteReference"/>
        </w:rPr>
        <w:footnoteReference w:id="3"/>
      </w:r>
      <w:r w:rsidRPr="00BE70CC" w:rsidR="00500FF2">
        <w:t xml:space="preserve">  We therefore direct </w:t>
      </w:r>
      <w:r w:rsidR="000E4DFA">
        <w:rPr>
          <w:spacing w:val="-2"/>
        </w:rPr>
        <w:t>Piatek</w:t>
      </w:r>
      <w:r w:rsidR="000E4DFA">
        <w:t xml:space="preserve"> </w:t>
      </w:r>
      <w:r w:rsidRPr="00BE70CC" w:rsidR="00500FF2">
        <w:t xml:space="preserve">to take immediate steps to comply </w:t>
      </w:r>
      <w:r w:rsidRPr="00972667" w:rsidR="004D7744">
        <w:rPr>
          <w:szCs w:val="22"/>
        </w:rPr>
        <w:t>with federal rules and regulations related to radio frequency devices</w:t>
      </w:r>
      <w:r w:rsidR="004D7744">
        <w:rPr>
          <w:szCs w:val="22"/>
        </w:rPr>
        <w:t xml:space="preserve"> and eliminate the harmful interference caused to </w:t>
      </w:r>
      <w:r w:rsidR="000E4DFA">
        <w:rPr>
          <w:szCs w:val="22"/>
        </w:rPr>
        <w:t xml:space="preserve">the </w:t>
      </w:r>
      <w:r w:rsidR="002644C9">
        <w:rPr>
          <w:szCs w:val="22"/>
        </w:rPr>
        <w:t>European Space Agency</w:t>
      </w:r>
      <w:r w:rsidR="000E4DFA">
        <w:rPr>
          <w:szCs w:val="22"/>
        </w:rPr>
        <w:t xml:space="preserve"> </w:t>
      </w:r>
      <w:r w:rsidR="002B2D76">
        <w:rPr>
          <w:szCs w:val="22"/>
        </w:rPr>
        <w:t>s</w:t>
      </w:r>
      <w:r w:rsidR="000E4DFA">
        <w:rPr>
          <w:szCs w:val="22"/>
        </w:rPr>
        <w:t>atellite</w:t>
      </w:r>
      <w:r w:rsidR="004D7744">
        <w:rPr>
          <w:szCs w:val="22"/>
        </w:rPr>
        <w:t xml:space="preserve"> by the operation of </w:t>
      </w:r>
      <w:r w:rsidR="00732B61">
        <w:rPr>
          <w:szCs w:val="22"/>
        </w:rPr>
        <w:t>her</w:t>
      </w:r>
      <w:r w:rsidR="004D7744">
        <w:rPr>
          <w:szCs w:val="22"/>
        </w:rPr>
        <w:t xml:space="preserve"> surveillance cameras.  </w:t>
      </w:r>
      <w:bookmarkStart w:id="3" w:name="_Hlk40185847"/>
      <w:r w:rsidRPr="00BE70CC" w:rsidR="00500FF2">
        <w:t>If</w:t>
      </w:r>
      <w:r w:rsidR="004D7744">
        <w:t xml:space="preserve"> </w:t>
      </w:r>
      <w:r w:rsidR="000E4DFA">
        <w:t>Piatek</w:t>
      </w:r>
      <w:r w:rsidR="004D7744">
        <w:t xml:space="preserve"> f</w:t>
      </w:r>
      <w:r w:rsidRPr="00BE70CC" w:rsidR="00500FF2">
        <w:t xml:space="preserve">ails to comply with these laws, </w:t>
      </w:r>
      <w:r w:rsidR="000E4DFA">
        <w:t>she</w:t>
      </w:r>
      <w:r w:rsidR="00E22C01">
        <w:t xml:space="preserve"> </w:t>
      </w:r>
      <w:r w:rsidRPr="00BE70CC" w:rsidR="00500FF2">
        <w:t>may be liable for significant fines</w:t>
      </w:r>
      <w:r w:rsidRPr="00BE70CC" w:rsidR="008C0FB2">
        <w:t xml:space="preserve"> </w:t>
      </w:r>
      <w:r w:rsidR="004D7744">
        <w:t>up to $</w:t>
      </w:r>
      <w:r w:rsidR="00716D22">
        <w:t>20</w:t>
      </w:r>
      <w:r w:rsidR="007F7860">
        <w:t>,</w:t>
      </w:r>
      <w:r w:rsidR="00716D22">
        <w:t>489</w:t>
      </w:r>
      <w:r w:rsidR="004D7744">
        <w:t xml:space="preserve"> per day.</w:t>
      </w:r>
      <w:bookmarkEnd w:id="3"/>
      <w:r w:rsidR="004D7744">
        <w:t xml:space="preserve"> </w:t>
      </w:r>
    </w:p>
    <w:p w:rsidR="00F6754D" w:rsidRPr="00036350" w:rsidP="00616FC1">
      <w:pPr>
        <w:pStyle w:val="ParaNum"/>
        <w:widowControl/>
        <w:tabs>
          <w:tab w:val="clear" w:pos="1080"/>
          <w:tab w:val="num" w:pos="1440"/>
        </w:tabs>
      </w:pPr>
      <w:r w:rsidRPr="00BE70CC">
        <w:rPr>
          <w:b/>
          <w:i/>
        </w:rPr>
        <w:t>Notice of Duty to Comply with the Law</w:t>
      </w:r>
      <w:r w:rsidRPr="00BE70CC">
        <w:t xml:space="preserve">:  </w:t>
      </w:r>
      <w:r w:rsidRPr="00BE70CC" w:rsidR="00716E89">
        <w:t xml:space="preserve">We issue this Citation pursuant to </w:t>
      </w:r>
      <w:r w:rsidR="004D7744">
        <w:t>s</w:t>
      </w:r>
      <w:r w:rsidRPr="00BE70CC" w:rsidR="00716E89">
        <w:t xml:space="preserve">ection 503(b)(5) of the Communications Act of 1934, as amended (Act), which </w:t>
      </w:r>
      <w:r w:rsidRPr="00BE70CC" w:rsidR="00727F4F">
        <w:t xml:space="preserve">states that the Commission may not impose </w:t>
      </w:r>
      <w:r w:rsidRPr="00BE70CC" w:rsidR="00716E89">
        <w:t>monetary forfeitures against non-regulatees who violate Commission rules or the Act</w:t>
      </w:r>
      <w:r w:rsidRPr="00BE70CC" w:rsidR="00727F4F">
        <w:t xml:space="preserve"> </w:t>
      </w:r>
      <w:r w:rsidRPr="00BE70CC" w:rsidR="00C42D39">
        <w:t>unless and until</w:t>
      </w:r>
      <w:r w:rsidRPr="00BE70CC" w:rsidR="00BF39AF">
        <w:t xml:space="preserve">: </w:t>
      </w:r>
      <w:r w:rsidRPr="00BE70CC" w:rsidR="00716E89">
        <w:t xml:space="preserve"> (a)</w:t>
      </w:r>
      <w:r w:rsidRPr="00BE70CC" w:rsidR="00C42D39">
        <w:t xml:space="preserve"> the Commission</w:t>
      </w:r>
      <w:r w:rsidRPr="00BE70CC" w:rsidR="00716E89">
        <w:t xml:space="preserve"> issues a citation to the violator</w:t>
      </w:r>
      <w:r w:rsidRPr="00BE70CC" w:rsidR="00C42D39">
        <w:t xml:space="preserve">; (b) the Commission </w:t>
      </w:r>
      <w:r w:rsidRPr="00BE70CC" w:rsidR="00716E89">
        <w:t>provides the violator a reasonable opportunity to respond; and (c) the violator subsequently engages in conduct described in the citation.</w:t>
      </w:r>
      <w:r>
        <w:rPr>
          <w:rStyle w:val="FootnoteReference"/>
          <w:kern w:val="2"/>
          <w:szCs w:val="22"/>
        </w:rPr>
        <w:footnoteReference w:id="4"/>
      </w:r>
      <w:r w:rsidRPr="00BE70CC" w:rsidR="00716E89">
        <w:t xml:space="preserve">  </w:t>
      </w:r>
      <w:r w:rsidRPr="00036350" w:rsidR="004D7744">
        <w:rPr>
          <w:szCs w:val="22"/>
        </w:rPr>
        <w:t xml:space="preserve">Accordingly, </w:t>
      </w:r>
      <w:r w:rsidR="00732B61">
        <w:rPr>
          <w:szCs w:val="22"/>
        </w:rPr>
        <w:t>Piatek</w:t>
      </w:r>
      <w:r w:rsidRPr="00036350" w:rsidR="004D7744">
        <w:rPr>
          <w:szCs w:val="22"/>
        </w:rPr>
        <w:t xml:space="preserve"> </w:t>
      </w:r>
      <w:r w:rsidRPr="00036350" w:rsidR="004D7744">
        <w:rPr>
          <w:kern w:val="2"/>
          <w:szCs w:val="22"/>
        </w:rPr>
        <w:t xml:space="preserve">is hereby on notice that </w:t>
      </w:r>
      <w:r w:rsidR="00732B61">
        <w:rPr>
          <w:kern w:val="2"/>
          <w:szCs w:val="22"/>
        </w:rPr>
        <w:t>she</w:t>
      </w:r>
      <w:r w:rsidRPr="00036350" w:rsidR="00382491">
        <w:rPr>
          <w:kern w:val="2"/>
          <w:szCs w:val="22"/>
        </w:rPr>
        <w:t xml:space="preserve"> </w:t>
      </w:r>
      <w:r w:rsidRPr="00036350" w:rsidR="004D7744">
        <w:rPr>
          <w:kern w:val="2"/>
          <w:szCs w:val="22"/>
        </w:rPr>
        <w:t xml:space="preserve">must comply with </w:t>
      </w:r>
      <w:r w:rsidR="00080702">
        <w:t>section 301 of the Communications Act of 1934, as amended (Act),</w:t>
      </w:r>
      <w:r>
        <w:rPr>
          <w:rStyle w:val="FootnoteReference"/>
        </w:rPr>
        <w:footnoteReference w:id="5"/>
      </w:r>
      <w:r w:rsidR="00080702">
        <w:t xml:space="preserve"> and </w:t>
      </w:r>
      <w:r w:rsidRPr="00036350" w:rsidR="004D7744">
        <w:rPr>
          <w:kern w:val="2"/>
          <w:szCs w:val="22"/>
        </w:rPr>
        <w:t>section</w:t>
      </w:r>
      <w:r w:rsidR="00382491">
        <w:rPr>
          <w:kern w:val="2"/>
          <w:szCs w:val="22"/>
        </w:rPr>
        <w:t>s</w:t>
      </w:r>
      <w:r w:rsidRPr="00036350" w:rsidR="004D7744">
        <w:rPr>
          <w:kern w:val="2"/>
          <w:szCs w:val="22"/>
        </w:rPr>
        <w:t xml:space="preserve"> </w:t>
      </w:r>
      <w:r w:rsidRPr="00036350" w:rsidR="004D7744">
        <w:rPr>
          <w:color w:val="000000"/>
          <w:kern w:val="2"/>
          <w:szCs w:val="22"/>
        </w:rPr>
        <w:t>15(b) and 15(c) of the Commission’s rules.</w:t>
      </w:r>
      <w:r>
        <w:rPr>
          <w:rStyle w:val="FootnoteReference"/>
          <w:kern w:val="2"/>
          <w:szCs w:val="22"/>
        </w:rPr>
        <w:footnoteReference w:id="6"/>
      </w:r>
      <w:r w:rsidRPr="00036350" w:rsidR="004D7744">
        <w:rPr>
          <w:color w:val="000000"/>
          <w:kern w:val="2"/>
          <w:szCs w:val="22"/>
        </w:rPr>
        <w:t xml:space="preserve">  I</w:t>
      </w:r>
      <w:r w:rsidRPr="00036350" w:rsidR="004D7744">
        <w:rPr>
          <w:szCs w:val="22"/>
        </w:rPr>
        <w:t xml:space="preserve">f </w:t>
      </w:r>
      <w:r w:rsidR="00732B61">
        <w:rPr>
          <w:szCs w:val="22"/>
        </w:rPr>
        <w:t>Piatek</w:t>
      </w:r>
      <w:r w:rsidRPr="00036350" w:rsidR="004D7744">
        <w:rPr>
          <w:szCs w:val="22"/>
        </w:rPr>
        <w:t xml:space="preserve"> </w:t>
      </w:r>
      <w:r w:rsidRPr="00036350" w:rsidR="004D7744">
        <w:rPr>
          <w:kern w:val="2"/>
          <w:szCs w:val="22"/>
        </w:rPr>
        <w:t xml:space="preserve">subsequently engages in any conduct described in this Citation— and specifically any violation of </w:t>
      </w:r>
      <w:r w:rsidR="00080702">
        <w:rPr>
          <w:kern w:val="2"/>
          <w:szCs w:val="22"/>
        </w:rPr>
        <w:t xml:space="preserve">section 301 of the Act and </w:t>
      </w:r>
      <w:r w:rsidRPr="00036350" w:rsidR="004D7744">
        <w:rPr>
          <w:kern w:val="2"/>
          <w:szCs w:val="22"/>
        </w:rPr>
        <w:t>section</w:t>
      </w:r>
      <w:r w:rsidR="00382491">
        <w:rPr>
          <w:kern w:val="2"/>
          <w:szCs w:val="22"/>
        </w:rPr>
        <w:t>s</w:t>
      </w:r>
      <w:r w:rsidRPr="00036350" w:rsidR="004D7744">
        <w:rPr>
          <w:kern w:val="2"/>
          <w:szCs w:val="22"/>
        </w:rPr>
        <w:t xml:space="preserve"> </w:t>
      </w:r>
      <w:r w:rsidRPr="00036350" w:rsidR="004D7744">
        <w:rPr>
          <w:color w:val="000000"/>
          <w:kern w:val="2"/>
          <w:szCs w:val="22"/>
        </w:rPr>
        <w:t>15(b) and 15(c) of the Commission’s rules</w:t>
      </w:r>
      <w:r w:rsidRPr="00036350" w:rsidR="004D7744">
        <w:rPr>
          <w:szCs w:val="22"/>
        </w:rPr>
        <w:t xml:space="preserve"> — </w:t>
      </w:r>
      <w:r w:rsidR="0090213B">
        <w:rPr>
          <w:szCs w:val="22"/>
        </w:rPr>
        <w:t>she</w:t>
      </w:r>
      <w:r w:rsidRPr="00036350" w:rsidR="004D7744">
        <w:rPr>
          <w:szCs w:val="22"/>
        </w:rPr>
        <w:t xml:space="preserve"> </w:t>
      </w:r>
      <w:r w:rsidRPr="00036350" w:rsidR="004D7744">
        <w:rPr>
          <w:kern w:val="2"/>
          <w:szCs w:val="22"/>
        </w:rPr>
        <w:t>may be subject to civil penalties, including but not limited to, substantial monetary forfeitures.  In assessing such forfeitures, the Commission may consider both the conduct that led to this Citation and the conduct following it.</w:t>
      </w:r>
      <w:r>
        <w:rPr>
          <w:kern w:val="2"/>
          <w:szCs w:val="22"/>
          <w:vertAlign w:val="superscript"/>
        </w:rPr>
        <w:footnoteReference w:id="7"/>
      </w:r>
      <w:r w:rsidRPr="00036350" w:rsidR="004D7744">
        <w:rPr>
          <w:kern w:val="2"/>
          <w:szCs w:val="22"/>
        </w:rPr>
        <w:t xml:space="preserve">  </w:t>
      </w:r>
      <w:r w:rsidR="00732B61">
        <w:rPr>
          <w:kern w:val="2"/>
          <w:szCs w:val="22"/>
        </w:rPr>
        <w:t>Piatek</w:t>
      </w:r>
      <w:r w:rsidRPr="00036350" w:rsidR="004D7744">
        <w:rPr>
          <w:szCs w:val="22"/>
        </w:rPr>
        <w:t xml:space="preserve"> should take immediate steps to come into compliance with the Commission’s rules, including eliminating the interference.  </w:t>
      </w:r>
      <w:r w:rsidRPr="00036350">
        <w:rPr>
          <w:i/>
        </w:rPr>
        <w:t xml:space="preserve">  </w:t>
      </w:r>
    </w:p>
    <w:p w:rsidR="008B27C1" w:rsidRPr="00BE70CC" w:rsidP="00616FC1">
      <w:pPr>
        <w:pStyle w:val="ParaNum"/>
        <w:widowControl/>
        <w:tabs>
          <w:tab w:val="clear" w:pos="1080"/>
          <w:tab w:val="num" w:pos="1440"/>
        </w:tabs>
      </w:pPr>
      <w:bookmarkStart w:id="5" w:name="_Ref337821764"/>
      <w:r w:rsidRPr="00972667">
        <w:rPr>
          <w:b/>
          <w:i/>
          <w:noProof/>
          <w:color w:val="000000"/>
          <w:szCs w:val="22"/>
        </w:rPr>
        <w:t>Notice of Duty to Provide Information</w:t>
      </w:r>
      <w:r w:rsidRPr="00972667">
        <w:rPr>
          <w:noProof/>
          <w:color w:val="000000"/>
          <w:szCs w:val="22"/>
        </w:rPr>
        <w:t xml:space="preserve">:  Pursuant to </w:t>
      </w:r>
      <w:r>
        <w:rPr>
          <w:noProof/>
          <w:color w:val="000000"/>
          <w:szCs w:val="22"/>
        </w:rPr>
        <w:t>s</w:t>
      </w:r>
      <w:r w:rsidRPr="00972667">
        <w:rPr>
          <w:noProof/>
          <w:color w:val="000000"/>
          <w:szCs w:val="22"/>
        </w:rPr>
        <w:t>ections 4(i), 4(j), and 403 of the Act,</w:t>
      </w:r>
      <w:r>
        <w:rPr>
          <w:szCs w:val="22"/>
          <w:vertAlign w:val="superscript"/>
        </w:rPr>
        <w:footnoteReference w:id="8"/>
      </w:r>
      <w:r w:rsidRPr="00972667">
        <w:rPr>
          <w:noProof/>
          <w:color w:val="000000"/>
          <w:szCs w:val="22"/>
          <w:vertAlign w:val="superscript"/>
        </w:rPr>
        <w:t xml:space="preserve"> </w:t>
      </w:r>
      <w:r w:rsidRPr="00972667">
        <w:rPr>
          <w:noProof/>
          <w:color w:val="000000"/>
          <w:szCs w:val="22"/>
        </w:rPr>
        <w:t xml:space="preserve">we direct </w:t>
      </w:r>
      <w:r w:rsidR="00732B61">
        <w:rPr>
          <w:noProof/>
          <w:color w:val="000000"/>
          <w:szCs w:val="22"/>
        </w:rPr>
        <w:t>Piatek</w:t>
      </w:r>
      <w:r w:rsidRPr="00972667">
        <w:rPr>
          <w:noProof/>
          <w:color w:val="000000"/>
          <w:szCs w:val="22"/>
        </w:rPr>
        <w:t xml:space="preserve"> to respond in writing, within thirty (30) calendar days after the release date of this Citation, </w:t>
      </w:r>
      <w:bookmarkEnd w:id="5"/>
      <w:r w:rsidRPr="00972667">
        <w:rPr>
          <w:noProof/>
          <w:color w:val="000000"/>
          <w:szCs w:val="22"/>
        </w:rPr>
        <w:t>to the infor</w:t>
      </w:r>
      <w:r w:rsidRPr="00972667">
        <w:rPr>
          <w:noProof/>
          <w:color w:val="000000"/>
          <w:szCs w:val="22"/>
        </w:rPr>
        <w:t xml:space="preserve">mation and document requests set </w:t>
      </w:r>
      <w:r>
        <w:rPr>
          <w:noProof/>
          <w:color w:val="000000"/>
          <w:szCs w:val="22"/>
        </w:rPr>
        <w:t>forth</w:t>
      </w:r>
      <w:r w:rsidRPr="00972667">
        <w:rPr>
          <w:noProof/>
          <w:color w:val="000000"/>
          <w:szCs w:val="22"/>
        </w:rPr>
        <w:t xml:space="preserve"> in paragraph </w:t>
      </w:r>
      <w:r w:rsidR="00777202">
        <w:rPr>
          <w:noProof/>
          <w:color w:val="000000"/>
          <w:szCs w:val="22"/>
        </w:rPr>
        <w:fldChar w:fldCharType="begin"/>
      </w:r>
      <w:r w:rsidR="00777202">
        <w:rPr>
          <w:noProof/>
          <w:color w:val="000000"/>
          <w:szCs w:val="22"/>
        </w:rPr>
        <w:instrText xml:space="preserve"> REF _Ref39068366 \r \h </w:instrText>
      </w:r>
      <w:r w:rsidR="00777202">
        <w:rPr>
          <w:noProof/>
          <w:color w:val="000000"/>
          <w:szCs w:val="22"/>
        </w:rPr>
        <w:fldChar w:fldCharType="separate"/>
      </w:r>
      <w:r w:rsidR="00777202">
        <w:rPr>
          <w:noProof/>
          <w:color w:val="000000"/>
          <w:szCs w:val="22"/>
        </w:rPr>
        <w:t>10</w:t>
      </w:r>
      <w:r w:rsidR="00777202">
        <w:rPr>
          <w:noProof/>
          <w:color w:val="000000"/>
          <w:szCs w:val="22"/>
        </w:rPr>
        <w:fldChar w:fldCharType="end"/>
      </w:r>
      <w:r w:rsidR="00741606">
        <w:rPr>
          <w:noProof/>
          <w:color w:val="000000"/>
          <w:szCs w:val="22"/>
        </w:rPr>
        <w:t xml:space="preserve"> </w:t>
      </w:r>
      <w:r w:rsidRPr="00972667">
        <w:rPr>
          <w:noProof/>
          <w:color w:val="000000"/>
          <w:szCs w:val="22"/>
        </w:rPr>
        <w:t>below.</w:t>
      </w:r>
      <w:r w:rsidRPr="00F50F55">
        <w:rPr>
          <w:kern w:val="0"/>
        </w:rPr>
        <w:t xml:space="preserve"> </w:t>
      </w:r>
      <w:r w:rsidRPr="00036350" w:rsidR="006E6234">
        <w:rPr>
          <w:kern w:val="0"/>
        </w:rPr>
        <w:t xml:space="preserve"> </w:t>
      </w:r>
      <w:r w:rsidRPr="00BE70CC" w:rsidR="00716E89">
        <w:t xml:space="preserve"> </w:t>
      </w:r>
      <w:r w:rsidRPr="00036350" w:rsidR="00097330">
        <w:rPr>
          <w:i/>
        </w:rPr>
        <w:t xml:space="preserve"> </w:t>
      </w:r>
      <w:r w:rsidRPr="00036350">
        <w:rPr>
          <w:i/>
        </w:rPr>
        <w:t xml:space="preserve">  </w:t>
      </w:r>
    </w:p>
    <w:p w:rsidR="00E273E3" w:rsidRPr="00BE70CC" w:rsidP="00616FC1">
      <w:pPr>
        <w:pStyle w:val="Heading1"/>
        <w:widowControl/>
      </w:pPr>
      <w:bookmarkStart w:id="6" w:name="_Toc379288999"/>
      <w:bookmarkStart w:id="7" w:name="_Toc379365500"/>
      <w:r w:rsidRPr="00BE70CC">
        <w:t>BACKGROUND</w:t>
      </w:r>
      <w:bookmarkEnd w:id="6"/>
      <w:bookmarkEnd w:id="7"/>
      <w:r w:rsidRPr="00BE70CC" w:rsidR="00A8604A">
        <w:t xml:space="preserve"> </w:t>
      </w:r>
    </w:p>
    <w:p w:rsidR="00036350" w:rsidRPr="0003213A" w:rsidP="00616FC1">
      <w:pPr>
        <w:pStyle w:val="ParaNum"/>
        <w:widowControl/>
        <w:numPr>
          <w:ilvl w:val="0"/>
          <w:numId w:val="1"/>
        </w:numPr>
        <w:tabs>
          <w:tab w:val="clear" w:pos="1080"/>
          <w:tab w:val="num" w:pos="1440"/>
        </w:tabs>
        <w:rPr>
          <w:noProof/>
          <w:color w:val="000000"/>
          <w:szCs w:val="22"/>
        </w:rPr>
      </w:pPr>
      <w:bookmarkStart w:id="8" w:name="_Hlk13842166"/>
      <w:r w:rsidRPr="008E7D5F">
        <w:rPr>
          <w:noProof/>
          <w:color w:val="000000"/>
          <w:szCs w:val="22"/>
        </w:rPr>
        <w:t xml:space="preserve">The Commission is charged with protecting </w:t>
      </w:r>
      <w:r>
        <w:rPr>
          <w:noProof/>
          <w:color w:val="000000"/>
          <w:szCs w:val="22"/>
        </w:rPr>
        <w:t>licensed radio operations from harmful interference</w:t>
      </w:r>
      <w:r w:rsidRPr="008E7D5F">
        <w:rPr>
          <w:noProof/>
          <w:color w:val="000000"/>
          <w:szCs w:val="22"/>
        </w:rPr>
        <w:t xml:space="preserve">.  </w:t>
      </w:r>
      <w:r>
        <w:rPr>
          <w:noProof/>
          <w:color w:val="000000"/>
          <w:szCs w:val="22"/>
        </w:rPr>
        <w:t xml:space="preserve">Harmful interference to </w:t>
      </w:r>
      <w:r w:rsidR="00D9785C">
        <w:rPr>
          <w:noProof/>
          <w:color w:val="000000"/>
          <w:szCs w:val="22"/>
        </w:rPr>
        <w:t>the European Space Agency’s</w:t>
      </w:r>
      <w:r w:rsidR="0002561C">
        <w:rPr>
          <w:noProof/>
          <w:color w:val="000000"/>
          <w:szCs w:val="22"/>
        </w:rPr>
        <w:t xml:space="preserve">’s </w:t>
      </w:r>
      <w:r w:rsidR="0002561C">
        <w:rPr>
          <w:szCs w:val="22"/>
        </w:rPr>
        <w:t>S</w:t>
      </w:r>
      <w:r w:rsidRPr="000E4DFA" w:rsidR="008D633A">
        <w:rPr>
          <w:szCs w:val="22"/>
        </w:rPr>
        <w:t xml:space="preserve">oil </w:t>
      </w:r>
      <w:r w:rsidR="0002561C">
        <w:rPr>
          <w:szCs w:val="22"/>
        </w:rPr>
        <w:t>M</w:t>
      </w:r>
      <w:r w:rsidRPr="000E4DFA" w:rsidR="008D633A">
        <w:rPr>
          <w:szCs w:val="22"/>
        </w:rPr>
        <w:t>oisture</w:t>
      </w:r>
      <w:r w:rsidR="008723A4">
        <w:rPr>
          <w:szCs w:val="22"/>
        </w:rPr>
        <w:t xml:space="preserve"> and</w:t>
      </w:r>
      <w:r w:rsidRPr="000E4DFA" w:rsidR="008D633A">
        <w:rPr>
          <w:szCs w:val="22"/>
        </w:rPr>
        <w:t xml:space="preserve"> </w:t>
      </w:r>
      <w:r w:rsidR="0002561C">
        <w:rPr>
          <w:szCs w:val="22"/>
        </w:rPr>
        <w:t>O</w:t>
      </w:r>
      <w:r w:rsidRPr="000E4DFA" w:rsidR="008D633A">
        <w:rPr>
          <w:szCs w:val="22"/>
        </w:rPr>
        <w:t xml:space="preserve">cean </w:t>
      </w:r>
      <w:r w:rsidR="0002561C">
        <w:rPr>
          <w:szCs w:val="22"/>
        </w:rPr>
        <w:t>S</w:t>
      </w:r>
      <w:r w:rsidRPr="000E4DFA" w:rsidR="008D633A">
        <w:rPr>
          <w:szCs w:val="22"/>
        </w:rPr>
        <w:t>alinity</w:t>
      </w:r>
      <w:r w:rsidR="008D633A">
        <w:rPr>
          <w:szCs w:val="22"/>
        </w:rPr>
        <w:t xml:space="preserve"> </w:t>
      </w:r>
      <w:r w:rsidR="00AB1E50">
        <w:rPr>
          <w:noProof/>
          <w:color w:val="000000"/>
          <w:szCs w:val="22"/>
        </w:rPr>
        <w:t>s</w:t>
      </w:r>
      <w:r w:rsidR="000E4DFA">
        <w:rPr>
          <w:noProof/>
          <w:color w:val="000000"/>
          <w:szCs w:val="22"/>
        </w:rPr>
        <w:t>atellite</w:t>
      </w:r>
      <w:r>
        <w:rPr>
          <w:noProof/>
          <w:color w:val="000000"/>
          <w:szCs w:val="22"/>
        </w:rPr>
        <w:t xml:space="preserve"> is particularly problematic in that it can interfere with </w:t>
      </w:r>
      <w:r w:rsidR="0002561C">
        <w:rPr>
          <w:noProof/>
          <w:color w:val="000000"/>
          <w:szCs w:val="22"/>
        </w:rPr>
        <w:t xml:space="preserve">the </w:t>
      </w:r>
      <w:r w:rsidR="000E4DFA">
        <w:rPr>
          <w:noProof/>
          <w:color w:val="000000"/>
          <w:szCs w:val="22"/>
        </w:rPr>
        <w:t xml:space="preserve">satellite’s ability </w:t>
      </w:r>
      <w:r w:rsidRPr="00B27995" w:rsidR="00B27995">
        <w:rPr>
          <w:noProof/>
          <w:color w:val="000000"/>
          <w:szCs w:val="22"/>
        </w:rPr>
        <w:t>to map levels of soil moisture, sea surface salinity</w:t>
      </w:r>
      <w:r w:rsidRPr="00F41C71" w:rsidR="00B27995">
        <w:rPr>
          <w:color w:val="000000"/>
        </w:rPr>
        <w:t xml:space="preserve">, and </w:t>
      </w:r>
      <w:r w:rsidRPr="00B27995" w:rsidR="00B27995">
        <w:rPr>
          <w:noProof/>
          <w:color w:val="000000"/>
          <w:szCs w:val="22"/>
        </w:rPr>
        <w:t>sea ice thickness</w:t>
      </w:r>
      <w:r w:rsidRPr="008E7D5F">
        <w:rPr>
          <w:noProof/>
          <w:color w:val="000000"/>
          <w:szCs w:val="22"/>
        </w:rPr>
        <w:t xml:space="preserve">. </w:t>
      </w:r>
      <w:r w:rsidR="00AB1E50">
        <w:rPr>
          <w:noProof/>
          <w:color w:val="000000"/>
          <w:szCs w:val="22"/>
        </w:rPr>
        <w:t xml:space="preserve"> </w:t>
      </w:r>
      <w:r w:rsidR="00652F08">
        <w:t xml:space="preserve">In a report dated </w:t>
      </w:r>
      <w:r w:rsidR="00652F08">
        <w:rPr>
          <w:noProof/>
          <w:color w:val="000000"/>
          <w:szCs w:val="22"/>
        </w:rPr>
        <w:t>March 28, 2019,</w:t>
      </w:r>
      <w:r w:rsidRPr="00AB1E50" w:rsidR="00652F08">
        <w:t xml:space="preserve"> </w:t>
      </w:r>
      <w:r w:rsidR="008D633A">
        <w:t xml:space="preserve">the European Space Agency </w:t>
      </w:r>
      <w:r w:rsidR="00652F08">
        <w:t xml:space="preserve">informed </w:t>
      </w:r>
      <w:r w:rsidR="0090213B">
        <w:t xml:space="preserve">the </w:t>
      </w:r>
      <w:r w:rsidR="008718A0">
        <w:t xml:space="preserve">Commission that </w:t>
      </w:r>
      <w:r w:rsidR="008718A0">
        <w:rPr>
          <w:noProof/>
          <w:color w:val="000000"/>
          <w:szCs w:val="22"/>
        </w:rPr>
        <w:t>it had</w:t>
      </w:r>
      <w:r w:rsidR="00AB1E50">
        <w:rPr>
          <w:noProof/>
          <w:color w:val="000000"/>
          <w:szCs w:val="22"/>
        </w:rPr>
        <w:t xml:space="preserve"> detected active interference with its </w:t>
      </w:r>
      <w:r w:rsidR="002644C9">
        <w:rPr>
          <w:noProof/>
          <w:color w:val="000000"/>
          <w:szCs w:val="22"/>
        </w:rPr>
        <w:t>Soil Moisture</w:t>
      </w:r>
      <w:r w:rsidR="008723A4">
        <w:rPr>
          <w:noProof/>
          <w:color w:val="000000"/>
          <w:szCs w:val="22"/>
        </w:rPr>
        <w:t xml:space="preserve"> and</w:t>
      </w:r>
      <w:r w:rsidR="002644C9">
        <w:rPr>
          <w:noProof/>
          <w:color w:val="000000"/>
          <w:szCs w:val="22"/>
        </w:rPr>
        <w:t xml:space="preserve"> Ocean Salinity</w:t>
      </w:r>
      <w:r w:rsidRPr="00AB1E50" w:rsidR="00AB1E50">
        <w:rPr>
          <w:noProof/>
          <w:color w:val="000000"/>
          <w:szCs w:val="22"/>
        </w:rPr>
        <w:t xml:space="preserve"> </w:t>
      </w:r>
      <w:r w:rsidR="008723A4">
        <w:rPr>
          <w:noProof/>
          <w:color w:val="000000"/>
          <w:szCs w:val="22"/>
        </w:rPr>
        <w:t>s</w:t>
      </w:r>
      <w:r w:rsidRPr="00AB1E50" w:rsidR="00AB1E50">
        <w:rPr>
          <w:noProof/>
          <w:color w:val="000000"/>
          <w:szCs w:val="22"/>
        </w:rPr>
        <w:t xml:space="preserve">atellite </w:t>
      </w:r>
      <w:r w:rsidR="00D9785C">
        <w:rPr>
          <w:noProof/>
          <w:color w:val="000000"/>
          <w:szCs w:val="22"/>
        </w:rPr>
        <w:t>em</w:t>
      </w:r>
      <w:r w:rsidR="002B2D76">
        <w:rPr>
          <w:noProof/>
          <w:color w:val="000000"/>
          <w:szCs w:val="22"/>
        </w:rPr>
        <w:t>a</w:t>
      </w:r>
      <w:r w:rsidR="00D9785C">
        <w:rPr>
          <w:noProof/>
          <w:color w:val="000000"/>
          <w:szCs w:val="22"/>
        </w:rPr>
        <w:t>nating from a location near</w:t>
      </w:r>
      <w:r w:rsidRPr="00AB1E50" w:rsidR="00AB1E50">
        <w:rPr>
          <w:noProof/>
          <w:color w:val="000000"/>
          <w:szCs w:val="22"/>
        </w:rPr>
        <w:t xml:space="preserve"> Windermere, </w:t>
      </w:r>
      <w:r w:rsidR="0090213B">
        <w:rPr>
          <w:noProof/>
          <w:color w:val="000000"/>
          <w:szCs w:val="22"/>
        </w:rPr>
        <w:t>Florida</w:t>
      </w:r>
      <w:r w:rsidRPr="0003213A">
        <w:rPr>
          <w:noProof/>
          <w:color w:val="000000"/>
          <w:szCs w:val="22"/>
        </w:rPr>
        <w:t>.</w:t>
      </w:r>
      <w:r>
        <w:rPr>
          <w:rStyle w:val="FootnoteReference"/>
          <w:noProof/>
          <w:szCs w:val="22"/>
        </w:rPr>
        <w:footnoteReference w:id="9"/>
      </w:r>
      <w:r w:rsidRPr="0003213A">
        <w:rPr>
          <w:noProof/>
          <w:color w:val="000000"/>
          <w:szCs w:val="22"/>
        </w:rPr>
        <w:t xml:space="preserve"> </w:t>
      </w:r>
      <w:r w:rsidR="00D9785C">
        <w:rPr>
          <w:noProof/>
          <w:color w:val="000000"/>
          <w:szCs w:val="22"/>
        </w:rPr>
        <w:t xml:space="preserve"> </w:t>
      </w:r>
      <w:r w:rsidR="008723A4">
        <w:rPr>
          <w:noProof/>
          <w:color w:val="000000"/>
          <w:szCs w:val="22"/>
        </w:rPr>
        <w:t>The</w:t>
      </w:r>
      <w:r w:rsidRPr="0003213A">
        <w:rPr>
          <w:noProof/>
          <w:color w:val="000000"/>
          <w:szCs w:val="22"/>
        </w:rPr>
        <w:t xml:space="preserve"> </w:t>
      </w:r>
      <w:bookmarkEnd w:id="8"/>
      <w:r w:rsidR="002644C9">
        <w:rPr>
          <w:noProof/>
          <w:color w:val="000000"/>
          <w:szCs w:val="22"/>
        </w:rPr>
        <w:t>European Space Agency</w:t>
      </w:r>
      <w:r w:rsidR="00ED0916">
        <w:rPr>
          <w:noProof/>
          <w:color w:val="000000"/>
          <w:szCs w:val="22"/>
        </w:rPr>
        <w:t>’s</w:t>
      </w:r>
      <w:r w:rsidR="008718A0">
        <w:rPr>
          <w:noProof/>
          <w:color w:val="000000"/>
          <w:szCs w:val="22"/>
        </w:rPr>
        <w:t xml:space="preserve"> </w:t>
      </w:r>
      <w:r w:rsidR="002644C9">
        <w:rPr>
          <w:noProof/>
          <w:color w:val="000000"/>
          <w:szCs w:val="22"/>
        </w:rPr>
        <w:t>Soil Moisture Ocean Salinity</w:t>
      </w:r>
      <w:r w:rsidR="008718A0">
        <w:rPr>
          <w:noProof/>
          <w:color w:val="000000"/>
          <w:szCs w:val="22"/>
        </w:rPr>
        <w:t xml:space="preserve"> satel</w:t>
      </w:r>
      <w:r w:rsidR="00EE2D65">
        <w:rPr>
          <w:noProof/>
          <w:color w:val="000000"/>
          <w:szCs w:val="22"/>
        </w:rPr>
        <w:t>l</w:t>
      </w:r>
      <w:r w:rsidR="008718A0">
        <w:rPr>
          <w:noProof/>
          <w:color w:val="000000"/>
          <w:szCs w:val="22"/>
        </w:rPr>
        <w:t xml:space="preserve">ite </w:t>
      </w:r>
      <w:r w:rsidR="008718A0">
        <w:t>perform</w:t>
      </w:r>
      <w:r w:rsidR="002810D6">
        <w:t>s</w:t>
      </w:r>
      <w:r w:rsidR="008718A0">
        <w:t xml:space="preserve"> measurements in the 1400-1427 MHz band to observe soil moisture over landmasses and salinity over oceans.</w:t>
      </w:r>
    </w:p>
    <w:p w:rsidR="00036350" w:rsidRPr="003C55A6" w:rsidP="00616FC1">
      <w:pPr>
        <w:pStyle w:val="ParaNum"/>
        <w:widowControl/>
        <w:numPr>
          <w:ilvl w:val="0"/>
          <w:numId w:val="1"/>
        </w:numPr>
        <w:tabs>
          <w:tab w:val="clear" w:pos="1080"/>
          <w:tab w:val="num" w:pos="1440"/>
        </w:tabs>
        <w:rPr>
          <w:noProof/>
          <w:color w:val="000000"/>
          <w:szCs w:val="22"/>
        </w:rPr>
      </w:pPr>
      <w:bookmarkStart w:id="9" w:name="_Hlk39757602"/>
      <w:r w:rsidRPr="00023CF6">
        <w:rPr>
          <w:szCs w:val="22"/>
        </w:rPr>
        <w:t xml:space="preserve">On May 22, 2019, </w:t>
      </w:r>
      <w:r>
        <w:rPr>
          <w:szCs w:val="22"/>
        </w:rPr>
        <w:t xml:space="preserve">in response to </w:t>
      </w:r>
      <w:r w:rsidR="008723A4">
        <w:rPr>
          <w:szCs w:val="22"/>
        </w:rPr>
        <w:t xml:space="preserve">the </w:t>
      </w:r>
      <w:r w:rsidR="002644C9">
        <w:rPr>
          <w:szCs w:val="22"/>
        </w:rPr>
        <w:t>European Space Agency</w:t>
      </w:r>
      <w:r>
        <w:rPr>
          <w:szCs w:val="22"/>
        </w:rPr>
        <w:t xml:space="preserve">’s </w:t>
      </w:r>
      <w:r w:rsidR="001E6E59">
        <w:rPr>
          <w:szCs w:val="22"/>
        </w:rPr>
        <w:t>report</w:t>
      </w:r>
      <w:r>
        <w:rPr>
          <w:szCs w:val="22"/>
        </w:rPr>
        <w:t xml:space="preserve">, </w:t>
      </w:r>
      <w:r w:rsidR="006A0365">
        <w:rPr>
          <w:szCs w:val="22"/>
        </w:rPr>
        <w:t>a</w:t>
      </w:r>
      <w:r w:rsidRPr="00023CF6">
        <w:rPr>
          <w:szCs w:val="22"/>
        </w:rPr>
        <w:t>gents from the</w:t>
      </w:r>
      <w:r>
        <w:rPr>
          <w:szCs w:val="22"/>
        </w:rPr>
        <w:t xml:space="preserve"> Commission’s</w:t>
      </w:r>
      <w:r w:rsidRPr="00023CF6">
        <w:rPr>
          <w:szCs w:val="22"/>
        </w:rPr>
        <w:t xml:space="preserve"> Miami</w:t>
      </w:r>
      <w:r>
        <w:rPr>
          <w:szCs w:val="22"/>
        </w:rPr>
        <w:t xml:space="preserve"> Field</w:t>
      </w:r>
      <w:r w:rsidRPr="00023CF6">
        <w:rPr>
          <w:szCs w:val="22"/>
        </w:rPr>
        <w:t xml:space="preserve"> Office</w:t>
      </w:r>
      <w:r>
        <w:rPr>
          <w:szCs w:val="22"/>
        </w:rPr>
        <w:t xml:space="preserve"> </w:t>
      </w:r>
      <w:r w:rsidR="00BB76A2">
        <w:rPr>
          <w:szCs w:val="22"/>
        </w:rPr>
        <w:t xml:space="preserve">(Miami Office) </w:t>
      </w:r>
      <w:r>
        <w:rPr>
          <w:szCs w:val="22"/>
        </w:rPr>
        <w:t xml:space="preserve">conducted an on-scene investigation and </w:t>
      </w:r>
      <w:r w:rsidRPr="00023CF6">
        <w:rPr>
          <w:szCs w:val="22"/>
        </w:rPr>
        <w:t>confirmed by direction</w:t>
      </w:r>
      <w:r w:rsidR="006A0365">
        <w:rPr>
          <w:szCs w:val="22"/>
        </w:rPr>
        <w:t>-</w:t>
      </w:r>
      <w:r w:rsidRPr="00023CF6">
        <w:rPr>
          <w:szCs w:val="22"/>
        </w:rPr>
        <w:t>finding techniques that radio emissions in the 1400-142</w:t>
      </w:r>
      <w:r w:rsidR="00BB76A2">
        <w:rPr>
          <w:szCs w:val="22"/>
        </w:rPr>
        <w:t>9</w:t>
      </w:r>
      <w:r w:rsidRPr="00023CF6">
        <w:rPr>
          <w:szCs w:val="22"/>
        </w:rPr>
        <w:t xml:space="preserve"> MHz</w:t>
      </w:r>
      <w:r>
        <w:rPr>
          <w:rStyle w:val="FootnoteReference"/>
          <w:szCs w:val="22"/>
        </w:rPr>
        <w:footnoteReference w:id="10"/>
      </w:r>
      <w:r w:rsidRPr="00023CF6">
        <w:rPr>
          <w:rStyle w:val="FootnoteReference"/>
          <w:szCs w:val="22"/>
        </w:rPr>
        <w:t xml:space="preserve"> </w:t>
      </w:r>
      <w:r w:rsidRPr="00023CF6">
        <w:rPr>
          <w:szCs w:val="22"/>
        </w:rPr>
        <w:t xml:space="preserve"> band were emanating from a radio transmitting device (wireless camera) externally mounted near the garage at </w:t>
      </w:r>
      <w:r w:rsidR="00BB76A2">
        <w:rPr>
          <w:szCs w:val="22"/>
        </w:rPr>
        <w:t>Piatek’s</w:t>
      </w:r>
      <w:r w:rsidRPr="00023CF6">
        <w:rPr>
          <w:szCs w:val="22"/>
        </w:rPr>
        <w:t xml:space="preserve"> residence </w:t>
      </w:r>
      <w:r w:rsidR="00ED0916">
        <w:rPr>
          <w:szCs w:val="22"/>
        </w:rPr>
        <w:t>in</w:t>
      </w:r>
      <w:r w:rsidRPr="00E93A72" w:rsidR="00E93A72">
        <w:rPr>
          <w:szCs w:val="22"/>
        </w:rPr>
        <w:t xml:space="preserve"> Winter Garden, F</w:t>
      </w:r>
      <w:r w:rsidR="00AB5A82">
        <w:rPr>
          <w:szCs w:val="22"/>
        </w:rPr>
        <w:t>lorida</w:t>
      </w:r>
      <w:r w:rsidRPr="00023CF6">
        <w:rPr>
          <w:szCs w:val="22"/>
        </w:rPr>
        <w:t>.</w:t>
      </w:r>
      <w:r>
        <w:rPr>
          <w:rStyle w:val="FootnoteReference"/>
          <w:szCs w:val="22"/>
        </w:rPr>
        <w:footnoteReference w:id="11"/>
      </w:r>
    </w:p>
    <w:bookmarkEnd w:id="9"/>
    <w:p w:rsidR="00036350" w:rsidRPr="00972667" w:rsidP="00616FC1">
      <w:pPr>
        <w:pStyle w:val="ParaNum"/>
        <w:widowControl/>
        <w:numPr>
          <w:ilvl w:val="0"/>
          <w:numId w:val="1"/>
        </w:numPr>
        <w:tabs>
          <w:tab w:val="clear" w:pos="1080"/>
          <w:tab w:val="num" w:pos="1440"/>
        </w:tabs>
        <w:rPr>
          <w:noProof/>
          <w:color w:val="000000"/>
          <w:szCs w:val="22"/>
        </w:rPr>
      </w:pPr>
      <w:r w:rsidRPr="00972667">
        <w:rPr>
          <w:noProof/>
          <w:color w:val="000000"/>
          <w:szCs w:val="22"/>
        </w:rPr>
        <w:t xml:space="preserve">On </w:t>
      </w:r>
      <w:r w:rsidR="00BB76A2">
        <w:rPr>
          <w:noProof/>
          <w:color w:val="000000"/>
          <w:szCs w:val="22"/>
        </w:rPr>
        <w:t>May 22</w:t>
      </w:r>
      <w:r w:rsidRPr="00972667">
        <w:rPr>
          <w:noProof/>
          <w:color w:val="000000"/>
          <w:szCs w:val="22"/>
        </w:rPr>
        <w:t xml:space="preserve">, </w:t>
      </w:r>
      <w:r w:rsidR="00BB76A2">
        <w:rPr>
          <w:noProof/>
          <w:color w:val="000000"/>
          <w:szCs w:val="22"/>
        </w:rPr>
        <w:t>2019</w:t>
      </w:r>
      <w:r w:rsidR="006A0365">
        <w:rPr>
          <w:noProof/>
          <w:color w:val="000000"/>
          <w:szCs w:val="22"/>
        </w:rPr>
        <w:t>,</w:t>
      </w:r>
      <w:r w:rsidR="00BB76A2">
        <w:rPr>
          <w:noProof/>
          <w:color w:val="000000"/>
          <w:szCs w:val="22"/>
        </w:rPr>
        <w:t xml:space="preserve"> </w:t>
      </w:r>
      <w:r w:rsidRPr="00972667">
        <w:rPr>
          <w:noProof/>
          <w:color w:val="000000"/>
          <w:szCs w:val="22"/>
        </w:rPr>
        <w:t xml:space="preserve">the </w:t>
      </w:r>
      <w:r w:rsidR="00BB76A2">
        <w:rPr>
          <w:noProof/>
          <w:color w:val="000000"/>
          <w:szCs w:val="22"/>
        </w:rPr>
        <w:t>Miami</w:t>
      </w:r>
      <w:r w:rsidRPr="00972667">
        <w:rPr>
          <w:noProof/>
          <w:color w:val="000000"/>
          <w:szCs w:val="22"/>
        </w:rPr>
        <w:t xml:space="preserve"> Office </w:t>
      </w:r>
      <w:r w:rsidR="00DE446B">
        <w:rPr>
          <w:noProof/>
          <w:color w:val="000000"/>
          <w:szCs w:val="22"/>
        </w:rPr>
        <w:t>issued</w:t>
      </w:r>
      <w:r w:rsidRPr="00972667">
        <w:rPr>
          <w:noProof/>
          <w:color w:val="000000"/>
          <w:szCs w:val="22"/>
        </w:rPr>
        <w:t xml:space="preserve"> an on-scene warning notice (Warning) to </w:t>
      </w:r>
      <w:r w:rsidR="00BB76A2">
        <w:rPr>
          <w:noProof/>
          <w:color w:val="000000"/>
          <w:szCs w:val="22"/>
        </w:rPr>
        <w:t>Piatek</w:t>
      </w:r>
      <w:r w:rsidRPr="00972667">
        <w:rPr>
          <w:noProof/>
          <w:color w:val="000000"/>
          <w:szCs w:val="22"/>
        </w:rPr>
        <w:t xml:space="preserve">, informing </w:t>
      </w:r>
      <w:r w:rsidR="00BB76A2">
        <w:rPr>
          <w:noProof/>
          <w:color w:val="000000"/>
          <w:szCs w:val="22"/>
        </w:rPr>
        <w:t>her</w:t>
      </w:r>
      <w:r>
        <w:rPr>
          <w:noProof/>
          <w:color w:val="000000"/>
          <w:szCs w:val="22"/>
        </w:rPr>
        <w:t xml:space="preserve"> that </w:t>
      </w:r>
      <w:r w:rsidR="00BB76A2">
        <w:rPr>
          <w:noProof/>
          <w:color w:val="000000"/>
          <w:szCs w:val="22"/>
        </w:rPr>
        <w:t>she</w:t>
      </w:r>
      <w:r w:rsidR="00534B85">
        <w:rPr>
          <w:noProof/>
          <w:color w:val="000000"/>
          <w:szCs w:val="22"/>
        </w:rPr>
        <w:t xml:space="preserve"> was</w:t>
      </w:r>
      <w:r>
        <w:rPr>
          <w:noProof/>
          <w:color w:val="000000"/>
          <w:szCs w:val="22"/>
        </w:rPr>
        <w:t xml:space="preserve"> operating </w:t>
      </w:r>
      <w:r w:rsidRPr="00972667">
        <w:rPr>
          <w:noProof/>
          <w:color w:val="000000"/>
          <w:szCs w:val="22"/>
        </w:rPr>
        <w:t>a radio frequency</w:t>
      </w:r>
      <w:r w:rsidR="008D633A">
        <w:rPr>
          <w:noProof/>
          <w:color w:val="000000"/>
          <w:szCs w:val="22"/>
        </w:rPr>
        <w:t xml:space="preserve"> </w:t>
      </w:r>
      <w:r w:rsidRPr="00972667">
        <w:rPr>
          <w:noProof/>
          <w:color w:val="000000"/>
          <w:szCs w:val="22"/>
        </w:rPr>
        <w:t>radiating device</w:t>
      </w:r>
      <w:r>
        <w:rPr>
          <w:noProof/>
          <w:color w:val="000000"/>
          <w:szCs w:val="22"/>
        </w:rPr>
        <w:t xml:space="preserve"> </w:t>
      </w:r>
      <w:r w:rsidRPr="00972667">
        <w:rPr>
          <w:noProof/>
          <w:color w:val="000000"/>
          <w:szCs w:val="22"/>
        </w:rPr>
        <w:t>which was causing harmful interference to radio communications.</w:t>
      </w:r>
      <w:bookmarkStart w:id="10" w:name="_Ref39756261"/>
      <w:r>
        <w:rPr>
          <w:rStyle w:val="FootnoteReference"/>
          <w:noProof/>
          <w:szCs w:val="22"/>
        </w:rPr>
        <w:footnoteReference w:id="12"/>
      </w:r>
      <w:bookmarkEnd w:id="10"/>
      <w:r w:rsidRPr="00972667">
        <w:rPr>
          <w:noProof/>
          <w:color w:val="000000"/>
          <w:szCs w:val="22"/>
        </w:rPr>
        <w:t xml:space="preserve">  The letter stated that the </w:t>
      </w:r>
      <w:r w:rsidR="008D633A">
        <w:rPr>
          <w:noProof/>
          <w:color w:val="000000"/>
          <w:szCs w:val="22"/>
        </w:rPr>
        <w:t>radio frequency</w:t>
      </w:r>
      <w:r w:rsidRPr="00972667" w:rsidR="008D633A">
        <w:rPr>
          <w:noProof/>
          <w:color w:val="000000"/>
          <w:szCs w:val="22"/>
        </w:rPr>
        <w:t xml:space="preserve"> </w:t>
      </w:r>
      <w:r w:rsidRPr="00972667">
        <w:rPr>
          <w:noProof/>
          <w:color w:val="000000"/>
          <w:szCs w:val="22"/>
        </w:rPr>
        <w:t xml:space="preserve">energy emanating from the device was detected </w:t>
      </w:r>
      <w:r w:rsidRPr="00834179">
        <w:rPr>
          <w:noProof/>
          <w:color w:val="000000"/>
          <w:szCs w:val="22"/>
        </w:rPr>
        <w:t xml:space="preserve">in the </w:t>
      </w:r>
      <w:r w:rsidR="00BB76A2">
        <w:rPr>
          <w:noProof/>
          <w:color w:val="000000"/>
          <w:szCs w:val="22"/>
        </w:rPr>
        <w:t>1400-1429</w:t>
      </w:r>
      <w:r>
        <w:rPr>
          <w:noProof/>
          <w:color w:val="000000"/>
          <w:szCs w:val="22"/>
        </w:rPr>
        <w:t xml:space="preserve"> MHz </w:t>
      </w:r>
      <w:r w:rsidRPr="00834179">
        <w:rPr>
          <w:noProof/>
          <w:color w:val="000000"/>
          <w:szCs w:val="22"/>
        </w:rPr>
        <w:t>band</w:t>
      </w:r>
      <w:r w:rsidRPr="00972667">
        <w:rPr>
          <w:noProof/>
          <w:color w:val="000000"/>
          <w:szCs w:val="22"/>
        </w:rPr>
        <w:t xml:space="preserve">, frequencies reserved </w:t>
      </w:r>
      <w:r w:rsidR="00583D1F">
        <w:rPr>
          <w:noProof/>
          <w:color w:val="000000"/>
          <w:szCs w:val="22"/>
        </w:rPr>
        <w:t xml:space="preserve">primarily </w:t>
      </w:r>
      <w:r w:rsidRPr="00972667">
        <w:rPr>
          <w:noProof/>
          <w:color w:val="000000"/>
          <w:szCs w:val="22"/>
        </w:rPr>
        <w:t xml:space="preserve">for </w:t>
      </w:r>
      <w:r w:rsidR="00937C78">
        <w:rPr>
          <w:noProof/>
          <w:color w:val="000000"/>
          <w:szCs w:val="22"/>
        </w:rPr>
        <w:t>space and</w:t>
      </w:r>
      <w:r w:rsidR="00583D1F">
        <w:rPr>
          <w:noProof/>
          <w:color w:val="000000"/>
          <w:szCs w:val="22"/>
        </w:rPr>
        <w:t xml:space="preserve"> radio astronomy</w:t>
      </w:r>
      <w:r w:rsidRPr="00972667">
        <w:rPr>
          <w:noProof/>
          <w:color w:val="000000"/>
          <w:szCs w:val="22"/>
        </w:rPr>
        <w:t>.</w:t>
      </w:r>
      <w:r>
        <w:rPr>
          <w:rStyle w:val="FootnoteReference"/>
          <w:noProof/>
          <w:szCs w:val="22"/>
        </w:rPr>
        <w:footnoteReference w:id="13"/>
      </w:r>
      <w:r w:rsidRPr="00972667">
        <w:rPr>
          <w:noProof/>
          <w:color w:val="000000"/>
          <w:szCs w:val="22"/>
        </w:rPr>
        <w:t xml:space="preserve">  Furthermor</w:t>
      </w:r>
      <w:r w:rsidRPr="00972667">
        <w:rPr>
          <w:noProof/>
          <w:color w:val="000000"/>
          <w:szCs w:val="22"/>
        </w:rPr>
        <w:t xml:space="preserve">e, the Warning provided citations to applicable </w:t>
      </w:r>
      <w:r>
        <w:rPr>
          <w:noProof/>
          <w:color w:val="000000"/>
          <w:szCs w:val="22"/>
        </w:rPr>
        <w:t>Commission rules</w:t>
      </w:r>
      <w:r w:rsidRPr="00972667">
        <w:rPr>
          <w:noProof/>
          <w:color w:val="000000"/>
          <w:szCs w:val="22"/>
        </w:rPr>
        <w:t xml:space="preserve"> and regulations, with which </w:t>
      </w:r>
      <w:r w:rsidR="00583D1F">
        <w:rPr>
          <w:noProof/>
          <w:color w:val="000000"/>
          <w:szCs w:val="22"/>
        </w:rPr>
        <w:t>Piatek</w:t>
      </w:r>
      <w:r w:rsidRPr="00972667">
        <w:rPr>
          <w:noProof/>
          <w:color w:val="000000"/>
          <w:szCs w:val="22"/>
        </w:rPr>
        <w:t xml:space="preserve"> was advised </w:t>
      </w:r>
      <w:r>
        <w:rPr>
          <w:noProof/>
          <w:color w:val="000000"/>
          <w:szCs w:val="22"/>
        </w:rPr>
        <w:t xml:space="preserve">that </w:t>
      </w:r>
      <w:r w:rsidR="00583D1F">
        <w:rPr>
          <w:noProof/>
          <w:color w:val="000000"/>
          <w:szCs w:val="22"/>
        </w:rPr>
        <w:t>she</w:t>
      </w:r>
      <w:r w:rsidRPr="00972667" w:rsidR="00415A35">
        <w:rPr>
          <w:noProof/>
          <w:color w:val="000000"/>
          <w:szCs w:val="22"/>
        </w:rPr>
        <w:t xml:space="preserve"> </w:t>
      </w:r>
      <w:r w:rsidRPr="00972667">
        <w:rPr>
          <w:noProof/>
          <w:color w:val="000000"/>
          <w:szCs w:val="22"/>
        </w:rPr>
        <w:t>must comply.</w:t>
      </w:r>
      <w:r>
        <w:rPr>
          <w:rStyle w:val="FootnoteReference"/>
          <w:noProof/>
          <w:szCs w:val="22"/>
        </w:rPr>
        <w:footnoteReference w:id="14"/>
      </w:r>
      <w:r w:rsidRPr="00972667">
        <w:rPr>
          <w:noProof/>
          <w:color w:val="000000"/>
          <w:szCs w:val="22"/>
        </w:rPr>
        <w:t xml:space="preserve">  </w:t>
      </w:r>
      <w:bookmarkStart w:id="11" w:name="_Hlk13841159"/>
      <w:r w:rsidRPr="00972667">
        <w:rPr>
          <w:noProof/>
          <w:color w:val="000000"/>
          <w:szCs w:val="22"/>
        </w:rPr>
        <w:t xml:space="preserve">The </w:t>
      </w:r>
      <w:r w:rsidR="00583D1F">
        <w:rPr>
          <w:noProof/>
          <w:color w:val="000000"/>
          <w:szCs w:val="22"/>
        </w:rPr>
        <w:t>Miami</w:t>
      </w:r>
      <w:r>
        <w:rPr>
          <w:noProof/>
          <w:color w:val="000000"/>
          <w:szCs w:val="22"/>
        </w:rPr>
        <w:t xml:space="preserve"> Office</w:t>
      </w:r>
      <w:r w:rsidRPr="00972667">
        <w:rPr>
          <w:noProof/>
          <w:color w:val="000000"/>
          <w:szCs w:val="22"/>
        </w:rPr>
        <w:t xml:space="preserve"> agent </w:t>
      </w:r>
      <w:r w:rsidR="00583D1F">
        <w:rPr>
          <w:noProof/>
          <w:color w:val="000000"/>
          <w:szCs w:val="22"/>
        </w:rPr>
        <w:t>left</w:t>
      </w:r>
      <w:r w:rsidRPr="00972667">
        <w:rPr>
          <w:noProof/>
          <w:color w:val="000000"/>
          <w:szCs w:val="22"/>
        </w:rPr>
        <w:t xml:space="preserve"> the Warning </w:t>
      </w:r>
      <w:r w:rsidR="00583D1F">
        <w:rPr>
          <w:noProof/>
          <w:color w:val="000000"/>
          <w:szCs w:val="22"/>
        </w:rPr>
        <w:t>under the doormat at Piatek’s residence</w:t>
      </w:r>
      <w:r>
        <w:rPr>
          <w:noProof/>
          <w:color w:val="000000"/>
          <w:szCs w:val="22"/>
        </w:rPr>
        <w:t>.</w:t>
      </w:r>
    </w:p>
    <w:bookmarkEnd w:id="11"/>
    <w:p w:rsidR="00036350" w:rsidRPr="00EB7DF0" w:rsidP="00616FC1">
      <w:pPr>
        <w:pStyle w:val="ParaNum"/>
        <w:widowControl/>
        <w:numPr>
          <w:ilvl w:val="0"/>
          <w:numId w:val="1"/>
        </w:numPr>
        <w:tabs>
          <w:tab w:val="clear" w:pos="1080"/>
          <w:tab w:val="num" w:pos="1440"/>
        </w:tabs>
        <w:rPr>
          <w:noProof/>
          <w:color w:val="000000"/>
          <w:szCs w:val="22"/>
        </w:rPr>
      </w:pPr>
      <w:r w:rsidRPr="00972667">
        <w:rPr>
          <w:noProof/>
          <w:color w:val="000000"/>
          <w:szCs w:val="22"/>
        </w:rPr>
        <w:t xml:space="preserve">On </w:t>
      </w:r>
      <w:r w:rsidR="00B22FB3">
        <w:rPr>
          <w:noProof/>
          <w:color w:val="000000"/>
          <w:szCs w:val="22"/>
        </w:rPr>
        <w:t>July 1</w:t>
      </w:r>
      <w:r>
        <w:rPr>
          <w:noProof/>
          <w:color w:val="000000"/>
          <w:szCs w:val="22"/>
        </w:rPr>
        <w:t>8</w:t>
      </w:r>
      <w:r w:rsidRPr="00972667">
        <w:rPr>
          <w:noProof/>
          <w:color w:val="000000"/>
          <w:szCs w:val="22"/>
        </w:rPr>
        <w:t>, 201</w:t>
      </w:r>
      <w:r>
        <w:rPr>
          <w:noProof/>
          <w:color w:val="000000"/>
          <w:szCs w:val="22"/>
        </w:rPr>
        <w:t>9</w:t>
      </w:r>
      <w:r w:rsidRPr="00972667">
        <w:rPr>
          <w:noProof/>
          <w:color w:val="000000"/>
          <w:szCs w:val="22"/>
        </w:rPr>
        <w:t xml:space="preserve">, the Bureau sent, via First Class Mail and </w:t>
      </w:r>
      <w:r w:rsidR="00223C7A">
        <w:rPr>
          <w:noProof/>
          <w:color w:val="000000"/>
          <w:szCs w:val="22"/>
        </w:rPr>
        <w:t>UPS, Signature Required with Delivery Confirmation</w:t>
      </w:r>
      <w:r w:rsidRPr="00972667">
        <w:rPr>
          <w:noProof/>
          <w:color w:val="000000"/>
          <w:szCs w:val="22"/>
        </w:rPr>
        <w:t xml:space="preserve">, a Notice of Harmful Interference (Second Warning) to </w:t>
      </w:r>
      <w:r w:rsidR="00B22FB3">
        <w:rPr>
          <w:noProof/>
          <w:color w:val="000000"/>
          <w:szCs w:val="22"/>
        </w:rPr>
        <w:t>Piatek</w:t>
      </w:r>
      <w:r w:rsidRPr="00972667">
        <w:rPr>
          <w:noProof/>
          <w:color w:val="000000"/>
          <w:szCs w:val="22"/>
        </w:rPr>
        <w:t>.</w:t>
      </w:r>
      <w:r>
        <w:rPr>
          <w:rStyle w:val="FootnoteReference"/>
          <w:noProof/>
          <w:szCs w:val="22"/>
        </w:rPr>
        <w:footnoteReference w:id="15"/>
      </w:r>
      <w:r w:rsidRPr="00972667">
        <w:rPr>
          <w:noProof/>
          <w:color w:val="000000"/>
          <w:szCs w:val="22"/>
        </w:rPr>
        <w:t xml:space="preserve">  </w:t>
      </w:r>
      <w:r>
        <w:rPr>
          <w:noProof/>
          <w:color w:val="000000"/>
          <w:szCs w:val="22"/>
        </w:rPr>
        <w:t>As</w:t>
      </w:r>
      <w:r w:rsidRPr="00972667">
        <w:rPr>
          <w:noProof/>
          <w:color w:val="000000"/>
          <w:szCs w:val="22"/>
        </w:rPr>
        <w:t xml:space="preserve"> </w:t>
      </w:r>
      <w:r w:rsidR="00415A35">
        <w:rPr>
          <w:noProof/>
          <w:color w:val="000000"/>
          <w:szCs w:val="22"/>
        </w:rPr>
        <w:t xml:space="preserve">with </w:t>
      </w:r>
      <w:r w:rsidRPr="00972667">
        <w:rPr>
          <w:noProof/>
          <w:color w:val="000000"/>
          <w:szCs w:val="22"/>
        </w:rPr>
        <w:t xml:space="preserve">the prior Warning, the Second Warning advised, </w:t>
      </w:r>
      <w:r>
        <w:rPr>
          <w:i/>
          <w:noProof/>
          <w:color w:val="000000"/>
          <w:szCs w:val="22"/>
        </w:rPr>
        <w:t>inter alia</w:t>
      </w:r>
      <w:r w:rsidRPr="00972667">
        <w:rPr>
          <w:noProof/>
          <w:color w:val="000000"/>
          <w:szCs w:val="22"/>
        </w:rPr>
        <w:t>, that the surveillance camera</w:t>
      </w:r>
      <w:r>
        <w:rPr>
          <w:noProof/>
          <w:color w:val="000000"/>
          <w:szCs w:val="22"/>
        </w:rPr>
        <w:t>s</w:t>
      </w:r>
      <w:r w:rsidRPr="00972667">
        <w:rPr>
          <w:noProof/>
          <w:color w:val="000000"/>
          <w:szCs w:val="22"/>
        </w:rPr>
        <w:t xml:space="preserve"> </w:t>
      </w:r>
      <w:r w:rsidRPr="00972667">
        <w:rPr>
          <w:noProof/>
          <w:color w:val="000000"/>
          <w:szCs w:val="22"/>
        </w:rPr>
        <w:t>w</w:t>
      </w:r>
      <w:r w:rsidR="00D75469">
        <w:rPr>
          <w:noProof/>
          <w:color w:val="000000"/>
          <w:szCs w:val="22"/>
        </w:rPr>
        <w:t>ere</w:t>
      </w:r>
      <w:r w:rsidRPr="00972667">
        <w:rPr>
          <w:noProof/>
          <w:color w:val="000000"/>
          <w:szCs w:val="22"/>
        </w:rPr>
        <w:t xml:space="preserve"> generating harmful interference on frequencies assigned to </w:t>
      </w:r>
      <w:r w:rsidR="00B22FB3">
        <w:rPr>
          <w:noProof/>
          <w:color w:val="000000"/>
          <w:szCs w:val="22"/>
        </w:rPr>
        <w:t xml:space="preserve">the </w:t>
      </w:r>
      <w:r w:rsidR="002644C9">
        <w:rPr>
          <w:noProof/>
          <w:color w:val="000000"/>
          <w:szCs w:val="22"/>
        </w:rPr>
        <w:t>European Space Agency</w:t>
      </w:r>
      <w:r w:rsidRPr="00972667">
        <w:rPr>
          <w:noProof/>
          <w:color w:val="000000"/>
          <w:szCs w:val="22"/>
        </w:rPr>
        <w:t>.</w:t>
      </w:r>
      <w:r>
        <w:rPr>
          <w:rStyle w:val="FootnoteReference"/>
          <w:noProof/>
          <w:szCs w:val="22"/>
        </w:rPr>
        <w:footnoteReference w:id="16"/>
      </w:r>
      <w:r w:rsidRPr="00972667">
        <w:rPr>
          <w:noProof/>
          <w:color w:val="000000"/>
          <w:szCs w:val="22"/>
        </w:rPr>
        <w:t xml:space="preserve">  The Second Warning also instructed </w:t>
      </w:r>
      <w:r w:rsidR="00B22FB3">
        <w:rPr>
          <w:noProof/>
          <w:color w:val="000000"/>
          <w:szCs w:val="22"/>
        </w:rPr>
        <w:t>Piatek</w:t>
      </w:r>
      <w:r w:rsidRPr="00972667">
        <w:rPr>
          <w:noProof/>
          <w:color w:val="000000"/>
          <w:szCs w:val="22"/>
        </w:rPr>
        <w:t xml:space="preserve"> not to resume operation of the surveillance camera</w:t>
      </w:r>
      <w:r>
        <w:rPr>
          <w:noProof/>
          <w:color w:val="000000"/>
          <w:szCs w:val="22"/>
        </w:rPr>
        <w:t>s</w:t>
      </w:r>
      <w:r w:rsidRPr="00972667">
        <w:rPr>
          <w:noProof/>
          <w:color w:val="000000"/>
          <w:szCs w:val="22"/>
        </w:rPr>
        <w:t xml:space="preserve"> until the conditions causing the harmful interference had been correc</w:t>
      </w:r>
      <w:r w:rsidRPr="00972667">
        <w:rPr>
          <w:noProof/>
          <w:color w:val="000000"/>
          <w:szCs w:val="22"/>
        </w:rPr>
        <w:t xml:space="preserve">ted, and outlined the potential penalties for such a violation, </w:t>
      </w:r>
      <w:r w:rsidRPr="00972667">
        <w:rPr>
          <w:noProof/>
          <w:color w:val="000000"/>
          <w:szCs w:val="22"/>
        </w:rPr>
        <w:t>including equipment seizure, fines, and imprisonment.</w:t>
      </w:r>
      <w:r>
        <w:rPr>
          <w:szCs w:val="22"/>
          <w:vertAlign w:val="superscript"/>
        </w:rPr>
        <w:footnoteReference w:id="17"/>
      </w:r>
      <w:r w:rsidRPr="00972667">
        <w:rPr>
          <w:noProof/>
          <w:color w:val="000000"/>
          <w:szCs w:val="22"/>
        </w:rPr>
        <w:t xml:space="preserve">  </w:t>
      </w:r>
      <w:r w:rsidRPr="00EB7DF0" w:rsidR="00732B61">
        <w:rPr>
          <w:noProof/>
          <w:color w:val="000000"/>
          <w:szCs w:val="22"/>
        </w:rPr>
        <w:t>Piatek</w:t>
      </w:r>
      <w:r w:rsidRPr="00EB7DF0">
        <w:rPr>
          <w:noProof/>
          <w:color w:val="000000"/>
          <w:szCs w:val="22"/>
        </w:rPr>
        <w:t xml:space="preserve"> did not respond to </w:t>
      </w:r>
      <w:r w:rsidR="00EB7DF0">
        <w:rPr>
          <w:noProof/>
          <w:color w:val="000000"/>
          <w:szCs w:val="22"/>
        </w:rPr>
        <w:t>either the Warning or Second Warning.</w:t>
      </w:r>
    </w:p>
    <w:p w:rsidR="0096675D" w:rsidRPr="00BE70CC" w:rsidP="00616FC1">
      <w:pPr>
        <w:pStyle w:val="Heading1"/>
        <w:widowControl/>
      </w:pPr>
      <w:r w:rsidRPr="00BE70CC">
        <w:t xml:space="preserve">aPPLICABLE LAW </w:t>
      </w:r>
      <w:r w:rsidRPr="00BE70CC" w:rsidR="00654D13">
        <w:t>and violations</w:t>
      </w:r>
    </w:p>
    <w:p w:rsidR="00036350" w:rsidRPr="00036350" w:rsidP="00616FC1">
      <w:pPr>
        <w:pStyle w:val="ParaNum"/>
        <w:widowControl/>
        <w:tabs>
          <w:tab w:val="clear" w:pos="1080"/>
          <w:tab w:val="num" w:pos="1440"/>
        </w:tabs>
        <w:rPr>
          <w:noProof/>
          <w:color w:val="000000"/>
        </w:rPr>
      </w:pPr>
      <w:r>
        <w:t>Section 301 of the Act states that “[n]o person shall use or operate any apparatus for the transmission of energy or communications or signals by radio” within the United States or its territories without a license granted by the Commission.</w:t>
      </w:r>
      <w:r>
        <w:rPr>
          <w:rStyle w:val="FootnoteReference"/>
        </w:rPr>
        <w:footnoteReference w:id="18"/>
      </w:r>
      <w:r>
        <w:t xml:space="preserve">  Part 15 of t</w:t>
      </w:r>
      <w:r>
        <w:t>he Commission’s rules provides an exception to this general section 301 license requirement and sets forth conditions under which devices (intentional radiators) may operate without an individual license.</w:t>
      </w:r>
      <w:r>
        <w:rPr>
          <w:rStyle w:val="FootnoteReference"/>
        </w:rPr>
        <w:footnoteReference w:id="19"/>
      </w:r>
      <w:r>
        <w:t xml:space="preserve">  </w:t>
      </w:r>
      <w:r w:rsidRPr="00036350" w:rsidR="00AB5A82">
        <w:t xml:space="preserve">Section 15.5(b) of the </w:t>
      </w:r>
      <w:r w:rsidRPr="00036350" w:rsidR="00AB5A82">
        <w:rPr>
          <w:noProof/>
          <w:color w:val="000000"/>
        </w:rPr>
        <w:t>Commission’s rules requires that</w:t>
      </w:r>
      <w:r w:rsidRPr="00036350" w:rsidR="00AB5A82">
        <w:t xml:space="preserve"> “</w:t>
      </w:r>
      <w:r w:rsidR="00700180">
        <w:t>[</w:t>
      </w:r>
      <w:r w:rsidRPr="00036350" w:rsidR="00AB5A82">
        <w:t>o</w:t>
      </w:r>
      <w:r w:rsidR="00700180">
        <w:t>]</w:t>
      </w:r>
      <w:r w:rsidRPr="00036350" w:rsidR="00AB5A82">
        <w:t>peration of an intentional, unintentional, or incidental radiator is subject to the conditions that no harmful interference is caused</w:t>
      </w:r>
      <w:r w:rsidR="005265C6">
        <w:t> </w:t>
      </w:r>
      <w:r w:rsidRPr="00036350" w:rsidR="00AB5A82">
        <w:t>.</w:t>
      </w:r>
      <w:r w:rsidR="005265C6">
        <w:t> </w:t>
      </w:r>
      <w:r w:rsidRPr="00036350" w:rsidR="00AB5A82">
        <w:t>.</w:t>
      </w:r>
      <w:r w:rsidR="005265C6">
        <w:t> </w:t>
      </w:r>
      <w:r w:rsidRPr="00036350" w:rsidR="00AB5A82">
        <w:t>.</w:t>
      </w:r>
      <w:r w:rsidR="005265C6">
        <w:t> </w:t>
      </w:r>
      <w:r w:rsidRPr="00036350" w:rsidR="00AB5A82">
        <w:t>.”</w:t>
      </w:r>
      <w:r>
        <w:rPr>
          <w:vertAlign w:val="superscript"/>
        </w:rPr>
        <w:footnoteReference w:id="20"/>
      </w:r>
      <w:r w:rsidRPr="00036350" w:rsidR="00AB5A82">
        <w:t xml:space="preserve">  Similarly, section 15.5(c) of the </w:t>
      </w:r>
      <w:r w:rsidRPr="00036350" w:rsidR="00AB5A82">
        <w:rPr>
          <w:noProof/>
          <w:color w:val="000000"/>
        </w:rPr>
        <w:t>Commission’s rules states that</w:t>
      </w:r>
      <w:r w:rsidRPr="00036350" w:rsidR="00AB5A82">
        <w:t xml:space="preserve"> the “operator of a radio frequency device shall be required to cease operating the device upon notification by a Commission representative that the device is causing harmful interference.  Operation shall not resume until the condition causing the harmful interference has been corrected.”</w:t>
      </w:r>
      <w:r>
        <w:rPr>
          <w:vertAlign w:val="superscript"/>
        </w:rPr>
        <w:footnoteReference w:id="21"/>
      </w:r>
      <w:r w:rsidRPr="00036350" w:rsidR="00AB5A82">
        <w:t xml:space="preserve">  </w:t>
      </w:r>
      <w:r w:rsidRPr="00036350" w:rsidR="00AB5A82">
        <w:rPr>
          <w:noProof/>
          <w:color w:val="000000"/>
        </w:rPr>
        <w:t xml:space="preserve">Section 15.3(m)’s definition of harmful interference includes </w:t>
      </w:r>
      <w:r w:rsidR="00700180">
        <w:rPr>
          <w:noProof/>
          <w:color w:val="000000"/>
        </w:rPr>
        <w:t>“[</w:t>
      </w:r>
      <w:r w:rsidRPr="00036350" w:rsidR="00AB5A82">
        <w:rPr>
          <w:noProof/>
          <w:color w:val="000000"/>
        </w:rPr>
        <w:t>a</w:t>
      </w:r>
      <w:r w:rsidR="00700180">
        <w:rPr>
          <w:noProof/>
          <w:color w:val="000000"/>
        </w:rPr>
        <w:t>]</w:t>
      </w:r>
      <w:r w:rsidRPr="00036350" w:rsidR="00AB5A82">
        <w:rPr>
          <w:noProof/>
          <w:color w:val="000000"/>
        </w:rPr>
        <w:t>ny emission, radiation or induction that . . . obstructs or repeatedly interrupts a radiocommunications service operating in accordance with this chapter.”</w:t>
      </w:r>
      <w:r>
        <w:rPr>
          <w:vertAlign w:val="superscript"/>
        </w:rPr>
        <w:footnoteReference w:id="22"/>
      </w:r>
      <w:r w:rsidRPr="00036350" w:rsidR="00AB5A82">
        <w:rPr>
          <w:noProof/>
          <w:color w:val="000000"/>
        </w:rPr>
        <w:t xml:space="preserve">  </w:t>
      </w:r>
      <w:r>
        <w:rPr>
          <w:noProof/>
          <w:color w:val="000000"/>
        </w:rPr>
        <w:t xml:space="preserve"> </w:t>
      </w:r>
    </w:p>
    <w:p w:rsidR="00753BD2" w:rsidRPr="00036350" w:rsidP="00616FC1">
      <w:pPr>
        <w:pStyle w:val="ParaNum"/>
        <w:widowControl/>
        <w:numPr>
          <w:ilvl w:val="0"/>
          <w:numId w:val="1"/>
        </w:numPr>
        <w:tabs>
          <w:tab w:val="clear" w:pos="1080"/>
          <w:tab w:val="num" w:pos="1440"/>
        </w:tabs>
        <w:rPr>
          <w:noProof/>
          <w:color w:val="000000"/>
          <w:szCs w:val="22"/>
        </w:rPr>
      </w:pPr>
      <w:r>
        <w:rPr>
          <w:noProof/>
          <w:color w:val="000000"/>
          <w:szCs w:val="22"/>
        </w:rPr>
        <w:t>W</w:t>
      </w:r>
      <w:r w:rsidRPr="00972667" w:rsidR="00036350">
        <w:rPr>
          <w:noProof/>
          <w:color w:val="000000"/>
          <w:szCs w:val="22"/>
        </w:rPr>
        <w:t xml:space="preserve">e find that </w:t>
      </w:r>
      <w:r w:rsidR="00E66F44">
        <w:rPr>
          <w:noProof/>
          <w:color w:val="000000"/>
          <w:szCs w:val="22"/>
        </w:rPr>
        <w:t>Piatek</w:t>
      </w:r>
      <w:r w:rsidRPr="00972667" w:rsidR="00036350">
        <w:rPr>
          <w:noProof/>
          <w:color w:val="000000"/>
          <w:szCs w:val="22"/>
        </w:rPr>
        <w:t xml:space="preserve"> violated</w:t>
      </w:r>
      <w:r w:rsidR="00080702">
        <w:rPr>
          <w:noProof/>
          <w:color w:val="000000"/>
          <w:szCs w:val="22"/>
        </w:rPr>
        <w:t xml:space="preserve"> section 301 of the Act and </w:t>
      </w:r>
      <w:r w:rsidR="00036350">
        <w:rPr>
          <w:noProof/>
          <w:color w:val="000000"/>
          <w:szCs w:val="22"/>
        </w:rPr>
        <w:t xml:space="preserve">sections </w:t>
      </w:r>
      <w:r w:rsidR="00B369E1">
        <w:rPr>
          <w:noProof/>
          <w:color w:val="000000"/>
          <w:szCs w:val="22"/>
        </w:rPr>
        <w:t>1</w:t>
      </w:r>
      <w:r w:rsidRPr="00972667" w:rsidR="00036350">
        <w:rPr>
          <w:noProof/>
          <w:color w:val="000000"/>
          <w:szCs w:val="22"/>
        </w:rPr>
        <w:t>5.5(b) and (c) of the Commission’s rules by operating device</w:t>
      </w:r>
      <w:r w:rsidR="00036350">
        <w:rPr>
          <w:noProof/>
          <w:color w:val="000000"/>
          <w:szCs w:val="22"/>
        </w:rPr>
        <w:t>s</w:t>
      </w:r>
      <w:r w:rsidRPr="00972667" w:rsidR="00036350">
        <w:rPr>
          <w:noProof/>
          <w:color w:val="000000"/>
          <w:szCs w:val="22"/>
        </w:rPr>
        <w:t xml:space="preserve"> causing harmful interfereance to </w:t>
      </w:r>
      <w:r w:rsidR="008D633A">
        <w:rPr>
          <w:noProof/>
          <w:color w:val="000000"/>
          <w:szCs w:val="22"/>
        </w:rPr>
        <w:t>the European Space Agency’s’</w:t>
      </w:r>
      <w:r w:rsidRPr="00972667" w:rsidR="008D633A">
        <w:rPr>
          <w:noProof/>
          <w:color w:val="000000"/>
          <w:szCs w:val="22"/>
        </w:rPr>
        <w:t xml:space="preserve"> </w:t>
      </w:r>
      <w:r w:rsidRPr="00972667" w:rsidR="00036350">
        <w:rPr>
          <w:noProof/>
          <w:color w:val="000000"/>
          <w:szCs w:val="22"/>
        </w:rPr>
        <w:t xml:space="preserve">licensed operations and failing to promptly eliminate the interference </w:t>
      </w:r>
      <w:r w:rsidRPr="00972667" w:rsidR="00036350">
        <w:rPr>
          <w:szCs w:val="22"/>
        </w:rPr>
        <w:t>upon notification by a Commission representative.</w:t>
      </w:r>
      <w:r>
        <w:rPr>
          <w:rStyle w:val="FootnoteReference"/>
          <w:szCs w:val="22"/>
        </w:rPr>
        <w:footnoteReference w:id="23"/>
      </w:r>
      <w:r w:rsidRPr="00036350" w:rsidR="00FD0A5B">
        <w:rPr>
          <w:kern w:val="0"/>
        </w:rPr>
        <w:t xml:space="preserve">  </w:t>
      </w:r>
    </w:p>
    <w:p w:rsidR="00DF461A" w:rsidRPr="00BE70CC" w:rsidP="00616FC1">
      <w:pPr>
        <w:pStyle w:val="Heading1"/>
        <w:widowControl/>
      </w:pPr>
      <w:r w:rsidRPr="00BE70CC">
        <w:t xml:space="preserve">Request </w:t>
      </w:r>
      <w:r w:rsidRPr="00BE70CC" w:rsidR="00B85F3E">
        <w:t xml:space="preserve">FOR INFORMATION </w:t>
      </w:r>
    </w:p>
    <w:p w:rsidR="006E6234" w:rsidRPr="00BE70CC" w:rsidP="00616FC1">
      <w:pPr>
        <w:pStyle w:val="ParaNum"/>
        <w:widowControl/>
        <w:tabs>
          <w:tab w:val="clear" w:pos="1080"/>
          <w:tab w:val="num" w:pos="1440"/>
        </w:tabs>
      </w:pPr>
      <w:bookmarkStart w:id="12" w:name="_Ref39068366"/>
      <w:r w:rsidRPr="00972667">
        <w:rPr>
          <w:noProof/>
          <w:color w:val="000000"/>
          <w:szCs w:val="22"/>
        </w:rPr>
        <w:t xml:space="preserve">Pursuant to </w:t>
      </w:r>
      <w:r>
        <w:rPr>
          <w:noProof/>
          <w:color w:val="000000"/>
          <w:szCs w:val="22"/>
        </w:rPr>
        <w:t>s</w:t>
      </w:r>
      <w:r w:rsidRPr="00972667">
        <w:rPr>
          <w:noProof/>
          <w:color w:val="000000"/>
          <w:szCs w:val="22"/>
        </w:rPr>
        <w:t>ections 4(i), 4(j), and 403 of the Act,</w:t>
      </w:r>
      <w:r>
        <w:rPr>
          <w:rStyle w:val="FootnoteReference"/>
          <w:noProof/>
          <w:szCs w:val="22"/>
        </w:rPr>
        <w:footnoteReference w:id="24"/>
      </w:r>
      <w:r w:rsidRPr="00972667">
        <w:rPr>
          <w:noProof/>
          <w:color w:val="000000"/>
          <w:szCs w:val="22"/>
        </w:rPr>
        <w:t xml:space="preserve"> we direct </w:t>
      </w:r>
      <w:r w:rsidR="00732B61">
        <w:rPr>
          <w:noProof/>
          <w:color w:val="000000"/>
          <w:szCs w:val="22"/>
        </w:rPr>
        <w:t>Piatek</w:t>
      </w:r>
      <w:r w:rsidRPr="00972667">
        <w:rPr>
          <w:noProof/>
          <w:color w:val="000000"/>
          <w:szCs w:val="22"/>
        </w:rPr>
        <w:t xml:space="preserve"> to confirm in writing</w:t>
      </w:r>
      <w:r>
        <w:rPr>
          <w:noProof/>
          <w:color w:val="000000"/>
          <w:szCs w:val="22"/>
        </w:rPr>
        <w:t>,</w:t>
      </w:r>
      <w:r w:rsidRPr="00972667">
        <w:rPr>
          <w:noProof/>
          <w:color w:val="000000"/>
          <w:szCs w:val="22"/>
        </w:rPr>
        <w:t xml:space="preserve"> within </w:t>
      </w:r>
      <w:r>
        <w:rPr>
          <w:noProof/>
          <w:color w:val="000000"/>
          <w:szCs w:val="22"/>
        </w:rPr>
        <w:t>thirty (</w:t>
      </w:r>
      <w:r w:rsidRPr="00972667">
        <w:rPr>
          <w:noProof/>
          <w:color w:val="000000"/>
          <w:szCs w:val="22"/>
        </w:rPr>
        <w:t>30</w:t>
      </w:r>
      <w:r>
        <w:rPr>
          <w:noProof/>
          <w:color w:val="000000"/>
          <w:szCs w:val="22"/>
        </w:rPr>
        <w:t>)</w:t>
      </w:r>
      <w:r w:rsidRPr="00972667">
        <w:rPr>
          <w:noProof/>
          <w:color w:val="000000"/>
          <w:szCs w:val="22"/>
        </w:rPr>
        <w:t xml:space="preserve"> days of the release of this Citation, that </w:t>
      </w:r>
      <w:r w:rsidR="00732B61">
        <w:rPr>
          <w:noProof/>
          <w:color w:val="000000"/>
          <w:szCs w:val="22"/>
        </w:rPr>
        <w:t>s</w:t>
      </w:r>
      <w:r w:rsidRPr="00972667">
        <w:rPr>
          <w:noProof/>
          <w:color w:val="000000"/>
          <w:szCs w:val="22"/>
        </w:rPr>
        <w:t xml:space="preserve">he has taken the corrective measures to eliminate the harmful interference, as well as provide a timeline for any pending corrective actions.  </w:t>
      </w:r>
      <w:r>
        <w:rPr>
          <w:noProof/>
          <w:color w:val="000000"/>
          <w:szCs w:val="22"/>
        </w:rPr>
        <w:t>F</w:t>
      </w:r>
      <w:r w:rsidRPr="00972667">
        <w:rPr>
          <w:noProof/>
          <w:color w:val="000000"/>
          <w:szCs w:val="22"/>
        </w:rPr>
        <w:t>ailure to respond in writing, or the provision of an inadequate, incomplete, or misleading response, may subject</w:t>
      </w:r>
      <w:r w:rsidRPr="00972667">
        <w:rPr>
          <w:noProof/>
          <w:color w:val="000000"/>
          <w:szCs w:val="22"/>
        </w:rPr>
        <w:t xml:space="preserve"> </w:t>
      </w:r>
      <w:r w:rsidR="00732B61">
        <w:rPr>
          <w:noProof/>
          <w:color w:val="000000"/>
          <w:szCs w:val="22"/>
        </w:rPr>
        <w:t>Piatek</w:t>
      </w:r>
      <w:r>
        <w:rPr>
          <w:noProof/>
          <w:color w:val="000000"/>
          <w:szCs w:val="22"/>
        </w:rPr>
        <w:t xml:space="preserve"> </w:t>
      </w:r>
      <w:r w:rsidRPr="00972667">
        <w:rPr>
          <w:noProof/>
          <w:color w:val="000000"/>
          <w:szCs w:val="22"/>
        </w:rPr>
        <w:t>to additional sanctions.</w:t>
      </w:r>
      <w:bookmarkEnd w:id="12"/>
      <w:r w:rsidRPr="00BE70CC" w:rsidR="005942FC">
        <w:t xml:space="preserve">  </w:t>
      </w:r>
    </w:p>
    <w:p w:rsidR="004D3233" w:rsidRPr="00EB70F6" w:rsidP="00616FC1">
      <w:pPr>
        <w:pStyle w:val="Heading1"/>
        <w:widowControl/>
        <w:rPr>
          <w:rFonts w:ascii="Times New Roman" w:hAnsi="Times New Roman"/>
        </w:rPr>
      </w:pPr>
      <w:bookmarkStart w:id="13" w:name="SR;716"/>
      <w:bookmarkStart w:id="14" w:name="SR;717"/>
      <w:bookmarkEnd w:id="13"/>
      <w:bookmarkEnd w:id="14"/>
      <w:r w:rsidRPr="00EB70F6">
        <w:rPr>
          <w:rFonts w:ascii="Times New Roman" w:hAnsi="Times New Roman"/>
        </w:rPr>
        <w:t>Op</w:t>
      </w:r>
      <w:r w:rsidRPr="00EB70F6" w:rsidR="0096675D">
        <w:rPr>
          <w:rFonts w:ascii="Times New Roman" w:hAnsi="Times New Roman"/>
        </w:rPr>
        <w:t>portunity</w:t>
      </w:r>
      <w:r w:rsidRPr="00EB70F6">
        <w:rPr>
          <w:rFonts w:ascii="Times New Roman" w:hAnsi="Times New Roman"/>
        </w:rPr>
        <w:t xml:space="preserve"> to respond to this citation</w:t>
      </w:r>
    </w:p>
    <w:p w:rsidR="00036350" w:rsidRPr="00EB70F6" w:rsidP="00616FC1">
      <w:pPr>
        <w:pStyle w:val="ParaNum"/>
        <w:widowControl/>
        <w:tabs>
          <w:tab w:val="clear" w:pos="1080"/>
          <w:tab w:val="num" w:pos="1440"/>
        </w:tabs>
        <w:rPr>
          <w:kern w:val="2"/>
        </w:rPr>
      </w:pPr>
      <w:r w:rsidRPr="00EB70F6">
        <w:rPr>
          <w:szCs w:val="22"/>
        </w:rPr>
        <w:t>Piatek</w:t>
      </w:r>
      <w:r w:rsidRPr="00EB70F6" w:rsidR="00AB5A82">
        <w:rPr>
          <w:szCs w:val="22"/>
        </w:rPr>
        <w:t xml:space="preserve"> </w:t>
      </w:r>
      <w:r w:rsidRPr="00EB70F6" w:rsidR="00AB5A82">
        <w:rPr>
          <w:kern w:val="2"/>
          <w:szCs w:val="22"/>
        </w:rPr>
        <w:t>may respond to this Citation within thirty (30) calendar days from its release through any of the following methods:</w:t>
      </w:r>
      <w:r w:rsidRPr="00EB70F6" w:rsidR="00AB5A82">
        <w:rPr>
          <w:noProof/>
          <w:color w:val="000000"/>
          <w:szCs w:val="22"/>
        </w:rPr>
        <w:t xml:space="preserve"> (1) a written statement; (2) a teleconference interview; or (3) a personal interview at the Commission Field Office nearest to </w:t>
      </w:r>
      <w:r w:rsidR="00870547">
        <w:rPr>
          <w:noProof/>
          <w:color w:val="000000"/>
          <w:szCs w:val="22"/>
        </w:rPr>
        <w:t>Piatek’s</w:t>
      </w:r>
      <w:r w:rsidRPr="00EB70F6" w:rsidR="00AB5A82">
        <w:rPr>
          <w:noProof/>
          <w:color w:val="000000"/>
          <w:szCs w:val="22"/>
        </w:rPr>
        <w:t xml:space="preserve"> place of business. </w:t>
      </w:r>
      <w:r w:rsidRPr="00EB70F6" w:rsidR="00AB5A82">
        <w:rPr>
          <w:kern w:val="2"/>
          <w:szCs w:val="22"/>
        </w:rPr>
        <w:t xml:space="preserve">The Commission Field Office nearest </w:t>
      </w:r>
      <w:r w:rsidRPr="00EB70F6" w:rsidR="00732B61">
        <w:rPr>
          <w:kern w:val="2"/>
          <w:szCs w:val="22"/>
        </w:rPr>
        <w:t>Piatek</w:t>
      </w:r>
      <w:r w:rsidRPr="00EB70F6" w:rsidR="00AB5A82">
        <w:rPr>
          <w:kern w:val="2"/>
          <w:szCs w:val="22"/>
        </w:rPr>
        <w:t xml:space="preserve"> </w:t>
      </w:r>
      <w:r w:rsidRPr="00EB70F6" w:rsidR="00AB5A82">
        <w:rPr>
          <w:noProof/>
          <w:color w:val="000000"/>
          <w:szCs w:val="22"/>
        </w:rPr>
        <w:t xml:space="preserve">is located in </w:t>
      </w:r>
      <w:r w:rsidRPr="00EB70F6" w:rsidR="00732B61">
        <w:rPr>
          <w:noProof/>
          <w:color w:val="000000"/>
          <w:szCs w:val="22"/>
        </w:rPr>
        <w:t>Miami, Florida</w:t>
      </w:r>
      <w:r w:rsidRPr="00EB70F6" w:rsidR="00AB5A82">
        <w:rPr>
          <w:noProof/>
          <w:color w:val="000000"/>
          <w:szCs w:val="22"/>
        </w:rPr>
        <w:t xml:space="preserve">.  </w:t>
      </w:r>
    </w:p>
    <w:p w:rsidR="00036350" w:rsidP="00616FC1">
      <w:pPr>
        <w:pStyle w:val="ParaNum"/>
        <w:widowControl/>
        <w:tabs>
          <w:tab w:val="clear" w:pos="1080"/>
          <w:tab w:val="num" w:pos="1440"/>
        </w:tabs>
        <w:rPr>
          <w:kern w:val="2"/>
        </w:rPr>
      </w:pPr>
      <w:bookmarkStart w:id="15" w:name="_Ref39672351"/>
      <w:r w:rsidRPr="00EB70F6">
        <w:rPr>
          <w:noProof/>
        </w:rPr>
        <w:t xml:space="preserve">If </w:t>
      </w:r>
      <w:r w:rsidRPr="00EB70F6" w:rsidR="00E66F44">
        <w:rPr>
          <w:noProof/>
        </w:rPr>
        <w:t>Piatek</w:t>
      </w:r>
      <w:r w:rsidRPr="00EB70F6">
        <w:rPr>
          <w:noProof/>
        </w:rPr>
        <w:t xml:space="preserve"> requests a teleconference or personal interview, please contact </w:t>
      </w:r>
      <w:r w:rsidRPr="00EB70F6" w:rsidR="00E66F44">
        <w:rPr>
          <w:noProof/>
        </w:rPr>
        <w:t>Ronald Ramage</w:t>
      </w:r>
      <w:r w:rsidRPr="00EB70F6">
        <w:rPr>
          <w:noProof/>
        </w:rPr>
        <w:t xml:space="preserve">, by telephone at: </w:t>
      </w:r>
      <w:r w:rsidRPr="00EB70F6" w:rsidR="00EB70F6">
        <w:rPr>
          <w:noProof/>
        </w:rPr>
        <w:t xml:space="preserve">(678) 293-3194. </w:t>
      </w:r>
      <w:r w:rsidR="00870547">
        <w:rPr>
          <w:noProof/>
        </w:rPr>
        <w:t xml:space="preserve"> </w:t>
      </w:r>
      <w:r w:rsidRPr="00EB70F6">
        <w:rPr>
          <w:noProof/>
        </w:rPr>
        <w:t xml:space="preserve">We note that such teleconference or interview must take place within thirty (30) calendar days of the release date of this Citation.  If </w:t>
      </w:r>
      <w:r w:rsidRPr="00EB70F6" w:rsidR="00732B61">
        <w:rPr>
          <w:noProof/>
        </w:rPr>
        <w:t>Piatek</w:t>
      </w:r>
      <w:r w:rsidRPr="00EB70F6">
        <w:rPr>
          <w:noProof/>
        </w:rPr>
        <w:t xml:space="preserve"> preferes to submit a written response, with supporting documentation, </w:t>
      </w:r>
      <w:r w:rsidRPr="00EB70F6" w:rsidR="00732B61">
        <w:rPr>
          <w:noProof/>
        </w:rPr>
        <w:t>Piatek</w:t>
      </w:r>
      <w:r w:rsidRPr="00EB70F6">
        <w:rPr>
          <w:noProof/>
        </w:rPr>
        <w:t xml:space="preserve"> must send the response within thirty (30) calendar days of the date of this Citation to the</w:t>
      </w:r>
      <w:r w:rsidRPr="00972667">
        <w:rPr>
          <w:noProof/>
        </w:rPr>
        <w:t xml:space="preserve"> contact and address provided in the paragraph below.</w:t>
      </w:r>
      <w:bookmarkEnd w:id="15"/>
    </w:p>
    <w:p w:rsidR="00036350" w:rsidRPr="00036350" w:rsidP="00616FC1">
      <w:pPr>
        <w:pStyle w:val="ParaNum"/>
        <w:widowControl/>
        <w:tabs>
          <w:tab w:val="clear" w:pos="1080"/>
          <w:tab w:val="num" w:pos="1440"/>
        </w:tabs>
        <w:rPr>
          <w:kern w:val="2"/>
        </w:rPr>
      </w:pPr>
      <w:r w:rsidRPr="00972667">
        <w:rPr>
          <w:noProof/>
        </w:rPr>
        <w:t>All written communications, including the inf</w:t>
      </w:r>
      <w:r>
        <w:rPr>
          <w:noProof/>
        </w:rPr>
        <w:t>ormation requested in paragraph</w:t>
      </w:r>
      <w:r w:rsidRPr="00972667">
        <w:rPr>
          <w:noProof/>
        </w:rPr>
        <w:t xml:space="preserve"> </w:t>
      </w:r>
      <w:r w:rsidR="00870547">
        <w:rPr>
          <w:noProof/>
        </w:rPr>
        <w:fldChar w:fldCharType="begin"/>
      </w:r>
      <w:r w:rsidR="00870547">
        <w:rPr>
          <w:noProof/>
        </w:rPr>
        <w:instrText xml:space="preserve"> REF _Ref39672351 \r \h </w:instrText>
      </w:r>
      <w:r w:rsidR="00870547">
        <w:rPr>
          <w:noProof/>
        </w:rPr>
        <w:fldChar w:fldCharType="separate"/>
      </w:r>
      <w:r w:rsidR="00870547">
        <w:rPr>
          <w:noProof/>
        </w:rPr>
        <w:t>12</w:t>
      </w:r>
      <w:r w:rsidR="00870547">
        <w:rPr>
          <w:noProof/>
        </w:rPr>
        <w:fldChar w:fldCharType="end"/>
      </w:r>
      <w:r w:rsidRPr="00972667">
        <w:rPr>
          <w:noProof/>
        </w:rPr>
        <w:t xml:space="preserve">, above, should be sent to the </w:t>
      </w:r>
      <w:r w:rsidR="00870547">
        <w:rPr>
          <w:noProof/>
        </w:rPr>
        <w:t xml:space="preserve">mailing and e-mail </w:t>
      </w:r>
      <w:r w:rsidRPr="00972667">
        <w:rPr>
          <w:noProof/>
        </w:rPr>
        <w:t>addresses below:</w:t>
      </w:r>
    </w:p>
    <w:p w:rsidR="00EB70F6" w:rsidP="00616FC1">
      <w:pPr>
        <w:keepNext/>
        <w:keepLines/>
        <w:widowControl/>
        <w:suppressAutoHyphens/>
        <w:ind w:left="1440"/>
        <w:rPr>
          <w:szCs w:val="22"/>
        </w:rPr>
      </w:pPr>
      <w:r w:rsidRPr="00972667">
        <w:rPr>
          <w:noProof/>
          <w:szCs w:val="22"/>
        </w:rPr>
        <w:t>Federal Communications Commission</w:t>
      </w:r>
      <w:r w:rsidRPr="00972667">
        <w:rPr>
          <w:noProof/>
          <w:szCs w:val="22"/>
        </w:rPr>
        <w:br/>
      </w:r>
      <w:r w:rsidRPr="007512D7">
        <w:rPr>
          <w:noProof/>
          <w:szCs w:val="22"/>
        </w:rPr>
        <w:t xml:space="preserve">EB </w:t>
      </w:r>
      <w:r w:rsidR="00E66F44">
        <w:rPr>
          <w:noProof/>
          <w:szCs w:val="22"/>
        </w:rPr>
        <w:t>Atlanta Regional Office</w:t>
      </w:r>
      <w:r w:rsidRPr="00972667">
        <w:rPr>
          <w:noProof/>
          <w:szCs w:val="22"/>
        </w:rPr>
        <w:br/>
      </w:r>
      <w:r>
        <w:rPr>
          <w:szCs w:val="22"/>
        </w:rPr>
        <w:t xml:space="preserve">Attn: </w:t>
      </w:r>
      <w:r w:rsidR="00E66F44">
        <w:rPr>
          <w:szCs w:val="22"/>
        </w:rPr>
        <w:t>Ronald Ramage</w:t>
      </w:r>
    </w:p>
    <w:p w:rsidR="00EB70F6" w:rsidRPr="00EB70F6" w:rsidP="00616FC1">
      <w:pPr>
        <w:keepNext/>
        <w:keepLines/>
        <w:widowControl/>
        <w:suppressAutoHyphens/>
        <w:ind w:left="1440"/>
        <w:rPr>
          <w:szCs w:val="22"/>
        </w:rPr>
      </w:pPr>
      <w:bookmarkStart w:id="16" w:name="_Hlk39069840"/>
      <w:r w:rsidRPr="00EB70F6">
        <w:rPr>
          <w:szCs w:val="22"/>
        </w:rPr>
        <w:t>P.O. Box 1493</w:t>
      </w:r>
    </w:p>
    <w:p w:rsidR="00036350" w:rsidP="00616FC1">
      <w:pPr>
        <w:pStyle w:val="ParaNum"/>
        <w:keepNext/>
        <w:keepLines/>
        <w:widowControl/>
        <w:numPr>
          <w:ilvl w:val="0"/>
          <w:numId w:val="0"/>
        </w:numPr>
        <w:spacing w:after="0"/>
        <w:ind w:left="1440"/>
        <w:rPr>
          <w:b/>
          <w:noProof/>
          <w:color w:val="000000"/>
          <w:szCs w:val="22"/>
        </w:rPr>
      </w:pPr>
      <w:r w:rsidRPr="00EB70F6">
        <w:rPr>
          <w:szCs w:val="22"/>
        </w:rPr>
        <w:t>Powder Springs, GA 30127</w:t>
      </w:r>
      <w:bookmarkEnd w:id="16"/>
      <w:r w:rsidRPr="00972667" w:rsidR="00AB5A82">
        <w:rPr>
          <w:noProof/>
          <w:szCs w:val="22"/>
        </w:rPr>
        <w:br/>
        <w:t>FIELD@FCC.GOV</w:t>
      </w:r>
      <w:r w:rsidRPr="00972667" w:rsidR="00AB5A82">
        <w:rPr>
          <w:noProof/>
          <w:szCs w:val="22"/>
        </w:rPr>
        <w:br/>
      </w:r>
      <w:r w:rsidRPr="00373A43" w:rsidR="00AB5A82">
        <w:rPr>
          <w:b/>
          <w:noProof/>
          <w:szCs w:val="22"/>
        </w:rPr>
        <w:t xml:space="preserve">Re:  </w:t>
      </w:r>
      <w:r w:rsidRPr="00732B61" w:rsidR="00E66F44">
        <w:rPr>
          <w:b/>
          <w:bCs/>
          <w:spacing w:val="-2"/>
        </w:rPr>
        <w:t>EB-FIELDSCR-19-00028803</w:t>
      </w:r>
    </w:p>
    <w:p w:rsidR="00036350" w:rsidRPr="00036350" w:rsidP="00616FC1">
      <w:pPr>
        <w:pStyle w:val="ParaNum"/>
        <w:keepNext/>
        <w:keepLines/>
        <w:widowControl/>
        <w:numPr>
          <w:ilvl w:val="0"/>
          <w:numId w:val="0"/>
        </w:numPr>
        <w:spacing w:after="0"/>
        <w:ind w:left="1440"/>
        <w:rPr>
          <w:b/>
          <w:noProof/>
          <w:color w:val="000000"/>
          <w:szCs w:val="22"/>
        </w:rPr>
      </w:pPr>
    </w:p>
    <w:p w:rsidR="00886C3A" w:rsidRPr="00BE70CC" w:rsidP="00616FC1">
      <w:pPr>
        <w:pStyle w:val="ParaNum"/>
        <w:widowControl/>
        <w:tabs>
          <w:tab w:val="clear" w:pos="1080"/>
          <w:tab w:val="num" w:pos="1440"/>
        </w:tabs>
      </w:pPr>
      <w:r w:rsidRPr="00BE70CC">
        <w:t xml:space="preserve">Upon request, the Commission will make reasonable accommodations for persons with disabilities.  If applicable, </w:t>
      </w:r>
      <w:r w:rsidR="00732B61">
        <w:t>Piatek</w:t>
      </w:r>
      <w:r w:rsidR="00036350">
        <w:t xml:space="preserve"> </w:t>
      </w:r>
      <w:r w:rsidRPr="00BE70CC">
        <w:t xml:space="preserve">should provide a description of the accommodation required, and include as much detail as possible, and also provide </w:t>
      </w:r>
      <w:r w:rsidRPr="00BE70CC" w:rsidR="00C22E21">
        <w:t xml:space="preserve">a telephone number and other </w:t>
      </w:r>
      <w:r w:rsidRPr="00BE70CC">
        <w:t xml:space="preserve">contact information.  </w:t>
      </w:r>
      <w:r w:rsidR="00732B61">
        <w:t>Piatek</w:t>
      </w:r>
      <w:r w:rsidR="00036350">
        <w:t xml:space="preserve"> </w:t>
      </w:r>
      <w:r w:rsidRPr="00BE70CC" w:rsidR="00436E88">
        <w:t xml:space="preserve">should allow at least five </w:t>
      </w:r>
      <w:r w:rsidRPr="00BE70CC">
        <w:t xml:space="preserve">business days advance notice; last minute requests will be accepted, but may be impossible to fill.  </w:t>
      </w:r>
      <w:r w:rsidR="00732B61">
        <w:t>Piatek</w:t>
      </w:r>
      <w:r w:rsidR="00036350">
        <w:t xml:space="preserve"> </w:t>
      </w:r>
      <w:r w:rsidRPr="00BE70CC">
        <w:t>should send an e-mail to fcc504@fcc.gov or call the FCC’s Consumer &amp; Governmental A</w:t>
      </w:r>
      <w:r w:rsidRPr="00BE70CC">
        <w:t>ffairs Bureau:</w:t>
      </w:r>
    </w:p>
    <w:p w:rsidR="00886C3A" w:rsidRPr="00BE70CC" w:rsidP="00616FC1">
      <w:pPr>
        <w:widowControl/>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886C3A" w:rsidRPr="00BE70CC" w:rsidP="00616FC1">
      <w:pPr>
        <w:widowControl/>
        <w:spacing w:after="220"/>
        <w:rPr>
          <w:kern w:val="2"/>
          <w:szCs w:val="22"/>
        </w:rPr>
      </w:pPr>
      <w:r w:rsidRPr="00BE70CC">
        <w:rPr>
          <w:kern w:val="2"/>
          <w:szCs w:val="22"/>
        </w:rPr>
        <w:tab/>
      </w:r>
      <w:r w:rsidRPr="00BE70CC">
        <w:rPr>
          <w:kern w:val="2"/>
          <w:szCs w:val="22"/>
        </w:rPr>
        <w:tab/>
        <w:t>202-418-0530 (voice), 202-418-0432 (tty);</w:t>
      </w:r>
    </w:p>
    <w:p w:rsidR="00886C3A" w:rsidRPr="00BE70CC" w:rsidP="00616FC1">
      <w:pPr>
        <w:widowControl/>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w:t>
      </w:r>
      <w:r w:rsidRPr="00BE70CC">
        <w:rPr>
          <w:kern w:val="2"/>
          <w:szCs w:val="22"/>
        </w:rPr>
        <w:t>31 (voice), 202-418-7365 (tty).</w:t>
      </w:r>
      <w:r w:rsidRPr="00BE70CC">
        <w:rPr>
          <w:b/>
          <w:kern w:val="2"/>
          <w:szCs w:val="22"/>
        </w:rPr>
        <w:t xml:space="preserve">  </w:t>
      </w:r>
    </w:p>
    <w:p w:rsidR="00886C3A" w:rsidRPr="00BE70CC" w:rsidP="00616FC1">
      <w:pPr>
        <w:pStyle w:val="ParaNum"/>
        <w:widowControl/>
        <w:tabs>
          <w:tab w:val="clear" w:pos="1080"/>
          <w:tab w:val="num" w:pos="1440"/>
        </w:tabs>
      </w:pPr>
      <w:r w:rsidRPr="00BE70CC">
        <w:rPr>
          <w:kern w:val="2"/>
        </w:rPr>
        <w:t xml:space="preserve">We advise </w:t>
      </w:r>
      <w:r w:rsidR="00732B61">
        <w:rPr>
          <w:kern w:val="2"/>
        </w:rPr>
        <w:t>Piatek</w:t>
      </w:r>
      <w:r w:rsidR="00036350">
        <w:rPr>
          <w:kern w:val="2"/>
        </w:rPr>
        <w:t xml:space="preserve"> </w:t>
      </w:r>
      <w:r w:rsidRPr="00BE70CC">
        <w:rPr>
          <w:kern w:val="2"/>
        </w:rPr>
        <w:t>th</w:t>
      </w:r>
      <w:r w:rsidRPr="00BE70CC">
        <w:t xml:space="preserve">at it is a violation of </w:t>
      </w:r>
      <w:r w:rsidR="00A02912">
        <w:t>s</w:t>
      </w:r>
      <w:r w:rsidRPr="00BE70CC">
        <w:t xml:space="preserve">ection 1.17 of the </w:t>
      </w:r>
      <w:r w:rsidR="00606CBE">
        <w:t>Commission’s r</w:t>
      </w:r>
      <w:r w:rsidRPr="00BE70CC">
        <w:t>ules</w:t>
      </w:r>
      <w:r>
        <w:rPr>
          <w:rStyle w:val="FootnoteReference"/>
          <w:szCs w:val="22"/>
        </w:rPr>
        <w:footnoteReference w:id="25"/>
      </w:r>
      <w:r w:rsidRPr="00BE70CC">
        <w:t xml:space="preserve"> for any person to make any false or misleading written or oral statement of fact</w:t>
      </w:r>
      <w:r w:rsidR="00BE70CC">
        <w:t xml:space="preserve"> to the Commission</w:t>
      </w:r>
      <w:r w:rsidRPr="00BE70CC">
        <w:t>.  Specifically, no person shall:</w:t>
      </w:r>
    </w:p>
    <w:p w:rsidR="00886C3A" w:rsidRPr="00BE70CC" w:rsidP="00616FC1">
      <w:pPr>
        <w:pStyle w:val="ParaNum"/>
        <w:widowControl/>
        <w:numPr>
          <w:ilvl w:val="0"/>
          <w:numId w:val="0"/>
        </w:numPr>
        <w:ind w:left="1440" w:right="720"/>
        <w:rPr>
          <w:kern w:val="2"/>
          <w:szCs w:val="22"/>
        </w:rPr>
      </w:pPr>
      <w:r w:rsidRPr="00BE70CC">
        <w:rPr>
          <w:kern w:val="2"/>
          <w:szCs w:val="22"/>
        </w:rPr>
        <w:t xml:space="preserve">(1) In </w:t>
      </w:r>
      <w:r w:rsidRPr="00BE70CC">
        <w:rPr>
          <w:kern w:val="2"/>
          <w:szCs w:val="22"/>
        </w:rPr>
        <w:t>any written or oral statement of fact, intentionally provide material factual information that is incorrect or intentionally omit material information that is necessary to prevent any material factual statement that is made from being incorrect or misleadi</w:t>
      </w:r>
      <w:r w:rsidRPr="00BE70CC">
        <w:rPr>
          <w:kern w:val="2"/>
          <w:szCs w:val="22"/>
        </w:rPr>
        <w:t>ng; and</w:t>
      </w:r>
    </w:p>
    <w:p w:rsidR="00886C3A" w:rsidRPr="00BE70CC" w:rsidP="00616FC1">
      <w:pPr>
        <w:pStyle w:val="ParaNum"/>
        <w:widowControl/>
        <w:numPr>
          <w:ilvl w:val="0"/>
          <w:numId w:val="0"/>
        </w:numPr>
        <w:ind w:left="1440" w:right="720"/>
        <w:rPr>
          <w:kern w:val="2"/>
          <w:szCs w:val="22"/>
        </w:rPr>
      </w:pPr>
      <w:r w:rsidRPr="00BE70CC">
        <w:rPr>
          <w:kern w:val="2"/>
          <w:szCs w:val="22"/>
        </w:rPr>
        <w:t xml:space="preserve">(2) In any written statement of fact, provide material factual information that is incorrect or omit material information that is necessary to prevent any material factual statement that is made from being incorrect or misleading without a </w:t>
      </w:r>
      <w:r w:rsidRPr="00BE70CC">
        <w:rPr>
          <w:kern w:val="2"/>
          <w:szCs w:val="22"/>
        </w:rPr>
        <w:t>reasonable basis for believing that any such material factual statement is correct and not misleading.</w:t>
      </w:r>
    </w:p>
    <w:p w:rsidR="00886C3A" w:rsidRPr="00BE70CC" w:rsidP="00616FC1">
      <w:pPr>
        <w:pStyle w:val="ParaNum"/>
        <w:widowControl/>
        <w:tabs>
          <w:tab w:val="clear" w:pos="1080"/>
          <w:tab w:val="num" w:pos="1440"/>
        </w:tabs>
        <w:rPr>
          <w:kern w:val="2"/>
          <w:szCs w:val="22"/>
        </w:rPr>
      </w:pPr>
      <w:r w:rsidRPr="00BE70CC">
        <w:rPr>
          <w:kern w:val="2"/>
          <w:szCs w:val="22"/>
        </w:rPr>
        <w:t xml:space="preserve">Further, the knowing and willful making of any false statement, or the concealment of any material fact, in reply to this Citation is punishable by fine </w:t>
      </w:r>
      <w:r w:rsidRPr="00BE70CC">
        <w:rPr>
          <w:kern w:val="2"/>
          <w:szCs w:val="22"/>
        </w:rPr>
        <w:t>or imprisonment</w:t>
      </w:r>
      <w:r w:rsidR="0090510E">
        <w:rPr>
          <w:kern w:val="2"/>
          <w:szCs w:val="22"/>
        </w:rPr>
        <w:t>.</w:t>
      </w:r>
      <w:r>
        <w:rPr>
          <w:rStyle w:val="FootnoteReference"/>
          <w:kern w:val="2"/>
          <w:szCs w:val="22"/>
        </w:rPr>
        <w:footnoteReference w:id="26"/>
      </w:r>
    </w:p>
    <w:p w:rsidR="00886C3A" w:rsidRPr="00BE70CC" w:rsidP="00616FC1">
      <w:pPr>
        <w:pStyle w:val="ParaNum"/>
        <w:widowControl/>
        <w:tabs>
          <w:tab w:val="clear" w:pos="1080"/>
          <w:tab w:val="num" w:pos="1440"/>
        </w:tabs>
        <w:rPr>
          <w:kern w:val="2"/>
          <w:szCs w:val="22"/>
        </w:rPr>
      </w:pPr>
      <w:r w:rsidRPr="00BE70CC">
        <w:rPr>
          <w:kern w:val="2"/>
          <w:szCs w:val="22"/>
        </w:rPr>
        <w:t xml:space="preserve">Violations of </w:t>
      </w:r>
      <w:r w:rsidR="00A02912">
        <w:rPr>
          <w:kern w:val="2"/>
          <w:szCs w:val="22"/>
        </w:rPr>
        <w:t>s</w:t>
      </w:r>
      <w:r w:rsidRPr="00BE70CC">
        <w:rPr>
          <w:kern w:val="2"/>
          <w:szCs w:val="22"/>
        </w:rPr>
        <w:t xml:space="preserve">ection 1.17 of the </w:t>
      </w:r>
      <w:r w:rsidR="00606CBE">
        <w:rPr>
          <w:kern w:val="2"/>
          <w:szCs w:val="22"/>
        </w:rPr>
        <w:t>Commission’s r</w:t>
      </w:r>
      <w:r w:rsidRPr="00BE70CC">
        <w:rPr>
          <w:kern w:val="2"/>
          <w:szCs w:val="22"/>
        </w:rPr>
        <w:t xml:space="preserve">ules or the criminal statute referenced above may result in further legal action, including monetary forfeitures pursuant to </w:t>
      </w:r>
      <w:r w:rsidR="00A02912">
        <w:rPr>
          <w:kern w:val="2"/>
          <w:szCs w:val="22"/>
        </w:rPr>
        <w:t>s</w:t>
      </w:r>
      <w:r w:rsidRPr="00BE70CC">
        <w:rPr>
          <w:kern w:val="2"/>
          <w:szCs w:val="22"/>
        </w:rPr>
        <w:t>ection 503 of the</w:t>
      </w:r>
      <w:r w:rsidR="003C4AD3">
        <w:rPr>
          <w:kern w:val="2"/>
          <w:szCs w:val="22"/>
        </w:rPr>
        <w:t xml:space="preserve"> </w:t>
      </w:r>
      <w:r w:rsidRPr="00BE70CC">
        <w:rPr>
          <w:kern w:val="2"/>
          <w:szCs w:val="22"/>
        </w:rPr>
        <w:t>Act.</w:t>
      </w:r>
    </w:p>
    <w:p w:rsidR="004D3233" w:rsidRPr="00BE70CC" w:rsidP="00616FC1">
      <w:pPr>
        <w:pStyle w:val="ParaNum"/>
        <w:widowControl/>
        <w:tabs>
          <w:tab w:val="clear" w:pos="1080"/>
          <w:tab w:val="num" w:pos="1440"/>
        </w:tabs>
        <w:rPr>
          <w:kern w:val="2"/>
          <w:szCs w:val="22"/>
        </w:rPr>
      </w:pPr>
      <w:r w:rsidRPr="00BE70CC">
        <w:rPr>
          <w:kern w:val="2"/>
          <w:szCs w:val="22"/>
        </w:rPr>
        <w:t xml:space="preserve">Finally, we warn </w:t>
      </w:r>
      <w:r w:rsidR="00732B61">
        <w:rPr>
          <w:kern w:val="2"/>
          <w:szCs w:val="22"/>
        </w:rPr>
        <w:t>Piatek</w:t>
      </w:r>
      <w:r w:rsidR="007A1902">
        <w:rPr>
          <w:kern w:val="2"/>
          <w:szCs w:val="22"/>
        </w:rPr>
        <w:t xml:space="preserve"> t</w:t>
      </w:r>
      <w:r w:rsidRPr="00BE70CC">
        <w:rPr>
          <w:kern w:val="2"/>
          <w:szCs w:val="22"/>
        </w:rPr>
        <w:t xml:space="preserve">hat, under the </w:t>
      </w:r>
      <w:r w:rsidRPr="00BE70CC" w:rsidR="00436E88">
        <w:rPr>
          <w:kern w:val="2"/>
          <w:szCs w:val="22"/>
        </w:rPr>
        <w:t>Privacy Act of 1974</w:t>
      </w:r>
      <w:r w:rsidR="003C4AD3">
        <w:rPr>
          <w:kern w:val="2"/>
          <w:szCs w:val="22"/>
        </w:rPr>
        <w:t>,</w:t>
      </w:r>
      <w:r>
        <w:rPr>
          <w:rStyle w:val="FootnoteReference"/>
          <w:kern w:val="2"/>
          <w:szCs w:val="22"/>
        </w:rPr>
        <w:footnoteReference w:id="27"/>
      </w:r>
      <w:r w:rsidRPr="00BE70CC" w:rsidR="00436E88">
        <w:rPr>
          <w:kern w:val="2"/>
          <w:szCs w:val="22"/>
        </w:rPr>
        <w:t xml:space="preserve"> </w:t>
      </w:r>
      <w:r w:rsidRPr="00BE70CC">
        <w:rPr>
          <w:kern w:val="2"/>
          <w:szCs w:val="22"/>
        </w:rPr>
        <w:t xml:space="preserve">Commission staff will use all relevant material information before it, including information disclosed </w:t>
      </w:r>
      <w:r w:rsidR="00BE70CC">
        <w:rPr>
          <w:kern w:val="2"/>
          <w:szCs w:val="22"/>
        </w:rPr>
        <w:t>in</w:t>
      </w:r>
      <w:r w:rsidRPr="00BE70CC">
        <w:rPr>
          <w:kern w:val="2"/>
          <w:szCs w:val="22"/>
        </w:rPr>
        <w:t xml:space="preserve"> interviews or written statements, to determine what, if any, enforcement action is required to ensure </w:t>
      </w:r>
      <w:r w:rsidR="00732B61">
        <w:rPr>
          <w:kern w:val="2"/>
          <w:szCs w:val="22"/>
        </w:rPr>
        <w:t>Piatek</w:t>
      </w:r>
      <w:r w:rsidRPr="00BE70CC">
        <w:rPr>
          <w:kern w:val="2"/>
          <w:szCs w:val="22"/>
        </w:rPr>
        <w:t>’s compliance with th</w:t>
      </w:r>
      <w:r w:rsidRPr="00BE70CC">
        <w:rPr>
          <w:kern w:val="2"/>
          <w:szCs w:val="22"/>
        </w:rPr>
        <w:t xml:space="preserve">e Act and </w:t>
      </w:r>
      <w:r w:rsidR="004D7F15">
        <w:rPr>
          <w:kern w:val="2"/>
          <w:szCs w:val="22"/>
        </w:rPr>
        <w:t>the Commission’s r</w:t>
      </w:r>
      <w:r w:rsidRPr="00BE70CC">
        <w:rPr>
          <w:kern w:val="2"/>
          <w:szCs w:val="22"/>
        </w:rPr>
        <w:t>ules.</w:t>
      </w:r>
    </w:p>
    <w:p w:rsidR="003343CA" w:rsidRPr="00BE70CC" w:rsidP="00616FC1">
      <w:pPr>
        <w:pStyle w:val="Heading1"/>
        <w:widowControl/>
      </w:pPr>
      <w:r w:rsidRPr="00BE70CC">
        <w:t>future violations</w:t>
      </w:r>
    </w:p>
    <w:p w:rsidR="005B4CEA" w:rsidRPr="00BE70CC" w:rsidP="00616FC1">
      <w:pPr>
        <w:pStyle w:val="ParaNum"/>
        <w:widowControl/>
        <w:tabs>
          <w:tab w:val="clear" w:pos="1080"/>
          <w:tab w:val="num" w:pos="1440"/>
        </w:tabs>
      </w:pPr>
      <w:r w:rsidRPr="00BE70CC">
        <w:t xml:space="preserve">If, after receipt of this Citation, </w:t>
      </w:r>
      <w:r w:rsidR="00732B61">
        <w:t>Piatek</w:t>
      </w:r>
      <w:r w:rsidR="007A1902">
        <w:t xml:space="preserve"> </w:t>
      </w:r>
      <w:r w:rsidRPr="00BE70CC">
        <w:t xml:space="preserve">again violates </w:t>
      </w:r>
      <w:r w:rsidR="008A4EE3">
        <w:rPr>
          <w:noProof/>
          <w:color w:val="000000"/>
          <w:szCs w:val="22"/>
        </w:rPr>
        <w:t>section 301 of the Act or</w:t>
      </w:r>
      <w:r w:rsidR="008A4EE3">
        <w:t xml:space="preserve"> </w:t>
      </w:r>
      <w:r w:rsidR="00A02912">
        <w:t>s</w:t>
      </w:r>
      <w:r w:rsidRPr="00BE70CC" w:rsidR="0096675D">
        <w:t xml:space="preserve">ection </w:t>
      </w:r>
      <w:r w:rsidR="007A1902">
        <w:t xml:space="preserve">15.5(b) or 15.5(c) </w:t>
      </w:r>
      <w:r w:rsidRPr="00BE70CC">
        <w:t>of the</w:t>
      </w:r>
      <w:r w:rsidR="007A1902">
        <w:t xml:space="preserve"> </w:t>
      </w:r>
      <w:r w:rsidR="00606CBE">
        <w:t>Commission’s r</w:t>
      </w:r>
      <w:r w:rsidR="007A1902">
        <w:t xml:space="preserve">ules </w:t>
      </w:r>
      <w:r w:rsidRPr="00BE70CC">
        <w:t xml:space="preserve">by engaging in conduct of the type described herein, the Commission may impose </w:t>
      </w:r>
      <w:r w:rsidRPr="00BE70CC" w:rsidR="00D05B66">
        <w:t xml:space="preserve">sanctions </w:t>
      </w:r>
      <w:r w:rsidRPr="00BE70CC">
        <w:t>for each such violation</w:t>
      </w:r>
      <w:r w:rsidR="007A1902">
        <w:t xml:space="preserve">.  </w:t>
      </w:r>
      <w:bookmarkStart w:id="17" w:name="_Hlk40185695"/>
      <w:r w:rsidR="007A1902">
        <w:t>F</w:t>
      </w:r>
      <w:r w:rsidRPr="00BE70CC">
        <w:t xml:space="preserve">or example, the </w:t>
      </w:r>
      <w:r w:rsidRPr="00BE70CC" w:rsidR="00D05B66">
        <w:t>Commission m</w:t>
      </w:r>
      <w:r w:rsidRPr="00BE70CC" w:rsidR="00654D13">
        <w:t>ay impose monetary forfeitures</w:t>
      </w:r>
      <w:r w:rsidRPr="007D4157" w:rsidR="007D4157">
        <w:rPr>
          <w:kern w:val="2"/>
          <w:szCs w:val="22"/>
        </w:rPr>
        <w:t xml:space="preserve"> </w:t>
      </w:r>
      <w:r w:rsidRPr="007D4157" w:rsidR="007D4157">
        <w:rPr>
          <w:noProof/>
          <w:szCs w:val="22"/>
        </w:rPr>
        <w:t>not to exceed $</w:t>
      </w:r>
      <w:r w:rsidR="00716D22">
        <w:rPr>
          <w:noProof/>
          <w:szCs w:val="22"/>
        </w:rPr>
        <w:t>20,489</w:t>
      </w:r>
      <w:r w:rsidRPr="007D4157" w:rsidR="007D4157">
        <w:rPr>
          <w:noProof/>
          <w:color w:val="000000"/>
          <w:szCs w:val="22"/>
        </w:rPr>
        <w:t xml:space="preserve"> </w:t>
      </w:r>
      <w:r w:rsidRPr="007D4157" w:rsidR="007D4157">
        <w:rPr>
          <w:noProof/>
          <w:szCs w:val="22"/>
        </w:rPr>
        <w:t>for each such violation, or each day of a continuing violation, and up to $</w:t>
      </w:r>
      <w:r w:rsidR="00716D22">
        <w:rPr>
          <w:noProof/>
          <w:szCs w:val="22"/>
        </w:rPr>
        <w:t>153</w:t>
      </w:r>
      <w:r w:rsidR="007F7860">
        <w:rPr>
          <w:noProof/>
          <w:szCs w:val="22"/>
        </w:rPr>
        <w:t>,</w:t>
      </w:r>
      <w:r w:rsidR="00716D22">
        <w:rPr>
          <w:noProof/>
          <w:szCs w:val="22"/>
        </w:rPr>
        <w:t>669</w:t>
      </w:r>
      <w:r w:rsidRPr="007D4157" w:rsidR="007D4157">
        <w:rPr>
          <w:noProof/>
          <w:szCs w:val="22"/>
        </w:rPr>
        <w:t xml:space="preserve"> for any single act or failure to act.</w:t>
      </w:r>
      <w:r>
        <w:rPr>
          <w:noProof/>
          <w:szCs w:val="22"/>
          <w:vertAlign w:val="superscript"/>
        </w:rPr>
        <w:footnoteReference w:id="28"/>
      </w:r>
      <w:r w:rsidRPr="007D4157" w:rsidR="007D4157">
        <w:rPr>
          <w:noProof/>
          <w:szCs w:val="22"/>
        </w:rPr>
        <w:t xml:space="preserve"> </w:t>
      </w:r>
      <w:bookmarkEnd w:id="17"/>
      <w:r w:rsidRPr="007D4157" w:rsidR="007D4157">
        <w:rPr>
          <w:noProof/>
          <w:szCs w:val="22"/>
        </w:rPr>
        <w:t xml:space="preserve"> </w:t>
      </w:r>
      <w:r w:rsidR="007D4157">
        <w:rPr>
          <w:noProof/>
          <w:szCs w:val="22"/>
        </w:rPr>
        <w:t>T</w:t>
      </w:r>
      <w:r w:rsidRPr="00BE70CC">
        <w:t>he Commission may fur</w:t>
      </w:r>
      <w:r w:rsidRPr="00BE70CC" w:rsidR="00C22E21">
        <w:t xml:space="preserve">ther adjust the forfeiture reflecting </w:t>
      </w:r>
      <w:r w:rsidRPr="00BE70CC">
        <w:t xml:space="preserve">enumerated statutory factors, </w:t>
      </w:r>
      <w:r w:rsidRPr="007D4157">
        <w:rPr>
          <w:szCs w:val="22"/>
        </w:rPr>
        <w:t>which include the nature, circumstances, extent, and gravity of the violation, and with respect to the</w:t>
      </w:r>
      <w:r w:rsidRPr="007D4157">
        <w:rPr>
          <w:szCs w:val="22"/>
        </w:rPr>
        <w:t xml:space="preserve"> violator, the degree of culpability, any history of prior offenses, ability to pay, and other such matters as justice may require</w:t>
      </w:r>
      <w:r w:rsidRPr="00BE70CC">
        <w:t>.</w:t>
      </w:r>
      <w:r>
        <w:rPr>
          <w:rStyle w:val="FootnoteReference"/>
          <w:szCs w:val="22"/>
        </w:rPr>
        <w:footnoteReference w:id="29"/>
      </w:r>
      <w:r w:rsidR="007D4157">
        <w:t xml:space="preserve">  </w:t>
      </w:r>
      <w:r w:rsidRPr="00BE70CC">
        <w:t>Further, the Commission may assess forfeitures on both the conduct that led to this Citation and the conduct following it.</w:t>
      </w:r>
      <w:r>
        <w:rPr>
          <w:rStyle w:val="FootnoteReference"/>
          <w:szCs w:val="22"/>
        </w:rPr>
        <w:footnoteReference w:id="30"/>
      </w:r>
      <w:r w:rsidRPr="00BE70CC">
        <w:t xml:space="preserve"> </w:t>
      </w:r>
      <w:r w:rsidRPr="00BE70CC" w:rsidR="003343CA">
        <w:t xml:space="preserve"> </w:t>
      </w:r>
      <w:r w:rsidRPr="007D4157" w:rsidR="00DE45C6">
        <w:rPr>
          <w:szCs w:val="22"/>
        </w:rPr>
        <w:t xml:space="preserve">In addition, future violations may subject </w:t>
      </w:r>
      <w:r w:rsidR="00732B61">
        <w:rPr>
          <w:szCs w:val="22"/>
        </w:rPr>
        <w:t>Piatek</w:t>
      </w:r>
      <w:r w:rsidR="007D4157">
        <w:rPr>
          <w:szCs w:val="22"/>
        </w:rPr>
        <w:t xml:space="preserve"> </w:t>
      </w:r>
      <w:r w:rsidRPr="00BE70CC" w:rsidR="00DE45C6">
        <w:t>to</w:t>
      </w:r>
      <w:r w:rsidRPr="007D4157" w:rsidR="001A38A4">
        <w:rPr>
          <w:szCs w:val="22"/>
        </w:rPr>
        <w:t xml:space="preserve"> seizure of equipment through </w:t>
      </w:r>
      <w:r w:rsidRPr="007D4157" w:rsidR="001A38A4">
        <w:rPr>
          <w:i/>
          <w:szCs w:val="22"/>
        </w:rPr>
        <w:t>in rem</w:t>
      </w:r>
      <w:r w:rsidRPr="007D4157" w:rsidR="001A38A4">
        <w:rPr>
          <w:szCs w:val="22"/>
        </w:rPr>
        <w:t xml:space="preserve"> forfeiture actions,</w:t>
      </w:r>
      <w:r>
        <w:rPr>
          <w:rStyle w:val="FootnoteReference"/>
          <w:szCs w:val="22"/>
        </w:rPr>
        <w:footnoteReference w:id="31"/>
      </w:r>
      <w:r w:rsidRPr="007D4157" w:rsidR="001A38A4">
        <w:rPr>
          <w:szCs w:val="22"/>
        </w:rPr>
        <w:t xml:space="preserve"> as well as criminal sanctions, including imprisonment</w:t>
      </w:r>
      <w:r w:rsidRPr="007D4157" w:rsidR="00DE45C6">
        <w:rPr>
          <w:szCs w:val="22"/>
        </w:rPr>
        <w:t>.</w:t>
      </w:r>
      <w:r>
        <w:rPr>
          <w:rStyle w:val="FootnoteReference"/>
          <w:szCs w:val="22"/>
        </w:rPr>
        <w:footnoteReference w:id="32"/>
      </w:r>
    </w:p>
    <w:p w:rsidR="003343CA" w:rsidRPr="00BE70CC" w:rsidP="00616FC1">
      <w:pPr>
        <w:pStyle w:val="Heading1"/>
        <w:widowControl/>
      </w:pPr>
      <w:r w:rsidRPr="00BE70CC">
        <w:t>ORDERING CLAUSES</w:t>
      </w:r>
    </w:p>
    <w:p w:rsidR="007D4157" w:rsidRPr="00972667" w:rsidP="00616FC1">
      <w:pPr>
        <w:pStyle w:val="ParaNum"/>
        <w:widowControl/>
        <w:numPr>
          <w:ilvl w:val="0"/>
          <w:numId w:val="1"/>
        </w:numPr>
        <w:tabs>
          <w:tab w:val="clear" w:pos="1080"/>
          <w:tab w:val="num" w:pos="1440"/>
        </w:tabs>
        <w:rPr>
          <w:noProof/>
          <w:color w:val="000000"/>
          <w:szCs w:val="22"/>
        </w:rPr>
      </w:pPr>
      <w:r w:rsidRPr="00972667">
        <w:rPr>
          <w:noProof/>
          <w:color w:val="000000"/>
          <w:szCs w:val="22"/>
        </w:rPr>
        <w:t xml:space="preserve">Accordingly, </w:t>
      </w:r>
      <w:r w:rsidRPr="00972667">
        <w:rPr>
          <w:b/>
          <w:noProof/>
          <w:color w:val="000000"/>
          <w:szCs w:val="22"/>
        </w:rPr>
        <w:t>IT IS ORDERED</w:t>
      </w:r>
      <w:r w:rsidRPr="00972667">
        <w:rPr>
          <w:noProof/>
          <w:color w:val="000000"/>
          <w:szCs w:val="22"/>
        </w:rPr>
        <w:t xml:space="preserve"> that, pursuant to </w:t>
      </w:r>
      <w:r>
        <w:rPr>
          <w:noProof/>
          <w:color w:val="000000"/>
          <w:szCs w:val="22"/>
        </w:rPr>
        <w:t>s</w:t>
      </w:r>
      <w:r w:rsidRPr="00972667">
        <w:rPr>
          <w:noProof/>
          <w:color w:val="000000"/>
          <w:szCs w:val="22"/>
        </w:rPr>
        <w:t>ections 4(i) and 4(j) of the Act,</w:t>
      </w:r>
      <w:r>
        <w:rPr>
          <w:rStyle w:val="FootnoteReference"/>
          <w:noProof/>
          <w:szCs w:val="22"/>
        </w:rPr>
        <w:footnoteReference w:id="33"/>
      </w:r>
      <w:r w:rsidRPr="00972667">
        <w:rPr>
          <w:noProof/>
          <w:color w:val="000000"/>
          <w:szCs w:val="22"/>
        </w:rPr>
        <w:t xml:space="preserve">  </w:t>
      </w:r>
      <w:r w:rsidR="00732B61">
        <w:rPr>
          <w:noProof/>
          <w:color w:val="000000"/>
          <w:szCs w:val="22"/>
        </w:rPr>
        <w:t>Susan Piatek</w:t>
      </w:r>
      <w:r>
        <w:rPr>
          <w:noProof/>
          <w:color w:val="000000"/>
          <w:szCs w:val="22"/>
        </w:rPr>
        <w:t xml:space="preserve"> </w:t>
      </w:r>
      <w:r w:rsidRPr="00972667">
        <w:rPr>
          <w:noProof/>
          <w:color w:val="000000"/>
          <w:szCs w:val="22"/>
        </w:rPr>
        <w:t xml:space="preserve">must cease and desist from causing harmful interference, in violation of </w:t>
      </w:r>
      <w:r w:rsidR="008A4EE3">
        <w:rPr>
          <w:noProof/>
          <w:color w:val="000000"/>
          <w:szCs w:val="22"/>
        </w:rPr>
        <w:t xml:space="preserve">section 301 of the Act and </w:t>
      </w:r>
      <w:r>
        <w:rPr>
          <w:noProof/>
          <w:color w:val="000000"/>
          <w:szCs w:val="22"/>
        </w:rPr>
        <w:t>s</w:t>
      </w:r>
      <w:r w:rsidRPr="00972667">
        <w:rPr>
          <w:noProof/>
          <w:color w:val="000000"/>
          <w:szCs w:val="22"/>
        </w:rPr>
        <w:t>ections 15(b) and 15(c) of the Commission’s rules.</w:t>
      </w:r>
      <w:r>
        <w:rPr>
          <w:rStyle w:val="FootnoteReference"/>
          <w:noProof/>
          <w:szCs w:val="22"/>
        </w:rPr>
        <w:footnoteReference w:id="34"/>
      </w:r>
      <w:r w:rsidRPr="00972667">
        <w:rPr>
          <w:noProof/>
          <w:color w:val="000000"/>
          <w:szCs w:val="22"/>
        </w:rPr>
        <w:t xml:space="preserve">  </w:t>
      </w:r>
    </w:p>
    <w:p w:rsidR="007D4157" w:rsidRPr="00F41C71" w:rsidP="00616FC1">
      <w:pPr>
        <w:pStyle w:val="ParaNum"/>
        <w:widowControl/>
        <w:numPr>
          <w:ilvl w:val="0"/>
          <w:numId w:val="1"/>
        </w:numPr>
        <w:tabs>
          <w:tab w:val="clear" w:pos="1080"/>
          <w:tab w:val="num" w:pos="1440"/>
        </w:tabs>
        <w:rPr>
          <w:noProof/>
          <w:szCs w:val="22"/>
        </w:rPr>
      </w:pPr>
      <w:r w:rsidRPr="00972667">
        <w:rPr>
          <w:b/>
          <w:noProof/>
          <w:color w:val="000000"/>
          <w:szCs w:val="22"/>
        </w:rPr>
        <w:t xml:space="preserve">IT IS </w:t>
      </w:r>
      <w:r w:rsidRPr="00BE70CC">
        <w:rPr>
          <w:b/>
          <w:noProof/>
        </w:rPr>
        <w:t xml:space="preserve">FURTHER </w:t>
      </w:r>
      <w:r w:rsidRPr="00972667">
        <w:rPr>
          <w:b/>
          <w:noProof/>
          <w:color w:val="000000"/>
          <w:szCs w:val="22"/>
        </w:rPr>
        <w:t>ORDERED</w:t>
      </w:r>
      <w:r w:rsidRPr="00972667">
        <w:rPr>
          <w:noProof/>
          <w:color w:val="000000"/>
          <w:szCs w:val="22"/>
        </w:rPr>
        <w:t xml:space="preserve"> that, pursuant to </w:t>
      </w:r>
      <w:r>
        <w:rPr>
          <w:noProof/>
          <w:color w:val="000000"/>
          <w:szCs w:val="22"/>
        </w:rPr>
        <w:t>s</w:t>
      </w:r>
      <w:r w:rsidRPr="00972667">
        <w:rPr>
          <w:noProof/>
          <w:color w:val="000000"/>
          <w:szCs w:val="22"/>
        </w:rPr>
        <w:t>ections 4(i</w:t>
      </w:r>
      <w:r w:rsidRPr="00972667">
        <w:rPr>
          <w:noProof/>
          <w:color w:val="000000"/>
          <w:szCs w:val="22"/>
        </w:rPr>
        <w:t>), 4(j), and 403 of the Act,</w:t>
      </w:r>
      <w:r>
        <w:rPr>
          <w:rStyle w:val="FootnoteReference"/>
          <w:noProof/>
          <w:szCs w:val="22"/>
        </w:rPr>
        <w:footnoteReference w:id="35"/>
      </w:r>
      <w:r w:rsidRPr="00972667">
        <w:rPr>
          <w:noProof/>
          <w:color w:val="000000"/>
          <w:szCs w:val="22"/>
        </w:rPr>
        <w:t xml:space="preserve"> </w:t>
      </w:r>
      <w:r w:rsidR="00732B61">
        <w:rPr>
          <w:noProof/>
          <w:color w:val="000000"/>
          <w:szCs w:val="22"/>
        </w:rPr>
        <w:t>Susan Piatek</w:t>
      </w:r>
      <w:r>
        <w:rPr>
          <w:noProof/>
          <w:color w:val="000000"/>
          <w:szCs w:val="22"/>
        </w:rPr>
        <w:t xml:space="preserve"> </w:t>
      </w:r>
      <w:r w:rsidRPr="00972667">
        <w:rPr>
          <w:noProof/>
          <w:color w:val="000000"/>
          <w:szCs w:val="22"/>
        </w:rPr>
        <w:t>must provide the written information requ</w:t>
      </w:r>
      <w:r>
        <w:rPr>
          <w:noProof/>
          <w:color w:val="000000"/>
          <w:szCs w:val="22"/>
        </w:rPr>
        <w:t>ested in paragraph</w:t>
      </w:r>
      <w:r w:rsidRPr="00972667">
        <w:rPr>
          <w:noProof/>
          <w:color w:val="000000"/>
          <w:szCs w:val="22"/>
        </w:rPr>
        <w:t xml:space="preserve"> </w:t>
      </w:r>
      <w:r w:rsidR="00C93541">
        <w:rPr>
          <w:noProof/>
          <w:color w:val="000000"/>
          <w:szCs w:val="22"/>
        </w:rPr>
        <w:fldChar w:fldCharType="begin"/>
      </w:r>
      <w:r w:rsidR="00C93541">
        <w:rPr>
          <w:noProof/>
          <w:color w:val="000000"/>
          <w:szCs w:val="22"/>
        </w:rPr>
        <w:instrText xml:space="preserve"> REF _Ref39068366 \r \h </w:instrText>
      </w:r>
      <w:r w:rsidR="00C93541">
        <w:rPr>
          <w:noProof/>
          <w:color w:val="000000"/>
          <w:szCs w:val="22"/>
        </w:rPr>
        <w:fldChar w:fldCharType="separate"/>
      </w:r>
      <w:r w:rsidR="00C93541">
        <w:rPr>
          <w:noProof/>
          <w:color w:val="000000"/>
          <w:szCs w:val="22"/>
        </w:rPr>
        <w:t>10</w:t>
      </w:r>
      <w:r w:rsidR="00C93541">
        <w:rPr>
          <w:noProof/>
          <w:color w:val="000000"/>
          <w:szCs w:val="22"/>
        </w:rPr>
        <w:fldChar w:fldCharType="end"/>
      </w:r>
      <w:r w:rsidRPr="00972667">
        <w:rPr>
          <w:noProof/>
          <w:color w:val="000000"/>
          <w:szCs w:val="22"/>
        </w:rPr>
        <w:t xml:space="preserve"> above.  </w:t>
      </w:r>
      <w:r w:rsidR="00732B61">
        <w:rPr>
          <w:noProof/>
          <w:color w:val="000000"/>
          <w:szCs w:val="22"/>
        </w:rPr>
        <w:t>Susan Piatek</w:t>
      </w:r>
      <w:r w:rsidRPr="00972667">
        <w:rPr>
          <w:noProof/>
          <w:color w:val="000000"/>
          <w:szCs w:val="22"/>
        </w:rPr>
        <w:t xml:space="preserve"> </w:t>
      </w:r>
      <w:r w:rsidRPr="00972667">
        <w:rPr>
          <w:noProof/>
          <w:szCs w:val="22"/>
        </w:rPr>
        <w:t xml:space="preserve">must </w:t>
      </w:r>
      <w:r w:rsidRPr="00972667">
        <w:rPr>
          <w:noProof/>
          <w:color w:val="000000"/>
          <w:szCs w:val="22"/>
        </w:rPr>
        <w:t xml:space="preserve">support </w:t>
      </w:r>
      <w:r w:rsidR="00732B61">
        <w:rPr>
          <w:noProof/>
          <w:color w:val="000000"/>
          <w:szCs w:val="22"/>
        </w:rPr>
        <w:t>her</w:t>
      </w:r>
      <w:r w:rsidRPr="00972667" w:rsidR="00D60F57">
        <w:rPr>
          <w:noProof/>
          <w:color w:val="000000"/>
          <w:szCs w:val="22"/>
        </w:rPr>
        <w:t xml:space="preserve"> </w:t>
      </w:r>
      <w:r w:rsidRPr="00972667">
        <w:rPr>
          <w:noProof/>
          <w:color w:val="000000"/>
          <w:szCs w:val="22"/>
        </w:rPr>
        <w:t>responses with an affidavit or declaration</w:t>
      </w:r>
      <w:r>
        <w:rPr>
          <w:noProof/>
          <w:color w:val="000000"/>
          <w:szCs w:val="22"/>
        </w:rPr>
        <w:t xml:space="preserve"> made</w:t>
      </w:r>
      <w:r w:rsidRPr="00972667">
        <w:rPr>
          <w:noProof/>
          <w:color w:val="000000"/>
          <w:szCs w:val="22"/>
        </w:rPr>
        <w:t xml:space="preserve"> under penalty of perjury, signed and dated by </w:t>
      </w:r>
      <w:r w:rsidR="00732B61">
        <w:rPr>
          <w:noProof/>
          <w:color w:val="000000"/>
          <w:szCs w:val="22"/>
        </w:rPr>
        <w:t>Susan Piatek</w:t>
      </w:r>
      <w:r>
        <w:rPr>
          <w:noProof/>
          <w:color w:val="000000"/>
          <w:szCs w:val="22"/>
        </w:rPr>
        <w:t>,</w:t>
      </w:r>
      <w:r w:rsidRPr="00972667">
        <w:rPr>
          <w:noProof/>
          <w:color w:val="000000"/>
          <w:szCs w:val="22"/>
        </w:rPr>
        <w:t xml:space="preserve"> </w:t>
      </w:r>
      <w:r>
        <w:rPr>
          <w:noProof/>
          <w:color w:val="000000"/>
          <w:szCs w:val="22"/>
        </w:rPr>
        <w:t>attesting</w:t>
      </w:r>
      <w:r w:rsidRPr="00972667">
        <w:rPr>
          <w:noProof/>
          <w:color w:val="000000"/>
          <w:szCs w:val="22"/>
        </w:rPr>
        <w:t xml:space="preserve"> personal knowledge of the representa</w:t>
      </w:r>
      <w:r w:rsidRPr="00972667">
        <w:rPr>
          <w:noProof/>
          <w:color w:val="000000"/>
          <w:szCs w:val="22"/>
        </w:rPr>
        <w:t xml:space="preserve">tions provided in the response, </w:t>
      </w:r>
      <w:r>
        <w:rPr>
          <w:noProof/>
          <w:color w:val="000000"/>
          <w:szCs w:val="22"/>
        </w:rPr>
        <w:t xml:space="preserve">and </w:t>
      </w:r>
      <w:r w:rsidRPr="00972667">
        <w:rPr>
          <w:noProof/>
          <w:color w:val="000000"/>
          <w:szCs w:val="22"/>
        </w:rPr>
        <w:t>verifying the truth and accuracy of the information therein and that all of the information requested has been produced</w:t>
      </w:r>
      <w:r w:rsidRPr="00972667">
        <w:rPr>
          <w:noProof/>
          <w:szCs w:val="22"/>
        </w:rPr>
        <w:t xml:space="preserve">.  </w:t>
      </w:r>
      <w:r w:rsidRPr="00972667">
        <w:rPr>
          <w:szCs w:val="22"/>
        </w:rPr>
        <w:t xml:space="preserve">All such declarations provided must comply with </w:t>
      </w:r>
      <w:r>
        <w:rPr>
          <w:szCs w:val="22"/>
        </w:rPr>
        <w:t>s</w:t>
      </w:r>
      <w:r w:rsidRPr="00972667">
        <w:rPr>
          <w:szCs w:val="22"/>
        </w:rPr>
        <w:t xml:space="preserve">ection 1.16 of the </w:t>
      </w:r>
      <w:r>
        <w:rPr>
          <w:szCs w:val="22"/>
        </w:rPr>
        <w:t>Commission’s rules</w:t>
      </w:r>
      <w:r w:rsidRPr="00972667">
        <w:rPr>
          <w:szCs w:val="22"/>
        </w:rPr>
        <w:t xml:space="preserve"> and be subs</w:t>
      </w:r>
      <w:r w:rsidRPr="00972667">
        <w:rPr>
          <w:szCs w:val="22"/>
        </w:rPr>
        <w:t>tantially in the form set forth therein.</w:t>
      </w:r>
      <w:r>
        <w:rPr>
          <w:szCs w:val="22"/>
          <w:vertAlign w:val="superscript"/>
        </w:rPr>
        <w:footnoteReference w:id="36"/>
      </w:r>
      <w:r w:rsidRPr="00972667">
        <w:rPr>
          <w:szCs w:val="22"/>
        </w:rPr>
        <w:t xml:space="preserve">  </w:t>
      </w:r>
      <w:r w:rsidRPr="00972667">
        <w:rPr>
          <w:noProof/>
          <w:szCs w:val="22"/>
        </w:rPr>
        <w:t xml:space="preserve">The </w:t>
      </w:r>
      <w:r>
        <w:rPr>
          <w:noProof/>
          <w:szCs w:val="22"/>
        </w:rPr>
        <w:t>Commission</w:t>
      </w:r>
      <w:r w:rsidRPr="00972667">
        <w:rPr>
          <w:noProof/>
          <w:szCs w:val="22"/>
        </w:rPr>
        <w:t xml:space="preserve"> must receive the response within </w:t>
      </w:r>
      <w:r>
        <w:rPr>
          <w:noProof/>
          <w:szCs w:val="22"/>
        </w:rPr>
        <w:t>thirty (</w:t>
      </w:r>
      <w:r w:rsidRPr="00972667">
        <w:rPr>
          <w:noProof/>
          <w:szCs w:val="22"/>
        </w:rPr>
        <w:t>30</w:t>
      </w:r>
      <w:r>
        <w:rPr>
          <w:noProof/>
          <w:szCs w:val="22"/>
        </w:rPr>
        <w:t>)</w:t>
      </w:r>
      <w:r w:rsidRPr="00972667">
        <w:rPr>
          <w:noProof/>
          <w:szCs w:val="22"/>
        </w:rPr>
        <w:t xml:space="preserve"> calendar days of the release date of this Citation and Order.</w:t>
      </w:r>
      <w:r w:rsidR="00F41C71">
        <w:rPr>
          <w:noProof/>
          <w:szCs w:val="22"/>
        </w:rPr>
        <w:br w:type="page"/>
      </w:r>
    </w:p>
    <w:p w:rsidR="007D4157" w:rsidRPr="00972667" w:rsidP="00616FC1">
      <w:pPr>
        <w:pStyle w:val="ParaNum"/>
        <w:keepNext/>
        <w:widowControl/>
        <w:numPr>
          <w:ilvl w:val="0"/>
          <w:numId w:val="1"/>
        </w:numPr>
        <w:tabs>
          <w:tab w:val="clear" w:pos="1080"/>
          <w:tab w:val="num" w:pos="1440"/>
        </w:tabs>
        <w:rPr>
          <w:noProof/>
          <w:color w:val="000000"/>
          <w:szCs w:val="22"/>
        </w:rPr>
      </w:pPr>
      <w:r w:rsidRPr="00972667">
        <w:rPr>
          <w:b/>
          <w:noProof/>
          <w:color w:val="000000"/>
          <w:szCs w:val="22"/>
        </w:rPr>
        <w:t xml:space="preserve">IT IS FURTHER ORDERED </w:t>
      </w:r>
      <w:r w:rsidRPr="00972667">
        <w:rPr>
          <w:noProof/>
          <w:color w:val="000000"/>
          <w:szCs w:val="22"/>
        </w:rPr>
        <w:t xml:space="preserve">that a copy of this Citation and Order shall be sent by </w:t>
      </w:r>
      <w:r w:rsidR="004E16E4">
        <w:rPr>
          <w:noProof/>
          <w:color w:val="000000"/>
          <w:szCs w:val="22"/>
        </w:rPr>
        <w:t>f</w:t>
      </w:r>
      <w:r w:rsidRPr="00972667">
        <w:rPr>
          <w:noProof/>
          <w:color w:val="000000"/>
          <w:szCs w:val="22"/>
        </w:rPr>
        <w:t xml:space="preserve">irst </w:t>
      </w:r>
      <w:r w:rsidR="004E16E4">
        <w:rPr>
          <w:noProof/>
          <w:color w:val="000000"/>
          <w:szCs w:val="22"/>
        </w:rPr>
        <w:t>c</w:t>
      </w:r>
      <w:r w:rsidRPr="00972667">
        <w:rPr>
          <w:noProof/>
          <w:color w:val="000000"/>
          <w:szCs w:val="22"/>
        </w:rPr>
        <w:t xml:space="preserve">lass </w:t>
      </w:r>
      <w:r w:rsidR="004E16E4">
        <w:rPr>
          <w:noProof/>
          <w:color w:val="000000"/>
          <w:szCs w:val="22"/>
        </w:rPr>
        <w:t>m</w:t>
      </w:r>
      <w:r w:rsidRPr="00972667">
        <w:rPr>
          <w:noProof/>
          <w:color w:val="000000"/>
          <w:szCs w:val="22"/>
        </w:rPr>
        <w:t xml:space="preserve">ail and </w:t>
      </w:r>
      <w:r w:rsidR="004E16E4">
        <w:rPr>
          <w:noProof/>
          <w:color w:val="000000"/>
          <w:szCs w:val="22"/>
        </w:rPr>
        <w:t>c</w:t>
      </w:r>
      <w:r w:rsidRPr="00972667">
        <w:rPr>
          <w:noProof/>
          <w:color w:val="000000"/>
          <w:szCs w:val="22"/>
        </w:rPr>
        <w:t xml:space="preserve">ertified </w:t>
      </w:r>
      <w:r w:rsidR="004E16E4">
        <w:rPr>
          <w:noProof/>
          <w:color w:val="000000"/>
          <w:szCs w:val="22"/>
        </w:rPr>
        <w:t>m</w:t>
      </w:r>
      <w:r w:rsidRPr="00972667">
        <w:rPr>
          <w:noProof/>
          <w:color w:val="000000"/>
          <w:szCs w:val="22"/>
        </w:rPr>
        <w:t xml:space="preserve">ail, </w:t>
      </w:r>
      <w:r w:rsidR="004E16E4">
        <w:rPr>
          <w:noProof/>
          <w:color w:val="000000"/>
          <w:szCs w:val="22"/>
        </w:rPr>
        <w:t>r</w:t>
      </w:r>
      <w:r w:rsidRPr="00972667">
        <w:rPr>
          <w:noProof/>
          <w:color w:val="000000"/>
          <w:szCs w:val="22"/>
        </w:rPr>
        <w:t xml:space="preserve">eturn </w:t>
      </w:r>
      <w:r w:rsidR="004E16E4">
        <w:rPr>
          <w:noProof/>
          <w:color w:val="000000"/>
          <w:szCs w:val="22"/>
        </w:rPr>
        <w:t>r</w:t>
      </w:r>
      <w:r w:rsidRPr="00972667">
        <w:rPr>
          <w:noProof/>
          <w:color w:val="000000"/>
          <w:szCs w:val="22"/>
        </w:rPr>
        <w:t xml:space="preserve">eceipt </w:t>
      </w:r>
      <w:r w:rsidR="004E16E4">
        <w:rPr>
          <w:noProof/>
          <w:color w:val="000000"/>
          <w:szCs w:val="22"/>
        </w:rPr>
        <w:t>r</w:t>
      </w:r>
      <w:r w:rsidRPr="00972667">
        <w:rPr>
          <w:noProof/>
          <w:color w:val="000000"/>
          <w:szCs w:val="22"/>
        </w:rPr>
        <w:t xml:space="preserve">equested, to </w:t>
      </w:r>
      <w:r w:rsidR="00732B61">
        <w:rPr>
          <w:noProof/>
          <w:color w:val="000000"/>
          <w:szCs w:val="22"/>
        </w:rPr>
        <w:t>Susan Piatek</w:t>
      </w:r>
      <w:r w:rsidRPr="00E93A72" w:rsidR="00E93A72">
        <w:t xml:space="preserve"> </w:t>
      </w:r>
      <w:r w:rsidR="00525E23">
        <w:rPr>
          <w:noProof/>
          <w:color w:val="000000"/>
          <w:szCs w:val="22"/>
        </w:rPr>
        <w:t>at the Piatek residence in</w:t>
      </w:r>
      <w:r w:rsidRPr="00E93A72" w:rsidR="00E93A72">
        <w:rPr>
          <w:noProof/>
          <w:color w:val="000000"/>
          <w:szCs w:val="22"/>
        </w:rPr>
        <w:t xml:space="preserve"> Winter Garden, </w:t>
      </w:r>
      <w:r w:rsidR="00FE60F1">
        <w:rPr>
          <w:noProof/>
          <w:color w:val="000000"/>
          <w:szCs w:val="22"/>
        </w:rPr>
        <w:t>Florida</w:t>
      </w:r>
      <w:r w:rsidRPr="00972667">
        <w:rPr>
          <w:noProof/>
          <w:color w:val="000000"/>
          <w:szCs w:val="22"/>
        </w:rPr>
        <w:t>.</w:t>
      </w:r>
    </w:p>
    <w:p w:rsidR="007D4157" w:rsidP="00616FC1">
      <w:pPr>
        <w:widowControl/>
        <w:ind w:left="3600" w:firstLine="720"/>
      </w:pPr>
    </w:p>
    <w:p w:rsidR="003343CA" w:rsidRPr="00BE70CC" w:rsidP="00616FC1">
      <w:pPr>
        <w:widowControl/>
        <w:ind w:left="3600" w:firstLine="720"/>
      </w:pPr>
      <w:r w:rsidRPr="00BE70CC">
        <w:t>FEDERAL COMMUNICATIONS COMMISSION</w:t>
      </w:r>
    </w:p>
    <w:p w:rsidR="003343CA" w:rsidRPr="00BE70CC" w:rsidP="00616FC1">
      <w:pPr>
        <w:widowControl/>
        <w:ind w:left="4410"/>
      </w:pPr>
    </w:p>
    <w:p w:rsidR="003343CA" w:rsidP="00616FC1">
      <w:pPr>
        <w:widowControl/>
        <w:ind w:left="4410"/>
      </w:pPr>
    </w:p>
    <w:p w:rsidR="002C6607" w:rsidRPr="00BE70CC" w:rsidP="00616FC1">
      <w:pPr>
        <w:widowControl/>
        <w:ind w:left="4410"/>
      </w:pPr>
    </w:p>
    <w:p w:rsidR="003343CA" w:rsidRPr="00BE70CC" w:rsidP="00616FC1">
      <w:pPr>
        <w:widowControl/>
        <w:ind w:left="4410"/>
      </w:pPr>
    </w:p>
    <w:p w:rsidR="007D4157" w:rsidRPr="00972667" w:rsidP="00616FC1">
      <w:pPr>
        <w:keepNext/>
        <w:widowControl/>
        <w:ind w:left="4320"/>
        <w:rPr>
          <w:bCs/>
          <w:noProof/>
          <w:szCs w:val="22"/>
        </w:rPr>
      </w:pPr>
      <w:r>
        <w:rPr>
          <w:bCs/>
          <w:noProof/>
          <w:szCs w:val="22"/>
        </w:rPr>
        <w:t>Ronald Ramage</w:t>
      </w:r>
    </w:p>
    <w:p w:rsidR="007D4157" w:rsidRPr="00972667" w:rsidP="00616FC1">
      <w:pPr>
        <w:keepNext/>
        <w:widowControl/>
        <w:ind w:left="3600" w:firstLine="720"/>
        <w:rPr>
          <w:bCs/>
          <w:noProof/>
          <w:szCs w:val="22"/>
        </w:rPr>
      </w:pPr>
      <w:r>
        <w:rPr>
          <w:bCs/>
          <w:noProof/>
          <w:szCs w:val="22"/>
        </w:rPr>
        <w:t>Acting Field Dire</w:t>
      </w:r>
      <w:r>
        <w:rPr>
          <w:bCs/>
          <w:noProof/>
          <w:szCs w:val="22"/>
        </w:rPr>
        <w:t>ctor</w:t>
      </w:r>
    </w:p>
    <w:p w:rsidR="007D4157" w:rsidRPr="00972667" w:rsidP="00616FC1">
      <w:pPr>
        <w:keepNext/>
        <w:widowControl/>
        <w:ind w:left="3600" w:firstLine="720"/>
        <w:rPr>
          <w:bCs/>
          <w:noProof/>
          <w:szCs w:val="22"/>
        </w:rPr>
      </w:pPr>
      <w:r w:rsidRPr="00972667">
        <w:rPr>
          <w:bCs/>
          <w:noProof/>
          <w:szCs w:val="22"/>
        </w:rPr>
        <w:t>Enforcement Bureau</w:t>
      </w:r>
    </w:p>
    <w:p w:rsidR="003343CA" w:rsidRPr="00BE70CC" w:rsidP="00616FC1">
      <w:pPr>
        <w:widowControl/>
        <w:ind w:left="4410"/>
      </w:pPr>
    </w:p>
    <w:sectPr w:rsidSect="00F50F55">
      <w:headerReference w:type="default" r:id="rId5"/>
      <w:footerReference w:type="even" r:id="rId6"/>
      <w:footerReference w:type="default" r:id="rId7"/>
      <w:headerReference w:type="first" r:id="rId8"/>
      <w:endnotePr>
        <w:numFmt w:val="decimal"/>
      </w:endnotePr>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pPr>
      <w:pStyle w:val="Footer"/>
      <w:framePr w:wrap="around" w:vAnchor="text" w:hAnchor="margin" w:xAlign="center" w:y="1"/>
    </w:pPr>
    <w:r>
      <w:fldChar w:fldCharType="begin"/>
    </w:r>
    <w:r>
      <w:instrText xml:space="preserve">PAGE  </w:instrText>
    </w:r>
    <w:r>
      <w:fldChar w:fldCharType="separate"/>
    </w:r>
    <w:r>
      <w:fldChar w:fldCharType="end"/>
    </w:r>
  </w:p>
  <w:p w:rsidR="005D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pPr>
      <w:pStyle w:val="Footer"/>
      <w:framePr w:wrap="around" w:vAnchor="text" w:hAnchor="margin" w:xAlign="center" w:y="1"/>
    </w:pPr>
    <w:r>
      <w:fldChar w:fldCharType="begin"/>
    </w:r>
    <w:r>
      <w:instrText xml:space="preserve">PAGE  </w:instrText>
    </w:r>
    <w:r>
      <w:fldChar w:fldCharType="separate"/>
    </w:r>
    <w:r w:rsidR="000516D6">
      <w:rPr>
        <w:noProof/>
      </w:rPr>
      <w:t>4</w:t>
    </w:r>
    <w:r>
      <w:rPr>
        <w:noProof/>
      </w:rPr>
      <w:fldChar w:fldCharType="end"/>
    </w:r>
  </w:p>
  <w:p w:rsidR="005D1BA6">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4E74">
      <w:r>
        <w:separator/>
      </w:r>
    </w:p>
  </w:footnote>
  <w:footnote w:type="continuationSeparator" w:id="1">
    <w:p w:rsidR="00E54E74">
      <w:pPr>
        <w:rPr>
          <w:sz w:val="20"/>
        </w:rPr>
      </w:pPr>
      <w:r>
        <w:rPr>
          <w:sz w:val="20"/>
        </w:rPr>
        <w:t xml:space="preserve">(Continued from previous page)  </w:t>
      </w:r>
      <w:r>
        <w:rPr>
          <w:sz w:val="20"/>
        </w:rPr>
        <w:separator/>
      </w:r>
    </w:p>
  </w:footnote>
  <w:footnote w:type="continuationNotice" w:id="2">
    <w:p w:rsidR="00E54E74">
      <w:pPr>
        <w:rPr>
          <w:sz w:val="20"/>
        </w:rPr>
      </w:pPr>
    </w:p>
  </w:footnote>
  <w:footnote w:id="3">
    <w:p w:rsidR="0056484B" w:rsidP="0056484B">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p>
  </w:footnote>
  <w:footnote w:id="4">
    <w:p w:rsidR="005D1BA6" w:rsidRPr="002D63C3" w:rsidP="003C4AD3">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w:t>
      </w:r>
      <w:r w:rsidR="00382491">
        <w:rPr>
          <w:kern w:val="20"/>
        </w:rPr>
        <w:t>.</w:t>
      </w:r>
      <w:r w:rsidRPr="002D63C3">
        <w:rPr>
          <w:kern w:val="20"/>
        </w:rPr>
        <w:t xml:space="preserve"> </w:t>
      </w:r>
      <w:bookmarkStart w:id="4" w:name="_Hlk33002377"/>
      <w:r w:rsidRPr="002D63C3">
        <w:rPr>
          <w:kern w:val="20"/>
          <w:szCs w:val="24"/>
        </w:rPr>
        <w:t>§</w:t>
      </w:r>
      <w:bookmarkEnd w:id="4"/>
      <w:r w:rsidRPr="002D63C3">
        <w:rPr>
          <w:kern w:val="20"/>
          <w:szCs w:val="24"/>
        </w:rPr>
        <w:t xml:space="preserve"> 503(b)(5).</w:t>
      </w:r>
      <w:r w:rsidRPr="002D63C3">
        <w:rPr>
          <w:kern w:val="20"/>
        </w:rPr>
        <w:t xml:space="preserve">  </w:t>
      </w:r>
    </w:p>
  </w:footnote>
  <w:footnote w:id="5">
    <w:p w:rsidR="00080702" w:rsidRPr="00A2152D" w:rsidP="00080702">
      <w:pPr>
        <w:pStyle w:val="FootnoteText"/>
      </w:pPr>
      <w:r w:rsidRPr="00A2152D">
        <w:rPr>
          <w:rStyle w:val="FootnoteReference"/>
        </w:rPr>
        <w:footnoteRef/>
      </w:r>
      <w:r w:rsidRPr="00A2152D">
        <w:t xml:space="preserve"> 47 U.S.C. § 301</w:t>
      </w:r>
      <w:r>
        <w:t>.</w:t>
      </w:r>
    </w:p>
  </w:footnote>
  <w:footnote w:id="6">
    <w:p w:rsidR="004D7744" w:rsidRPr="002D63C3" w:rsidP="004D7744">
      <w:pPr>
        <w:pStyle w:val="FootnoteText"/>
      </w:pPr>
      <w:r w:rsidRPr="002D63C3">
        <w:rPr>
          <w:rStyle w:val="FootnoteReference"/>
        </w:rPr>
        <w:footnoteRef/>
      </w:r>
      <w:r w:rsidRPr="002D63C3">
        <w:t xml:space="preserve"> 47 </w:t>
      </w:r>
      <w:r>
        <w:t>CFR</w:t>
      </w:r>
      <w:r w:rsidRPr="002D63C3">
        <w:t xml:space="preserve"> §</w:t>
      </w:r>
      <w:r w:rsidRPr="002D63C3" w:rsidR="00382491">
        <w:rPr>
          <w:kern w:val="20"/>
          <w:szCs w:val="24"/>
        </w:rPr>
        <w:t>§</w:t>
      </w:r>
      <w:r w:rsidRPr="002D63C3">
        <w:t xml:space="preserve"> </w:t>
      </w:r>
      <w:r w:rsidRPr="0026408D">
        <w:t>1</w:t>
      </w:r>
      <w:r>
        <w:t>5</w:t>
      </w:r>
      <w:r w:rsidRPr="0026408D">
        <w:t>.</w:t>
      </w:r>
      <w:r>
        <w:t>5</w:t>
      </w:r>
      <w:r w:rsidRPr="0026408D">
        <w:t>(b)</w:t>
      </w:r>
      <w:r>
        <w:t>-</w:t>
      </w:r>
      <w:r w:rsidRPr="0026408D">
        <w:t>(</w:t>
      </w:r>
      <w:r>
        <w:t>c</w:t>
      </w:r>
      <w:r w:rsidRPr="0026408D">
        <w:t>)</w:t>
      </w:r>
      <w:r w:rsidRPr="002D63C3">
        <w:t xml:space="preserve">. </w:t>
      </w:r>
    </w:p>
  </w:footnote>
  <w:footnote w:id="7">
    <w:p w:rsidR="004D7744" w:rsidRPr="002D63C3" w:rsidP="004D7744">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w:t>
      </w:r>
      <w:r w:rsidRPr="002D63C3">
        <w:rPr>
          <w:color w:val="000000"/>
          <w:kern w:val="20"/>
        </w:rPr>
        <w:t>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w:t>
      </w:r>
      <w:r w:rsidRPr="002D63C3">
        <w:rPr>
          <w:i/>
          <w:color w:val="000000"/>
          <w:kern w:val="20"/>
        </w:rPr>
        <w:t>or which the citation was originally sent</w:t>
      </w:r>
      <w:r w:rsidRPr="002D63C3">
        <w:rPr>
          <w:color w:val="000000"/>
          <w:kern w:val="20"/>
        </w:rPr>
        <w:t>.”) (emphasis added).</w:t>
      </w:r>
    </w:p>
  </w:footnote>
  <w:footnote w:id="8">
    <w:p w:rsidR="00036350" w:rsidP="00036350">
      <w:pPr>
        <w:pStyle w:val="FootnoteText"/>
      </w:pPr>
      <w:r>
        <w:rPr>
          <w:rStyle w:val="FootnoteReference"/>
          <w:kern w:val="20"/>
        </w:rPr>
        <w:footnoteRef/>
      </w:r>
      <w:r>
        <w:rPr>
          <w:kern w:val="20"/>
        </w:rPr>
        <w:t xml:space="preserve"> 47 U.S.C. §§ 154(i)-(j), 403.</w:t>
      </w:r>
    </w:p>
  </w:footnote>
  <w:footnote w:id="9">
    <w:p w:rsidR="006A0365">
      <w:pPr>
        <w:pStyle w:val="FootnoteText"/>
      </w:pPr>
      <w:r>
        <w:rPr>
          <w:rStyle w:val="FootnoteReference"/>
        </w:rPr>
        <w:footnoteRef/>
      </w:r>
      <w:r>
        <w:t xml:space="preserve"> </w:t>
      </w:r>
      <w:r w:rsidRPr="00240243" w:rsidR="008D633A">
        <w:rPr>
          <w:i/>
          <w:iCs/>
        </w:rPr>
        <w:t>See</w:t>
      </w:r>
      <w:r w:rsidR="00240243">
        <w:t xml:space="preserve"> </w:t>
      </w:r>
      <w:r w:rsidRPr="002644C9" w:rsidR="008D633A">
        <w:rPr>
          <w:i/>
          <w:iCs/>
        </w:rPr>
        <w:t>Report of Harmful Interference to EESS</w:t>
      </w:r>
      <w:r w:rsidRPr="002644C9" w:rsidR="00240243">
        <w:rPr>
          <w:i/>
          <w:iCs/>
        </w:rPr>
        <w:t xml:space="preserve"> </w:t>
      </w:r>
      <w:r w:rsidRPr="002644C9" w:rsidR="008D633A">
        <w:rPr>
          <w:i/>
          <w:iCs/>
        </w:rPr>
        <w:t xml:space="preserve">(passive) </w:t>
      </w:r>
      <w:r w:rsidRPr="002644C9" w:rsidR="00240243">
        <w:rPr>
          <w:i/>
          <w:iCs/>
        </w:rPr>
        <w:t>S</w:t>
      </w:r>
      <w:r w:rsidRPr="002644C9" w:rsidR="008D633A">
        <w:rPr>
          <w:i/>
          <w:iCs/>
        </w:rPr>
        <w:t xml:space="preserve">ensors SMOS </w:t>
      </w:r>
      <w:r w:rsidRPr="002644C9" w:rsidR="00240243">
        <w:rPr>
          <w:i/>
          <w:iCs/>
        </w:rPr>
        <w:t>R</w:t>
      </w:r>
      <w:r w:rsidRPr="002644C9" w:rsidR="008D633A">
        <w:rPr>
          <w:i/>
          <w:iCs/>
        </w:rPr>
        <w:t xml:space="preserve">adiometer over the </w:t>
      </w:r>
      <w:r w:rsidRPr="002644C9" w:rsidR="00240243">
        <w:rPr>
          <w:i/>
          <w:iCs/>
        </w:rPr>
        <w:t>United States</w:t>
      </w:r>
      <w:r w:rsidR="00646602">
        <w:rPr>
          <w:i/>
          <w:iCs/>
        </w:rPr>
        <w:t xml:space="preserve">, </w:t>
      </w:r>
      <w:r w:rsidR="00646602">
        <w:t>European Space Agency</w:t>
      </w:r>
      <w:r w:rsidR="00240243">
        <w:t xml:space="preserve"> (</w:t>
      </w:r>
      <w:r w:rsidR="00646602">
        <w:t>Mar</w:t>
      </w:r>
      <w:r w:rsidR="002B2D76">
        <w:t>.</w:t>
      </w:r>
      <w:r w:rsidR="00240243">
        <w:t xml:space="preserve"> 28</w:t>
      </w:r>
      <w:r w:rsidR="00646602">
        <w:t>,</w:t>
      </w:r>
      <w:r w:rsidR="00240243">
        <w:t xml:space="preserve"> 2019) (</w:t>
      </w:r>
      <w:r w:rsidR="002B2D76">
        <w:t>o</w:t>
      </w:r>
      <w:r w:rsidR="00240243">
        <w:t xml:space="preserve">n file </w:t>
      </w:r>
      <w:r w:rsidRPr="00240243" w:rsidR="00240243">
        <w:t>EB-FIELDSCR-19-00028803</w:t>
      </w:r>
      <w:r w:rsidR="00240243">
        <w:t>).</w:t>
      </w:r>
    </w:p>
  </w:footnote>
  <w:footnote w:id="10">
    <w:p w:rsidR="00B40F11" w:rsidP="00B40F11">
      <w:pPr>
        <w:pStyle w:val="NoSpacing"/>
        <w:rPr>
          <w:sz w:val="20"/>
        </w:rPr>
      </w:pPr>
      <w:r w:rsidRPr="00494063">
        <w:rPr>
          <w:rStyle w:val="FootnoteReference"/>
        </w:rPr>
        <w:footnoteRef/>
      </w:r>
      <w:r w:rsidRPr="00494063">
        <w:rPr>
          <w:sz w:val="20"/>
          <w:vertAlign w:val="superscript"/>
        </w:rPr>
        <w:t xml:space="preserve"> </w:t>
      </w:r>
      <w:r>
        <w:rPr>
          <w:sz w:val="20"/>
        </w:rPr>
        <w:t>The frequencies</w:t>
      </w:r>
      <w:r w:rsidR="00BB76A2">
        <w:rPr>
          <w:sz w:val="20"/>
        </w:rPr>
        <w:t xml:space="preserve"> </w:t>
      </w:r>
      <w:r>
        <w:rPr>
          <w:sz w:val="20"/>
        </w:rPr>
        <w:t>1400-1427 MHz lie</w:t>
      </w:r>
      <w:r w:rsidRPr="009D0A96">
        <w:rPr>
          <w:sz w:val="20"/>
        </w:rPr>
        <w:t xml:space="preserve"> within the 1</w:t>
      </w:r>
      <w:r>
        <w:rPr>
          <w:sz w:val="20"/>
        </w:rPr>
        <w:t>300-1427 MHz band and are</w:t>
      </w:r>
      <w:r w:rsidRPr="009D0A96">
        <w:rPr>
          <w:sz w:val="20"/>
        </w:rPr>
        <w:t xml:space="preserve"> listed as a restricted band in </w:t>
      </w:r>
      <w:r w:rsidR="006A0365">
        <w:rPr>
          <w:sz w:val="20"/>
        </w:rPr>
        <w:t>s</w:t>
      </w:r>
      <w:r w:rsidRPr="009D0A96">
        <w:rPr>
          <w:sz w:val="20"/>
        </w:rPr>
        <w:t xml:space="preserve">ection 15.205(a) of the Commission’s rules.  </w:t>
      </w:r>
      <w:r w:rsidR="006A0365">
        <w:rPr>
          <w:i/>
          <w:iCs/>
          <w:sz w:val="20"/>
        </w:rPr>
        <w:t>See</w:t>
      </w:r>
      <w:r w:rsidRPr="00F41C71" w:rsidR="006A0365">
        <w:rPr>
          <w:i/>
          <w:sz w:val="20"/>
        </w:rPr>
        <w:t xml:space="preserve"> </w:t>
      </w:r>
      <w:r w:rsidRPr="009D0A96">
        <w:rPr>
          <w:sz w:val="20"/>
        </w:rPr>
        <w:t>47 CFR § 15.205(a).</w:t>
      </w:r>
      <w:r>
        <w:rPr>
          <w:sz w:val="20"/>
        </w:rPr>
        <w:t xml:space="preserve">  The frequencies 1427-1429 MHz lie within the </w:t>
      </w:r>
      <w:r w:rsidRPr="00FE1609">
        <w:rPr>
          <w:sz w:val="20"/>
        </w:rPr>
        <w:t>1427-</w:t>
      </w:r>
      <w:r w:rsidR="00FE1609">
        <w:rPr>
          <w:sz w:val="20"/>
        </w:rPr>
        <w:t>1432</w:t>
      </w:r>
      <w:r w:rsidRPr="00FE1609">
        <w:rPr>
          <w:sz w:val="20"/>
        </w:rPr>
        <w:t xml:space="preserve"> </w:t>
      </w:r>
      <w:r w:rsidR="00FE1609">
        <w:rPr>
          <w:sz w:val="20"/>
        </w:rPr>
        <w:t xml:space="preserve">MHz </w:t>
      </w:r>
      <w:r w:rsidRPr="00FE1609">
        <w:rPr>
          <w:sz w:val="20"/>
        </w:rPr>
        <w:t>band and are listed as frequencies assigned to applicants that establish eligibility in the Public Safety Pool or the Industrial/Business Pool.</w:t>
      </w:r>
      <w:r>
        <w:rPr>
          <w:sz w:val="20"/>
        </w:rPr>
        <w:t xml:space="preserve">  </w:t>
      </w:r>
      <w:r w:rsidR="006A0365">
        <w:rPr>
          <w:i/>
          <w:iCs/>
          <w:sz w:val="20"/>
        </w:rPr>
        <w:t xml:space="preserve">See </w:t>
      </w:r>
      <w:r w:rsidRPr="00FE1609">
        <w:rPr>
          <w:sz w:val="20"/>
        </w:rPr>
        <w:t xml:space="preserve">47 CFR § </w:t>
      </w:r>
      <w:r w:rsidR="00FE1609">
        <w:rPr>
          <w:sz w:val="20"/>
        </w:rPr>
        <w:t>90.259(b)</w:t>
      </w:r>
      <w:r w:rsidRPr="00FE1609">
        <w:rPr>
          <w:sz w:val="20"/>
        </w:rPr>
        <w:t>.</w:t>
      </w:r>
      <w:r>
        <w:rPr>
          <w:sz w:val="20"/>
        </w:rPr>
        <w:t xml:space="preserve">  </w:t>
      </w:r>
    </w:p>
    <w:p w:rsidR="00B40F11" w:rsidRPr="00494063" w:rsidP="00B40F11">
      <w:pPr>
        <w:pStyle w:val="NoSpacing"/>
        <w:rPr>
          <w:sz w:val="20"/>
        </w:rPr>
      </w:pPr>
    </w:p>
  </w:footnote>
  <w:footnote w:id="11">
    <w:p w:rsidR="006A0365">
      <w:pPr>
        <w:pStyle w:val="FootnoteText"/>
      </w:pPr>
      <w:r>
        <w:rPr>
          <w:rStyle w:val="FootnoteReference"/>
        </w:rPr>
        <w:footnoteRef/>
      </w:r>
      <w:r>
        <w:t xml:space="preserve"> </w:t>
      </w:r>
      <w:r w:rsidRPr="00ED4DFD" w:rsidR="00C24E58">
        <w:rPr>
          <w:i/>
        </w:rPr>
        <w:t>See</w:t>
      </w:r>
      <w:r w:rsidR="00C24E58">
        <w:t xml:space="preserve"> Field Agent’s Investigation Report (on file in </w:t>
      </w:r>
      <w:r w:rsidRPr="00C24E58" w:rsidR="00C24E58">
        <w:t>EB-FIELDSCR-19-00028803</w:t>
      </w:r>
      <w:r w:rsidR="00C24E58">
        <w:t>)</w:t>
      </w:r>
      <w:r w:rsidR="002B2D76">
        <w:t>.</w:t>
      </w:r>
    </w:p>
  </w:footnote>
  <w:footnote w:id="12">
    <w:p w:rsidR="00937C78">
      <w:pPr>
        <w:pStyle w:val="FootnoteText"/>
      </w:pPr>
      <w:r>
        <w:rPr>
          <w:rStyle w:val="FootnoteReference"/>
        </w:rPr>
        <w:footnoteRef/>
      </w:r>
      <w:r>
        <w:t xml:space="preserve"> </w:t>
      </w:r>
      <w:r w:rsidRPr="00937C78">
        <w:rPr>
          <w:i/>
          <w:iCs/>
        </w:rPr>
        <w:t>See</w:t>
      </w:r>
      <w:r>
        <w:t xml:space="preserve"> </w:t>
      </w:r>
      <w:r w:rsidRPr="00937C78">
        <w:rPr>
          <w:i/>
          <w:iCs/>
        </w:rPr>
        <w:t>Susan Piatek</w:t>
      </w:r>
      <w:r>
        <w:t>, Warning of Unauthorized Radio Operation and Interference to Authorized Radio Stations (May 22, 2019)</w:t>
      </w:r>
      <w:r w:rsidRPr="00937C78">
        <w:t xml:space="preserve"> </w:t>
      </w:r>
      <w:r w:rsidRPr="00834179">
        <w:t>(on file in EB</w:t>
      </w:r>
      <w:r w:rsidRPr="00834179">
        <w:noBreakHyphen/>
        <w:t>FIELD</w:t>
      </w:r>
      <w:r>
        <w:t>SCR</w:t>
      </w:r>
      <w:r w:rsidRPr="00834179">
        <w:t>-</w:t>
      </w:r>
      <w:r w:rsidRPr="00E22EEF">
        <w:rPr>
          <w:spacing w:val="-2"/>
        </w:rPr>
        <w:t>19-00028803</w:t>
      </w:r>
      <w:r w:rsidRPr="00834179">
        <w:t>).</w:t>
      </w:r>
    </w:p>
  </w:footnote>
  <w:footnote w:id="13">
    <w:p w:rsidR="00583D1F">
      <w:pPr>
        <w:pStyle w:val="FootnoteText"/>
      </w:pPr>
      <w:r>
        <w:rPr>
          <w:rStyle w:val="FootnoteReference"/>
        </w:rPr>
        <w:footnoteRef/>
      </w:r>
      <w:r>
        <w:t xml:space="preserve"> </w:t>
      </w:r>
      <w:r w:rsidRPr="00937C78" w:rsidR="00937C78">
        <w:rPr>
          <w:i/>
          <w:iCs/>
        </w:rPr>
        <w:t>See id</w:t>
      </w:r>
      <w:r w:rsidR="00937C78">
        <w:t xml:space="preserve">; </w:t>
      </w:r>
      <w:r>
        <w:t xml:space="preserve">47 CFR § 2.106 (1400-1427 </w:t>
      </w:r>
      <w:r w:rsidR="006E2FE9">
        <w:t xml:space="preserve">MHz </w:t>
      </w:r>
      <w:r>
        <w:t>a</w:t>
      </w:r>
      <w:r>
        <w:t>llocation).</w:t>
      </w:r>
    </w:p>
  </w:footnote>
  <w:footnote w:id="14">
    <w:p w:rsidR="00D75469" w:rsidRPr="00D75469">
      <w:pPr>
        <w:pStyle w:val="FootnoteText"/>
      </w:pPr>
      <w:r>
        <w:rPr>
          <w:rStyle w:val="FootnoteReference"/>
        </w:rPr>
        <w:footnoteRef/>
      </w:r>
      <w:r>
        <w:t xml:space="preserve"> </w:t>
      </w:r>
      <w:r>
        <w:rPr>
          <w:i/>
          <w:iCs/>
        </w:rPr>
        <w:t xml:space="preserve">See </w:t>
      </w:r>
      <w:r>
        <w:t>Warning.</w:t>
      </w:r>
    </w:p>
  </w:footnote>
  <w:footnote w:id="15">
    <w:p w:rsidR="00F630E6">
      <w:pPr>
        <w:pStyle w:val="FootnoteText"/>
      </w:pPr>
      <w:r>
        <w:rPr>
          <w:rStyle w:val="FootnoteReference"/>
        </w:rPr>
        <w:footnoteRef/>
      </w:r>
      <w:r>
        <w:t xml:space="preserve"> </w:t>
      </w:r>
      <w:r w:rsidRPr="00834179">
        <w:rPr>
          <w:i/>
        </w:rPr>
        <w:t>See</w:t>
      </w:r>
      <w:r w:rsidRPr="00834179">
        <w:t xml:space="preserve"> </w:t>
      </w:r>
      <w:r>
        <w:rPr>
          <w:i/>
        </w:rPr>
        <w:t>Susan Piatek</w:t>
      </w:r>
      <w:r w:rsidRPr="00834179">
        <w:t>, Notification of Harmful Interference (</w:t>
      </w:r>
      <w:r>
        <w:t>July</w:t>
      </w:r>
      <w:r w:rsidRPr="00834179">
        <w:t xml:space="preserve"> </w:t>
      </w:r>
      <w:r>
        <w:t>1</w:t>
      </w:r>
      <w:r w:rsidRPr="00834179">
        <w:t>8, 2019) (on file in EB</w:t>
      </w:r>
      <w:r w:rsidRPr="00834179">
        <w:noBreakHyphen/>
        <w:t>FIELD</w:t>
      </w:r>
      <w:r>
        <w:t>SCR</w:t>
      </w:r>
      <w:r w:rsidRPr="00834179">
        <w:t>-</w:t>
      </w:r>
      <w:r w:rsidRPr="00E22EEF">
        <w:rPr>
          <w:spacing w:val="-2"/>
        </w:rPr>
        <w:t>19-00028803</w:t>
      </w:r>
      <w:r w:rsidRPr="00834179">
        <w:t>).</w:t>
      </w:r>
    </w:p>
  </w:footnote>
  <w:footnote w:id="16">
    <w:p w:rsidR="00F630E6">
      <w:pPr>
        <w:pStyle w:val="FootnoteText"/>
      </w:pPr>
      <w:r>
        <w:rPr>
          <w:rStyle w:val="FootnoteReference"/>
        </w:rPr>
        <w:footnoteRef/>
      </w:r>
      <w:r>
        <w:t xml:space="preserve"> </w:t>
      </w:r>
      <w:r w:rsidRPr="00F630E6">
        <w:rPr>
          <w:i/>
          <w:iCs/>
        </w:rPr>
        <w:t>Id.</w:t>
      </w:r>
    </w:p>
  </w:footnote>
  <w:footnote w:id="17">
    <w:p w:rsidR="00036350" w:rsidP="00036350">
      <w:pPr>
        <w:pStyle w:val="FootnoteText"/>
      </w:pPr>
      <w:r>
        <w:rPr>
          <w:rStyle w:val="FootnoteReference"/>
        </w:rPr>
        <w:footnoteRef/>
      </w:r>
      <w:r>
        <w:t xml:space="preserve"> </w:t>
      </w:r>
      <w:r w:rsidR="00F630E6">
        <w:rPr>
          <w:i/>
        </w:rPr>
        <w:t>Id.</w:t>
      </w:r>
    </w:p>
  </w:footnote>
  <w:footnote w:id="18">
    <w:p w:rsidR="00080702" w:rsidRPr="00A2152D" w:rsidP="00080702">
      <w:pPr>
        <w:pStyle w:val="FootnoteText"/>
      </w:pPr>
      <w:r w:rsidRPr="00A2152D">
        <w:rPr>
          <w:rStyle w:val="FootnoteReference"/>
        </w:rPr>
        <w:footnoteRef/>
      </w:r>
      <w:r w:rsidRPr="00A2152D">
        <w:t xml:space="preserve"> 47 U.S.C. § 301.</w:t>
      </w:r>
    </w:p>
  </w:footnote>
  <w:footnote w:id="19">
    <w:p w:rsidR="00080702" w:rsidRPr="00A2152D" w:rsidP="00080702">
      <w:pPr>
        <w:pStyle w:val="FootnoteText"/>
      </w:pPr>
      <w:r w:rsidRPr="00A2152D">
        <w:rPr>
          <w:rStyle w:val="FootnoteReference"/>
        </w:rPr>
        <w:footnoteRef/>
      </w:r>
      <w:r w:rsidRPr="00A2152D">
        <w:t xml:space="preserve"> 47 CFR §§ 15.1, </w:t>
      </w:r>
      <w:r w:rsidRPr="00A2152D">
        <w:rPr>
          <w:i/>
        </w:rPr>
        <w:t>et seq.</w:t>
      </w:r>
    </w:p>
  </w:footnote>
  <w:footnote w:id="20">
    <w:p w:rsidR="00036350" w:rsidP="00036350">
      <w:pPr>
        <w:pStyle w:val="FootnoteText"/>
      </w:pPr>
      <w:r>
        <w:rPr>
          <w:rStyle w:val="FootnoteReference"/>
        </w:rPr>
        <w:footnoteRef/>
      </w:r>
      <w:r>
        <w:t xml:space="preserve"> 47 CFR § 15.5(b).</w:t>
      </w:r>
    </w:p>
  </w:footnote>
  <w:footnote w:id="21">
    <w:p w:rsidR="00036350" w:rsidP="00036350">
      <w:pPr>
        <w:pStyle w:val="FootnoteText"/>
      </w:pPr>
      <w:r>
        <w:rPr>
          <w:rStyle w:val="FootnoteReference"/>
        </w:rPr>
        <w:footnoteRef/>
      </w:r>
      <w:r>
        <w:t xml:space="preserve"> 47 CFR § 15.5(c).</w:t>
      </w:r>
    </w:p>
  </w:footnote>
  <w:footnote w:id="22">
    <w:p w:rsidR="00036350" w:rsidP="00036350">
      <w:pPr>
        <w:pStyle w:val="FootnoteText"/>
      </w:pPr>
      <w:r>
        <w:rPr>
          <w:rStyle w:val="FootnoteReference"/>
        </w:rPr>
        <w:footnoteRef/>
      </w:r>
      <w:r>
        <w:t xml:space="preserve"> 47 CFR §</w:t>
      </w:r>
      <w:r w:rsidR="00155FF4">
        <w:t xml:space="preserve"> </w:t>
      </w:r>
      <w:r>
        <w:t>15.3(m).</w:t>
      </w:r>
    </w:p>
  </w:footnote>
  <w:footnote w:id="23">
    <w:p w:rsidR="00036350" w:rsidP="00036350">
      <w:pPr>
        <w:pStyle w:val="FootnoteText"/>
      </w:pPr>
      <w:r>
        <w:rPr>
          <w:rStyle w:val="FootnoteReference"/>
        </w:rPr>
        <w:footnoteRef/>
      </w:r>
      <w:r>
        <w:t xml:space="preserve"> 47 CFR §</w:t>
      </w:r>
      <w:r w:rsidR="00415A35">
        <w:rPr>
          <w:kern w:val="20"/>
        </w:rPr>
        <w:t>§</w:t>
      </w:r>
      <w:r>
        <w:t xml:space="preserve"> 15.5(b)-(c).</w:t>
      </w:r>
    </w:p>
  </w:footnote>
  <w:footnote w:id="24">
    <w:p w:rsidR="00036350" w:rsidP="00036350">
      <w:pPr>
        <w:pStyle w:val="FootnoteText"/>
      </w:pPr>
      <w:r>
        <w:rPr>
          <w:rStyle w:val="FootnoteReference"/>
        </w:rPr>
        <w:footnoteRef/>
      </w:r>
      <w:r>
        <w:t xml:space="preserve"> </w:t>
      </w:r>
      <w:r>
        <w:rPr>
          <w:kern w:val="20"/>
        </w:rPr>
        <w:t>47 U.S.C. §§ 154(i)-(j), 403.</w:t>
      </w:r>
    </w:p>
  </w:footnote>
  <w:footnote w:id="25">
    <w:p w:rsidR="0090510E">
      <w:pPr>
        <w:pStyle w:val="FootnoteText"/>
      </w:pPr>
      <w:r>
        <w:rPr>
          <w:rStyle w:val="FootnoteReference"/>
        </w:rPr>
        <w:footnoteRef/>
      </w:r>
      <w:r>
        <w:t xml:space="preserve"> </w:t>
      </w:r>
      <w:r w:rsidRPr="00BE70CC">
        <w:rPr>
          <w:szCs w:val="22"/>
        </w:rPr>
        <w:t xml:space="preserve">47 </w:t>
      </w:r>
      <w:r w:rsidR="000516D6">
        <w:rPr>
          <w:szCs w:val="22"/>
        </w:rPr>
        <w:t>CFR</w:t>
      </w:r>
      <w:r w:rsidRPr="00BE70CC">
        <w:rPr>
          <w:szCs w:val="22"/>
        </w:rPr>
        <w:t xml:space="preserve"> § 1.17</w:t>
      </w:r>
      <w:r>
        <w:rPr>
          <w:szCs w:val="22"/>
        </w:rPr>
        <w:t>.</w:t>
      </w:r>
    </w:p>
  </w:footnote>
  <w:footnote w:id="26">
    <w:p w:rsidR="0090510E">
      <w:pPr>
        <w:pStyle w:val="FootnoteText"/>
      </w:pPr>
      <w:r>
        <w:rPr>
          <w:rStyle w:val="FootnoteReference"/>
        </w:rPr>
        <w:footnoteRef/>
      </w:r>
      <w:r>
        <w:t xml:space="preserve"> </w:t>
      </w:r>
      <w:r w:rsidRPr="00BE70CC">
        <w:rPr>
          <w:kern w:val="2"/>
          <w:szCs w:val="22"/>
        </w:rPr>
        <w:t>18 U.S.C. § 1001</w:t>
      </w:r>
      <w:r>
        <w:rPr>
          <w:kern w:val="2"/>
          <w:szCs w:val="22"/>
        </w:rPr>
        <w:t>.</w:t>
      </w:r>
    </w:p>
  </w:footnote>
  <w:footnote w:id="27">
    <w:p w:rsidR="003C4AD3">
      <w:pPr>
        <w:pStyle w:val="FootnoteText"/>
      </w:pPr>
      <w:r>
        <w:rPr>
          <w:rStyle w:val="FootnoteReference"/>
        </w:rPr>
        <w:footnoteRef/>
      </w:r>
      <w:r>
        <w:t xml:space="preserve"> </w:t>
      </w:r>
      <w:r w:rsidRPr="00BE70CC">
        <w:rPr>
          <w:kern w:val="2"/>
          <w:szCs w:val="22"/>
        </w:rPr>
        <w:t>5 U.S.C. § 552a(e)(3)</w:t>
      </w:r>
      <w:r>
        <w:rPr>
          <w:kern w:val="2"/>
          <w:szCs w:val="22"/>
        </w:rPr>
        <w:t>.</w:t>
      </w:r>
    </w:p>
  </w:footnote>
  <w:footnote w:id="28">
    <w:p w:rsidR="007D4157" w:rsidP="007D4157">
      <w:pPr>
        <w:pStyle w:val="FootnoteText"/>
      </w:pPr>
      <w:r>
        <w:rPr>
          <w:rStyle w:val="FootnoteReference"/>
        </w:rPr>
        <w:footnoteRef/>
      </w:r>
      <w:r>
        <w:t xml:space="preserve"> </w:t>
      </w:r>
      <w:r w:rsidRPr="002D63C3">
        <w:rPr>
          <w:i/>
        </w:rPr>
        <w:t xml:space="preserve">See </w:t>
      </w:r>
      <w:r w:rsidRPr="002D63C3">
        <w:t xml:space="preserve">47 U.S.C. § 503; 47 </w:t>
      </w:r>
      <w:r>
        <w:t>CFR</w:t>
      </w:r>
      <w:r w:rsidRPr="002D63C3">
        <w:t xml:space="preserve"> § 1.80(b).</w:t>
      </w:r>
      <w:r w:rsidR="00716D22">
        <w:t xml:space="preserve">  </w:t>
      </w:r>
      <w:r w:rsidRPr="002D63C3" w:rsidR="00716D22">
        <w:t xml:space="preserve">This amount is subject to further adjustment for inflation.  </w:t>
      </w:r>
      <w:r w:rsidRPr="002D63C3" w:rsidR="00716D22">
        <w:rPr>
          <w:i/>
        </w:rPr>
        <w:t xml:space="preserve">See </w:t>
      </w:r>
      <w:r w:rsidRPr="002D63C3" w:rsidR="00716D22">
        <w:t xml:space="preserve">47 </w:t>
      </w:r>
      <w:r w:rsidR="00716D22">
        <w:t>CFR</w:t>
      </w:r>
      <w:r w:rsidRPr="002D63C3" w:rsidR="00716D22">
        <w:t xml:space="preserve"> § 1.80(b)(9)).    </w:t>
      </w:r>
    </w:p>
  </w:footnote>
  <w:footnote w:id="29">
    <w:p w:rsidR="005D1BA6" w:rsidRPr="002D63C3">
      <w:pPr>
        <w:pStyle w:val="FootnoteText"/>
      </w:pPr>
      <w:r w:rsidRPr="002D63C3">
        <w:rPr>
          <w:rStyle w:val="FootnoteReference"/>
        </w:rPr>
        <w:footnoteRef/>
      </w:r>
      <w:r w:rsidRPr="002D63C3">
        <w:t xml:space="preserve"> </w:t>
      </w:r>
      <w:r w:rsidRPr="002D63C3">
        <w:rPr>
          <w:i/>
        </w:rPr>
        <w:t>See</w:t>
      </w:r>
      <w:r w:rsidRPr="002D63C3">
        <w:t xml:space="preserve"> 47 U.S.C. § 503(b)(2)(E); 47 </w:t>
      </w:r>
      <w:r w:rsidR="000516D6">
        <w:t>CFR</w:t>
      </w:r>
      <w:r w:rsidRPr="002D63C3">
        <w:t xml:space="preserve"> § 1.80(b)(8).</w:t>
      </w:r>
      <w:r w:rsidR="00716D22">
        <w:t xml:space="preserve">  </w:t>
      </w:r>
    </w:p>
  </w:footnote>
  <w:footnote w:id="30">
    <w:p w:rsidR="005D1BA6" w:rsidRPr="002D63C3">
      <w:pPr>
        <w:pStyle w:val="FootnoteText"/>
      </w:pPr>
      <w:r w:rsidRPr="002D63C3">
        <w:rPr>
          <w:rStyle w:val="FootnoteReference"/>
        </w:rPr>
        <w:footnoteRef/>
      </w:r>
      <w:r w:rsidRPr="002D63C3">
        <w:t xml:space="preserve"> </w:t>
      </w:r>
      <w:r w:rsidRPr="002D63C3">
        <w:rPr>
          <w:i/>
        </w:rPr>
        <w:t>See</w:t>
      </w:r>
      <w:r w:rsidRPr="002D63C3">
        <w:t xml:space="preserve"> </w:t>
      </w:r>
      <w:r w:rsidRPr="002D63C3" w:rsidR="002D63C3">
        <w:rPr>
          <w:i/>
        </w:rPr>
        <w:t xml:space="preserve">supra </w:t>
      </w:r>
      <w:r w:rsidR="008C4EF2">
        <w:t>note</w:t>
      </w:r>
      <w:r w:rsidR="008D633A">
        <w:t xml:space="preserve"> </w:t>
      </w:r>
      <w:r w:rsidR="008D633A">
        <w:fldChar w:fldCharType="begin"/>
      </w:r>
      <w:r w:rsidR="008D633A">
        <w:instrText xml:space="preserve"> NOTEREF _Ref39756261 \h </w:instrText>
      </w:r>
      <w:r w:rsidR="008D633A">
        <w:fldChar w:fldCharType="separate"/>
      </w:r>
      <w:r w:rsidR="008D633A">
        <w:t>9</w:t>
      </w:r>
      <w:r w:rsidR="008D633A">
        <w:fldChar w:fldCharType="end"/>
      </w:r>
      <w:r w:rsidRPr="00D21358" w:rsidR="005356A6">
        <w:t>.</w:t>
      </w:r>
      <w:r w:rsidRPr="002D63C3">
        <w:t xml:space="preserve">  </w:t>
      </w:r>
    </w:p>
  </w:footnote>
  <w:footnote w:id="31">
    <w:p w:rsidR="005D1BA6" w:rsidRPr="002D63C3">
      <w:pPr>
        <w:pStyle w:val="FootnoteText"/>
      </w:pPr>
      <w:r w:rsidRPr="002D63C3">
        <w:rPr>
          <w:rStyle w:val="FootnoteReference"/>
        </w:rPr>
        <w:footnoteRef/>
      </w:r>
      <w:r w:rsidRPr="002D63C3">
        <w:t xml:space="preserve"> </w:t>
      </w:r>
      <w:r w:rsidRPr="002D63C3">
        <w:rPr>
          <w:i/>
          <w:iCs/>
        </w:rPr>
        <w:t>See</w:t>
      </w:r>
      <w:r w:rsidRPr="002D63C3">
        <w:t xml:space="preserve"> 47 U.S.C. § 510.</w:t>
      </w:r>
    </w:p>
  </w:footnote>
  <w:footnote w:id="32">
    <w:p w:rsidR="005D1BA6" w:rsidRPr="002D63C3">
      <w:pPr>
        <w:pStyle w:val="FootnoteText"/>
      </w:pPr>
      <w:r w:rsidRPr="002D63C3">
        <w:rPr>
          <w:rStyle w:val="FootnoteReference"/>
        </w:rPr>
        <w:footnoteRef/>
      </w:r>
      <w:r w:rsidRPr="002D63C3">
        <w:t xml:space="preserve"> </w:t>
      </w:r>
      <w:r w:rsidRPr="002D63C3">
        <w:rPr>
          <w:i/>
          <w:iCs/>
        </w:rPr>
        <w:t xml:space="preserve">See </w:t>
      </w:r>
      <w:r w:rsidRPr="002D63C3">
        <w:t>47 U.S.C. §§ 401, 501.</w:t>
      </w:r>
    </w:p>
  </w:footnote>
  <w:footnote w:id="33">
    <w:p w:rsidR="007D4157" w:rsidP="007D4157">
      <w:pPr>
        <w:pStyle w:val="FootnoteText"/>
      </w:pPr>
      <w:r>
        <w:rPr>
          <w:rStyle w:val="FootnoteReference"/>
        </w:rPr>
        <w:footnoteRef/>
      </w:r>
      <w:r>
        <w:t xml:space="preserve"> </w:t>
      </w:r>
      <w:r w:rsidRPr="002D63C3">
        <w:t>47 U.S.C. §§ 154(i)</w:t>
      </w:r>
      <w:r>
        <w:t>-</w:t>
      </w:r>
      <w:r w:rsidRPr="002D63C3">
        <w:t>(j).</w:t>
      </w:r>
    </w:p>
  </w:footnote>
  <w:footnote w:id="34">
    <w:p w:rsidR="007D4157" w:rsidP="007D4157">
      <w:pPr>
        <w:pStyle w:val="FootnoteText"/>
      </w:pPr>
      <w:r>
        <w:rPr>
          <w:rStyle w:val="FootnoteReference"/>
        </w:rPr>
        <w:footnoteRef/>
      </w:r>
      <w:r>
        <w:t xml:space="preserve"> </w:t>
      </w:r>
      <w:r w:rsidRPr="00E52064">
        <w:rPr>
          <w:i/>
        </w:rPr>
        <w:t>See</w:t>
      </w:r>
      <w:r>
        <w:t xml:space="preserve"> </w:t>
      </w:r>
      <w:r w:rsidR="008A4EE3">
        <w:t xml:space="preserve">47 U.S.C. </w:t>
      </w:r>
      <w:r w:rsidRPr="002D63C3" w:rsidR="008A4EE3">
        <w:t>§</w:t>
      </w:r>
      <w:r w:rsidR="008A4EE3">
        <w:t xml:space="preserve"> 301; </w:t>
      </w:r>
      <w:r>
        <w:t>47 CFR §</w:t>
      </w:r>
      <w:r w:rsidR="00D60F57">
        <w:t>§</w:t>
      </w:r>
      <w:r>
        <w:t xml:space="preserve"> 15.5(b)-(c).</w:t>
      </w:r>
    </w:p>
  </w:footnote>
  <w:footnote w:id="35">
    <w:p w:rsidR="007D4157" w:rsidRPr="002D63C3" w:rsidP="007D4157">
      <w:pPr>
        <w:pStyle w:val="FootnoteText"/>
      </w:pPr>
      <w:r w:rsidRPr="002D63C3">
        <w:rPr>
          <w:rStyle w:val="FootnoteReference"/>
        </w:rPr>
        <w:footnoteRef/>
      </w:r>
      <w:r w:rsidRPr="002D63C3">
        <w:t xml:space="preserve"> 47 U.S.C. §§ 154(i)</w:t>
      </w:r>
      <w:r>
        <w:t>-</w:t>
      </w:r>
      <w:r w:rsidRPr="002D63C3">
        <w:t>(j), 403.</w:t>
      </w:r>
    </w:p>
  </w:footnote>
  <w:footnote w:id="36">
    <w:p w:rsidR="007D4157" w:rsidP="007D4157">
      <w:pPr>
        <w:pStyle w:val="FootnoteText"/>
      </w:pPr>
      <w:r w:rsidRPr="002D63C3">
        <w:rPr>
          <w:rStyle w:val="FootnoteReference"/>
        </w:rPr>
        <w:footnoteRef/>
      </w:r>
      <w:r w:rsidRPr="002D63C3">
        <w:t xml:space="preserve"> 47 </w:t>
      </w:r>
      <w:r w:rsidR="00B313E3">
        <w:t>CFR</w:t>
      </w:r>
      <w:r w:rsidRPr="002D63C3">
        <w:t xml:space="preserve"> §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9844F5">
      <w:rPr>
        <w:spacing w:val="-2"/>
      </w:rPr>
      <w:t xml:space="preserve">DA </w:t>
    </w:r>
    <w:r w:rsidRPr="009844F5" w:rsidR="009844F5">
      <w:rPr>
        <w:spacing w:val="-2"/>
      </w:rPr>
      <w:t>20-</w:t>
    </w:r>
    <w:r w:rsidR="00E03826">
      <w:rPr>
        <w:spacing w:val="-2"/>
      </w:rPr>
      <w:t>5</w:t>
    </w:r>
    <w:r>
      <w:rPr>
        <w:spacing w:val="-2"/>
      </w:rPr>
      <w:t>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pPr>
      <w:pStyle w:val="Header"/>
      <w:rPr>
        <w:b w:val="0"/>
      </w:rP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9844F5">
      <w:rPr>
        <w:spacing w:val="-2"/>
      </w:rPr>
      <w:t xml:space="preserve">DA </w:t>
    </w:r>
    <w:r w:rsidR="009844F5">
      <w:rPr>
        <w:spacing w:val="-2"/>
      </w:rPr>
      <w:t>20-</w:t>
    </w:r>
    <w:r w:rsidR="00E03826">
      <w:rPr>
        <w:spacing w:val="-2"/>
      </w:rPr>
      <w:t>5</w:t>
    </w:r>
    <w:r>
      <w:rPr>
        <w:spacing w:val="-2"/>
      </w:rPr>
      <w:t>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E06CBB"/>
    <w:multiLevelType w:val="multilevel"/>
    <w:tmpl w:val="6008AD6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4032C54"/>
    <w:multiLevelType w:val="hybridMultilevel"/>
    <w:tmpl w:val="9184E9B6"/>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0">
    <w:nsid w:val="61182925"/>
    <w:multiLevelType w:val="singleLevel"/>
    <w:tmpl w:val="111C9D98"/>
    <w:lvl w:ilvl="0">
      <w:start w:val="1"/>
      <w:numFmt w:val="decimal"/>
      <w:pStyle w:val="ParaNum"/>
      <w:lvlText w:val="%1."/>
      <w:lvlJc w:val="left"/>
      <w:pPr>
        <w:tabs>
          <w:tab w:val="num" w:pos="1080"/>
        </w:tabs>
        <w:ind w:left="0" w:firstLine="720"/>
      </w:pPr>
      <w:rPr>
        <w:rFonts w:cs="Times New Roman" w:hint="default"/>
      </w:rPr>
    </w:lvl>
  </w:abstractNum>
  <w:abstractNum w:abstractNumId="11">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0"/>
  </w:num>
  <w:num w:numId="2">
    <w:abstractNumId w:val="3"/>
  </w:num>
  <w:num w:numId="3">
    <w:abstractNumId w:val="2"/>
  </w:num>
  <w:num w:numId="4">
    <w:abstractNumId w:val="6"/>
  </w:num>
  <w:num w:numId="5">
    <w:abstractNumId w:val="1"/>
  </w:num>
  <w:num w:numId="6">
    <w:abstractNumId w:val="4"/>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9"/>
  </w:num>
  <w:num w:numId="9">
    <w:abstractNumId w:val="8"/>
  </w:num>
  <w:num w:numId="10">
    <w:abstractNumId w:val="5"/>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lvlOverride w:ilvl="0">
      <w:startOverride w:val="1"/>
    </w:lvlOverride>
  </w:num>
  <w:num w:numId="18">
    <w:abstractNumId w:val="10"/>
    <w:lvlOverride w:ilvl="0">
      <w:startOverride w:val="1"/>
    </w:lvlOverride>
  </w:num>
  <w:num w:numId="19">
    <w:abstractNumId w:val="10"/>
  </w:num>
  <w:num w:numId="20">
    <w:abstractNumId w:val="11"/>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lvlOverride w:ilvl="0">
      <w:startOverride w:val="14"/>
    </w:lvlOverride>
  </w:num>
  <w:num w:numId="30">
    <w:abstractNumId w:val="10"/>
    <w:lvlOverride w:ilvl="0">
      <w:startOverride w:val="1"/>
    </w:lvlOverride>
  </w:num>
  <w:num w:numId="3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5148"/>
    <w:rsid w:val="00005426"/>
    <w:rsid w:val="00014462"/>
    <w:rsid w:val="000174F9"/>
    <w:rsid w:val="00022C58"/>
    <w:rsid w:val="00023CF6"/>
    <w:rsid w:val="0002561C"/>
    <w:rsid w:val="000264B4"/>
    <w:rsid w:val="00031AE8"/>
    <w:rsid w:val="0003213A"/>
    <w:rsid w:val="0003341B"/>
    <w:rsid w:val="00036350"/>
    <w:rsid w:val="00036D58"/>
    <w:rsid w:val="00046E05"/>
    <w:rsid w:val="000516D6"/>
    <w:rsid w:val="000604EB"/>
    <w:rsid w:val="0006278C"/>
    <w:rsid w:val="00062C44"/>
    <w:rsid w:val="000649FE"/>
    <w:rsid w:val="00071A40"/>
    <w:rsid w:val="00071E3F"/>
    <w:rsid w:val="00072D7D"/>
    <w:rsid w:val="00074717"/>
    <w:rsid w:val="00080535"/>
    <w:rsid w:val="00080702"/>
    <w:rsid w:val="000824AC"/>
    <w:rsid w:val="000853AD"/>
    <w:rsid w:val="00086824"/>
    <w:rsid w:val="00091AE4"/>
    <w:rsid w:val="00092506"/>
    <w:rsid w:val="000962DF"/>
    <w:rsid w:val="00097330"/>
    <w:rsid w:val="00097F82"/>
    <w:rsid w:val="000A3E68"/>
    <w:rsid w:val="000A4776"/>
    <w:rsid w:val="000B14C3"/>
    <w:rsid w:val="000B1C2B"/>
    <w:rsid w:val="000B29ED"/>
    <w:rsid w:val="000B7657"/>
    <w:rsid w:val="000C5F8F"/>
    <w:rsid w:val="000C6050"/>
    <w:rsid w:val="000C748C"/>
    <w:rsid w:val="000D1391"/>
    <w:rsid w:val="000E1951"/>
    <w:rsid w:val="000E2707"/>
    <w:rsid w:val="000E3600"/>
    <w:rsid w:val="000E4DFA"/>
    <w:rsid w:val="000F1155"/>
    <w:rsid w:val="00100646"/>
    <w:rsid w:val="00105A35"/>
    <w:rsid w:val="00111822"/>
    <w:rsid w:val="0011337B"/>
    <w:rsid w:val="001164C6"/>
    <w:rsid w:val="0011687C"/>
    <w:rsid w:val="001205FE"/>
    <w:rsid w:val="00121459"/>
    <w:rsid w:val="00122BB3"/>
    <w:rsid w:val="0012427E"/>
    <w:rsid w:val="00126C88"/>
    <w:rsid w:val="00135F7F"/>
    <w:rsid w:val="00136476"/>
    <w:rsid w:val="001426F0"/>
    <w:rsid w:val="00145E08"/>
    <w:rsid w:val="001525BC"/>
    <w:rsid w:val="001532B1"/>
    <w:rsid w:val="00153904"/>
    <w:rsid w:val="00153CE0"/>
    <w:rsid w:val="00155FF4"/>
    <w:rsid w:val="0016191B"/>
    <w:rsid w:val="00162161"/>
    <w:rsid w:val="00164D9B"/>
    <w:rsid w:val="001715BD"/>
    <w:rsid w:val="001740BB"/>
    <w:rsid w:val="00180026"/>
    <w:rsid w:val="001819AF"/>
    <w:rsid w:val="001829BE"/>
    <w:rsid w:val="00192DF0"/>
    <w:rsid w:val="00196528"/>
    <w:rsid w:val="001A29EF"/>
    <w:rsid w:val="001A2F40"/>
    <w:rsid w:val="001A38A4"/>
    <w:rsid w:val="001A69BA"/>
    <w:rsid w:val="001A79FB"/>
    <w:rsid w:val="001B0233"/>
    <w:rsid w:val="001B048F"/>
    <w:rsid w:val="001C3156"/>
    <w:rsid w:val="001C3B35"/>
    <w:rsid w:val="001C42B3"/>
    <w:rsid w:val="001D1CEF"/>
    <w:rsid w:val="001E135C"/>
    <w:rsid w:val="001E1906"/>
    <w:rsid w:val="001E2DE5"/>
    <w:rsid w:val="001E36EE"/>
    <w:rsid w:val="001E3C8E"/>
    <w:rsid w:val="001E401B"/>
    <w:rsid w:val="001E6E59"/>
    <w:rsid w:val="001F2B76"/>
    <w:rsid w:val="001F5AA4"/>
    <w:rsid w:val="001F7EE0"/>
    <w:rsid w:val="0021315C"/>
    <w:rsid w:val="002146E2"/>
    <w:rsid w:val="00223173"/>
    <w:rsid w:val="00223C7A"/>
    <w:rsid w:val="00226191"/>
    <w:rsid w:val="0022665A"/>
    <w:rsid w:val="00236820"/>
    <w:rsid w:val="00240243"/>
    <w:rsid w:val="00246222"/>
    <w:rsid w:val="00250EDF"/>
    <w:rsid w:val="00252799"/>
    <w:rsid w:val="00256862"/>
    <w:rsid w:val="00256904"/>
    <w:rsid w:val="00256B42"/>
    <w:rsid w:val="0026408D"/>
    <w:rsid w:val="002644C9"/>
    <w:rsid w:val="002659F3"/>
    <w:rsid w:val="00265FC9"/>
    <w:rsid w:val="00270CD1"/>
    <w:rsid w:val="002710C5"/>
    <w:rsid w:val="0027183B"/>
    <w:rsid w:val="002718D7"/>
    <w:rsid w:val="002810D6"/>
    <w:rsid w:val="002820DF"/>
    <w:rsid w:val="00283E59"/>
    <w:rsid w:val="00287564"/>
    <w:rsid w:val="00293296"/>
    <w:rsid w:val="002966A1"/>
    <w:rsid w:val="00297424"/>
    <w:rsid w:val="002A1963"/>
    <w:rsid w:val="002B2D76"/>
    <w:rsid w:val="002B7493"/>
    <w:rsid w:val="002C12AD"/>
    <w:rsid w:val="002C2218"/>
    <w:rsid w:val="002C2F04"/>
    <w:rsid w:val="002C6607"/>
    <w:rsid w:val="002C66A2"/>
    <w:rsid w:val="002D3A88"/>
    <w:rsid w:val="002D4CD9"/>
    <w:rsid w:val="002D63C3"/>
    <w:rsid w:val="002D6A81"/>
    <w:rsid w:val="002D74C4"/>
    <w:rsid w:val="002E046E"/>
    <w:rsid w:val="002E1671"/>
    <w:rsid w:val="002E3DE5"/>
    <w:rsid w:val="002E43B6"/>
    <w:rsid w:val="002E6027"/>
    <w:rsid w:val="002E76A7"/>
    <w:rsid w:val="002E7BCC"/>
    <w:rsid w:val="002F2ACB"/>
    <w:rsid w:val="0030281F"/>
    <w:rsid w:val="00306C34"/>
    <w:rsid w:val="00306C50"/>
    <w:rsid w:val="0032053D"/>
    <w:rsid w:val="0032244D"/>
    <w:rsid w:val="00325463"/>
    <w:rsid w:val="00331B47"/>
    <w:rsid w:val="00331D4E"/>
    <w:rsid w:val="003343CA"/>
    <w:rsid w:val="003368A3"/>
    <w:rsid w:val="003368E2"/>
    <w:rsid w:val="003400E9"/>
    <w:rsid w:val="00340246"/>
    <w:rsid w:val="00344871"/>
    <w:rsid w:val="00345F40"/>
    <w:rsid w:val="00346DCB"/>
    <w:rsid w:val="003472A7"/>
    <w:rsid w:val="00347397"/>
    <w:rsid w:val="00350389"/>
    <w:rsid w:val="00353E9D"/>
    <w:rsid w:val="00361B43"/>
    <w:rsid w:val="003623B1"/>
    <w:rsid w:val="00367723"/>
    <w:rsid w:val="00373A43"/>
    <w:rsid w:val="00377C9C"/>
    <w:rsid w:val="00382491"/>
    <w:rsid w:val="00383C2B"/>
    <w:rsid w:val="00387838"/>
    <w:rsid w:val="0039768C"/>
    <w:rsid w:val="003A07BF"/>
    <w:rsid w:val="003A4346"/>
    <w:rsid w:val="003A4767"/>
    <w:rsid w:val="003A5530"/>
    <w:rsid w:val="003A6F0A"/>
    <w:rsid w:val="003B18EB"/>
    <w:rsid w:val="003B4544"/>
    <w:rsid w:val="003B5341"/>
    <w:rsid w:val="003B5EF6"/>
    <w:rsid w:val="003B6F75"/>
    <w:rsid w:val="003C0BCF"/>
    <w:rsid w:val="003C4AD3"/>
    <w:rsid w:val="003C55A6"/>
    <w:rsid w:val="003C6559"/>
    <w:rsid w:val="003D5B63"/>
    <w:rsid w:val="003D5BD6"/>
    <w:rsid w:val="003E36EC"/>
    <w:rsid w:val="003E3782"/>
    <w:rsid w:val="003E4BA1"/>
    <w:rsid w:val="003E5CB1"/>
    <w:rsid w:val="003E7003"/>
    <w:rsid w:val="003F2F66"/>
    <w:rsid w:val="004016AD"/>
    <w:rsid w:val="00403B86"/>
    <w:rsid w:val="00415670"/>
    <w:rsid w:val="00415A35"/>
    <w:rsid w:val="00416F51"/>
    <w:rsid w:val="004200CE"/>
    <w:rsid w:val="0042056B"/>
    <w:rsid w:val="00426316"/>
    <w:rsid w:val="00431572"/>
    <w:rsid w:val="00433F3B"/>
    <w:rsid w:val="00436A9E"/>
    <w:rsid w:val="00436E88"/>
    <w:rsid w:val="00441CEE"/>
    <w:rsid w:val="00452C14"/>
    <w:rsid w:val="00457AE7"/>
    <w:rsid w:val="00461F4D"/>
    <w:rsid w:val="00466CC6"/>
    <w:rsid w:val="00467066"/>
    <w:rsid w:val="0047221C"/>
    <w:rsid w:val="004736A1"/>
    <w:rsid w:val="004806B5"/>
    <w:rsid w:val="00494063"/>
    <w:rsid w:val="0049491D"/>
    <w:rsid w:val="00494E42"/>
    <w:rsid w:val="004A03EF"/>
    <w:rsid w:val="004B41F2"/>
    <w:rsid w:val="004B6127"/>
    <w:rsid w:val="004C0F46"/>
    <w:rsid w:val="004C143E"/>
    <w:rsid w:val="004C3EDB"/>
    <w:rsid w:val="004C4957"/>
    <w:rsid w:val="004C7423"/>
    <w:rsid w:val="004D3233"/>
    <w:rsid w:val="004D5B30"/>
    <w:rsid w:val="004D7744"/>
    <w:rsid w:val="004D7F15"/>
    <w:rsid w:val="004E16E4"/>
    <w:rsid w:val="004E218D"/>
    <w:rsid w:val="004E4FD9"/>
    <w:rsid w:val="004E5D01"/>
    <w:rsid w:val="004F0990"/>
    <w:rsid w:val="004F6A54"/>
    <w:rsid w:val="00500FF2"/>
    <w:rsid w:val="00505616"/>
    <w:rsid w:val="00507CE4"/>
    <w:rsid w:val="00512A5C"/>
    <w:rsid w:val="00514466"/>
    <w:rsid w:val="00514B5F"/>
    <w:rsid w:val="0051629D"/>
    <w:rsid w:val="005214C9"/>
    <w:rsid w:val="00522727"/>
    <w:rsid w:val="00525E23"/>
    <w:rsid w:val="00526086"/>
    <w:rsid w:val="00526174"/>
    <w:rsid w:val="005265C6"/>
    <w:rsid w:val="005321F0"/>
    <w:rsid w:val="00534B85"/>
    <w:rsid w:val="005356A6"/>
    <w:rsid w:val="00535D18"/>
    <w:rsid w:val="00537EE6"/>
    <w:rsid w:val="005415C8"/>
    <w:rsid w:val="0054220C"/>
    <w:rsid w:val="005440C1"/>
    <w:rsid w:val="00545EF8"/>
    <w:rsid w:val="00547654"/>
    <w:rsid w:val="00552923"/>
    <w:rsid w:val="00557BF1"/>
    <w:rsid w:val="00560703"/>
    <w:rsid w:val="0056484B"/>
    <w:rsid w:val="0056704D"/>
    <w:rsid w:val="00567C95"/>
    <w:rsid w:val="00567D8D"/>
    <w:rsid w:val="0057602A"/>
    <w:rsid w:val="00583D1F"/>
    <w:rsid w:val="005942FC"/>
    <w:rsid w:val="0059732E"/>
    <w:rsid w:val="005A72DD"/>
    <w:rsid w:val="005B1C29"/>
    <w:rsid w:val="005B3158"/>
    <w:rsid w:val="005B4CEA"/>
    <w:rsid w:val="005B67ED"/>
    <w:rsid w:val="005C23A8"/>
    <w:rsid w:val="005C2A5A"/>
    <w:rsid w:val="005C30D4"/>
    <w:rsid w:val="005D1BA6"/>
    <w:rsid w:val="005D250F"/>
    <w:rsid w:val="005D364B"/>
    <w:rsid w:val="005D4F7D"/>
    <w:rsid w:val="005E3D9F"/>
    <w:rsid w:val="005E6F60"/>
    <w:rsid w:val="005F3BDB"/>
    <w:rsid w:val="005F7995"/>
    <w:rsid w:val="00600EA1"/>
    <w:rsid w:val="006020E8"/>
    <w:rsid w:val="00603106"/>
    <w:rsid w:val="00606CBE"/>
    <w:rsid w:val="006168A4"/>
    <w:rsid w:val="00616FC1"/>
    <w:rsid w:val="00622396"/>
    <w:rsid w:val="00624EEA"/>
    <w:rsid w:val="0063038A"/>
    <w:rsid w:val="00634052"/>
    <w:rsid w:val="00634F84"/>
    <w:rsid w:val="00637D3F"/>
    <w:rsid w:val="00640EAA"/>
    <w:rsid w:val="00644983"/>
    <w:rsid w:val="0064498D"/>
    <w:rsid w:val="00646602"/>
    <w:rsid w:val="006472F4"/>
    <w:rsid w:val="00650C92"/>
    <w:rsid w:val="00652F08"/>
    <w:rsid w:val="00653DFB"/>
    <w:rsid w:val="00654D13"/>
    <w:rsid w:val="006557D7"/>
    <w:rsid w:val="0065677C"/>
    <w:rsid w:val="006606A3"/>
    <w:rsid w:val="00661DE5"/>
    <w:rsid w:val="0066537F"/>
    <w:rsid w:val="00671666"/>
    <w:rsid w:val="00672014"/>
    <w:rsid w:val="006733A8"/>
    <w:rsid w:val="00673674"/>
    <w:rsid w:val="00674B18"/>
    <w:rsid w:val="00683127"/>
    <w:rsid w:val="00683E53"/>
    <w:rsid w:val="00686968"/>
    <w:rsid w:val="006877E7"/>
    <w:rsid w:val="006956FE"/>
    <w:rsid w:val="006A0365"/>
    <w:rsid w:val="006A6FD0"/>
    <w:rsid w:val="006B080E"/>
    <w:rsid w:val="006B730D"/>
    <w:rsid w:val="006C1DED"/>
    <w:rsid w:val="006C237A"/>
    <w:rsid w:val="006D2212"/>
    <w:rsid w:val="006D550A"/>
    <w:rsid w:val="006D7FF3"/>
    <w:rsid w:val="006E2FE9"/>
    <w:rsid w:val="006E3B0D"/>
    <w:rsid w:val="006E6234"/>
    <w:rsid w:val="006E728E"/>
    <w:rsid w:val="006F2921"/>
    <w:rsid w:val="00700180"/>
    <w:rsid w:val="00704843"/>
    <w:rsid w:val="007115F7"/>
    <w:rsid w:val="00714FD7"/>
    <w:rsid w:val="00715666"/>
    <w:rsid w:val="00716D22"/>
    <w:rsid w:val="00716E89"/>
    <w:rsid w:val="0072776E"/>
    <w:rsid w:val="00727F4F"/>
    <w:rsid w:val="00731211"/>
    <w:rsid w:val="00732B61"/>
    <w:rsid w:val="0073326F"/>
    <w:rsid w:val="00741606"/>
    <w:rsid w:val="00743885"/>
    <w:rsid w:val="00743CDB"/>
    <w:rsid w:val="00745AB4"/>
    <w:rsid w:val="007470E1"/>
    <w:rsid w:val="007479D6"/>
    <w:rsid w:val="007512D7"/>
    <w:rsid w:val="00752D0E"/>
    <w:rsid w:val="00753BD2"/>
    <w:rsid w:val="0075523D"/>
    <w:rsid w:val="00755564"/>
    <w:rsid w:val="00757E63"/>
    <w:rsid w:val="00765619"/>
    <w:rsid w:val="0077073F"/>
    <w:rsid w:val="0077103F"/>
    <w:rsid w:val="0077224C"/>
    <w:rsid w:val="00774542"/>
    <w:rsid w:val="00777202"/>
    <w:rsid w:val="00782257"/>
    <w:rsid w:val="00785772"/>
    <w:rsid w:val="00787DBC"/>
    <w:rsid w:val="00791577"/>
    <w:rsid w:val="00792D54"/>
    <w:rsid w:val="007956B5"/>
    <w:rsid w:val="007A1902"/>
    <w:rsid w:val="007A2AF2"/>
    <w:rsid w:val="007A4004"/>
    <w:rsid w:val="007A400F"/>
    <w:rsid w:val="007B1B20"/>
    <w:rsid w:val="007B1C3F"/>
    <w:rsid w:val="007B25BE"/>
    <w:rsid w:val="007C0F12"/>
    <w:rsid w:val="007C197B"/>
    <w:rsid w:val="007C3555"/>
    <w:rsid w:val="007C3802"/>
    <w:rsid w:val="007C3FB4"/>
    <w:rsid w:val="007C416C"/>
    <w:rsid w:val="007D4157"/>
    <w:rsid w:val="007D5BA0"/>
    <w:rsid w:val="007E39BB"/>
    <w:rsid w:val="007F3C22"/>
    <w:rsid w:val="007F7860"/>
    <w:rsid w:val="0080144D"/>
    <w:rsid w:val="00804AA7"/>
    <w:rsid w:val="00806AEF"/>
    <w:rsid w:val="00817123"/>
    <w:rsid w:val="008218CC"/>
    <w:rsid w:val="00823395"/>
    <w:rsid w:val="00834179"/>
    <w:rsid w:val="00835377"/>
    <w:rsid w:val="00836DF6"/>
    <w:rsid w:val="0084691E"/>
    <w:rsid w:val="00854197"/>
    <w:rsid w:val="0086293F"/>
    <w:rsid w:val="00862B6D"/>
    <w:rsid w:val="008635E6"/>
    <w:rsid w:val="008661A4"/>
    <w:rsid w:val="008666BC"/>
    <w:rsid w:val="00870547"/>
    <w:rsid w:val="008718A0"/>
    <w:rsid w:val="008723A4"/>
    <w:rsid w:val="00872694"/>
    <w:rsid w:val="00874CFC"/>
    <w:rsid w:val="00886C3A"/>
    <w:rsid w:val="00886C48"/>
    <w:rsid w:val="00890DC3"/>
    <w:rsid w:val="008A1A2C"/>
    <w:rsid w:val="008A4EE3"/>
    <w:rsid w:val="008B1964"/>
    <w:rsid w:val="008B27C1"/>
    <w:rsid w:val="008B4907"/>
    <w:rsid w:val="008B7562"/>
    <w:rsid w:val="008B7FFE"/>
    <w:rsid w:val="008C09BB"/>
    <w:rsid w:val="008C0FB2"/>
    <w:rsid w:val="008C4EF2"/>
    <w:rsid w:val="008D097D"/>
    <w:rsid w:val="008D633A"/>
    <w:rsid w:val="008D6AFE"/>
    <w:rsid w:val="008E0D87"/>
    <w:rsid w:val="008E2010"/>
    <w:rsid w:val="008E7D5F"/>
    <w:rsid w:val="008F0F79"/>
    <w:rsid w:val="008F21BF"/>
    <w:rsid w:val="008F3480"/>
    <w:rsid w:val="008F7BFB"/>
    <w:rsid w:val="009012DC"/>
    <w:rsid w:val="00901EA9"/>
    <w:rsid w:val="0090213B"/>
    <w:rsid w:val="0090510E"/>
    <w:rsid w:val="00913674"/>
    <w:rsid w:val="009150E9"/>
    <w:rsid w:val="00920FB9"/>
    <w:rsid w:val="00922BC7"/>
    <w:rsid w:val="00924198"/>
    <w:rsid w:val="009244F0"/>
    <w:rsid w:val="00926B2F"/>
    <w:rsid w:val="0093638C"/>
    <w:rsid w:val="00937A4E"/>
    <w:rsid w:val="00937C78"/>
    <w:rsid w:val="00955661"/>
    <w:rsid w:val="0096675D"/>
    <w:rsid w:val="009714F0"/>
    <w:rsid w:val="00972667"/>
    <w:rsid w:val="0097633D"/>
    <w:rsid w:val="00980AA0"/>
    <w:rsid w:val="00981A39"/>
    <w:rsid w:val="009844F5"/>
    <w:rsid w:val="00985084"/>
    <w:rsid w:val="009868EF"/>
    <w:rsid w:val="00992A29"/>
    <w:rsid w:val="009A01CF"/>
    <w:rsid w:val="009A09C6"/>
    <w:rsid w:val="009A31E8"/>
    <w:rsid w:val="009A323D"/>
    <w:rsid w:val="009A3AE5"/>
    <w:rsid w:val="009A4C09"/>
    <w:rsid w:val="009B1061"/>
    <w:rsid w:val="009B2C59"/>
    <w:rsid w:val="009B3E58"/>
    <w:rsid w:val="009B6F55"/>
    <w:rsid w:val="009B78FB"/>
    <w:rsid w:val="009C2411"/>
    <w:rsid w:val="009C3321"/>
    <w:rsid w:val="009C46AB"/>
    <w:rsid w:val="009C6AD9"/>
    <w:rsid w:val="009D0A96"/>
    <w:rsid w:val="009D0C63"/>
    <w:rsid w:val="009D5355"/>
    <w:rsid w:val="009D79F2"/>
    <w:rsid w:val="009E44EE"/>
    <w:rsid w:val="009E53A5"/>
    <w:rsid w:val="009E708F"/>
    <w:rsid w:val="009E73FC"/>
    <w:rsid w:val="009F4F31"/>
    <w:rsid w:val="009F6855"/>
    <w:rsid w:val="009F764F"/>
    <w:rsid w:val="00A002F4"/>
    <w:rsid w:val="00A00AE0"/>
    <w:rsid w:val="00A01D1A"/>
    <w:rsid w:val="00A02912"/>
    <w:rsid w:val="00A047AF"/>
    <w:rsid w:val="00A0567A"/>
    <w:rsid w:val="00A10460"/>
    <w:rsid w:val="00A14E35"/>
    <w:rsid w:val="00A174D4"/>
    <w:rsid w:val="00A204BA"/>
    <w:rsid w:val="00A20570"/>
    <w:rsid w:val="00A2152D"/>
    <w:rsid w:val="00A223C9"/>
    <w:rsid w:val="00A2270C"/>
    <w:rsid w:val="00A230E1"/>
    <w:rsid w:val="00A24CD1"/>
    <w:rsid w:val="00A26558"/>
    <w:rsid w:val="00A26C54"/>
    <w:rsid w:val="00A345F0"/>
    <w:rsid w:val="00A35D97"/>
    <w:rsid w:val="00A3796D"/>
    <w:rsid w:val="00A41565"/>
    <w:rsid w:val="00A42341"/>
    <w:rsid w:val="00A45420"/>
    <w:rsid w:val="00A52CEE"/>
    <w:rsid w:val="00A83EFC"/>
    <w:rsid w:val="00A8604A"/>
    <w:rsid w:val="00A92C53"/>
    <w:rsid w:val="00A95983"/>
    <w:rsid w:val="00AA19E7"/>
    <w:rsid w:val="00AA1C42"/>
    <w:rsid w:val="00AA614F"/>
    <w:rsid w:val="00AB1E50"/>
    <w:rsid w:val="00AB2A81"/>
    <w:rsid w:val="00AB3FF0"/>
    <w:rsid w:val="00AB5A82"/>
    <w:rsid w:val="00AC08EF"/>
    <w:rsid w:val="00AC0A30"/>
    <w:rsid w:val="00AC262E"/>
    <w:rsid w:val="00AC7682"/>
    <w:rsid w:val="00AC7905"/>
    <w:rsid w:val="00AD35D3"/>
    <w:rsid w:val="00AD525D"/>
    <w:rsid w:val="00AE4E71"/>
    <w:rsid w:val="00AE6CDF"/>
    <w:rsid w:val="00AF2483"/>
    <w:rsid w:val="00AF6122"/>
    <w:rsid w:val="00B046DF"/>
    <w:rsid w:val="00B0601B"/>
    <w:rsid w:val="00B102D9"/>
    <w:rsid w:val="00B106C6"/>
    <w:rsid w:val="00B122C3"/>
    <w:rsid w:val="00B20811"/>
    <w:rsid w:val="00B21753"/>
    <w:rsid w:val="00B22FB3"/>
    <w:rsid w:val="00B246DD"/>
    <w:rsid w:val="00B26603"/>
    <w:rsid w:val="00B27995"/>
    <w:rsid w:val="00B307A4"/>
    <w:rsid w:val="00B313E3"/>
    <w:rsid w:val="00B369E1"/>
    <w:rsid w:val="00B40F11"/>
    <w:rsid w:val="00B52F5E"/>
    <w:rsid w:val="00B661C1"/>
    <w:rsid w:val="00B70A0B"/>
    <w:rsid w:val="00B72A6B"/>
    <w:rsid w:val="00B7385F"/>
    <w:rsid w:val="00B76016"/>
    <w:rsid w:val="00B8042F"/>
    <w:rsid w:val="00B84DAA"/>
    <w:rsid w:val="00B85F3E"/>
    <w:rsid w:val="00BA0DEA"/>
    <w:rsid w:val="00BB18C9"/>
    <w:rsid w:val="00BB2B10"/>
    <w:rsid w:val="00BB4888"/>
    <w:rsid w:val="00BB6D6F"/>
    <w:rsid w:val="00BB76A2"/>
    <w:rsid w:val="00BC09DE"/>
    <w:rsid w:val="00BC1ABB"/>
    <w:rsid w:val="00BC3C88"/>
    <w:rsid w:val="00BC3FB6"/>
    <w:rsid w:val="00BD0B73"/>
    <w:rsid w:val="00BD29EF"/>
    <w:rsid w:val="00BD5C10"/>
    <w:rsid w:val="00BD747D"/>
    <w:rsid w:val="00BE70CC"/>
    <w:rsid w:val="00BF0CB5"/>
    <w:rsid w:val="00BF39AF"/>
    <w:rsid w:val="00BF790E"/>
    <w:rsid w:val="00BF7A19"/>
    <w:rsid w:val="00C02572"/>
    <w:rsid w:val="00C063BE"/>
    <w:rsid w:val="00C07DC3"/>
    <w:rsid w:val="00C11CF4"/>
    <w:rsid w:val="00C12813"/>
    <w:rsid w:val="00C128B3"/>
    <w:rsid w:val="00C135FF"/>
    <w:rsid w:val="00C14EBB"/>
    <w:rsid w:val="00C211BD"/>
    <w:rsid w:val="00C22E21"/>
    <w:rsid w:val="00C2400C"/>
    <w:rsid w:val="00C24E58"/>
    <w:rsid w:val="00C26770"/>
    <w:rsid w:val="00C26850"/>
    <w:rsid w:val="00C30219"/>
    <w:rsid w:val="00C30B5C"/>
    <w:rsid w:val="00C32B5E"/>
    <w:rsid w:val="00C42D39"/>
    <w:rsid w:val="00C5575E"/>
    <w:rsid w:val="00C56DF8"/>
    <w:rsid w:val="00C710A4"/>
    <w:rsid w:val="00C7583B"/>
    <w:rsid w:val="00C8027D"/>
    <w:rsid w:val="00C80AB7"/>
    <w:rsid w:val="00C81248"/>
    <w:rsid w:val="00C81DFC"/>
    <w:rsid w:val="00C82A24"/>
    <w:rsid w:val="00C835A2"/>
    <w:rsid w:val="00C855E5"/>
    <w:rsid w:val="00C93541"/>
    <w:rsid w:val="00C93DFC"/>
    <w:rsid w:val="00C9559E"/>
    <w:rsid w:val="00C9673A"/>
    <w:rsid w:val="00C97F25"/>
    <w:rsid w:val="00CA74A0"/>
    <w:rsid w:val="00CB6A7C"/>
    <w:rsid w:val="00CB6E37"/>
    <w:rsid w:val="00CC660D"/>
    <w:rsid w:val="00CC6B2D"/>
    <w:rsid w:val="00CD7A1B"/>
    <w:rsid w:val="00CE3004"/>
    <w:rsid w:val="00CF0BCD"/>
    <w:rsid w:val="00CF2340"/>
    <w:rsid w:val="00CF537E"/>
    <w:rsid w:val="00CF6B67"/>
    <w:rsid w:val="00D05B66"/>
    <w:rsid w:val="00D137D5"/>
    <w:rsid w:val="00D15C2F"/>
    <w:rsid w:val="00D21358"/>
    <w:rsid w:val="00D23943"/>
    <w:rsid w:val="00D249F3"/>
    <w:rsid w:val="00D417DA"/>
    <w:rsid w:val="00D51005"/>
    <w:rsid w:val="00D55192"/>
    <w:rsid w:val="00D603A8"/>
    <w:rsid w:val="00D60F57"/>
    <w:rsid w:val="00D70675"/>
    <w:rsid w:val="00D708C9"/>
    <w:rsid w:val="00D70FC6"/>
    <w:rsid w:val="00D75469"/>
    <w:rsid w:val="00D75D1C"/>
    <w:rsid w:val="00D77881"/>
    <w:rsid w:val="00D82A8B"/>
    <w:rsid w:val="00D87E6F"/>
    <w:rsid w:val="00D9785C"/>
    <w:rsid w:val="00DA53F1"/>
    <w:rsid w:val="00DB04B0"/>
    <w:rsid w:val="00DB110F"/>
    <w:rsid w:val="00DB209B"/>
    <w:rsid w:val="00DC0A87"/>
    <w:rsid w:val="00DC68F5"/>
    <w:rsid w:val="00DD066D"/>
    <w:rsid w:val="00DD17B4"/>
    <w:rsid w:val="00DD355E"/>
    <w:rsid w:val="00DE446B"/>
    <w:rsid w:val="00DE45C6"/>
    <w:rsid w:val="00DE5FE6"/>
    <w:rsid w:val="00DF2FC3"/>
    <w:rsid w:val="00DF461A"/>
    <w:rsid w:val="00DF49C5"/>
    <w:rsid w:val="00E01DF0"/>
    <w:rsid w:val="00E03826"/>
    <w:rsid w:val="00E03C5E"/>
    <w:rsid w:val="00E0401A"/>
    <w:rsid w:val="00E136B4"/>
    <w:rsid w:val="00E20614"/>
    <w:rsid w:val="00E216B3"/>
    <w:rsid w:val="00E22C01"/>
    <w:rsid w:val="00E22EEF"/>
    <w:rsid w:val="00E273E3"/>
    <w:rsid w:val="00E32B89"/>
    <w:rsid w:val="00E35FB5"/>
    <w:rsid w:val="00E37301"/>
    <w:rsid w:val="00E40344"/>
    <w:rsid w:val="00E41348"/>
    <w:rsid w:val="00E44BA5"/>
    <w:rsid w:val="00E51553"/>
    <w:rsid w:val="00E51F9F"/>
    <w:rsid w:val="00E52064"/>
    <w:rsid w:val="00E54E74"/>
    <w:rsid w:val="00E57ED1"/>
    <w:rsid w:val="00E61780"/>
    <w:rsid w:val="00E64AD3"/>
    <w:rsid w:val="00E64D28"/>
    <w:rsid w:val="00E650AE"/>
    <w:rsid w:val="00E66F44"/>
    <w:rsid w:val="00E6792A"/>
    <w:rsid w:val="00E71761"/>
    <w:rsid w:val="00E71949"/>
    <w:rsid w:val="00E74600"/>
    <w:rsid w:val="00E757A1"/>
    <w:rsid w:val="00E7612E"/>
    <w:rsid w:val="00E82807"/>
    <w:rsid w:val="00E87690"/>
    <w:rsid w:val="00E93A72"/>
    <w:rsid w:val="00E9402D"/>
    <w:rsid w:val="00E95342"/>
    <w:rsid w:val="00EA7BC5"/>
    <w:rsid w:val="00EB56D4"/>
    <w:rsid w:val="00EB5C8E"/>
    <w:rsid w:val="00EB70F6"/>
    <w:rsid w:val="00EB73B3"/>
    <w:rsid w:val="00EB7DF0"/>
    <w:rsid w:val="00EC01C8"/>
    <w:rsid w:val="00EC389E"/>
    <w:rsid w:val="00EC43A5"/>
    <w:rsid w:val="00EC59F7"/>
    <w:rsid w:val="00EC6192"/>
    <w:rsid w:val="00EC6D67"/>
    <w:rsid w:val="00ED001A"/>
    <w:rsid w:val="00ED0916"/>
    <w:rsid w:val="00ED4DFD"/>
    <w:rsid w:val="00ED5A07"/>
    <w:rsid w:val="00ED7F11"/>
    <w:rsid w:val="00EE05DB"/>
    <w:rsid w:val="00EE194C"/>
    <w:rsid w:val="00EE2D65"/>
    <w:rsid w:val="00EE36BE"/>
    <w:rsid w:val="00EE6E00"/>
    <w:rsid w:val="00EF1FDD"/>
    <w:rsid w:val="00EF23E9"/>
    <w:rsid w:val="00EF2D22"/>
    <w:rsid w:val="00EF3412"/>
    <w:rsid w:val="00EF49F0"/>
    <w:rsid w:val="00EF5B91"/>
    <w:rsid w:val="00EF7A32"/>
    <w:rsid w:val="00F0262C"/>
    <w:rsid w:val="00F03DF9"/>
    <w:rsid w:val="00F10759"/>
    <w:rsid w:val="00F122FD"/>
    <w:rsid w:val="00F14821"/>
    <w:rsid w:val="00F156C3"/>
    <w:rsid w:val="00F15E74"/>
    <w:rsid w:val="00F16485"/>
    <w:rsid w:val="00F210F9"/>
    <w:rsid w:val="00F22E6D"/>
    <w:rsid w:val="00F338F9"/>
    <w:rsid w:val="00F35991"/>
    <w:rsid w:val="00F41C71"/>
    <w:rsid w:val="00F50F55"/>
    <w:rsid w:val="00F51AF3"/>
    <w:rsid w:val="00F630E6"/>
    <w:rsid w:val="00F6754D"/>
    <w:rsid w:val="00F80BCB"/>
    <w:rsid w:val="00F83951"/>
    <w:rsid w:val="00F84343"/>
    <w:rsid w:val="00F85D8D"/>
    <w:rsid w:val="00F8613C"/>
    <w:rsid w:val="00F90362"/>
    <w:rsid w:val="00F93126"/>
    <w:rsid w:val="00F9326A"/>
    <w:rsid w:val="00F966BC"/>
    <w:rsid w:val="00FA2BC9"/>
    <w:rsid w:val="00FA3463"/>
    <w:rsid w:val="00FA581C"/>
    <w:rsid w:val="00FB450C"/>
    <w:rsid w:val="00FC1C58"/>
    <w:rsid w:val="00FC7FFE"/>
    <w:rsid w:val="00FD0A5B"/>
    <w:rsid w:val="00FD2585"/>
    <w:rsid w:val="00FE1609"/>
    <w:rsid w:val="00FE60F1"/>
    <w:rsid w:val="00FE74AF"/>
    <w:rsid w:val="00FF0865"/>
    <w:rsid w:val="00FF10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086824"/>
    <w:pPr>
      <w:keepNext/>
      <w:numPr>
        <w:ilvl w:val="1"/>
        <w:numId w:val="2"/>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2"/>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Times New Roman Bold" w:hAnsi="Times New Roman Bold"/>
      <w:b/>
      <w:caps/>
      <w:kern w:val="28"/>
      <w:szCs w:val="20"/>
    </w:rPr>
  </w:style>
  <w:style w:type="character" w:customStyle="1" w:styleId="Heading2Char">
    <w:name w:val="Heading 2 Char"/>
    <w:basedOn w:val="DefaultParagraphFont"/>
    <w:link w:val="Heading2"/>
    <w:uiPriority w:val="99"/>
    <w:locked/>
    <w:rsid w:val="00086824"/>
    <w:rPr>
      <w:b/>
      <w:kern w:val="28"/>
      <w:szCs w:val="20"/>
    </w:rPr>
  </w:style>
  <w:style w:type="character" w:customStyle="1" w:styleId="Heading3Char">
    <w:name w:val="Heading 3 Char"/>
    <w:basedOn w:val="DefaultParagraphFont"/>
    <w:link w:val="Heading3"/>
    <w:uiPriority w:val="99"/>
    <w:locked/>
    <w:rsid w:val="0011687C"/>
    <w:rPr>
      <w:b/>
      <w:kern w:val="28"/>
      <w:szCs w:val="20"/>
    </w:rPr>
  </w:style>
  <w:style w:type="character" w:customStyle="1" w:styleId="Heading4Char">
    <w:name w:val="Heading 4 Char"/>
    <w:basedOn w:val="DefaultParagraphFont"/>
    <w:link w:val="Heading4"/>
    <w:uiPriority w:val="99"/>
    <w:locked/>
    <w:rsid w:val="0011687C"/>
    <w:rPr>
      <w:b/>
      <w:kern w:val="28"/>
      <w:szCs w:val="20"/>
    </w:rPr>
  </w:style>
  <w:style w:type="character" w:customStyle="1" w:styleId="Heading5Char">
    <w:name w:val="Heading 5 Char"/>
    <w:basedOn w:val="DefaultParagraphFont"/>
    <w:link w:val="Heading5"/>
    <w:uiPriority w:val="99"/>
    <w:locked/>
    <w:rsid w:val="0011687C"/>
    <w:rPr>
      <w:b/>
      <w:kern w:val="28"/>
      <w:szCs w:val="20"/>
    </w:rPr>
  </w:style>
  <w:style w:type="character" w:customStyle="1" w:styleId="Heading6Char">
    <w:name w:val="Heading 6 Char"/>
    <w:basedOn w:val="DefaultParagraphFont"/>
    <w:link w:val="Heading6"/>
    <w:uiPriority w:val="99"/>
    <w:locked/>
    <w:rsid w:val="0011687C"/>
    <w:rPr>
      <w:b/>
      <w:kern w:val="28"/>
      <w:szCs w:val="20"/>
    </w:rPr>
  </w:style>
  <w:style w:type="character" w:customStyle="1" w:styleId="Heading7Char">
    <w:name w:val="Heading 7 Char"/>
    <w:basedOn w:val="DefaultParagraphFont"/>
    <w:link w:val="Heading7"/>
    <w:uiPriority w:val="99"/>
    <w:locked/>
    <w:rsid w:val="0011687C"/>
    <w:rPr>
      <w:b/>
      <w:kern w:val="28"/>
      <w:szCs w:val="20"/>
    </w:rPr>
  </w:style>
  <w:style w:type="character" w:customStyle="1" w:styleId="Heading8Char">
    <w:name w:val="Heading 8 Char"/>
    <w:basedOn w:val="DefaultParagraphFont"/>
    <w:link w:val="Heading8"/>
    <w:uiPriority w:val="99"/>
    <w:locked/>
    <w:rsid w:val="0011687C"/>
    <w:rPr>
      <w:b/>
      <w:kern w:val="28"/>
      <w:szCs w:val="20"/>
    </w:rPr>
  </w:style>
  <w:style w:type="character" w:customStyle="1" w:styleId="Heading9Char">
    <w:name w:val="Heading 9 Char"/>
    <w:basedOn w:val="DefaultParagraphFont"/>
    <w:link w:val="Heading9"/>
    <w:uiPriority w:val="99"/>
    <w:locked/>
    <w:rsid w:val="0011687C"/>
    <w:rPr>
      <w:b/>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CC6B2D"/>
    <w:pPr>
      <w:numPr>
        <w:numId w:val="16"/>
      </w:numPr>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basedOn w:val="Normal"/>
    <w:link w:val="FootnoteTextChar2"/>
    <w:rsid w:val="00CC6B2D"/>
    <w:pPr>
      <w:widowControl/>
      <w:spacing w:after="120"/>
    </w:pPr>
    <w:rPr>
      <w:kern w:val="0"/>
      <w:sz w:val="20"/>
    </w:rPr>
  </w:style>
  <w:style w:type="character" w:customStyle="1" w:styleId="FootnoteTextChar2">
    <w:name w:val="Footnote Text Char2"/>
    <w:aliases w:val="Footnote Text Char Char Char,Footnote Text Char Char Char Char Char,Footnote Text Char Char Char Char Char Char Char,Footnote Text Char Char1,Footnote Text Char1 Char,Footnote Text Char1 Char Char Char,Footnote Text Char3 Char1 Char"/>
    <w:basedOn w:val="DefaultParagraphFont"/>
    <w:link w:val="FootnoteText"/>
    <w:locked/>
    <w:rsid w:val="009B2C59"/>
    <w:rPr>
      <w:rFonts w:cs="Times New Roman"/>
      <w:lang w:val="en-US"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rsid w:val="00CC6B2D"/>
    <w:pPr>
      <w:tabs>
        <w:tab w:val="center" w:pos="4680"/>
        <w:tab w:val="right" w:pos="9360"/>
      </w:tabs>
    </w:pPr>
    <w:rPr>
      <w:b/>
    </w:rPr>
  </w:style>
  <w:style w:type="character" w:customStyle="1" w:styleId="HeaderChar">
    <w:name w:val="Header Char"/>
    <w:basedOn w:val="DefaultParagraphFont"/>
    <w:link w:val="Header"/>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val="0"/>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val="0"/>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Styl Char"/>
    <w:rsid w:val="008E2010"/>
    <w:rPr>
      <w:lang w:val="en-US" w:eastAsia="en-US" w:bidi="ar-SA"/>
    </w:rPr>
  </w:style>
  <w:style w:type="paragraph" w:styleId="NoSpacing">
    <w:name w:val="No Spacing"/>
    <w:uiPriority w:val="1"/>
    <w:qFormat/>
    <w:rsid w:val="00B40F11"/>
    <w:pPr>
      <w:widowControl w:val="0"/>
    </w:pPr>
    <w:rP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