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160604" w:rsidRPr="00160604" w:rsidP="00160604" w14:paraId="55811948" w14:textId="05F46F97">
      <w:pPr>
        <w:spacing w:before="120" w:after="0"/>
        <w:contextualSpacing/>
        <w:jc w:val="right"/>
        <w:mirrorIndents/>
        <w:rPr>
          <w:rFonts w:ascii="Times New Roman" w:eastAsia="Calibri" w:hAnsi="Times New Roman" w:cs="Times New Roman"/>
          <w:b/>
        </w:rPr>
      </w:pPr>
      <w:r w:rsidRPr="00160604">
        <w:rPr>
          <w:rFonts w:ascii="Times New Roman" w:eastAsia="Calibri" w:hAnsi="Times New Roman" w:cs="Times New Roman"/>
        </w:rPr>
        <w:t xml:space="preserve">                                                                                                                    </w:t>
      </w:r>
      <w:r w:rsidRPr="00160604">
        <w:rPr>
          <w:rFonts w:ascii="Times New Roman" w:eastAsia="Calibri" w:hAnsi="Times New Roman" w:cs="Times New Roman"/>
        </w:rPr>
        <w:tab/>
        <w:t xml:space="preserve">          </w:t>
      </w:r>
      <w:r w:rsidR="00C735D3">
        <w:rPr>
          <w:rFonts w:ascii="Times New Roman" w:eastAsia="Calibri" w:hAnsi="Times New Roman" w:cs="Times New Roman"/>
          <w:b/>
        </w:rPr>
        <w:t>DA</w:t>
      </w:r>
      <w:r w:rsidRPr="00160604">
        <w:rPr>
          <w:rFonts w:ascii="Times New Roman" w:eastAsia="Calibri" w:hAnsi="Times New Roman" w:cs="Times New Roman"/>
          <w:b/>
        </w:rPr>
        <w:t xml:space="preserve"> </w:t>
      </w:r>
      <w:r w:rsidR="00C735D3">
        <w:rPr>
          <w:rFonts w:ascii="Times New Roman" w:eastAsia="Calibri" w:hAnsi="Times New Roman" w:cs="Times New Roman"/>
          <w:b/>
        </w:rPr>
        <w:t>20-</w:t>
      </w:r>
      <w:r w:rsidR="00C62FA2">
        <w:rPr>
          <w:rFonts w:ascii="Times New Roman" w:eastAsia="Calibri" w:hAnsi="Times New Roman" w:cs="Times New Roman"/>
          <w:b/>
        </w:rPr>
        <w:t>508</w:t>
      </w:r>
    </w:p>
    <w:p w:rsidR="00160604" w:rsidRPr="00160604" w:rsidP="00160604" w14:paraId="54B3D29F" w14:textId="77777777">
      <w:pPr>
        <w:spacing w:before="120" w:after="0"/>
        <w:contextualSpacing/>
        <w:jc w:val="right"/>
        <w:mirrorIndents/>
        <w:rPr>
          <w:rFonts w:ascii="Times New Roman" w:eastAsia="Calibri" w:hAnsi="Times New Roman" w:cs="Times New Roman"/>
        </w:rPr>
      </w:pPr>
    </w:p>
    <w:p w:rsidR="00160604" w:rsidRPr="00A84E41" w:rsidP="00160604" w14:paraId="11A3F415" w14:textId="04332223">
      <w:pPr>
        <w:spacing w:before="120" w:after="0"/>
        <w:contextualSpacing/>
        <w:jc w:val="center"/>
        <w:mirrorIndents/>
        <w:rPr>
          <w:rFonts w:ascii="Times New Roman" w:eastAsia="Calibri" w:hAnsi="Times New Roman" w:cs="Times New Roman"/>
          <w:b/>
          <w:sz w:val="28"/>
          <w:szCs w:val="28"/>
        </w:rPr>
      </w:pPr>
      <w:r>
        <w:rPr>
          <w:rFonts w:ascii="Times New Roman" w:eastAsia="Calibri" w:hAnsi="Times New Roman" w:cs="Times New Roman"/>
          <w:b/>
          <w:sz w:val="28"/>
          <w:szCs w:val="28"/>
        </w:rPr>
        <w:t>SMALL ENTITY COMPLIANCE GUIDE</w:t>
      </w:r>
    </w:p>
    <w:p w:rsidR="00A272FE" w:rsidP="00160604" w14:paraId="37EF16D7" w14:textId="77777777">
      <w:pPr>
        <w:spacing w:before="120" w:after="0"/>
        <w:contextualSpacing/>
        <w:jc w:val="center"/>
        <w:mirrorIndents/>
        <w:rPr>
          <w:rFonts w:ascii="Times New Roman" w:eastAsia="Calibri" w:hAnsi="Times New Roman" w:cs="Times New Roman"/>
          <w:b/>
        </w:rPr>
      </w:pPr>
    </w:p>
    <w:p w:rsidR="000146AD" w:rsidRPr="000146AD" w:rsidP="000146AD" w14:paraId="112300A0" w14:textId="71638357">
      <w:pPr>
        <w:spacing w:before="120" w:after="0"/>
        <w:contextualSpacing/>
        <w:jc w:val="center"/>
        <w:mirrorIndents/>
        <w:rPr>
          <w:rFonts w:ascii="Times New Roman" w:hAnsi="Times New Roman" w:cs="Times New Roman"/>
          <w:b/>
          <w:sz w:val="24"/>
          <w:szCs w:val="24"/>
        </w:rPr>
      </w:pPr>
      <w:r>
        <w:rPr>
          <w:rFonts w:ascii="Times New Roman" w:hAnsi="Times New Roman" w:cs="Times New Roman"/>
          <w:b/>
          <w:sz w:val="24"/>
          <w:szCs w:val="24"/>
        </w:rPr>
        <w:t xml:space="preserve">INCENTIVE </w:t>
      </w:r>
      <w:r>
        <w:rPr>
          <w:rFonts w:ascii="Times New Roman" w:hAnsi="Times New Roman" w:cs="Times New Roman"/>
          <w:b/>
          <w:sz w:val="24"/>
          <w:szCs w:val="24"/>
        </w:rPr>
        <w:tab/>
      </w:r>
      <w:r w:rsidRPr="000146AD">
        <w:rPr>
          <w:rFonts w:ascii="Times New Roman" w:hAnsi="Times New Roman" w:cs="Times New Roman"/>
          <w:b/>
          <w:sz w:val="24"/>
          <w:szCs w:val="24"/>
        </w:rPr>
        <w:t>AUCTION OF UPPER MICROWAVE FLEXIBLE</w:t>
      </w:r>
    </w:p>
    <w:p w:rsidR="00786E1A" w:rsidP="000146AD" w14:paraId="1EA1E154" w14:textId="77777777">
      <w:pPr>
        <w:spacing w:before="120" w:after="0"/>
        <w:contextualSpacing/>
        <w:jc w:val="center"/>
        <w:mirrorIndents/>
        <w:rPr>
          <w:rFonts w:ascii="Times New Roman" w:hAnsi="Times New Roman" w:cs="Times New Roman"/>
          <w:b/>
          <w:sz w:val="24"/>
          <w:szCs w:val="24"/>
        </w:rPr>
      </w:pPr>
      <w:r w:rsidRPr="000146AD">
        <w:rPr>
          <w:rFonts w:ascii="Times New Roman" w:hAnsi="Times New Roman" w:cs="Times New Roman"/>
          <w:b/>
          <w:sz w:val="24"/>
          <w:szCs w:val="24"/>
        </w:rPr>
        <w:t xml:space="preserve">USE SERVICE LICENSES IN THE 37 GHZ, 39 GHZ, AND 47 GHZ BANDS </w:t>
      </w:r>
    </w:p>
    <w:p w:rsidR="00786E1A" w:rsidRPr="00786E1A" w:rsidP="000146AD" w14:paraId="35C26443" w14:textId="0B7BF2F6">
      <w:pPr>
        <w:spacing w:before="120" w:after="0"/>
        <w:contextualSpacing/>
        <w:jc w:val="center"/>
        <w:mirrorIndents/>
        <w:rPr>
          <w:rFonts w:ascii="Times New Roman" w:hAnsi="Times New Roman" w:cs="Times New Roman"/>
          <w:b/>
          <w:sz w:val="24"/>
          <w:szCs w:val="24"/>
        </w:rPr>
      </w:pPr>
      <w:r>
        <w:rPr>
          <w:b/>
        </w:rPr>
        <w:t>FOR NEXT-</w:t>
      </w:r>
      <w:r w:rsidRPr="001E082B">
        <w:rPr>
          <w:b/>
          <w:sz w:val="24"/>
          <w:szCs w:val="24"/>
        </w:rPr>
        <w:t>GENERATION WIRELESS SERVICES</w:t>
      </w:r>
    </w:p>
    <w:p w:rsidR="009E0BE0" w:rsidP="000146AD" w14:paraId="341DF8C9" w14:textId="4D28A135">
      <w:pPr>
        <w:spacing w:before="120" w:after="0"/>
        <w:contextualSpacing/>
        <w:jc w:val="center"/>
        <w:mirrorIndents/>
        <w:rPr>
          <w:rFonts w:ascii="Times New Roman" w:hAnsi="Times New Roman" w:cs="Times New Roman"/>
          <w:b/>
          <w:sz w:val="24"/>
          <w:szCs w:val="24"/>
        </w:rPr>
      </w:pPr>
      <w:r>
        <w:rPr>
          <w:rFonts w:ascii="Times New Roman" w:hAnsi="Times New Roman" w:cs="Times New Roman"/>
          <w:b/>
          <w:sz w:val="24"/>
          <w:szCs w:val="24"/>
        </w:rPr>
        <w:t>(Auction</w:t>
      </w:r>
      <w:r w:rsidR="000146AD">
        <w:rPr>
          <w:rFonts w:ascii="Times New Roman" w:hAnsi="Times New Roman" w:cs="Times New Roman"/>
          <w:b/>
          <w:sz w:val="24"/>
          <w:szCs w:val="24"/>
        </w:rPr>
        <w:t xml:space="preserve"> 103</w:t>
      </w:r>
      <w:r>
        <w:rPr>
          <w:rFonts w:ascii="Times New Roman" w:hAnsi="Times New Roman" w:cs="Times New Roman"/>
          <w:b/>
          <w:sz w:val="24"/>
          <w:szCs w:val="24"/>
        </w:rPr>
        <w:t xml:space="preserve"> Procedures)</w:t>
      </w:r>
    </w:p>
    <w:p w:rsidR="00160604" w:rsidRPr="00160604" w:rsidP="00160604" w14:paraId="3C5735ED" w14:textId="1B48E1CB">
      <w:pPr>
        <w:spacing w:before="120" w:after="0"/>
        <w:ind w:left="1080"/>
        <w:contextualSpacing/>
        <w:jc w:val="center"/>
        <w:mirrorIndents/>
        <w:rPr>
          <w:rFonts w:ascii="Times New Roman" w:eastAsia="Calibri" w:hAnsi="Times New Roman" w:cs="Times New Roman"/>
          <w:b/>
        </w:rPr>
      </w:pPr>
      <w:bookmarkStart w:id="0" w:name="_GoBack"/>
      <w:bookmarkEnd w:id="0"/>
    </w:p>
    <w:p w:rsidR="00705E46" w:rsidRPr="00705E46" w:rsidP="00160604" w14:paraId="6AC3F3C0" w14:textId="6D0F2A8B">
      <w:pPr>
        <w:spacing w:before="120" w:after="0"/>
        <w:contextualSpacing/>
        <w:jc w:val="center"/>
        <w:mirrorIndents/>
        <w:rPr>
          <w:rFonts w:ascii="Times New Roman" w:eastAsia="Calibri" w:hAnsi="Times New Roman" w:cs="Times New Roman"/>
          <w:b/>
        </w:rPr>
      </w:pPr>
      <w:r>
        <w:rPr>
          <w:rFonts w:ascii="Times New Roman" w:eastAsia="Calibri" w:hAnsi="Times New Roman" w:cs="Times New Roman"/>
          <w:b/>
        </w:rPr>
        <w:t>FCC 19-63</w:t>
      </w:r>
    </w:p>
    <w:p w:rsidR="00A272FE" w:rsidRPr="00160604" w:rsidP="00160604" w14:paraId="15FD63FE" w14:textId="2D248C27">
      <w:pPr>
        <w:spacing w:before="120" w:after="0"/>
        <w:contextualSpacing/>
        <w:jc w:val="center"/>
        <w:mirrorIndents/>
        <w:rPr>
          <w:rFonts w:ascii="Times New Roman" w:eastAsia="Calibri" w:hAnsi="Times New Roman" w:cs="Times New Roman"/>
        </w:rPr>
      </w:pPr>
      <w:r w:rsidRPr="00705E46">
        <w:rPr>
          <w:rFonts w:ascii="Times New Roman" w:eastAsia="Calibri" w:hAnsi="Times New Roman" w:cs="Times New Roman"/>
          <w:b/>
        </w:rPr>
        <w:t>AU</w:t>
      </w:r>
      <w:r w:rsidRPr="00705E46" w:rsidR="00160604">
        <w:rPr>
          <w:rFonts w:ascii="Times New Roman" w:eastAsia="Calibri" w:hAnsi="Times New Roman" w:cs="Times New Roman"/>
          <w:b/>
        </w:rPr>
        <w:t xml:space="preserve"> Docket No. 1</w:t>
      </w:r>
      <w:r w:rsidR="000146AD">
        <w:rPr>
          <w:rFonts w:ascii="Times New Roman" w:eastAsia="Calibri" w:hAnsi="Times New Roman" w:cs="Times New Roman"/>
          <w:b/>
        </w:rPr>
        <w:t>9</w:t>
      </w:r>
      <w:r w:rsidRPr="00705E46" w:rsidR="00160604">
        <w:rPr>
          <w:rFonts w:ascii="Times New Roman" w:eastAsia="Calibri" w:hAnsi="Times New Roman" w:cs="Times New Roman"/>
          <w:b/>
        </w:rPr>
        <w:t>-</w:t>
      </w:r>
      <w:r w:rsidR="004E1578">
        <w:rPr>
          <w:rFonts w:ascii="Times New Roman" w:eastAsia="Calibri" w:hAnsi="Times New Roman" w:cs="Times New Roman"/>
          <w:b/>
        </w:rPr>
        <w:t>5</w:t>
      </w:r>
      <w:r w:rsidR="000146AD">
        <w:rPr>
          <w:rFonts w:ascii="Times New Roman" w:eastAsia="Calibri" w:hAnsi="Times New Roman" w:cs="Times New Roman"/>
          <w:b/>
        </w:rPr>
        <w:t>9</w:t>
      </w:r>
    </w:p>
    <w:p w:rsidR="00A272FE" w:rsidRPr="00705E46" w:rsidP="00705E46" w14:paraId="076FE627" w14:textId="58C8AEBF">
      <w:pPr>
        <w:tabs>
          <w:tab w:val="left" w:pos="3060"/>
        </w:tabs>
        <w:spacing w:before="120" w:after="0"/>
        <w:contextualSpacing/>
        <w:jc w:val="center"/>
        <w:mirrorIndents/>
        <w:rPr>
          <w:rFonts w:ascii="Times New Roman" w:eastAsia="Calibri" w:hAnsi="Times New Roman" w:cs="Times New Roman"/>
          <w:b/>
        </w:rPr>
      </w:pPr>
      <w:r w:rsidRPr="00705E46">
        <w:rPr>
          <w:rFonts w:ascii="Times New Roman" w:eastAsia="Calibri" w:hAnsi="Times New Roman" w:cs="Times New Roman"/>
          <w:b/>
        </w:rPr>
        <w:t>Released</w:t>
      </w:r>
      <w:r w:rsidR="00705E46">
        <w:rPr>
          <w:rFonts w:ascii="Times New Roman" w:eastAsia="Calibri" w:hAnsi="Times New Roman" w:cs="Times New Roman"/>
          <w:b/>
        </w:rPr>
        <w:t>:</w:t>
      </w:r>
      <w:r w:rsidRPr="00705E46">
        <w:rPr>
          <w:rFonts w:ascii="Times New Roman" w:eastAsia="Calibri" w:hAnsi="Times New Roman" w:cs="Times New Roman"/>
          <w:b/>
        </w:rPr>
        <w:t xml:space="preserve"> </w:t>
      </w:r>
      <w:r w:rsidR="00705E46">
        <w:rPr>
          <w:rFonts w:ascii="Times New Roman" w:eastAsia="Calibri" w:hAnsi="Times New Roman" w:cs="Times New Roman"/>
          <w:b/>
        </w:rPr>
        <w:t xml:space="preserve"> </w:t>
      </w:r>
      <w:r w:rsidR="004E1578">
        <w:rPr>
          <w:rFonts w:ascii="Times New Roman" w:eastAsia="Calibri" w:hAnsi="Times New Roman" w:cs="Times New Roman"/>
          <w:b/>
        </w:rPr>
        <w:t>July 11</w:t>
      </w:r>
      <w:r w:rsidR="000146AD">
        <w:rPr>
          <w:rFonts w:ascii="Times New Roman" w:eastAsia="Calibri" w:hAnsi="Times New Roman" w:cs="Times New Roman"/>
          <w:b/>
        </w:rPr>
        <w:t>, 2019</w:t>
      </w:r>
    </w:p>
    <w:p w:rsidR="00160604" w:rsidRPr="00160604" w:rsidP="00160604" w14:paraId="60360F19" w14:textId="77777777">
      <w:pPr>
        <w:spacing w:before="120" w:after="0"/>
        <w:contextualSpacing/>
        <w:mirrorIndents/>
        <w:rPr>
          <w:rFonts w:ascii="Times New Roman" w:eastAsia="Calibri" w:hAnsi="Times New Roman" w:cs="Times New Roman"/>
          <w:b/>
        </w:rPr>
      </w:pPr>
    </w:p>
    <w:p w:rsidR="00160604" w:rsidRPr="00160604" w:rsidP="00A84E41" w14:paraId="14EE2387" w14:textId="436BC8C4">
      <w:pPr>
        <w:spacing w:before="120" w:after="0"/>
        <w:ind w:left="540" w:right="180"/>
        <w:contextualSpacing/>
        <w:jc w:val="both"/>
        <w:mirrorIndents/>
        <w:rPr>
          <w:rFonts w:ascii="Times New Roman" w:eastAsia="Calibri" w:hAnsi="Times New Roman" w:cs="Times New Roman"/>
          <w:b/>
        </w:rPr>
      </w:pPr>
      <w:r w:rsidRPr="00160604">
        <w:rPr>
          <w:rFonts w:ascii="Times New Roman" w:eastAsia="Calibri" w:hAnsi="Times New Roman" w:cs="Times New Roman"/>
          <w:b/>
        </w:rPr>
        <w:t xml:space="preserve">This Guide is prepared in accordance with the requirements of Section 212 of the Small Business Regulatory Enforcement Fairness Act of 1996.  It is intended to help small entities—small businesses, small organizations (non-profits), and small governmental jurisdictions—comply with the revised rules adopted in the above-referenced Federal Communications Commission (FCC or Commission) rulemaking docket.  This Guide is not intended to replace or supersede these rules, but to facilitate compliance with the rules.  Although we have attempted to cover all parts of the rules that might be especially important to small entities, the coverage may not be exhaustive.  This Guide cannot anticipate all situations in which the rules apply.  Furthermore, the Commission retains the discretion to adopt case-by-case approaches, where appropriate, that may differ from this Guide.  Any decision regarding a particular small entity will be based on the statute and any relevant rules. </w:t>
      </w:r>
    </w:p>
    <w:p w:rsidR="00160604" w:rsidRPr="00160604" w:rsidP="00A84E41" w14:paraId="0ED5A5AC" w14:textId="77777777">
      <w:pPr>
        <w:spacing w:before="120" w:after="0" w:line="240" w:lineRule="auto"/>
        <w:ind w:left="540" w:right="180"/>
        <w:contextualSpacing/>
        <w:jc w:val="both"/>
        <w:mirrorIndents/>
        <w:rPr>
          <w:rFonts w:ascii="Times New Roman" w:eastAsia="Calibri" w:hAnsi="Times New Roman" w:cs="Times New Roman"/>
          <w:b/>
        </w:rPr>
      </w:pPr>
    </w:p>
    <w:p w:rsidR="00160604" w:rsidRPr="00160604" w:rsidP="00A84E41" w14:paraId="354170BB" w14:textId="70E573FB">
      <w:pPr>
        <w:spacing w:before="120" w:after="0"/>
        <w:ind w:left="540" w:right="180"/>
        <w:contextualSpacing/>
        <w:jc w:val="both"/>
        <w:mirrorIndents/>
        <w:rPr>
          <w:rFonts w:ascii="Times New Roman" w:eastAsia="Calibri" w:hAnsi="Times New Roman" w:cs="Times New Roman"/>
          <w:b/>
        </w:rPr>
      </w:pPr>
      <w:r w:rsidRPr="00160604">
        <w:rPr>
          <w:rFonts w:ascii="Times New Roman" w:eastAsia="Calibri" w:hAnsi="Times New Roman" w:cs="Times New Roman"/>
          <w:b/>
        </w:rPr>
        <w:t>In any civil or administrative action against a small entity for a violation of rules, the content of the Small Entity Compliance Guide may be considered as evidence of the reasonableness or appropriateness of proposed fines, penalties</w:t>
      </w:r>
      <w:r w:rsidR="006A72AA">
        <w:rPr>
          <w:rFonts w:ascii="Times New Roman" w:eastAsia="Calibri" w:hAnsi="Times New Roman" w:cs="Times New Roman"/>
          <w:b/>
        </w:rPr>
        <w:t>,</w:t>
      </w:r>
      <w:r w:rsidRPr="00160604">
        <w:rPr>
          <w:rFonts w:ascii="Times New Roman" w:eastAsia="Calibri" w:hAnsi="Times New Roman" w:cs="Times New Roman"/>
          <w:b/>
        </w:rPr>
        <w:t xml:space="preserve"> or damages.  Interested parties are free to file comments regarding this Guide and the appropriateness of its application to a particular situation. </w:t>
      </w:r>
      <w:r w:rsidR="006A72AA">
        <w:rPr>
          <w:rFonts w:ascii="Times New Roman" w:eastAsia="Calibri" w:hAnsi="Times New Roman" w:cs="Times New Roman"/>
          <w:b/>
        </w:rPr>
        <w:t xml:space="preserve"> </w:t>
      </w:r>
      <w:r w:rsidRPr="00160604">
        <w:rPr>
          <w:rFonts w:ascii="Times New Roman" w:eastAsia="Calibri" w:hAnsi="Times New Roman" w:cs="Times New Roman"/>
          <w:b/>
        </w:rPr>
        <w:t>The FCC will then consider whether the recommendations or interpretations in the Guide are appropriate in that situation.  The FCC may decide to revise this Guide without public notice to reflect changes in the FCC’s approach to implementing a rule, or it may clarify or update the text of the Guide.  Direct your comments and recommendations, or calls for further assistance, to the FCC’s Consumer Center:</w:t>
      </w:r>
    </w:p>
    <w:p w:rsidR="00160604" w:rsidRPr="00160604" w:rsidP="004E7CAD" w14:paraId="2A8E8715" w14:textId="77777777">
      <w:pPr>
        <w:spacing w:before="120" w:after="0"/>
        <w:ind w:left="540" w:right="180"/>
        <w:contextualSpacing/>
        <w:mirrorIndents/>
        <w:rPr>
          <w:rFonts w:ascii="Times New Roman" w:eastAsia="Calibri" w:hAnsi="Times New Roman" w:cs="Times New Roman"/>
          <w:b/>
        </w:rPr>
      </w:pPr>
    </w:p>
    <w:p w:rsidR="00160604" w:rsidRPr="00160604" w:rsidP="004E7CAD" w14:paraId="38E0FF9B" w14:textId="77777777">
      <w:pPr>
        <w:spacing w:before="120" w:after="0"/>
        <w:ind w:left="540" w:right="180"/>
        <w:contextualSpacing/>
        <w:jc w:val="center"/>
        <w:mirrorIndents/>
        <w:rPr>
          <w:rFonts w:ascii="Times New Roman" w:eastAsia="Calibri" w:hAnsi="Times New Roman" w:cs="Times New Roman"/>
          <w:b/>
        </w:rPr>
      </w:pPr>
      <w:r w:rsidRPr="00160604">
        <w:rPr>
          <w:rFonts w:ascii="Times New Roman" w:eastAsia="Calibri" w:hAnsi="Times New Roman" w:cs="Times New Roman"/>
          <w:b/>
        </w:rPr>
        <w:t>1-888-CALL-FCC (1-888-225-5322)</w:t>
      </w:r>
    </w:p>
    <w:p w:rsidR="00160604" w:rsidRPr="00160604" w:rsidP="004E7CAD" w14:paraId="2ABAA205" w14:textId="77777777">
      <w:pPr>
        <w:spacing w:before="120" w:after="0"/>
        <w:ind w:left="540" w:right="180"/>
        <w:contextualSpacing/>
        <w:jc w:val="center"/>
        <w:mirrorIndents/>
        <w:rPr>
          <w:rFonts w:ascii="Times New Roman" w:eastAsia="Calibri" w:hAnsi="Times New Roman" w:cs="Times New Roman"/>
          <w:b/>
        </w:rPr>
      </w:pPr>
      <w:r w:rsidRPr="00160604">
        <w:rPr>
          <w:rFonts w:ascii="Times New Roman" w:eastAsia="Calibri" w:hAnsi="Times New Roman" w:cs="Times New Roman"/>
          <w:b/>
        </w:rPr>
        <w:t>TTY: 1-888-TELL-FCC (1-888-835-5322)</w:t>
      </w:r>
    </w:p>
    <w:p w:rsidR="00160604" w:rsidRPr="00160604" w:rsidP="004E7CAD" w14:paraId="54E662F2" w14:textId="77777777">
      <w:pPr>
        <w:spacing w:before="120" w:after="0"/>
        <w:ind w:left="540" w:right="180"/>
        <w:contextualSpacing/>
        <w:jc w:val="center"/>
        <w:mirrorIndents/>
        <w:rPr>
          <w:rFonts w:ascii="Times New Roman" w:eastAsia="Calibri" w:hAnsi="Times New Roman" w:cs="Times New Roman"/>
          <w:b/>
        </w:rPr>
      </w:pPr>
      <w:r w:rsidRPr="00160604">
        <w:rPr>
          <w:rFonts w:ascii="Times New Roman" w:eastAsia="Calibri" w:hAnsi="Times New Roman" w:cs="Times New Roman"/>
          <w:b/>
        </w:rPr>
        <w:t>Videophone: 1-844-4-FCC-ASL (1-844-432-2275)</w:t>
      </w:r>
    </w:p>
    <w:p w:rsidR="00160604" w:rsidRPr="00160604" w:rsidP="004E7CAD" w14:paraId="256EC28B" w14:textId="77777777">
      <w:pPr>
        <w:spacing w:before="120" w:after="0"/>
        <w:ind w:left="540" w:right="180"/>
        <w:contextualSpacing/>
        <w:jc w:val="center"/>
        <w:mirrorIndents/>
        <w:rPr>
          <w:rFonts w:ascii="Times New Roman" w:eastAsia="Calibri" w:hAnsi="Times New Roman" w:cs="Times New Roman"/>
          <w:b/>
        </w:rPr>
        <w:sectPr w:rsidSect="00737389">
          <w:headerReference w:type="default" r:id="rId5"/>
          <w:pgSz w:w="12240" w:h="15840"/>
          <w:pgMar w:top="1440" w:right="1440" w:bottom="1008" w:left="1440" w:header="720" w:footer="187" w:gutter="0"/>
          <w:cols w:space="720"/>
          <w:docGrid w:linePitch="360"/>
        </w:sectPr>
      </w:pPr>
      <w:r w:rsidRPr="00160604">
        <w:rPr>
          <w:rFonts w:ascii="Times New Roman" w:eastAsia="Calibri" w:hAnsi="Times New Roman" w:cs="Times New Roman"/>
          <w:b/>
        </w:rPr>
        <w:t>Fax: 1-866-418-0232</w:t>
      </w:r>
    </w:p>
    <w:p w:rsidR="00257FB3" w:rsidP="00257FB3" w14:paraId="414C5FC1" w14:textId="77777777">
      <w:pPr>
        <w:spacing w:before="120" w:after="0"/>
        <w:contextualSpacing/>
        <w:jc w:val="center"/>
        <w:mirrorIndents/>
        <w:rPr>
          <w:rFonts w:ascii="Times New Roman" w:eastAsia="Calibri" w:hAnsi="Times New Roman" w:cs="Times New Roman"/>
          <w:b/>
        </w:rPr>
      </w:pPr>
      <w:r>
        <w:rPr>
          <w:rFonts w:ascii="Times New Roman" w:eastAsia="Calibri" w:hAnsi="Times New Roman" w:cs="Times New Roman"/>
          <w:b/>
        </w:rPr>
        <w:t>TABLE OF CONTENTS</w:t>
      </w:r>
    </w:p>
    <w:p w:rsidR="00257FB3" w:rsidP="00160604" w14:paraId="3536E47E" w14:textId="77777777">
      <w:pPr>
        <w:spacing w:before="120" w:after="0"/>
        <w:contextualSpacing/>
        <w:mirrorIndents/>
        <w:rPr>
          <w:rFonts w:ascii="Times New Roman" w:eastAsia="Calibri" w:hAnsi="Times New Roman" w:cs="Times New Roman"/>
          <w:b/>
        </w:rPr>
      </w:pPr>
    </w:p>
    <w:p w:rsidR="00257FB3" w:rsidP="00160604" w14:paraId="16BD617E" w14:textId="77777777">
      <w:pPr>
        <w:spacing w:before="120" w:after="0"/>
        <w:contextualSpacing/>
        <w:mirrorIndents/>
        <w:rPr>
          <w:rFonts w:ascii="Times New Roman" w:eastAsia="Calibri" w:hAnsi="Times New Roman" w:cs="Times New Roman"/>
          <w:b/>
        </w:rPr>
      </w:pPr>
    </w:p>
    <w:p w:rsidR="00257FB3" w:rsidRPr="00A832CE" w:rsidP="00257FB3" w14:paraId="7A51E581" w14:textId="3E1614E3">
      <w:pPr>
        <w:pStyle w:val="TOC1"/>
        <w:rPr>
          <w:rFonts w:asciiTheme="minorHAnsi" w:eastAsiaTheme="minorEastAsia" w:hAnsiTheme="minorHAnsi" w:cstheme="minorBidi"/>
        </w:rPr>
      </w:pPr>
      <w:r w:rsidRPr="000D2438">
        <w:t>I.          OBJECTIVES OF THE PROCEEDING</w:t>
      </w:r>
      <w:r w:rsidRPr="006E6F8D">
        <w:rPr>
          <w:webHidden/>
        </w:rPr>
        <w:tab/>
      </w:r>
      <w:r w:rsidRPr="006E6F8D">
        <w:rPr>
          <w:webHidden/>
        </w:rPr>
        <w:fldChar w:fldCharType="begin"/>
      </w:r>
      <w:r w:rsidRPr="006E6F8D">
        <w:rPr>
          <w:webHidden/>
        </w:rPr>
        <w:instrText xml:space="preserve"> PAGEREF _Toc4055160 \h </w:instrText>
      </w:r>
      <w:r w:rsidRPr="006E6F8D">
        <w:rPr>
          <w:webHidden/>
        </w:rPr>
        <w:fldChar w:fldCharType="separate"/>
      </w:r>
      <w:r>
        <w:rPr>
          <w:webHidden/>
        </w:rPr>
        <w:t>1</w:t>
      </w:r>
      <w:r w:rsidRPr="006E6F8D">
        <w:rPr>
          <w:webHidden/>
        </w:rPr>
        <w:fldChar w:fldCharType="end"/>
      </w:r>
    </w:p>
    <w:p w:rsidR="00257FB3" w:rsidRPr="00A832CE" w:rsidP="00257FB3" w14:paraId="32DE71B0" w14:textId="65781B2C">
      <w:pPr>
        <w:pStyle w:val="TOC1"/>
        <w:rPr>
          <w:rFonts w:asciiTheme="minorHAnsi" w:eastAsiaTheme="minorEastAsia" w:hAnsiTheme="minorHAnsi" w:cstheme="minorBidi"/>
        </w:rPr>
      </w:pPr>
      <w:r w:rsidRPr="000D2438">
        <w:t xml:space="preserve">II. </w:t>
      </w:r>
      <w:r w:rsidRPr="00A832CE">
        <w:rPr>
          <w:rFonts w:asciiTheme="minorHAnsi" w:eastAsiaTheme="minorEastAsia" w:hAnsiTheme="minorHAnsi" w:cstheme="minorBidi"/>
        </w:rPr>
        <w:tab/>
      </w:r>
      <w:r w:rsidRPr="000D2438">
        <w:t>COMPLIANCE REQUIREMENTS</w:t>
      </w:r>
      <w:r w:rsidRPr="006E6F8D">
        <w:rPr>
          <w:webHidden/>
        </w:rPr>
        <w:tab/>
      </w:r>
      <w:r w:rsidRPr="006E6F8D">
        <w:rPr>
          <w:webHidden/>
        </w:rPr>
        <w:fldChar w:fldCharType="begin"/>
      </w:r>
      <w:r w:rsidRPr="006E6F8D">
        <w:rPr>
          <w:webHidden/>
        </w:rPr>
        <w:instrText xml:space="preserve"> PAGEREF _Toc4055161 \h </w:instrText>
      </w:r>
      <w:r w:rsidRPr="006E6F8D">
        <w:rPr>
          <w:webHidden/>
        </w:rPr>
        <w:fldChar w:fldCharType="separate"/>
      </w:r>
      <w:r>
        <w:rPr>
          <w:webHidden/>
        </w:rPr>
        <w:t>1</w:t>
      </w:r>
      <w:r w:rsidRPr="006E6F8D">
        <w:rPr>
          <w:webHidden/>
        </w:rPr>
        <w:fldChar w:fldCharType="end"/>
      </w:r>
    </w:p>
    <w:p w:rsidR="00257FB3" w:rsidRPr="00A832CE" w:rsidP="00257FB3" w14:paraId="1ABC2F1A" w14:textId="554C3620">
      <w:pPr>
        <w:pStyle w:val="TOC2"/>
        <w:rPr>
          <w:rFonts w:eastAsiaTheme="minorEastAsia"/>
          <w:b/>
          <w:noProof/>
        </w:rPr>
      </w:pPr>
      <w:r w:rsidRPr="000D2438">
        <w:rPr>
          <w:rFonts w:ascii="Times New Roman" w:hAnsi="Times New Roman" w:cs="Times New Roman"/>
          <w:b/>
          <w:noProof/>
        </w:rPr>
        <w:t>A.</w:t>
      </w:r>
      <w:r w:rsidRPr="00A832CE">
        <w:rPr>
          <w:rFonts w:eastAsiaTheme="minorEastAsia"/>
          <w:b/>
          <w:noProof/>
        </w:rPr>
        <w:tab/>
      </w:r>
      <w:r w:rsidRPr="000D2438">
        <w:rPr>
          <w:rFonts w:ascii="Times New Roman" w:hAnsi="Times New Roman" w:cs="Times New Roman"/>
          <w:b/>
          <w:noProof/>
        </w:rPr>
        <w:t>Auction Specifics</w:t>
      </w:r>
      <w:r w:rsidRPr="00A832CE">
        <w:rPr>
          <w:b/>
          <w:noProof/>
          <w:webHidden/>
        </w:rPr>
        <w:tab/>
      </w:r>
      <w:r w:rsidRPr="00A832CE">
        <w:rPr>
          <w:b/>
          <w:noProof/>
          <w:webHidden/>
        </w:rPr>
        <w:fldChar w:fldCharType="begin"/>
      </w:r>
      <w:r w:rsidRPr="00A832CE">
        <w:rPr>
          <w:b/>
          <w:noProof/>
          <w:webHidden/>
        </w:rPr>
        <w:instrText xml:space="preserve"> PAGEREF _Toc4055162 \h </w:instrText>
      </w:r>
      <w:r w:rsidRPr="00A832CE">
        <w:rPr>
          <w:b/>
          <w:noProof/>
          <w:webHidden/>
        </w:rPr>
        <w:fldChar w:fldCharType="separate"/>
      </w:r>
      <w:r>
        <w:rPr>
          <w:b/>
          <w:noProof/>
          <w:webHidden/>
        </w:rPr>
        <w:t>1</w:t>
      </w:r>
      <w:r w:rsidRPr="00A832CE">
        <w:rPr>
          <w:b/>
          <w:noProof/>
          <w:webHidden/>
        </w:rPr>
        <w:fldChar w:fldCharType="end"/>
      </w:r>
    </w:p>
    <w:p w:rsidR="00257FB3" w:rsidRPr="00A832CE" w:rsidP="00257FB3" w14:paraId="4067BAD5" w14:textId="197452F8">
      <w:pPr>
        <w:pStyle w:val="TOC2"/>
        <w:rPr>
          <w:rFonts w:eastAsiaTheme="minorEastAsia"/>
          <w:b/>
          <w:noProof/>
        </w:rPr>
      </w:pPr>
      <w:r w:rsidRPr="000D2438">
        <w:rPr>
          <w:rFonts w:ascii="Times New Roman" w:hAnsi="Times New Roman" w:cs="Times New Roman"/>
          <w:b/>
          <w:noProof/>
        </w:rPr>
        <w:t>B.</w:t>
      </w:r>
      <w:r w:rsidRPr="00A832CE">
        <w:rPr>
          <w:rFonts w:eastAsiaTheme="minorEastAsia"/>
          <w:b/>
          <w:noProof/>
        </w:rPr>
        <w:tab/>
      </w:r>
      <w:r w:rsidRPr="000D2438">
        <w:rPr>
          <w:rFonts w:ascii="Times New Roman" w:hAnsi="Times New Roman" w:cs="Times New Roman"/>
          <w:b/>
          <w:noProof/>
        </w:rPr>
        <w:t>Application Procedures</w:t>
      </w:r>
      <w:r w:rsidRPr="00A832CE">
        <w:rPr>
          <w:b/>
          <w:noProof/>
          <w:webHidden/>
        </w:rPr>
        <w:tab/>
      </w:r>
      <w:r w:rsidRPr="00A832CE">
        <w:rPr>
          <w:b/>
          <w:noProof/>
          <w:webHidden/>
        </w:rPr>
        <w:fldChar w:fldCharType="begin"/>
      </w:r>
      <w:r w:rsidRPr="00A832CE">
        <w:rPr>
          <w:b/>
          <w:noProof/>
          <w:webHidden/>
        </w:rPr>
        <w:instrText xml:space="preserve"> PAGEREF _Toc4055163 \h </w:instrText>
      </w:r>
      <w:r w:rsidRPr="00A832CE">
        <w:rPr>
          <w:b/>
          <w:noProof/>
          <w:webHidden/>
        </w:rPr>
        <w:fldChar w:fldCharType="separate"/>
      </w:r>
      <w:r>
        <w:rPr>
          <w:b/>
          <w:noProof/>
          <w:webHidden/>
        </w:rPr>
        <w:t>2</w:t>
      </w:r>
      <w:r w:rsidRPr="00A832CE">
        <w:rPr>
          <w:b/>
          <w:noProof/>
          <w:webHidden/>
        </w:rPr>
        <w:fldChar w:fldCharType="end"/>
      </w:r>
    </w:p>
    <w:p w:rsidR="00257FB3" w:rsidRPr="00A832CE" w:rsidP="00257FB3" w14:paraId="667754AB" w14:textId="6FC9883D">
      <w:pPr>
        <w:pStyle w:val="TOC2"/>
        <w:rPr>
          <w:rFonts w:eastAsiaTheme="minorEastAsia"/>
          <w:b/>
          <w:noProof/>
        </w:rPr>
      </w:pPr>
      <w:r w:rsidRPr="000D2438">
        <w:rPr>
          <w:rFonts w:ascii="Times New Roman" w:hAnsi="Times New Roman" w:cs="Times New Roman"/>
          <w:b/>
          <w:noProof/>
        </w:rPr>
        <w:t>C.</w:t>
      </w:r>
      <w:r w:rsidRPr="00A832CE">
        <w:rPr>
          <w:rFonts w:eastAsiaTheme="minorEastAsia"/>
          <w:b/>
          <w:noProof/>
        </w:rPr>
        <w:tab/>
      </w:r>
      <w:r w:rsidRPr="000D2438">
        <w:rPr>
          <w:rFonts w:ascii="Times New Roman" w:hAnsi="Times New Roman" w:cs="Times New Roman"/>
          <w:b/>
          <w:noProof/>
        </w:rPr>
        <w:t>Bidding Procedures</w:t>
      </w:r>
      <w:r w:rsidRPr="00A832CE">
        <w:rPr>
          <w:b/>
          <w:noProof/>
          <w:webHidden/>
        </w:rPr>
        <w:tab/>
      </w:r>
      <w:r w:rsidRPr="00A832CE">
        <w:rPr>
          <w:b/>
          <w:noProof/>
          <w:webHidden/>
        </w:rPr>
        <w:fldChar w:fldCharType="begin"/>
      </w:r>
      <w:r w:rsidRPr="00A832CE">
        <w:rPr>
          <w:b/>
          <w:noProof/>
          <w:webHidden/>
        </w:rPr>
        <w:instrText xml:space="preserve"> PAGEREF _Toc4055164 \h </w:instrText>
      </w:r>
      <w:r w:rsidRPr="00A832CE">
        <w:rPr>
          <w:b/>
          <w:noProof/>
          <w:webHidden/>
        </w:rPr>
        <w:fldChar w:fldCharType="separate"/>
      </w:r>
      <w:r>
        <w:rPr>
          <w:b/>
          <w:noProof/>
          <w:webHidden/>
        </w:rPr>
        <w:t>3</w:t>
      </w:r>
      <w:r w:rsidRPr="00A832CE">
        <w:rPr>
          <w:b/>
          <w:noProof/>
          <w:webHidden/>
        </w:rPr>
        <w:fldChar w:fldCharType="end"/>
      </w:r>
    </w:p>
    <w:p w:rsidR="00257FB3" w:rsidRPr="00A832CE" w:rsidP="00257FB3" w14:paraId="0AF8156B" w14:textId="43079330">
      <w:pPr>
        <w:pStyle w:val="TOC2"/>
        <w:rPr>
          <w:rFonts w:eastAsiaTheme="minorEastAsia"/>
          <w:b/>
          <w:noProof/>
        </w:rPr>
      </w:pPr>
      <w:r w:rsidRPr="000D2438">
        <w:rPr>
          <w:rFonts w:ascii="Times New Roman" w:hAnsi="Times New Roman" w:cs="Times New Roman"/>
          <w:b/>
          <w:noProof/>
        </w:rPr>
        <w:t>D.</w:t>
      </w:r>
      <w:r w:rsidRPr="00A832CE">
        <w:rPr>
          <w:rFonts w:eastAsiaTheme="minorEastAsia"/>
          <w:b/>
          <w:noProof/>
        </w:rPr>
        <w:tab/>
      </w:r>
      <w:r w:rsidRPr="000D2438">
        <w:rPr>
          <w:rFonts w:ascii="Times New Roman" w:hAnsi="Times New Roman" w:cs="Times New Roman"/>
          <w:b/>
          <w:noProof/>
        </w:rPr>
        <w:t>Post-Auction Procedures</w:t>
      </w:r>
      <w:r w:rsidRPr="00A832CE">
        <w:rPr>
          <w:b/>
          <w:noProof/>
          <w:webHidden/>
        </w:rPr>
        <w:tab/>
      </w:r>
      <w:r w:rsidRPr="00A832CE">
        <w:rPr>
          <w:b/>
          <w:noProof/>
          <w:webHidden/>
        </w:rPr>
        <w:fldChar w:fldCharType="begin"/>
      </w:r>
      <w:r w:rsidRPr="00A832CE">
        <w:rPr>
          <w:b/>
          <w:noProof/>
          <w:webHidden/>
        </w:rPr>
        <w:instrText xml:space="preserve"> PAGEREF _Toc4055165 \h </w:instrText>
      </w:r>
      <w:r w:rsidRPr="00A832CE">
        <w:rPr>
          <w:b/>
          <w:noProof/>
          <w:webHidden/>
        </w:rPr>
        <w:fldChar w:fldCharType="separate"/>
      </w:r>
      <w:r>
        <w:rPr>
          <w:b/>
          <w:noProof/>
          <w:webHidden/>
        </w:rPr>
        <w:t>4</w:t>
      </w:r>
      <w:r w:rsidRPr="00A832CE">
        <w:rPr>
          <w:b/>
          <w:noProof/>
          <w:webHidden/>
        </w:rPr>
        <w:fldChar w:fldCharType="end"/>
      </w:r>
    </w:p>
    <w:p w:rsidR="00257FB3" w:rsidRPr="00A832CE" w:rsidP="00257FB3" w14:paraId="6A5A4F8F" w14:textId="4E0B1B87">
      <w:pPr>
        <w:pStyle w:val="TOC1"/>
        <w:rPr>
          <w:rFonts w:asciiTheme="minorHAnsi" w:eastAsiaTheme="minorEastAsia" w:hAnsiTheme="minorHAnsi" w:cstheme="minorBidi"/>
        </w:rPr>
      </w:pPr>
      <w:r w:rsidRPr="000D2438">
        <w:t>III.</w:t>
      </w:r>
      <w:r w:rsidRPr="00A832CE">
        <w:rPr>
          <w:rFonts w:asciiTheme="minorHAnsi" w:eastAsiaTheme="minorEastAsia" w:hAnsiTheme="minorHAnsi" w:cstheme="minorBidi"/>
        </w:rPr>
        <w:tab/>
      </w:r>
      <w:r w:rsidRPr="000D2438">
        <w:t>RECORDKEEPING AND REPORTING REQUIREMENTS</w:t>
      </w:r>
      <w:r w:rsidRPr="006E6F8D">
        <w:rPr>
          <w:webHidden/>
        </w:rPr>
        <w:tab/>
      </w:r>
      <w:r w:rsidRPr="006E6F8D">
        <w:rPr>
          <w:webHidden/>
        </w:rPr>
        <w:fldChar w:fldCharType="begin"/>
      </w:r>
      <w:r w:rsidRPr="006E6F8D">
        <w:rPr>
          <w:webHidden/>
        </w:rPr>
        <w:instrText xml:space="preserve"> PAGEREF _Toc4055166 \h </w:instrText>
      </w:r>
      <w:r w:rsidRPr="006E6F8D">
        <w:rPr>
          <w:webHidden/>
        </w:rPr>
        <w:fldChar w:fldCharType="separate"/>
      </w:r>
      <w:r>
        <w:rPr>
          <w:webHidden/>
        </w:rPr>
        <w:t>5</w:t>
      </w:r>
      <w:r w:rsidRPr="006E6F8D">
        <w:rPr>
          <w:webHidden/>
        </w:rPr>
        <w:fldChar w:fldCharType="end"/>
      </w:r>
    </w:p>
    <w:p w:rsidR="00257FB3" w:rsidRPr="00A832CE" w:rsidP="00257FB3" w14:paraId="25AB08CD" w14:textId="7F89F2FC">
      <w:pPr>
        <w:pStyle w:val="TOC1"/>
        <w:rPr>
          <w:rFonts w:asciiTheme="minorHAnsi" w:eastAsiaTheme="minorEastAsia" w:hAnsiTheme="minorHAnsi" w:cstheme="minorBidi"/>
        </w:rPr>
      </w:pPr>
      <w:r w:rsidRPr="000D2438">
        <w:t xml:space="preserve">IV. </w:t>
      </w:r>
      <w:r w:rsidRPr="00A832CE">
        <w:rPr>
          <w:rFonts w:asciiTheme="minorHAnsi" w:eastAsiaTheme="minorEastAsia" w:hAnsiTheme="minorHAnsi" w:cstheme="minorBidi"/>
        </w:rPr>
        <w:tab/>
      </w:r>
      <w:r w:rsidRPr="000D2438">
        <w:t>IMPLEMENTATION DATE</w:t>
      </w:r>
      <w:r w:rsidRPr="006E6F8D">
        <w:rPr>
          <w:webHidden/>
        </w:rPr>
        <w:tab/>
      </w:r>
      <w:r w:rsidRPr="006E6F8D">
        <w:rPr>
          <w:webHidden/>
        </w:rPr>
        <w:fldChar w:fldCharType="begin"/>
      </w:r>
      <w:r w:rsidRPr="006E6F8D">
        <w:rPr>
          <w:webHidden/>
        </w:rPr>
        <w:instrText xml:space="preserve"> PAGEREF _Toc4055167 \h </w:instrText>
      </w:r>
      <w:r w:rsidRPr="006E6F8D">
        <w:rPr>
          <w:webHidden/>
        </w:rPr>
        <w:fldChar w:fldCharType="separate"/>
      </w:r>
      <w:r>
        <w:rPr>
          <w:webHidden/>
        </w:rPr>
        <w:t>6</w:t>
      </w:r>
      <w:r w:rsidRPr="006E6F8D">
        <w:rPr>
          <w:webHidden/>
        </w:rPr>
        <w:fldChar w:fldCharType="end"/>
      </w:r>
    </w:p>
    <w:p w:rsidR="00257FB3" w:rsidP="00257FB3" w14:paraId="2D7D70DF" w14:textId="0BF32E31">
      <w:pPr>
        <w:pStyle w:val="TOC1"/>
        <w:rPr>
          <w:rFonts w:asciiTheme="minorHAnsi" w:eastAsiaTheme="minorEastAsia" w:hAnsiTheme="minorHAnsi" w:cstheme="minorBidi"/>
          <w:b w:val="0"/>
        </w:rPr>
      </w:pPr>
      <w:r w:rsidRPr="000D2438">
        <w:t>V.</w:t>
      </w:r>
      <w:r w:rsidRPr="00A832CE">
        <w:rPr>
          <w:rFonts w:asciiTheme="minorHAnsi" w:eastAsiaTheme="minorEastAsia" w:hAnsiTheme="minorHAnsi" w:cstheme="minorBidi"/>
        </w:rPr>
        <w:tab/>
      </w:r>
      <w:r w:rsidRPr="000D2438">
        <w:t>INTERNET LINKS</w:t>
      </w:r>
      <w:r w:rsidRPr="006E6F8D">
        <w:rPr>
          <w:webHidden/>
        </w:rPr>
        <w:tab/>
      </w:r>
      <w:r w:rsidRPr="006E6F8D">
        <w:rPr>
          <w:webHidden/>
        </w:rPr>
        <w:fldChar w:fldCharType="begin"/>
      </w:r>
      <w:r w:rsidRPr="006E6F8D">
        <w:rPr>
          <w:webHidden/>
        </w:rPr>
        <w:instrText xml:space="preserve"> PAGEREF _Toc4055168 \h </w:instrText>
      </w:r>
      <w:r w:rsidRPr="006E6F8D">
        <w:rPr>
          <w:webHidden/>
        </w:rPr>
        <w:fldChar w:fldCharType="separate"/>
      </w:r>
      <w:r>
        <w:rPr>
          <w:webHidden/>
        </w:rPr>
        <w:t>6</w:t>
      </w:r>
      <w:r w:rsidRPr="006E6F8D">
        <w:rPr>
          <w:webHidden/>
        </w:rPr>
        <w:fldChar w:fldCharType="end"/>
      </w:r>
    </w:p>
    <w:p w:rsidR="00160604" w:rsidRPr="00160604" w:rsidP="00160604" w14:paraId="5C637FA2" w14:textId="15E89589">
      <w:pPr>
        <w:spacing w:before="120" w:after="0"/>
        <w:contextualSpacing/>
        <w:mirrorIndents/>
        <w:rPr>
          <w:rFonts w:ascii="Times New Roman" w:eastAsia="Calibri" w:hAnsi="Times New Roman" w:cs="Times New Roman"/>
          <w:b/>
        </w:rPr>
      </w:pPr>
      <w:r w:rsidRPr="00160604">
        <w:rPr>
          <w:rFonts w:ascii="Times New Roman" w:eastAsia="Calibri" w:hAnsi="Times New Roman" w:cs="Times New Roman"/>
          <w:b/>
        </w:rPr>
        <w:t xml:space="preserve">                               </w:t>
      </w:r>
    </w:p>
    <w:p w:rsidR="00160604" w:rsidP="00160604" w14:paraId="70245585" w14:textId="77777777">
      <w:pPr>
        <w:spacing w:before="120" w:after="0"/>
        <w:contextualSpacing/>
        <w:mirrorIndents/>
        <w:rPr>
          <w:rFonts w:ascii="Times New Roman" w:eastAsia="Calibri" w:hAnsi="Times New Roman" w:cs="Times New Roman"/>
          <w:b/>
        </w:rPr>
      </w:pPr>
    </w:p>
    <w:p w:rsidR="00E12D34" w:rsidRPr="00160604" w:rsidP="00160604" w14:paraId="1DDDF6F9" w14:textId="77777777">
      <w:pPr>
        <w:spacing w:before="120" w:after="0"/>
        <w:contextualSpacing/>
        <w:mirrorIndents/>
        <w:rPr>
          <w:rFonts w:ascii="Times New Roman" w:eastAsia="Calibri" w:hAnsi="Times New Roman" w:cs="Times New Roman"/>
          <w:b/>
        </w:rPr>
      </w:pPr>
    </w:p>
    <w:p w:rsidR="00160604" w:rsidRPr="00160604" w:rsidP="00160604" w14:paraId="3CF1D032" w14:textId="77777777">
      <w:pPr>
        <w:spacing w:before="120" w:after="0"/>
        <w:contextualSpacing/>
        <w:mirrorIndents/>
        <w:rPr>
          <w:rFonts w:ascii="Times New Roman" w:eastAsia="Calibri" w:hAnsi="Times New Roman" w:cs="Times New Roman"/>
          <w:b/>
        </w:rPr>
      </w:pPr>
    </w:p>
    <w:p w:rsidR="00160604" w:rsidRPr="00160604" w:rsidP="00160604" w14:paraId="23CCD1D4" w14:textId="77777777">
      <w:pPr>
        <w:spacing w:before="120" w:after="0"/>
        <w:contextualSpacing/>
        <w:mirrorIndents/>
        <w:rPr>
          <w:rFonts w:ascii="Times New Roman" w:eastAsia="Calibri" w:hAnsi="Times New Roman" w:cs="Times New Roman"/>
          <w:b/>
        </w:rPr>
        <w:sectPr w:rsidSect="00737389">
          <w:headerReference w:type="default" r:id="rId6"/>
          <w:pgSz w:w="12240" w:h="15840"/>
          <w:pgMar w:top="1440" w:right="1440" w:bottom="1008" w:left="1440" w:header="720" w:footer="187" w:gutter="0"/>
          <w:pgNumType w:start="1"/>
          <w:cols w:space="720"/>
          <w:docGrid w:linePitch="360"/>
        </w:sectPr>
      </w:pPr>
    </w:p>
    <w:p w:rsidR="00160604" w:rsidRPr="00F130D6" w:rsidP="00F130D6" w14:paraId="55540306" w14:textId="4D1F7A91">
      <w:pPr>
        <w:pStyle w:val="Heading1"/>
        <w:tabs>
          <w:tab w:val="left" w:pos="720"/>
        </w:tabs>
        <w:spacing w:after="240"/>
        <w:rPr>
          <w:rFonts w:cs="Times New Roman"/>
          <w:color w:val="2F5496" w:themeColor="accent1" w:themeShade="BF"/>
          <w:sz w:val="32"/>
        </w:rPr>
      </w:pPr>
      <w:r w:rsidRPr="00E272C1">
        <w:rPr>
          <w:rFonts w:cs="Times New Roman"/>
          <w:szCs w:val="22"/>
        </w:rPr>
        <w:t>I.           OBJECTIVES OF THE PROCEEDING</w:t>
      </w:r>
    </w:p>
    <w:p w:rsidR="008B5F44" w:rsidP="00FB64BC" w14:paraId="7C9CC8B7" w14:textId="16D7ECE0">
      <w:pPr>
        <w:spacing w:line="240" w:lineRule="auto"/>
        <w:ind w:firstLine="720"/>
        <w:rPr>
          <w:rFonts w:ascii="Times New Roman" w:hAnsi="Times New Roman" w:cs="Times New Roman"/>
        </w:rPr>
      </w:pPr>
      <w:r w:rsidRPr="00217145">
        <w:rPr>
          <w:rFonts w:ascii="Times New Roman" w:hAnsi="Times New Roman" w:cs="Times New Roman"/>
        </w:rPr>
        <w:t>This Small Entity Compliance Guide (SECG</w:t>
      </w:r>
      <w:r w:rsidRPr="00FC7A36">
        <w:rPr>
          <w:rFonts w:ascii="Times New Roman" w:hAnsi="Times New Roman" w:cs="Times New Roman"/>
        </w:rPr>
        <w:t>)</w:t>
      </w:r>
      <w:r w:rsidRPr="00FC7A36" w:rsidR="00FC7A36">
        <w:rPr>
          <w:rFonts w:ascii="Times New Roman" w:hAnsi="Times New Roman" w:cs="Times New Roman"/>
        </w:rPr>
        <w:t xml:space="preserve"> i</w:t>
      </w:r>
      <w:r w:rsidRPr="00FC7A36" w:rsidR="00FC7A36">
        <w:rPr>
          <w:iCs/>
        </w:rPr>
        <w:t>s designed to help individuals and small businesses understand</w:t>
      </w:r>
      <w:r w:rsidRPr="00217145">
        <w:rPr>
          <w:rFonts w:ascii="Times New Roman" w:hAnsi="Times New Roman" w:cs="Times New Roman"/>
        </w:rPr>
        <w:t xml:space="preserve"> the </w:t>
      </w:r>
      <w:r>
        <w:rPr>
          <w:rFonts w:ascii="Times New Roman" w:hAnsi="Times New Roman" w:cs="Times New Roman"/>
        </w:rPr>
        <w:t>filing requirements and other procedure</w:t>
      </w:r>
      <w:r w:rsidR="007E6F75">
        <w:rPr>
          <w:rFonts w:ascii="Times New Roman" w:hAnsi="Times New Roman" w:cs="Times New Roman"/>
        </w:rPr>
        <w:t>s</w:t>
      </w:r>
      <w:r>
        <w:rPr>
          <w:rFonts w:ascii="Times New Roman" w:hAnsi="Times New Roman" w:cs="Times New Roman"/>
        </w:rPr>
        <w:t xml:space="preserve"> for the </w:t>
      </w:r>
      <w:r w:rsidRPr="00217145">
        <w:rPr>
          <w:rFonts w:ascii="Times New Roman" w:hAnsi="Times New Roman" w:cs="Times New Roman"/>
        </w:rPr>
        <w:t>Commission</w:t>
      </w:r>
      <w:r>
        <w:rPr>
          <w:rFonts w:ascii="Times New Roman" w:hAnsi="Times New Roman" w:cs="Times New Roman"/>
        </w:rPr>
        <w:t>’</w:t>
      </w:r>
      <w:r w:rsidRPr="00217145">
        <w:rPr>
          <w:rFonts w:ascii="Times New Roman" w:hAnsi="Times New Roman" w:cs="Times New Roman"/>
        </w:rPr>
        <w:t>s</w:t>
      </w:r>
      <w:r>
        <w:rPr>
          <w:rFonts w:ascii="Times New Roman" w:hAnsi="Times New Roman" w:cs="Times New Roman"/>
        </w:rPr>
        <w:t xml:space="preserve"> auction of</w:t>
      </w:r>
      <w:r w:rsidR="004E1578">
        <w:rPr>
          <w:rFonts w:ascii="Times New Roman" w:hAnsi="Times New Roman" w:cs="Times New Roman"/>
        </w:rPr>
        <w:t xml:space="preserve"> </w:t>
      </w:r>
      <w:r w:rsidR="004E1578">
        <w:t>Upper Microwave Flexible Use Service (UMFUS)</w:t>
      </w:r>
      <w:r>
        <w:rPr>
          <w:rFonts w:ascii="Times New Roman" w:hAnsi="Times New Roman" w:cs="Times New Roman"/>
        </w:rPr>
        <w:t xml:space="preserve"> licenses </w:t>
      </w:r>
      <w:bookmarkStart w:id="1" w:name="_Hlk32923951"/>
      <w:r>
        <w:rPr>
          <w:rFonts w:ascii="Times New Roman" w:hAnsi="Times New Roman" w:cs="Times New Roman"/>
        </w:rPr>
        <w:t>in the</w:t>
      </w:r>
      <w:r w:rsidR="004E1578">
        <w:rPr>
          <w:rFonts w:ascii="Times New Roman" w:hAnsi="Times New Roman" w:cs="Times New Roman"/>
        </w:rPr>
        <w:t xml:space="preserve"> Upper</w:t>
      </w:r>
      <w:r>
        <w:rPr>
          <w:rFonts w:ascii="Times New Roman" w:hAnsi="Times New Roman" w:cs="Times New Roman"/>
        </w:rPr>
        <w:t xml:space="preserve"> </w:t>
      </w:r>
      <w:r w:rsidR="004E1578">
        <w:rPr>
          <w:rFonts w:ascii="Times New Roman" w:hAnsi="Times New Roman" w:cs="Times New Roman"/>
        </w:rPr>
        <w:t>37 GHz</w:t>
      </w:r>
      <w:r>
        <w:rPr>
          <w:rFonts w:ascii="Times New Roman" w:hAnsi="Times New Roman" w:cs="Times New Roman"/>
        </w:rPr>
        <w:t xml:space="preserve"> (</w:t>
      </w:r>
      <w:r w:rsidR="004E1578">
        <w:rPr>
          <w:rFonts w:ascii="Times New Roman" w:hAnsi="Times New Roman" w:cs="Times New Roman"/>
        </w:rPr>
        <w:t>37.6–38.6</w:t>
      </w:r>
      <w:r>
        <w:rPr>
          <w:rFonts w:ascii="Times New Roman" w:hAnsi="Times New Roman" w:cs="Times New Roman"/>
        </w:rPr>
        <w:t xml:space="preserve"> GHz)</w:t>
      </w:r>
      <w:r w:rsidR="004E1578">
        <w:rPr>
          <w:rFonts w:ascii="Times New Roman" w:hAnsi="Times New Roman" w:cs="Times New Roman"/>
        </w:rPr>
        <w:t xml:space="preserve">, </w:t>
      </w:r>
      <w:r w:rsidR="004E1578">
        <w:t xml:space="preserve">39 GHz (38.6–40 GHz), and 47 GHz (47.2–48.2 GHz) </w:t>
      </w:r>
      <w:r>
        <w:rPr>
          <w:rFonts w:ascii="Times New Roman" w:hAnsi="Times New Roman" w:cs="Times New Roman"/>
        </w:rPr>
        <w:t>bands</w:t>
      </w:r>
      <w:bookmarkEnd w:id="1"/>
      <w:r>
        <w:rPr>
          <w:rFonts w:ascii="Times New Roman" w:hAnsi="Times New Roman" w:cs="Times New Roman"/>
        </w:rPr>
        <w:t>, which were established in the</w:t>
      </w:r>
      <w:r w:rsidRPr="00217145">
        <w:rPr>
          <w:rFonts w:ascii="Times New Roman" w:hAnsi="Times New Roman" w:cs="Times New Roman"/>
        </w:rPr>
        <w:t xml:space="preserve"> </w:t>
      </w:r>
      <w:r w:rsidRPr="00217145">
        <w:rPr>
          <w:rFonts w:ascii="Times New Roman" w:hAnsi="Times New Roman" w:cs="Times New Roman"/>
        </w:rPr>
        <w:t>Commission</w:t>
      </w:r>
      <w:r w:rsidR="00695ED5">
        <w:rPr>
          <w:rFonts w:ascii="Times New Roman" w:hAnsi="Times New Roman" w:cs="Times New Roman"/>
        </w:rPr>
        <w:t>’</w:t>
      </w:r>
      <w:r w:rsidRPr="00217145">
        <w:rPr>
          <w:rFonts w:ascii="Times New Roman" w:hAnsi="Times New Roman" w:cs="Times New Roman"/>
        </w:rPr>
        <w:t>s</w:t>
      </w:r>
      <w:r w:rsidR="00945A5E">
        <w:rPr>
          <w:rFonts w:ascii="Times New Roman" w:hAnsi="Times New Roman" w:cs="Times New Roman"/>
        </w:rPr>
        <w:t xml:space="preserve"> </w:t>
      </w:r>
      <w:r w:rsidR="00945A5E">
        <w:rPr>
          <w:rFonts w:ascii="Times New Roman" w:hAnsi="Times New Roman" w:cs="Times New Roman"/>
          <w:i/>
          <w:color w:val="000000" w:themeColor="text1"/>
        </w:rPr>
        <w:t>Auction 10</w:t>
      </w:r>
      <w:r w:rsidR="004E1578">
        <w:rPr>
          <w:rFonts w:ascii="Times New Roman" w:hAnsi="Times New Roman" w:cs="Times New Roman"/>
          <w:i/>
          <w:color w:val="000000" w:themeColor="text1"/>
        </w:rPr>
        <w:t>3</w:t>
      </w:r>
      <w:r w:rsidR="00945A5E">
        <w:rPr>
          <w:rFonts w:ascii="Times New Roman" w:hAnsi="Times New Roman" w:cs="Times New Roman"/>
          <w:i/>
          <w:color w:val="000000" w:themeColor="text1"/>
        </w:rPr>
        <w:t xml:space="preserve"> Procedures Public Notice</w:t>
      </w:r>
      <w:r w:rsidRPr="00217145">
        <w:rPr>
          <w:rFonts w:ascii="Times New Roman" w:hAnsi="Times New Roman" w:cs="Times New Roman"/>
        </w:rPr>
        <w:t>.</w:t>
      </w:r>
      <w:bookmarkStart w:id="2" w:name="_Ref511656218"/>
      <w:r>
        <w:rPr>
          <w:rFonts w:ascii="Times New Roman" w:hAnsi="Times New Roman" w:cs="Times New Roman"/>
          <w:vertAlign w:val="superscript"/>
        </w:rPr>
        <w:footnoteReference w:id="3"/>
      </w:r>
      <w:bookmarkEnd w:id="2"/>
      <w:r w:rsidR="003D77FF">
        <w:rPr>
          <w:rFonts w:ascii="Times New Roman" w:hAnsi="Times New Roman" w:cs="Times New Roman"/>
        </w:rPr>
        <w:t xml:space="preserve">  </w:t>
      </w:r>
      <w:r w:rsidRPr="008B5F44">
        <w:t xml:space="preserve">This guide </w:t>
      </w:r>
      <w:r w:rsidRPr="008B5F44">
        <w:rPr>
          <w:b/>
        </w:rPr>
        <w:t>is not</w:t>
      </w:r>
      <w:r w:rsidRPr="008B5F44">
        <w:t xml:space="preserve"> </w:t>
      </w:r>
      <w:r w:rsidRPr="008B5F44">
        <w:rPr>
          <w:b/>
        </w:rPr>
        <w:t>a substitute</w:t>
      </w:r>
      <w:r w:rsidRPr="008B5F44">
        <w:t xml:space="preserve"> for reading and reviewing orders, rules</w:t>
      </w:r>
      <w:r w:rsidR="00C0065E">
        <w:t>,</w:t>
      </w:r>
      <w:r w:rsidRPr="008B5F44">
        <w:t xml:space="preserve"> and public notices applicable </w:t>
      </w:r>
      <w:r w:rsidR="00FE317F">
        <w:t>to</w:t>
      </w:r>
      <w:r w:rsidRPr="008B5F44">
        <w:t xml:space="preserve"> </w:t>
      </w:r>
      <w:r>
        <w:t xml:space="preserve">the </w:t>
      </w:r>
      <w:r w:rsidRPr="008B5F44">
        <w:t xml:space="preserve">auction, nor is it a substitute for legal advice on how the competitive bidding rules apply to your circumstances. </w:t>
      </w:r>
    </w:p>
    <w:p w:rsidR="00D217E1" w:rsidRPr="00217145" w:rsidP="00FB64BC" w14:paraId="01F709AF" w14:textId="2E344265">
      <w:pPr>
        <w:spacing w:line="240" w:lineRule="auto"/>
        <w:ind w:firstLine="720"/>
      </w:pPr>
      <w:r w:rsidRPr="00217145">
        <w:rPr>
          <w:rFonts w:ascii="Times New Roman" w:hAnsi="Times New Roman" w:cs="Times New Roman"/>
        </w:rPr>
        <w:t xml:space="preserve">The </w:t>
      </w:r>
      <w:r w:rsidRPr="00217145" w:rsidR="00E82564">
        <w:rPr>
          <w:rFonts w:ascii="Times New Roman" w:hAnsi="Times New Roman" w:cs="Times New Roman"/>
        </w:rPr>
        <w:t>Commission</w:t>
      </w:r>
      <w:r w:rsidRPr="00217145" w:rsidR="00E8346D">
        <w:rPr>
          <w:rFonts w:ascii="Times New Roman" w:hAnsi="Times New Roman" w:cs="Times New Roman"/>
        </w:rPr>
        <w:t xml:space="preserve"> </w:t>
      </w:r>
      <w:r w:rsidRPr="00217145" w:rsidR="00DC27CE">
        <w:rPr>
          <w:rFonts w:ascii="Times New Roman" w:hAnsi="Times New Roman" w:cs="Times New Roman"/>
        </w:rPr>
        <w:t xml:space="preserve">established </w:t>
      </w:r>
      <w:r w:rsidR="00FE317F">
        <w:rPr>
          <w:rFonts w:ascii="Times New Roman" w:hAnsi="Times New Roman" w:cs="Times New Roman"/>
        </w:rPr>
        <w:t>Auction 103</w:t>
      </w:r>
      <w:r w:rsidR="00F130D6">
        <w:rPr>
          <w:rFonts w:ascii="Times New Roman" w:hAnsi="Times New Roman" w:cs="Times New Roman"/>
        </w:rPr>
        <w:t xml:space="preserve"> to further progress toward deploying fifth-generation (5G) wireless, the Internet of Things (IoT), and other advanced spectrum-based services at</w:t>
      </w:r>
      <w:r w:rsidR="00D70E2E">
        <w:rPr>
          <w:rFonts w:ascii="Times New Roman" w:hAnsi="Times New Roman" w:cs="Times New Roman"/>
        </w:rPr>
        <w:t xml:space="preserve"> </w:t>
      </w:r>
      <w:r w:rsidR="00F130D6">
        <w:rPr>
          <w:rFonts w:ascii="Times New Roman" w:hAnsi="Times New Roman" w:cs="Times New Roman"/>
        </w:rPr>
        <w:t>frequencies</w:t>
      </w:r>
      <w:r w:rsidR="00EE4BD3">
        <w:rPr>
          <w:rFonts w:ascii="Times New Roman" w:hAnsi="Times New Roman" w:cs="Times New Roman"/>
        </w:rPr>
        <w:t xml:space="preserve"> above 24 GHz</w:t>
      </w:r>
      <w:r w:rsidR="00F130D6">
        <w:rPr>
          <w:rFonts w:ascii="Times New Roman" w:hAnsi="Times New Roman" w:cs="Times New Roman"/>
        </w:rPr>
        <w:t xml:space="preserve">.  The </w:t>
      </w:r>
      <w:r w:rsidRPr="00F130D6" w:rsidR="00F130D6">
        <w:rPr>
          <w:rFonts w:ascii="Times New Roman" w:hAnsi="Times New Roman" w:cs="Times New Roman"/>
          <w:i/>
        </w:rPr>
        <w:t>Auction 10</w:t>
      </w:r>
      <w:r w:rsidR="00D70E2E">
        <w:rPr>
          <w:rFonts w:ascii="Times New Roman" w:hAnsi="Times New Roman" w:cs="Times New Roman"/>
          <w:i/>
        </w:rPr>
        <w:t>3</w:t>
      </w:r>
      <w:r w:rsidRPr="00F130D6" w:rsidR="00F130D6">
        <w:rPr>
          <w:rFonts w:ascii="Times New Roman" w:hAnsi="Times New Roman" w:cs="Times New Roman"/>
          <w:i/>
        </w:rPr>
        <w:t xml:space="preserve"> Procedures Public Notice</w:t>
      </w:r>
      <w:r w:rsidR="00F130D6">
        <w:rPr>
          <w:rFonts w:ascii="Times New Roman" w:hAnsi="Times New Roman" w:cs="Times New Roman"/>
        </w:rPr>
        <w:t xml:space="preserve"> provides details regarding the procedures, terms, and conditions, as well as dates and deadlines,</w:t>
      </w:r>
      <w:r>
        <w:rPr>
          <w:rStyle w:val="FootnoteReference"/>
          <w:rFonts w:ascii="Times New Roman" w:hAnsi="Times New Roman" w:cs="Times New Roman"/>
        </w:rPr>
        <w:footnoteReference w:id="4"/>
      </w:r>
      <w:r w:rsidR="00F130D6">
        <w:rPr>
          <w:rFonts w:ascii="Times New Roman" w:hAnsi="Times New Roman" w:cs="Times New Roman"/>
        </w:rPr>
        <w:t xml:space="preserve"> governing participation in Auction 10</w:t>
      </w:r>
      <w:r w:rsidR="00D70E2E">
        <w:rPr>
          <w:rFonts w:ascii="Times New Roman" w:hAnsi="Times New Roman" w:cs="Times New Roman"/>
        </w:rPr>
        <w:t>3</w:t>
      </w:r>
      <w:r w:rsidR="00F130D6">
        <w:rPr>
          <w:rFonts w:ascii="Times New Roman" w:hAnsi="Times New Roman" w:cs="Times New Roman"/>
        </w:rPr>
        <w:t xml:space="preserve">, and an overview of the post-auction application and payment processes.  Additional materials to assist small entities in complying with </w:t>
      </w:r>
      <w:r w:rsidR="00705E46">
        <w:rPr>
          <w:rFonts w:ascii="Times New Roman" w:hAnsi="Times New Roman" w:cs="Times New Roman"/>
        </w:rPr>
        <w:t>the rules and procedures for Auction</w:t>
      </w:r>
      <w:r w:rsidR="00D70E2E">
        <w:rPr>
          <w:rFonts w:ascii="Times New Roman" w:hAnsi="Times New Roman" w:cs="Times New Roman"/>
        </w:rPr>
        <w:t xml:space="preserve"> 103</w:t>
      </w:r>
      <w:r w:rsidR="00705E46">
        <w:rPr>
          <w:rFonts w:ascii="Times New Roman" w:hAnsi="Times New Roman" w:cs="Times New Roman"/>
        </w:rPr>
        <w:t xml:space="preserve"> can be found on the Auction 10</w:t>
      </w:r>
      <w:r w:rsidR="00D70E2E">
        <w:rPr>
          <w:rFonts w:ascii="Times New Roman" w:hAnsi="Times New Roman" w:cs="Times New Roman"/>
        </w:rPr>
        <w:t>3</w:t>
      </w:r>
      <w:r w:rsidR="00705E46">
        <w:rPr>
          <w:rFonts w:ascii="Times New Roman" w:hAnsi="Times New Roman" w:cs="Times New Roman"/>
        </w:rPr>
        <w:t xml:space="preserve"> website</w:t>
      </w:r>
      <w:r w:rsidR="001A5EEF">
        <w:rPr>
          <w:rFonts w:ascii="Times New Roman" w:hAnsi="Times New Roman" w:cs="Times New Roman"/>
        </w:rPr>
        <w:t xml:space="preserve"> at</w:t>
      </w:r>
      <w:r w:rsidR="00D70E2E">
        <w:t xml:space="preserve"> </w:t>
      </w:r>
      <w:hyperlink r:id="rId7" w:history="1">
        <w:r w:rsidRPr="00012039" w:rsidR="002C0562">
          <w:rPr>
            <w:rStyle w:val="Hyperlink"/>
          </w:rPr>
          <w:t>www.fcc.gov/auction/103</w:t>
        </w:r>
      </w:hyperlink>
      <w:r w:rsidR="00705E46">
        <w:rPr>
          <w:rFonts w:ascii="Times New Roman" w:hAnsi="Times New Roman" w:cs="Times New Roman"/>
        </w:rPr>
        <w:t xml:space="preserve">.  Additional </w:t>
      </w:r>
      <w:r w:rsidR="00F130D6">
        <w:rPr>
          <w:rFonts w:ascii="Times New Roman" w:hAnsi="Times New Roman" w:cs="Times New Roman"/>
        </w:rPr>
        <w:t xml:space="preserve">information regarding the service rules established for UMFUS licenses can be found in the </w:t>
      </w:r>
      <w:r w:rsidRPr="00705E46" w:rsidR="00705E46">
        <w:rPr>
          <w:rFonts w:ascii="Times New Roman" w:hAnsi="Times New Roman" w:cs="Times New Roman"/>
          <w:i/>
        </w:rPr>
        <w:t>Spectrum Frontiers Order</w:t>
      </w:r>
      <w:r w:rsidR="00705E46">
        <w:rPr>
          <w:rFonts w:ascii="Times New Roman" w:hAnsi="Times New Roman" w:cs="Times New Roman"/>
          <w:i/>
        </w:rPr>
        <w:t>s</w:t>
      </w:r>
      <w:r>
        <w:rPr>
          <w:rStyle w:val="FootnoteReference"/>
          <w:rFonts w:ascii="Times New Roman" w:hAnsi="Times New Roman" w:cs="Times New Roman"/>
        </w:rPr>
        <w:footnoteReference w:id="5"/>
      </w:r>
      <w:r w:rsidR="00705E46">
        <w:rPr>
          <w:rFonts w:ascii="Times New Roman" w:hAnsi="Times New Roman" w:cs="Times New Roman"/>
          <w:i/>
        </w:rPr>
        <w:t xml:space="preserve"> </w:t>
      </w:r>
      <w:r w:rsidRPr="00705E46" w:rsidR="00705E46">
        <w:rPr>
          <w:rFonts w:ascii="Times New Roman" w:hAnsi="Times New Roman" w:cs="Times New Roman"/>
        </w:rPr>
        <w:t xml:space="preserve">and </w:t>
      </w:r>
      <w:r w:rsidRPr="00705E46" w:rsidR="00C463B7">
        <w:rPr>
          <w:rFonts w:ascii="Times New Roman" w:hAnsi="Times New Roman" w:cs="Times New Roman"/>
        </w:rPr>
        <w:t>associated</w:t>
      </w:r>
      <w:r w:rsidRPr="00705E46" w:rsidR="00705E46">
        <w:rPr>
          <w:rFonts w:ascii="Times New Roman" w:hAnsi="Times New Roman" w:cs="Times New Roman"/>
        </w:rPr>
        <w:t xml:space="preserve"> SECGs.</w:t>
      </w:r>
      <w:r>
        <w:rPr>
          <w:rStyle w:val="FootnoteReference"/>
          <w:rFonts w:ascii="Times New Roman" w:hAnsi="Times New Roman" w:cs="Times New Roman"/>
        </w:rPr>
        <w:footnoteReference w:id="6"/>
      </w:r>
    </w:p>
    <w:p w:rsidR="00160604" w:rsidRPr="00433237" w:rsidP="00433237" w14:paraId="7198D0E5" w14:textId="651415EB">
      <w:pPr>
        <w:pStyle w:val="Heading1"/>
        <w:tabs>
          <w:tab w:val="left" w:pos="720"/>
        </w:tabs>
        <w:spacing w:after="240"/>
        <w:rPr>
          <w:rFonts w:eastAsia="Calibri" w:cs="Times New Roman"/>
        </w:rPr>
      </w:pPr>
      <w:r w:rsidRPr="003D5331">
        <w:rPr>
          <w:rFonts w:eastAsia="Calibri" w:cs="Times New Roman"/>
          <w:szCs w:val="22"/>
        </w:rPr>
        <w:t xml:space="preserve">II. </w:t>
      </w:r>
      <w:r w:rsidRPr="003D5331">
        <w:rPr>
          <w:rFonts w:eastAsia="Calibri" w:cs="Times New Roman"/>
          <w:szCs w:val="22"/>
        </w:rPr>
        <w:tab/>
      </w:r>
      <w:r w:rsidRPr="005244CA">
        <w:rPr>
          <w:rStyle w:val="Heading1Char"/>
          <w:rFonts w:cs="Times New Roman"/>
          <w:b/>
          <w:szCs w:val="22"/>
        </w:rPr>
        <w:t>COMPLIANCE REQUIREMENTS</w:t>
      </w:r>
    </w:p>
    <w:p w:rsidR="00160604" w:rsidRPr="00E30D96" w:rsidP="002F7580" w14:paraId="0E92C872" w14:textId="70BC6BA2">
      <w:pPr>
        <w:pStyle w:val="ListParagraph"/>
        <w:keepNext/>
        <w:widowControl w:val="0"/>
        <w:numPr>
          <w:ilvl w:val="0"/>
          <w:numId w:val="3"/>
        </w:numPr>
        <w:tabs>
          <w:tab w:val="left" w:pos="720"/>
        </w:tabs>
        <w:spacing w:after="120" w:line="240" w:lineRule="auto"/>
        <w:outlineLvl w:val="1"/>
        <w:rPr>
          <w:rFonts w:ascii="Times New Roman" w:hAnsi="Times New Roman" w:cs="Times New Roman"/>
          <w:b/>
        </w:rPr>
      </w:pPr>
      <w:r>
        <w:rPr>
          <w:rFonts w:ascii="Times New Roman" w:hAnsi="Times New Roman" w:cs="Times New Roman"/>
          <w:b/>
        </w:rPr>
        <w:t>Auction Specifics</w:t>
      </w:r>
    </w:p>
    <w:p w:rsidR="00DF6CEA" w:rsidP="005F5EA7" w14:paraId="144F6BA2" w14:textId="0D6EB14B">
      <w:pPr>
        <w:tabs>
          <w:tab w:val="left" w:pos="720"/>
        </w:tabs>
        <w:spacing w:before="120" w:after="120" w:line="240" w:lineRule="auto"/>
        <w:ind w:firstLine="360"/>
        <w:mirrorIndents/>
      </w:pPr>
      <w:r>
        <w:rPr>
          <w:rFonts w:ascii="Times New Roman" w:eastAsia="Calibri" w:hAnsi="Times New Roman" w:cs="Times New Roman"/>
        </w:rPr>
        <w:tab/>
      </w:r>
      <w:r w:rsidR="00541A1F">
        <w:t>Bidding in Auction 10</w:t>
      </w:r>
      <w:r w:rsidR="00EE4BD3">
        <w:t>3</w:t>
      </w:r>
      <w:r w:rsidR="00541A1F">
        <w:t xml:space="preserve"> began on </w:t>
      </w:r>
      <w:r w:rsidR="00EE4BD3">
        <w:t>December 10</w:t>
      </w:r>
      <w:r w:rsidR="00541A1F">
        <w:t>, 201</w:t>
      </w:r>
      <w:r w:rsidR="00EE4BD3">
        <w:t>9</w:t>
      </w:r>
      <w:r w:rsidR="002C0562">
        <w:t>.</w:t>
      </w:r>
      <w:r w:rsidR="00541A1F">
        <w:t xml:space="preserve">  </w:t>
      </w:r>
    </w:p>
    <w:p w:rsidR="00040849" w:rsidRPr="00A832CE" w:rsidP="00A832CE" w14:paraId="76750F80" w14:textId="017BD5B6">
      <w:pPr>
        <w:pStyle w:val="ListParagraph"/>
        <w:numPr>
          <w:ilvl w:val="0"/>
          <w:numId w:val="10"/>
        </w:numPr>
        <w:tabs>
          <w:tab w:val="left" w:pos="1080"/>
        </w:tabs>
        <w:spacing w:before="120" w:after="120" w:line="240" w:lineRule="auto"/>
        <w:ind w:left="1080"/>
        <w:rPr>
          <w:rFonts w:ascii="Times New Roman" w:hAnsi="Times New Roman" w:cs="Times New Roman"/>
        </w:rPr>
      </w:pPr>
      <w:r>
        <w:t>Auction 10</w:t>
      </w:r>
      <w:r w:rsidR="00EE4BD3">
        <w:t>3</w:t>
      </w:r>
      <w:r>
        <w:t xml:space="preserve"> offered</w:t>
      </w:r>
      <w:r w:rsidR="00E96E07">
        <w:t xml:space="preserve"> new licenses for</w:t>
      </w:r>
      <w:r>
        <w:t xml:space="preserve"> </w:t>
      </w:r>
      <w:r w:rsidRPr="005712E5">
        <w:t>3</w:t>
      </w:r>
      <w:r w:rsidR="00EE4BD3">
        <w:t>,400</w:t>
      </w:r>
      <w:r w:rsidR="00E96E07">
        <w:t xml:space="preserve"> megahertz of spectrum licensed by Partial Economic Area (PEA) service area.</w:t>
      </w:r>
      <w:r>
        <w:rPr>
          <w:rStyle w:val="FootnoteReference"/>
        </w:rPr>
        <w:footnoteReference w:id="7"/>
      </w:r>
      <w:r w:rsidR="00E96E07">
        <w:t xml:space="preserve">  </w:t>
      </w:r>
      <w:r>
        <w:t xml:space="preserve"> </w:t>
      </w:r>
    </w:p>
    <w:p w:rsidR="00070AF5" w:rsidRPr="0033780C" w:rsidP="00A832CE" w14:paraId="63BE0CE6" w14:textId="6D4D283C">
      <w:pPr>
        <w:pStyle w:val="ListParagraph"/>
        <w:tabs>
          <w:tab w:val="left" w:pos="720"/>
          <w:tab w:val="left" w:pos="1440"/>
        </w:tabs>
        <w:spacing w:before="120" w:after="120" w:line="240" w:lineRule="auto"/>
        <w:ind w:left="360"/>
        <w:mirrorIndents/>
        <w:rPr>
          <w:rFonts w:ascii="Times New Roman" w:hAnsi="Times New Roman" w:cs="Times New Roman"/>
        </w:rPr>
      </w:pPr>
    </w:p>
    <w:p w:rsidR="00070AF5" w:rsidRPr="00A832CE" w:rsidP="00A832CE" w14:paraId="52F7C10F" w14:textId="34EE7728">
      <w:pPr>
        <w:pStyle w:val="ListParagraph"/>
        <w:numPr>
          <w:ilvl w:val="0"/>
          <w:numId w:val="10"/>
        </w:numPr>
        <w:tabs>
          <w:tab w:val="left" w:pos="1080"/>
        </w:tabs>
        <w:spacing w:before="120" w:after="120" w:line="240" w:lineRule="auto"/>
        <w:ind w:left="1080"/>
        <w:rPr>
          <w:rFonts w:ascii="Times New Roman" w:hAnsi="Times New Roman" w:cs="Times New Roman"/>
        </w:rPr>
      </w:pPr>
      <w:r w:rsidRPr="005712E5">
        <w:t>Each of the bands available in Auction 10</w:t>
      </w:r>
      <w:r w:rsidR="00EE4BD3">
        <w:t>3</w:t>
      </w:r>
      <w:r w:rsidRPr="005712E5">
        <w:t xml:space="preserve"> will be licensed on an unpaired basis</w:t>
      </w:r>
      <w:r w:rsidR="004147B8">
        <w:t xml:space="preserve"> in 100 megahertz channel blocks by PEA</w:t>
      </w:r>
      <w:r w:rsidRPr="005712E5">
        <w:t>.</w:t>
      </w:r>
    </w:p>
    <w:p w:rsidR="00070AF5" w:rsidP="00A832CE" w14:paraId="05B634B8" w14:textId="77777777">
      <w:pPr>
        <w:pStyle w:val="ListParagraph"/>
      </w:pPr>
    </w:p>
    <w:p w:rsidR="00070AF5" w:rsidRPr="00A832CE" w:rsidP="00A832CE" w14:paraId="635D27F6" w14:textId="77777777">
      <w:pPr>
        <w:pStyle w:val="ListParagraph"/>
        <w:numPr>
          <w:ilvl w:val="0"/>
          <w:numId w:val="10"/>
        </w:numPr>
        <w:tabs>
          <w:tab w:val="left" w:pos="1080"/>
        </w:tabs>
        <w:spacing w:before="120" w:after="120" w:line="240" w:lineRule="auto"/>
        <w:ind w:left="1080"/>
        <w:rPr>
          <w:rFonts w:ascii="Times New Roman" w:hAnsi="Times New Roman" w:cs="Times New Roman"/>
        </w:rPr>
      </w:pPr>
      <w:r w:rsidRPr="005712E5">
        <w:t>A licensee in these bands may provide any services permitted under a fixed or mobile allocation, as set forth in the non-Federal Government column of the Table of Frequency Allocations in Section 2.106 of the Commission’s rules.</w:t>
      </w:r>
      <w:r>
        <w:rPr>
          <w:rStyle w:val="FootnoteReference"/>
        </w:rPr>
        <w:footnoteReference w:id="8"/>
      </w:r>
      <w:r>
        <w:t xml:space="preserve">  </w:t>
      </w:r>
    </w:p>
    <w:p w:rsidR="00F50628" w:rsidP="004147B8" w14:paraId="005B2D4B" w14:textId="6A1C59C5">
      <w:pPr>
        <w:tabs>
          <w:tab w:val="left" w:pos="720"/>
        </w:tabs>
        <w:spacing w:before="120" w:after="120" w:line="240" w:lineRule="auto"/>
        <w:mirrorIndents/>
      </w:pPr>
      <w:r>
        <w:tab/>
      </w:r>
      <w:r>
        <w:t>To qualify to bid in Auction 10</w:t>
      </w:r>
      <w:r>
        <w:t>3</w:t>
      </w:r>
      <w:r w:rsidR="00A832CE">
        <w:t>,</w:t>
      </w:r>
      <w:r>
        <w:t xml:space="preserve"> applicants must </w:t>
      </w:r>
      <w:r w:rsidR="00A832CE">
        <w:t xml:space="preserve">have </w:t>
      </w:r>
      <w:r>
        <w:t>compl</w:t>
      </w:r>
      <w:r w:rsidR="00A832CE">
        <w:t>ied</w:t>
      </w:r>
      <w:r>
        <w:t xml:space="preserve"> with the following</w:t>
      </w:r>
      <w:r w:rsidR="00A832CE">
        <w:t xml:space="preserve"> requirements</w:t>
      </w:r>
      <w:r>
        <w:t>:</w:t>
      </w:r>
    </w:p>
    <w:p w:rsidR="00F50628" w:rsidP="00A832CE" w14:paraId="2BDF8928" w14:textId="3D65E9D2">
      <w:pPr>
        <w:pStyle w:val="ListParagraph"/>
        <w:numPr>
          <w:ilvl w:val="0"/>
          <w:numId w:val="14"/>
        </w:numPr>
        <w:tabs>
          <w:tab w:val="left" w:pos="1080"/>
        </w:tabs>
        <w:spacing w:before="120" w:after="120" w:line="240" w:lineRule="auto"/>
        <w:ind w:left="1080"/>
      </w:pPr>
      <w:r>
        <w:t>Timely s</w:t>
      </w:r>
      <w:r w:rsidRPr="00F50628">
        <w:t xml:space="preserve">ubmission of a short-form application </w:t>
      </w:r>
      <w:r>
        <w:t xml:space="preserve">(FCC Form 175) </w:t>
      </w:r>
      <w:r w:rsidRPr="00F50628">
        <w:t xml:space="preserve">for </w:t>
      </w:r>
      <w:r w:rsidR="004147B8">
        <w:t>A</w:t>
      </w:r>
      <w:r w:rsidRPr="00F50628">
        <w:t>uction</w:t>
      </w:r>
      <w:r w:rsidR="004147B8">
        <w:t xml:space="preserve"> 103</w:t>
      </w:r>
      <w:r w:rsidRPr="00F50628">
        <w:t xml:space="preserve"> that </w:t>
      </w:r>
      <w:r>
        <w:t>was</w:t>
      </w:r>
      <w:r w:rsidRPr="00F50628">
        <w:t xml:space="preserve"> found to be substantially complete, and</w:t>
      </w:r>
    </w:p>
    <w:p w:rsidR="00F50628" w:rsidP="00A832CE" w14:paraId="7178AAE4" w14:textId="7ADB6B60">
      <w:pPr>
        <w:pStyle w:val="ListParagraph"/>
        <w:tabs>
          <w:tab w:val="left" w:pos="720"/>
          <w:tab w:val="left" w:pos="1080"/>
        </w:tabs>
        <w:spacing w:before="120" w:after="120" w:line="240" w:lineRule="auto"/>
      </w:pPr>
      <w:r>
        <w:t xml:space="preserve"> </w:t>
      </w:r>
    </w:p>
    <w:p w:rsidR="00F50628" w:rsidP="00E73561" w14:paraId="4EB34C7E" w14:textId="66D3D71E">
      <w:pPr>
        <w:pStyle w:val="ListParagraph"/>
        <w:numPr>
          <w:ilvl w:val="0"/>
          <w:numId w:val="14"/>
        </w:numPr>
        <w:tabs>
          <w:tab w:val="left" w:pos="1080"/>
        </w:tabs>
        <w:spacing w:before="120" w:after="120" w:line="240" w:lineRule="auto"/>
        <w:ind w:left="1080"/>
      </w:pPr>
      <w:r>
        <w:t>T</w:t>
      </w:r>
      <w:r w:rsidRPr="00F50628">
        <w:t>imely submission of a sufficient upfront payment for at least one of the licenses offered in Auction 10</w:t>
      </w:r>
      <w:r w:rsidR="004147B8">
        <w:t>3.</w:t>
      </w:r>
    </w:p>
    <w:p w:rsidR="00F50628" w:rsidP="00A832CE" w14:paraId="788EFB01" w14:textId="77777777">
      <w:pPr>
        <w:pStyle w:val="ListParagraph"/>
      </w:pPr>
    </w:p>
    <w:p w:rsidR="00F50628" w:rsidP="00E73561" w14:paraId="17CEEE0C" w14:textId="459300D4">
      <w:pPr>
        <w:pStyle w:val="ListParagraph"/>
        <w:numPr>
          <w:ilvl w:val="1"/>
          <w:numId w:val="14"/>
        </w:numPr>
        <w:tabs>
          <w:tab w:val="left" w:pos="1080"/>
        </w:tabs>
        <w:spacing w:before="120" w:after="120" w:line="240" w:lineRule="auto"/>
        <w:ind w:left="1440"/>
      </w:pPr>
      <w:r w:rsidRPr="00F50628">
        <w:t xml:space="preserve">The timely submitted </w:t>
      </w:r>
      <w:r w:rsidR="00A832CE">
        <w:t xml:space="preserve">upfront </w:t>
      </w:r>
      <w:r w:rsidRPr="00F50628">
        <w:t xml:space="preserve">payment must </w:t>
      </w:r>
      <w:r w:rsidR="00A832CE">
        <w:t xml:space="preserve">have </w:t>
      </w:r>
      <w:r w:rsidRPr="00F50628">
        <w:t>be</w:t>
      </w:r>
      <w:r w:rsidR="00A832CE">
        <w:t>en</w:t>
      </w:r>
      <w:r w:rsidRPr="00F50628">
        <w:t xml:space="preserve"> accompanied by a complete and accurate FCC Remittance Advice Form (FCC Form 159)</w:t>
      </w:r>
      <w:r w:rsidR="0099720F">
        <w:t xml:space="preserve"> </w:t>
      </w:r>
      <w:r w:rsidRPr="00F50628">
        <w:t xml:space="preserve">and </w:t>
      </w:r>
      <w:r w:rsidR="00E73561">
        <w:t xml:space="preserve">was required to be </w:t>
      </w:r>
      <w:r w:rsidRPr="00F50628">
        <w:t>made by 6:00 p.m. ET on October 2</w:t>
      </w:r>
      <w:r w:rsidR="00286B37">
        <w:t>2</w:t>
      </w:r>
      <w:r w:rsidRPr="00F50628">
        <w:t>, 201</w:t>
      </w:r>
      <w:r w:rsidR="00286B37">
        <w:t>9</w:t>
      </w:r>
      <w:r w:rsidRPr="00F50628">
        <w:t>, following the procedures and instructions set forth in the FCC Form 159 Instructions.</w:t>
      </w:r>
    </w:p>
    <w:p w:rsidR="0071520F" w:rsidP="00A832CE" w14:paraId="79FDC8C3" w14:textId="77777777">
      <w:pPr>
        <w:pStyle w:val="ListParagraph"/>
        <w:tabs>
          <w:tab w:val="left" w:pos="1080"/>
        </w:tabs>
        <w:spacing w:before="120" w:after="120" w:line="240" w:lineRule="auto"/>
        <w:ind w:left="1080"/>
      </w:pPr>
    </w:p>
    <w:p w:rsidR="0071520F" w:rsidP="0071520F" w14:paraId="5CC6DD0D" w14:textId="1FEB1B1E">
      <w:pPr>
        <w:pStyle w:val="ListParagraph"/>
        <w:numPr>
          <w:ilvl w:val="0"/>
          <w:numId w:val="14"/>
        </w:numPr>
        <w:tabs>
          <w:tab w:val="left" w:pos="1080"/>
        </w:tabs>
        <w:spacing w:before="120" w:after="120" w:line="240" w:lineRule="auto"/>
        <w:ind w:left="1080"/>
      </w:pPr>
      <w:r w:rsidRPr="0071520F">
        <w:t>An applicant whose application contain</w:t>
      </w:r>
      <w:r>
        <w:t>ed</w:t>
      </w:r>
      <w:r w:rsidRPr="0071520F">
        <w:t xml:space="preserve"> deficiencies </w:t>
      </w:r>
      <w:r>
        <w:t xml:space="preserve">was provided </w:t>
      </w:r>
      <w:r w:rsidRPr="0071520F">
        <w:t xml:space="preserve">a limited opportunity to bring its application into compliance with the Commission’s </w:t>
      </w:r>
      <w:r w:rsidR="00E2453B">
        <w:t>auction application</w:t>
      </w:r>
      <w:r w:rsidRPr="0071520F">
        <w:t xml:space="preserve"> rules during a resubmission window.   </w:t>
      </w:r>
    </w:p>
    <w:p w:rsidR="0071520F" w:rsidP="00A832CE" w14:paraId="7904FBBA" w14:textId="77777777">
      <w:pPr>
        <w:pStyle w:val="ListParagraph"/>
        <w:tabs>
          <w:tab w:val="left" w:pos="1080"/>
        </w:tabs>
        <w:spacing w:before="120" w:after="120" w:line="240" w:lineRule="auto"/>
        <w:ind w:left="1080"/>
      </w:pPr>
      <w:r>
        <w:t xml:space="preserve"> </w:t>
      </w:r>
    </w:p>
    <w:p w:rsidR="002C3212" w:rsidP="002C3212" w14:paraId="3196472C" w14:textId="77777777">
      <w:pPr>
        <w:pStyle w:val="ListParagraph"/>
        <w:numPr>
          <w:ilvl w:val="0"/>
          <w:numId w:val="14"/>
        </w:numPr>
        <w:tabs>
          <w:tab w:val="left" w:pos="1080"/>
        </w:tabs>
        <w:spacing w:before="120" w:after="120" w:line="240" w:lineRule="auto"/>
        <w:ind w:left="1080"/>
      </w:pPr>
      <w:r w:rsidRPr="0071520F">
        <w:t xml:space="preserve">All qualified bidders </w:t>
      </w:r>
      <w:r w:rsidR="00E2453B">
        <w:t xml:space="preserve">were </w:t>
      </w:r>
      <w:r w:rsidRPr="0071520F">
        <w:t>automatically registered for</w:t>
      </w:r>
      <w:r w:rsidR="00E2453B">
        <w:t xml:space="preserve"> </w:t>
      </w:r>
      <w:r w:rsidR="00035334">
        <w:t>A</w:t>
      </w:r>
      <w:r w:rsidRPr="0071520F">
        <w:t>uction</w:t>
      </w:r>
      <w:r w:rsidR="00035334">
        <w:t xml:space="preserve"> 103</w:t>
      </w:r>
      <w:r w:rsidRPr="0071520F">
        <w:t xml:space="preserve"> and mailed the necessary registration materials.  </w:t>
      </w:r>
    </w:p>
    <w:p w:rsidR="002C3212" w:rsidP="002C3212" w14:paraId="6D35363A" w14:textId="77777777">
      <w:pPr>
        <w:pStyle w:val="ListParagraph"/>
      </w:pPr>
    </w:p>
    <w:p w:rsidR="002C3212" w:rsidP="002C3212" w14:paraId="202A996C" w14:textId="3D31B984">
      <w:pPr>
        <w:pStyle w:val="ListParagraph"/>
        <w:numPr>
          <w:ilvl w:val="0"/>
          <w:numId w:val="14"/>
        </w:numPr>
        <w:tabs>
          <w:tab w:val="left" w:pos="1080"/>
        </w:tabs>
        <w:spacing w:before="120" w:after="120" w:line="240" w:lineRule="auto"/>
        <w:ind w:left="1080"/>
      </w:pPr>
      <w:r>
        <w:t>P</w:t>
      </w:r>
      <w:r w:rsidRPr="005B509A">
        <w:t xml:space="preserve">arties that timely </w:t>
      </w:r>
      <w:r>
        <w:t>submitted substantially complete</w:t>
      </w:r>
      <w:r w:rsidRPr="005B509A">
        <w:t xml:space="preserve"> short-form applications are </w:t>
      </w:r>
      <w:r>
        <w:t>applicants and</w:t>
      </w:r>
      <w:r w:rsidRPr="005B509A">
        <w:t xml:space="preserve"> </w:t>
      </w:r>
      <w:r>
        <w:t xml:space="preserve">are subject to </w:t>
      </w:r>
      <w:r w:rsidRPr="005B509A">
        <w:t>certain</w:t>
      </w:r>
      <w:r>
        <w:t xml:space="preserve"> provisions</w:t>
      </w:r>
      <w:r w:rsidRPr="005B509A">
        <w:t xml:space="preserve"> of the Commission’s </w:t>
      </w:r>
      <w:r>
        <w:t xml:space="preserve">Part 1 </w:t>
      </w:r>
      <w:r w:rsidRPr="005B509A">
        <w:t xml:space="preserve">auction rules regarding application requirements and certifications (e.g., joint bidding agreements relating to the </w:t>
      </w:r>
      <w:r>
        <w:t>spectrum licenses subject</w:t>
      </w:r>
      <w:r w:rsidRPr="005B509A">
        <w:t xml:space="preserve"> to auction) </w:t>
      </w:r>
      <w:r>
        <w:t xml:space="preserve">and </w:t>
      </w:r>
      <w:r w:rsidRPr="005B509A">
        <w:t>the rule</w:t>
      </w:r>
      <w:r>
        <w:t>s</w:t>
      </w:r>
      <w:r w:rsidRPr="005B509A">
        <w:t xml:space="preserve"> prohibiting certain communications</w:t>
      </w:r>
      <w:r>
        <w:t xml:space="preserve">.  </w:t>
      </w:r>
    </w:p>
    <w:p w:rsidR="00E12DDD" w:rsidRPr="005F5EA7" w:rsidP="00E2453B" w14:paraId="24268983" w14:textId="77777777">
      <w:pPr>
        <w:pStyle w:val="ListParagraph"/>
        <w:tabs>
          <w:tab w:val="left" w:pos="1080"/>
        </w:tabs>
        <w:spacing w:before="120" w:after="120" w:line="240" w:lineRule="auto"/>
        <w:mirrorIndents/>
      </w:pPr>
    </w:p>
    <w:p w:rsidR="00446802" w:rsidP="002F7580" w14:paraId="0D13A98D" w14:textId="3B6529AF">
      <w:pPr>
        <w:pStyle w:val="ListParagraph"/>
        <w:keepNext/>
        <w:widowControl w:val="0"/>
        <w:numPr>
          <w:ilvl w:val="0"/>
          <w:numId w:val="3"/>
        </w:numPr>
        <w:tabs>
          <w:tab w:val="left" w:pos="720"/>
        </w:tabs>
        <w:spacing w:after="120" w:line="240" w:lineRule="auto"/>
        <w:outlineLvl w:val="1"/>
        <w:rPr>
          <w:rFonts w:ascii="Times New Roman" w:hAnsi="Times New Roman" w:cs="Times New Roman"/>
          <w:b/>
        </w:rPr>
      </w:pPr>
      <w:r>
        <w:rPr>
          <w:rFonts w:ascii="Times New Roman" w:hAnsi="Times New Roman" w:cs="Times New Roman"/>
          <w:b/>
        </w:rPr>
        <w:t>Application Procedures</w:t>
      </w:r>
    </w:p>
    <w:p w:rsidR="009B2871" w:rsidP="002A78BF" w14:paraId="25B1622C" w14:textId="6ACAA6FF">
      <w:pPr>
        <w:spacing w:after="120" w:line="240" w:lineRule="auto"/>
        <w:ind w:firstLine="720"/>
      </w:pPr>
      <w:r>
        <w:t xml:space="preserve">The Commission decided in the </w:t>
      </w:r>
      <w:r w:rsidRPr="002A78BF">
        <w:rPr>
          <w:i/>
        </w:rPr>
        <w:t>Spectrum Frontiers Orders</w:t>
      </w:r>
      <w:r>
        <w:t xml:space="preserve"> to conduct auctions of UMFUS licenses in conformity with the general competitive bidding rules in Part 1, Subpart Q, of the Commission's Rules, 47 C.F.R. §§ 1.2101-1.2114.  </w:t>
      </w:r>
      <w:r w:rsidRPr="00435180" w:rsidR="00C762C5">
        <w:t xml:space="preserve">In the </w:t>
      </w:r>
      <w:r w:rsidRPr="00435180" w:rsidR="00C762C5">
        <w:rPr>
          <w:i/>
        </w:rPr>
        <w:t>Spectrum Frontiers Fourth R&amp;O</w:t>
      </w:r>
      <w:r w:rsidRPr="00435180" w:rsidR="00C762C5">
        <w:t>, the Commission adopted an incentive auction for the Upper 37 GHz, 39 GHz, and 47 GHz bands</w:t>
      </w:r>
      <w:r w:rsidR="00C762C5">
        <w:t>.</w:t>
      </w:r>
      <w:r>
        <w:rPr>
          <w:rStyle w:val="FootnoteReference"/>
        </w:rPr>
        <w:footnoteReference w:id="9"/>
      </w:r>
      <w:r w:rsidR="00C762C5">
        <w:t xml:space="preserve"> </w:t>
      </w:r>
    </w:p>
    <w:p w:rsidR="009B2871" w:rsidP="009B2871" w14:paraId="580D6D06" w14:textId="72F9CE42">
      <w:pPr>
        <w:pStyle w:val="ListParagraph"/>
        <w:numPr>
          <w:ilvl w:val="0"/>
          <w:numId w:val="12"/>
        </w:numPr>
        <w:spacing w:after="120" w:line="240" w:lineRule="auto"/>
        <w:ind w:left="1080"/>
      </w:pPr>
      <w:r>
        <w:t>T</w:t>
      </w:r>
      <w:r w:rsidR="00436896">
        <w:t xml:space="preserve">hese </w:t>
      </w:r>
      <w:r w:rsidR="00BC395C">
        <w:t>procedures</w:t>
      </w:r>
      <w:r w:rsidR="00436896">
        <w:t xml:space="preserve"> are substantially consistent with the </w:t>
      </w:r>
      <w:r w:rsidR="00BC395C">
        <w:t>auction procedures</w:t>
      </w:r>
      <w:r w:rsidR="00436896">
        <w:t xml:space="preserve"> the Commission has applied to other auctionable services for several years. </w:t>
      </w:r>
      <w:r w:rsidR="002D146E">
        <w:t xml:space="preserve"> </w:t>
      </w:r>
    </w:p>
    <w:p w:rsidR="009B2871" w:rsidP="0033780C" w14:paraId="13B770C2" w14:textId="77777777">
      <w:pPr>
        <w:pStyle w:val="ListParagraph"/>
        <w:spacing w:after="120" w:line="240" w:lineRule="auto"/>
        <w:ind w:left="1080"/>
      </w:pPr>
      <w:r>
        <w:t xml:space="preserve"> </w:t>
      </w:r>
    </w:p>
    <w:p w:rsidR="009404B2" w:rsidP="0033780C" w14:paraId="2D2EF38D" w14:textId="4F7A004E">
      <w:pPr>
        <w:pStyle w:val="ListParagraph"/>
        <w:numPr>
          <w:ilvl w:val="0"/>
          <w:numId w:val="12"/>
        </w:numPr>
        <w:spacing w:after="120" w:line="240" w:lineRule="auto"/>
        <w:ind w:left="1080"/>
      </w:pPr>
      <w:r>
        <w:t xml:space="preserve">Applicants are </w:t>
      </w:r>
      <w:r w:rsidR="00436896">
        <w:t>require</w:t>
      </w:r>
      <w:r>
        <w:t>d to</w:t>
      </w:r>
      <w:r w:rsidR="00436896">
        <w:t xml:space="preserve"> fil</w:t>
      </w:r>
      <w:r>
        <w:t>e</w:t>
      </w:r>
      <w:r w:rsidR="00436896">
        <w:t xml:space="preserve"> </w:t>
      </w:r>
      <w:r w:rsidR="00E144BF">
        <w:t>short-</w:t>
      </w:r>
      <w:r w:rsidR="00BC395C">
        <w:t>form</w:t>
      </w:r>
      <w:r w:rsidR="00E144BF">
        <w:t xml:space="preserve"> and long-form applications</w:t>
      </w:r>
      <w:r w:rsidR="00436896">
        <w:t xml:space="preserve"> to ensure that applicants are qualified to participate in</w:t>
      </w:r>
      <w:r w:rsidR="00BC395C">
        <w:t xml:space="preserve"> </w:t>
      </w:r>
      <w:r w:rsidR="00436896">
        <w:t>auction</w:t>
      </w:r>
      <w:r w:rsidR="00BC395C">
        <w:t>s</w:t>
      </w:r>
      <w:r w:rsidR="00436896">
        <w:t xml:space="preserve"> and hold licenses. </w:t>
      </w:r>
      <w:r w:rsidR="002D146E">
        <w:t xml:space="preserve"> </w:t>
      </w:r>
      <w:r w:rsidR="00436896">
        <w:t xml:space="preserve">Certain information required on </w:t>
      </w:r>
      <w:r w:rsidR="007479F4">
        <w:t>the short-form application (</w:t>
      </w:r>
      <w:r w:rsidR="00436896">
        <w:t>FCC Form 175</w:t>
      </w:r>
      <w:r w:rsidR="007479F4">
        <w:t>)</w:t>
      </w:r>
      <w:r w:rsidR="00436896">
        <w:t xml:space="preserve"> is also necessary to ensure that only applicants that qualify as small businesses or </w:t>
      </w:r>
      <w:r w:rsidR="002D146E">
        <w:t xml:space="preserve">rural service providers </w:t>
      </w:r>
      <w:r w:rsidR="00436896">
        <w:t>receive the bidding credits offered to such entities.</w:t>
      </w:r>
    </w:p>
    <w:p w:rsidR="009404B2" w:rsidRPr="0033780C" w:rsidP="00916F07" w14:paraId="36ECF16F" w14:textId="07E4BEBC">
      <w:pPr>
        <w:spacing w:after="120" w:line="240" w:lineRule="auto"/>
        <w:ind w:firstLine="720"/>
        <w:rPr>
          <w:i/>
          <w:u w:val="single"/>
        </w:rPr>
      </w:pPr>
      <w:r w:rsidRPr="0033780C">
        <w:rPr>
          <w:i/>
          <w:u w:val="single"/>
        </w:rPr>
        <w:t xml:space="preserve">Provisions for </w:t>
      </w:r>
      <w:r w:rsidRPr="0033780C" w:rsidR="00E66265">
        <w:rPr>
          <w:i/>
          <w:u w:val="single"/>
        </w:rPr>
        <w:t>Designated Entities</w:t>
      </w:r>
    </w:p>
    <w:p w:rsidR="005B509A" w:rsidP="001E6D97" w14:paraId="691F4842" w14:textId="52DE5FAA">
      <w:pPr>
        <w:spacing w:after="120" w:line="240" w:lineRule="auto"/>
        <w:ind w:firstLine="720"/>
      </w:pPr>
      <w:r w:rsidRPr="001E6D97">
        <w:t>In Auction 10</w:t>
      </w:r>
      <w:r w:rsidR="002204B6">
        <w:t>3</w:t>
      </w:r>
      <w:r w:rsidRPr="001E6D97">
        <w:t xml:space="preserve">, bidding credits </w:t>
      </w:r>
      <w:r w:rsidR="00CD1915">
        <w:t xml:space="preserve">are </w:t>
      </w:r>
      <w:r w:rsidRPr="001E6D97">
        <w:t>available to applicants demonstrating eligibility for a small business or a rural service provider bidding credit and subsequently winning license</w:t>
      </w:r>
      <w:r w:rsidR="00DC3E28">
        <w:t>(</w:t>
      </w:r>
      <w:r w:rsidRPr="001E6D97">
        <w:t>s</w:t>
      </w:r>
      <w:r w:rsidR="00DC3E28">
        <w:t>)</w:t>
      </w:r>
      <w:r w:rsidRPr="001E6D97">
        <w:t xml:space="preserve">.  Bidding credits </w:t>
      </w:r>
      <w:r w:rsidR="00CD1915">
        <w:t>are not</w:t>
      </w:r>
      <w:r w:rsidRPr="001E6D97">
        <w:t xml:space="preserve"> cumulative—for each auction, an applicant is permitted to claim either a small business bidding credit or a rural service provider bidding credit, but not both.</w:t>
      </w:r>
    </w:p>
    <w:p w:rsidR="002F7580" w:rsidP="002F7580" w14:paraId="51566404" w14:textId="1FDAA93C">
      <w:pPr>
        <w:spacing w:after="120" w:line="240" w:lineRule="auto"/>
      </w:pPr>
      <w:r>
        <w:tab/>
        <w:t>For Auction 10</w:t>
      </w:r>
      <w:r w:rsidR="00DC3E28">
        <w:t>3</w:t>
      </w:r>
      <w:r>
        <w:t>:</w:t>
      </w:r>
    </w:p>
    <w:p w:rsidR="00E66265" w:rsidP="002F7580" w14:paraId="2F51A9B6" w14:textId="5B3D7178">
      <w:pPr>
        <w:numPr>
          <w:ilvl w:val="0"/>
          <w:numId w:val="8"/>
        </w:numPr>
        <w:tabs>
          <w:tab w:val="clear" w:pos="360"/>
        </w:tabs>
        <w:spacing w:after="120" w:line="240" w:lineRule="auto"/>
        <w:ind w:left="1080"/>
      </w:pPr>
      <w:r w:rsidRPr="005712E5">
        <w:t>A bidder with attributed average annual gross revenues that do not exceed $55 million for the preceding three years is eligible to receive a 15 percent discount on its winning bid.</w:t>
      </w:r>
    </w:p>
    <w:p w:rsidR="00E66265" w:rsidP="002F7580" w14:paraId="07F808EE" w14:textId="75E5554D">
      <w:pPr>
        <w:numPr>
          <w:ilvl w:val="0"/>
          <w:numId w:val="8"/>
        </w:numPr>
        <w:tabs>
          <w:tab w:val="clear" w:pos="360"/>
        </w:tabs>
        <w:spacing w:after="120" w:line="240" w:lineRule="auto"/>
        <w:ind w:left="1080"/>
      </w:pPr>
      <w:r w:rsidRPr="005712E5">
        <w:t>A bidder with attributed average annual gross revenues that do not exceed $20 million for the preceding three years is eligible to receive a 25 percent discount on its winning bid</w:t>
      </w:r>
      <w:r>
        <w:t>.</w:t>
      </w:r>
    </w:p>
    <w:p w:rsidR="00E66265" w:rsidP="002F7580" w14:paraId="7A066614" w14:textId="215ACA05">
      <w:pPr>
        <w:numPr>
          <w:ilvl w:val="0"/>
          <w:numId w:val="8"/>
        </w:numPr>
        <w:tabs>
          <w:tab w:val="clear" w:pos="360"/>
        </w:tabs>
        <w:spacing w:after="120" w:line="240" w:lineRule="auto"/>
        <w:ind w:left="1080"/>
      </w:pPr>
      <w:r w:rsidRPr="003B34A1">
        <w:t>A bidder</w:t>
      </w:r>
      <w:r w:rsidRPr="00326BC4">
        <w:t xml:space="preserve"> </w:t>
      </w:r>
      <w:r>
        <w:t>satisfying</w:t>
      </w:r>
      <w:r w:rsidRPr="00326BC4">
        <w:t xml:space="preserve"> the eligibility requirements for a rural service provider bidding credit </w:t>
      </w:r>
      <w:r>
        <w:t>is</w:t>
      </w:r>
      <w:r w:rsidRPr="00326BC4">
        <w:t xml:space="preserve"> eligible </w:t>
      </w:r>
      <w:r>
        <w:t>to receive a</w:t>
      </w:r>
      <w:r w:rsidRPr="00126D60">
        <w:t xml:space="preserve"> 15 percent discount on its winning bid.  </w:t>
      </w:r>
    </w:p>
    <w:p w:rsidR="00B93860" w:rsidP="00E66265" w14:paraId="31CA8DC1" w14:textId="1D78B86B">
      <w:pPr>
        <w:spacing w:after="120" w:line="240" w:lineRule="auto"/>
        <w:ind w:firstLine="720"/>
      </w:pPr>
      <w:r w:rsidRPr="00293E22">
        <w:t xml:space="preserve">The </w:t>
      </w:r>
      <w:r w:rsidRPr="00E66265">
        <w:rPr>
          <w:i/>
        </w:rPr>
        <w:t>Aucti</w:t>
      </w:r>
      <w:r w:rsidR="007B28C1">
        <w:rPr>
          <w:i/>
        </w:rPr>
        <w:t>on 103</w:t>
      </w:r>
      <w:r w:rsidRPr="00E66265">
        <w:rPr>
          <w:i/>
        </w:rPr>
        <w:t xml:space="preserve"> Procedures Public Notice</w:t>
      </w:r>
      <w:r>
        <w:t xml:space="preserve"> established</w:t>
      </w:r>
      <w:r w:rsidRPr="00EF77DD">
        <w:t xml:space="preserve"> </w:t>
      </w:r>
      <w:r w:rsidR="002D041C">
        <w:t xml:space="preserve">caps on </w:t>
      </w:r>
      <w:r w:rsidRPr="00EF77DD">
        <w:t xml:space="preserve">the total amount of bidding credits that may be awarded to an eligible small business </w:t>
      </w:r>
      <w:r w:rsidR="002D041C">
        <w:t xml:space="preserve">and rural service provider </w:t>
      </w:r>
      <w:r w:rsidRPr="00EF77DD">
        <w:t>in Auction 10</w:t>
      </w:r>
      <w:r w:rsidR="007B28C1">
        <w:t>3</w:t>
      </w:r>
      <w:r w:rsidRPr="00EF77DD">
        <w:t>.</w:t>
      </w:r>
      <w:r>
        <w:rPr>
          <w:rStyle w:val="FootnoteReference"/>
        </w:rPr>
        <w:footnoteReference w:id="10"/>
      </w:r>
      <w:r w:rsidRPr="00EF77DD">
        <w:t xml:space="preserve">  </w:t>
      </w:r>
    </w:p>
    <w:p w:rsidR="002D041C" w:rsidP="002D041C" w14:paraId="62AA08B9" w14:textId="5B962D07">
      <w:pPr>
        <w:pStyle w:val="ListParagraph"/>
        <w:numPr>
          <w:ilvl w:val="0"/>
          <w:numId w:val="13"/>
        </w:numPr>
        <w:spacing w:after="120" w:line="240" w:lineRule="auto"/>
        <w:ind w:left="1080"/>
      </w:pPr>
      <w:r>
        <w:t>There is</w:t>
      </w:r>
      <w:r w:rsidR="0033780C">
        <w:t xml:space="preserve"> a</w:t>
      </w:r>
      <w:r>
        <w:t xml:space="preserve"> $</w:t>
      </w:r>
      <w:r w:rsidRPr="00EF77DD">
        <w:t>25 million cap on the total amount of bidding credits that may be awarded to an eligible small business</w:t>
      </w:r>
      <w:r>
        <w:t>.</w:t>
      </w:r>
    </w:p>
    <w:p w:rsidR="002D041C" w:rsidP="0033780C" w14:paraId="353BEBA6" w14:textId="77777777">
      <w:pPr>
        <w:pStyle w:val="ListParagraph"/>
        <w:spacing w:after="120" w:line="240" w:lineRule="auto"/>
        <w:ind w:left="1080"/>
      </w:pPr>
    </w:p>
    <w:p w:rsidR="002D041C" w:rsidP="002D041C" w14:paraId="2A8858F4" w14:textId="10DA3B31">
      <w:pPr>
        <w:pStyle w:val="ListParagraph"/>
        <w:numPr>
          <w:ilvl w:val="0"/>
          <w:numId w:val="13"/>
        </w:numPr>
        <w:spacing w:after="120" w:line="240" w:lineRule="auto"/>
        <w:ind w:left="1080"/>
      </w:pPr>
      <w:r>
        <w:t xml:space="preserve">There is </w:t>
      </w:r>
      <w:r w:rsidRPr="00EF77DD" w:rsidR="00E66265">
        <w:t xml:space="preserve">a $10 million cap on the total amount of bidding credits that may be awarded to an eligible rural service provider.  </w:t>
      </w:r>
    </w:p>
    <w:p w:rsidR="002D041C" w:rsidP="0033780C" w14:paraId="26FBB204" w14:textId="77777777">
      <w:pPr>
        <w:pStyle w:val="ListParagraph"/>
        <w:spacing w:after="120" w:line="240" w:lineRule="auto"/>
        <w:ind w:left="1080"/>
      </w:pPr>
      <w:r>
        <w:t xml:space="preserve"> </w:t>
      </w:r>
    </w:p>
    <w:p w:rsidR="002D041C" w:rsidP="002D041C" w14:paraId="468626D7" w14:textId="246D0C3A">
      <w:pPr>
        <w:pStyle w:val="ListParagraph"/>
        <w:numPr>
          <w:ilvl w:val="0"/>
          <w:numId w:val="13"/>
        </w:numPr>
        <w:spacing w:after="0" w:line="240" w:lineRule="auto"/>
        <w:ind w:left="1080"/>
      </w:pPr>
      <w:r>
        <w:t>N</w:t>
      </w:r>
      <w:r w:rsidRPr="00EF77DD" w:rsidR="00E66265">
        <w:t>o winning designated entity bidder may obtain more than $10 million in bidding credits in total for licenses won in markets with a population of 500,000 or less.</w:t>
      </w:r>
      <w:r>
        <w:t xml:space="preserve"> </w:t>
      </w:r>
    </w:p>
    <w:p w:rsidR="002D041C" w:rsidRPr="005B509A" w:rsidP="0033780C" w14:paraId="21443CA0" w14:textId="77777777">
      <w:pPr>
        <w:spacing w:after="0" w:line="240" w:lineRule="auto"/>
      </w:pPr>
    </w:p>
    <w:p w:rsidR="00160604" w:rsidRPr="00A4487F" w:rsidP="002F7580" w14:paraId="2221DFEE" w14:textId="016A9FE8">
      <w:pPr>
        <w:pStyle w:val="ListParagraph"/>
        <w:keepNext/>
        <w:widowControl w:val="0"/>
        <w:numPr>
          <w:ilvl w:val="0"/>
          <w:numId w:val="3"/>
        </w:numPr>
        <w:tabs>
          <w:tab w:val="left" w:pos="720"/>
        </w:tabs>
        <w:spacing w:after="120" w:line="240" w:lineRule="auto"/>
        <w:outlineLvl w:val="1"/>
        <w:rPr>
          <w:rFonts w:ascii="Times New Roman" w:hAnsi="Times New Roman" w:cs="Times New Roman"/>
          <w:b/>
        </w:rPr>
      </w:pPr>
      <w:r>
        <w:rPr>
          <w:rFonts w:ascii="Times New Roman" w:hAnsi="Times New Roman" w:cs="Times New Roman"/>
          <w:b/>
        </w:rPr>
        <w:t>Bidding Procedures</w:t>
      </w:r>
    </w:p>
    <w:p w:rsidR="005B509A" w:rsidP="005B509A" w14:paraId="55A2896A" w14:textId="66DC91A0">
      <w:pPr>
        <w:spacing w:after="120" w:line="240" w:lineRule="auto"/>
        <w:ind w:firstLine="720"/>
      </w:pPr>
      <w:r w:rsidRPr="009404B2">
        <w:t xml:space="preserve">The </w:t>
      </w:r>
      <w:r>
        <w:t>Office of Economics and Analytics (OEA), in conjunction with the</w:t>
      </w:r>
      <w:r w:rsidR="00D73824">
        <w:t xml:space="preserve"> Wireless Telecommunications Bureau</w:t>
      </w:r>
      <w:r>
        <w:t xml:space="preserve"> (</w:t>
      </w:r>
      <w:r w:rsidR="00D73824">
        <w:t>WTB</w:t>
      </w:r>
      <w:r>
        <w:t>),</w:t>
      </w:r>
      <w:r w:rsidRPr="009404B2">
        <w:t xml:space="preserve"> adopted</w:t>
      </w:r>
      <w:r w:rsidRPr="00435180" w:rsidR="00CF0E02">
        <w:t xml:space="preserve"> an ascending clock auction design with two phases</w:t>
      </w:r>
      <w:r w:rsidR="00CF0E02">
        <w:t>.</w:t>
      </w:r>
      <w:r>
        <w:rPr>
          <w:rStyle w:val="FootnoteReference"/>
        </w:rPr>
        <w:footnoteReference w:id="11"/>
      </w:r>
      <w:r w:rsidR="00CF0E02">
        <w:t xml:space="preserve">  </w:t>
      </w:r>
      <w:r w:rsidRPr="00CF0E02" w:rsidR="00CF0E02">
        <w:t>In the first phase of the auction—the clock phase—bidders indicate</w:t>
      </w:r>
      <w:r w:rsidR="00CF0E02">
        <w:t>d</w:t>
      </w:r>
      <w:r w:rsidRPr="00CF0E02" w:rsidR="00CF0E02">
        <w:t xml:space="preserve"> their demands for a number of generic license blocks in specific categories and geographic areas (i.e., PEAs).  In the second phase—the assignment phase—winning clock-phase bidders</w:t>
      </w:r>
      <w:r w:rsidR="00EA5BF9">
        <w:t xml:space="preserve"> were provided with an opportunity</w:t>
      </w:r>
      <w:r w:rsidRPr="00CF0E02" w:rsidR="00CF0E02">
        <w:t xml:space="preserve"> to bid for their preferred combinations of frequency-specific licenses, consistent with their clock-phase winnings, in a series of single sealed-bid rounds conducted by PEA or, in some cases, PEA group.</w:t>
      </w:r>
      <w:r w:rsidRPr="009404B2" w:rsidR="00CF0E02">
        <w:t xml:space="preserve"> </w:t>
      </w:r>
      <w:r w:rsidR="00CF0E02">
        <w:t xml:space="preserve"> </w:t>
      </w:r>
      <w:r w:rsidR="00BA2542">
        <w:t>Additional procedures adopted for Auction 10</w:t>
      </w:r>
      <w:r w:rsidR="00CF0E02">
        <w:t>3</w:t>
      </w:r>
      <w:r w:rsidR="00BA2542">
        <w:t xml:space="preserve"> include:</w:t>
      </w:r>
    </w:p>
    <w:p w:rsidR="00BA2542" w:rsidRPr="00BA2542" w:rsidP="00BA2542" w14:paraId="7807A091" w14:textId="7869C74C">
      <w:pPr>
        <w:pStyle w:val="ParaNum"/>
        <w:numPr>
          <w:ilvl w:val="0"/>
          <w:numId w:val="9"/>
        </w:numPr>
        <w:rPr>
          <w:sz w:val="22"/>
          <w:szCs w:val="22"/>
        </w:rPr>
      </w:pPr>
      <w:r w:rsidRPr="00BA2542">
        <w:rPr>
          <w:sz w:val="22"/>
          <w:szCs w:val="22"/>
        </w:rPr>
        <w:t>a specific minimum opening bid amount</w:t>
      </w:r>
      <w:r>
        <w:rPr>
          <w:sz w:val="22"/>
          <w:szCs w:val="22"/>
        </w:rPr>
        <w:t xml:space="preserve"> </w:t>
      </w:r>
      <w:r w:rsidRPr="00BA2542">
        <w:rPr>
          <w:sz w:val="22"/>
          <w:szCs w:val="22"/>
        </w:rPr>
        <w:t>for generic blocks in each PEA available in Auction 10</w:t>
      </w:r>
      <w:r w:rsidR="00D03EB1">
        <w:rPr>
          <w:sz w:val="22"/>
          <w:szCs w:val="22"/>
        </w:rPr>
        <w:t>3</w:t>
      </w:r>
      <w:r w:rsidRPr="00BA2542">
        <w:rPr>
          <w:sz w:val="22"/>
          <w:szCs w:val="22"/>
        </w:rPr>
        <w:t>;</w:t>
      </w:r>
    </w:p>
    <w:p w:rsidR="00BA2542" w:rsidRPr="00BA2542" w:rsidP="00BA2542" w14:paraId="57A7E285" w14:textId="6593E3D4">
      <w:pPr>
        <w:pStyle w:val="ParaNum"/>
        <w:numPr>
          <w:ilvl w:val="0"/>
          <w:numId w:val="9"/>
        </w:numPr>
        <w:rPr>
          <w:sz w:val="22"/>
          <w:szCs w:val="22"/>
        </w:rPr>
      </w:pPr>
      <w:r w:rsidRPr="00BA2542">
        <w:rPr>
          <w:sz w:val="22"/>
          <w:szCs w:val="22"/>
        </w:rPr>
        <w:t>a specific upfront payment amount for generic blocks in each PEA available in Auction 10</w:t>
      </w:r>
      <w:r w:rsidR="00D03EB1">
        <w:rPr>
          <w:sz w:val="22"/>
          <w:szCs w:val="22"/>
        </w:rPr>
        <w:t>3</w:t>
      </w:r>
      <w:r w:rsidRPr="00BA2542">
        <w:rPr>
          <w:sz w:val="22"/>
          <w:szCs w:val="22"/>
        </w:rPr>
        <w:t>;</w:t>
      </w:r>
    </w:p>
    <w:p w:rsidR="00BA2542" w:rsidRPr="00BA2542" w:rsidP="00BA2542" w14:paraId="5EA9EE4B" w14:textId="1E388C22">
      <w:pPr>
        <w:pStyle w:val="ParaNum"/>
        <w:numPr>
          <w:ilvl w:val="0"/>
          <w:numId w:val="9"/>
        </w:numPr>
        <w:rPr>
          <w:sz w:val="22"/>
          <w:szCs w:val="22"/>
        </w:rPr>
      </w:pPr>
      <w:r w:rsidRPr="00BA2542">
        <w:rPr>
          <w:sz w:val="22"/>
          <w:szCs w:val="22"/>
        </w:rPr>
        <w:t>establishment of a bidder’s initial bidding eligibility in bidding units based on that bidder’s upfront payment</w:t>
      </w:r>
      <w:r w:rsidR="009F28C7">
        <w:rPr>
          <w:sz w:val="22"/>
          <w:szCs w:val="22"/>
        </w:rPr>
        <w:t>;</w:t>
      </w:r>
    </w:p>
    <w:p w:rsidR="00BA2542" w:rsidRPr="00BA2542" w:rsidP="00BA2542" w14:paraId="38279541" w14:textId="77777777">
      <w:pPr>
        <w:pStyle w:val="ParaNum"/>
        <w:numPr>
          <w:ilvl w:val="0"/>
          <w:numId w:val="9"/>
        </w:numPr>
        <w:rPr>
          <w:sz w:val="22"/>
          <w:szCs w:val="22"/>
        </w:rPr>
      </w:pPr>
      <w:r w:rsidRPr="00BA2542">
        <w:rPr>
          <w:sz w:val="22"/>
          <w:szCs w:val="22"/>
        </w:rPr>
        <w:t>use of an activity rule that would require bidders to bid actively during the auction rather than waiting until late in the auction before participating;</w:t>
      </w:r>
    </w:p>
    <w:p w:rsidR="00BA2542" w:rsidRPr="00BA2542" w:rsidP="00BA2542" w14:paraId="4570A73B" w14:textId="110CD69C">
      <w:pPr>
        <w:pStyle w:val="ParaNum"/>
        <w:numPr>
          <w:ilvl w:val="0"/>
          <w:numId w:val="9"/>
        </w:numPr>
        <w:rPr>
          <w:sz w:val="22"/>
          <w:szCs w:val="22"/>
        </w:rPr>
      </w:pPr>
      <w:r w:rsidRPr="00BA2542">
        <w:rPr>
          <w:sz w:val="22"/>
          <w:szCs w:val="22"/>
        </w:rPr>
        <w:t>a requirement that bidders be active on between 9</w:t>
      </w:r>
      <w:r w:rsidR="00D03EB1">
        <w:rPr>
          <w:sz w:val="22"/>
          <w:szCs w:val="22"/>
        </w:rPr>
        <w:t>0</w:t>
      </w:r>
      <w:r w:rsidRPr="00BA2542">
        <w:rPr>
          <w:sz w:val="22"/>
          <w:szCs w:val="22"/>
        </w:rPr>
        <w:t xml:space="preserve"> and </w:t>
      </w:r>
      <w:r w:rsidR="00D03EB1">
        <w:rPr>
          <w:sz w:val="22"/>
          <w:szCs w:val="22"/>
        </w:rPr>
        <w:t>100</w:t>
      </w:r>
      <w:r w:rsidRPr="00BA2542">
        <w:rPr>
          <w:sz w:val="22"/>
          <w:szCs w:val="22"/>
        </w:rPr>
        <w:t xml:space="preserve"> percent of their bidding eligibility in all regular clock rounds;</w:t>
      </w:r>
    </w:p>
    <w:p w:rsidR="00BA2542" w:rsidRPr="00BA2542" w:rsidP="00BA2542" w14:paraId="3414372D" w14:textId="4BE1C8C9">
      <w:pPr>
        <w:pStyle w:val="ParaNum"/>
        <w:widowControl/>
        <w:numPr>
          <w:ilvl w:val="0"/>
          <w:numId w:val="9"/>
        </w:numPr>
        <w:rPr>
          <w:sz w:val="22"/>
          <w:szCs w:val="22"/>
        </w:rPr>
      </w:pPr>
      <w:r w:rsidRPr="00BA2542">
        <w:rPr>
          <w:sz w:val="22"/>
          <w:szCs w:val="22"/>
        </w:rPr>
        <w:t>establishment of acceptable bid amounts, including clock price increments and intra-round bids, along with a methodology for calculating such amounts;</w:t>
      </w:r>
    </w:p>
    <w:p w:rsidR="00BA2542" w:rsidRPr="00BA2542" w:rsidP="00BA2542" w14:paraId="0695804F" w14:textId="3C9CFA9F">
      <w:pPr>
        <w:pStyle w:val="ParaNum"/>
        <w:numPr>
          <w:ilvl w:val="0"/>
          <w:numId w:val="9"/>
        </w:numPr>
        <w:rPr>
          <w:sz w:val="22"/>
          <w:szCs w:val="22"/>
        </w:rPr>
      </w:pPr>
      <w:r w:rsidRPr="00BA2542">
        <w:rPr>
          <w:sz w:val="22"/>
          <w:szCs w:val="22"/>
        </w:rPr>
        <w:t>a</w:t>
      </w:r>
      <w:r w:rsidR="009F28C7">
        <w:rPr>
          <w:sz w:val="22"/>
          <w:szCs w:val="22"/>
        </w:rPr>
        <w:t xml:space="preserve"> proposed</w:t>
      </w:r>
      <w:r w:rsidRPr="00BA2542">
        <w:rPr>
          <w:sz w:val="22"/>
          <w:szCs w:val="22"/>
        </w:rPr>
        <w:t xml:space="preserve"> methodology for processing bids and requests to reduce demand;</w:t>
      </w:r>
    </w:p>
    <w:p w:rsidR="00BA2542" w:rsidP="001F795E" w14:paraId="2655C7E6" w14:textId="0EEE691F">
      <w:pPr>
        <w:pStyle w:val="ParaNum"/>
        <w:numPr>
          <w:ilvl w:val="0"/>
          <w:numId w:val="9"/>
        </w:numPr>
        <w:rPr>
          <w:sz w:val="22"/>
          <w:szCs w:val="22"/>
        </w:rPr>
      </w:pPr>
      <w:r w:rsidRPr="001F64F8">
        <w:rPr>
          <w:sz w:val="22"/>
          <w:szCs w:val="22"/>
        </w:rPr>
        <w:t>bid removal procedure</w:t>
      </w:r>
      <w:r w:rsidRPr="001F64F8" w:rsidR="001F64F8">
        <w:rPr>
          <w:sz w:val="22"/>
          <w:szCs w:val="22"/>
        </w:rPr>
        <w:t>s</w:t>
      </w:r>
      <w:r w:rsidR="001F64F8">
        <w:rPr>
          <w:sz w:val="22"/>
          <w:szCs w:val="22"/>
        </w:rPr>
        <w:t xml:space="preserve"> and </w:t>
      </w:r>
      <w:r w:rsidRPr="001F64F8">
        <w:rPr>
          <w:sz w:val="22"/>
          <w:szCs w:val="22"/>
        </w:rPr>
        <w:t>prohibition of withdrawals;</w:t>
      </w:r>
    </w:p>
    <w:p w:rsidR="009F28C7" w:rsidRPr="009F28C7" w:rsidP="009F28C7" w14:paraId="6B437DA9" w14:textId="11CDD269">
      <w:pPr>
        <w:numPr>
          <w:ilvl w:val="0"/>
          <w:numId w:val="9"/>
        </w:numPr>
        <w:spacing w:after="120" w:line="240" w:lineRule="auto"/>
      </w:pPr>
      <w:r w:rsidRPr="00435180">
        <w:t>a procedure for breaking ties if identical high bid amounts are submitted on a license in a given round;</w:t>
      </w:r>
    </w:p>
    <w:p w:rsidR="00BA2542" w:rsidRPr="001F64F8" w:rsidP="001F64F8" w14:paraId="3DF49FA7" w14:textId="2CECE072">
      <w:pPr>
        <w:pStyle w:val="ParaNum"/>
        <w:numPr>
          <w:ilvl w:val="0"/>
          <w:numId w:val="9"/>
        </w:numPr>
        <w:rPr>
          <w:sz w:val="22"/>
          <w:szCs w:val="22"/>
        </w:rPr>
      </w:pPr>
      <w:r w:rsidRPr="001F64F8">
        <w:rPr>
          <w:sz w:val="22"/>
          <w:szCs w:val="22"/>
        </w:rPr>
        <w:t xml:space="preserve">establishment of an additional default payment of 15 percent under Section 1.2104(g)(2) of the rules in the event that a winning bidder defaults or is disqualified after </w:t>
      </w:r>
      <w:r w:rsidR="00257D82">
        <w:rPr>
          <w:sz w:val="22"/>
          <w:szCs w:val="22"/>
        </w:rPr>
        <w:t>the</w:t>
      </w:r>
      <w:r w:rsidRPr="001F64F8">
        <w:rPr>
          <w:sz w:val="22"/>
          <w:szCs w:val="22"/>
        </w:rPr>
        <w:t xml:space="preserve"> auction.</w:t>
      </w:r>
    </w:p>
    <w:p w:rsidR="00154D9C" w:rsidP="001E6D97" w14:paraId="62A5574F" w14:textId="254E186A">
      <w:pPr>
        <w:spacing w:after="120" w:line="240" w:lineRule="auto"/>
        <w:ind w:firstLine="720"/>
      </w:pPr>
      <w:r w:rsidRPr="009404B2">
        <w:t>Bidding in the clock phase of Auction 10</w:t>
      </w:r>
      <w:r w:rsidR="003C77A2">
        <w:t>3</w:t>
      </w:r>
      <w:r w:rsidRPr="009404B2">
        <w:t xml:space="preserve"> began on </w:t>
      </w:r>
      <w:r w:rsidR="003C77A2">
        <w:t>December 10</w:t>
      </w:r>
      <w:r w:rsidRPr="009404B2">
        <w:t>, 2019</w:t>
      </w:r>
      <w:r w:rsidR="00E12C26">
        <w:t xml:space="preserve"> and ended on </w:t>
      </w:r>
      <w:r w:rsidR="00AB63C7">
        <w:t>January</w:t>
      </w:r>
      <w:r w:rsidR="00E12C26">
        <w:t xml:space="preserve"> </w:t>
      </w:r>
      <w:r w:rsidR="00AB63C7">
        <w:t>30</w:t>
      </w:r>
      <w:r w:rsidR="00E12C26">
        <w:t>, 20</w:t>
      </w:r>
      <w:r w:rsidR="003C77A2">
        <w:t>20</w:t>
      </w:r>
      <w:r w:rsidRPr="009404B2">
        <w:t xml:space="preserve">.  </w:t>
      </w:r>
      <w:r w:rsidR="00E12C26">
        <w:t>B</w:t>
      </w:r>
      <w:r w:rsidRPr="009404B2">
        <w:t xml:space="preserve">idding on all generic spectrum blocks in all PEAs </w:t>
      </w:r>
      <w:r w:rsidR="00E12C26">
        <w:t xml:space="preserve">was </w:t>
      </w:r>
      <w:r w:rsidRPr="009404B2">
        <w:t>conducted on each business day until bidding stopped on all spectrum blocks in all PEAs.</w:t>
      </w:r>
      <w:r>
        <w:rPr>
          <w:vertAlign w:val="superscript"/>
        </w:rPr>
        <w:footnoteReference w:id="12"/>
      </w:r>
      <w:r w:rsidRPr="009404B2">
        <w:t xml:space="preserve"> </w:t>
      </w:r>
      <w:r w:rsidR="0033780C">
        <w:t xml:space="preserve"> </w:t>
      </w:r>
      <w:r w:rsidRPr="00154D9C">
        <w:t xml:space="preserve">On </w:t>
      </w:r>
      <w:r w:rsidR="00AB63C7">
        <w:t>February 5</w:t>
      </w:r>
      <w:r w:rsidRPr="00154D9C">
        <w:t>,</w:t>
      </w:r>
      <w:r w:rsidR="00AB63C7">
        <w:t xml:space="preserve"> 2020</w:t>
      </w:r>
      <w:r w:rsidR="00257D82">
        <w:t>,</w:t>
      </w:r>
      <w:r w:rsidRPr="00154D9C">
        <w:t xml:space="preserve"> OEA</w:t>
      </w:r>
      <w:r w:rsidR="00257D82">
        <w:t xml:space="preserve"> </w:t>
      </w:r>
      <w:r w:rsidRPr="00154D9C">
        <w:t>in conjunction with WTB issued a Public Notice announcing the close of clock phase bidding.</w:t>
      </w:r>
      <w:r>
        <w:rPr>
          <w:rStyle w:val="FootnoteReference"/>
        </w:rPr>
        <w:footnoteReference w:id="13"/>
      </w:r>
      <w:r>
        <w:t xml:space="preserve"> </w:t>
      </w:r>
      <w:r w:rsidRPr="009404B2">
        <w:t xml:space="preserve"> </w:t>
      </w:r>
      <w:r w:rsidRPr="00154D9C">
        <w:t>The Public Notice provided information regarding the assignment phase of Auction 10</w:t>
      </w:r>
      <w:r w:rsidR="00AB63C7">
        <w:t>3</w:t>
      </w:r>
      <w:r w:rsidR="0033780C">
        <w:t>,</w:t>
      </w:r>
      <w:r w:rsidRPr="00154D9C">
        <w:t xml:space="preserve"> including the </w:t>
      </w:r>
      <w:r w:rsidR="0033780C">
        <w:t xml:space="preserve">availability of the </w:t>
      </w:r>
      <w:r w:rsidRPr="00154D9C">
        <w:t>assignment phase bidding system and data, the mock auction schedule, the Auction 10</w:t>
      </w:r>
      <w:r w:rsidR="00AB63C7">
        <w:t>3</w:t>
      </w:r>
      <w:r w:rsidRPr="00154D9C">
        <w:t xml:space="preserve"> Assignment </w:t>
      </w:r>
      <w:r w:rsidR="00C93675">
        <w:t xml:space="preserve">Phase Bidding </w:t>
      </w:r>
      <w:r w:rsidRPr="00154D9C">
        <w:t>System User Guide</w:t>
      </w:r>
      <w:r w:rsidR="00C93675">
        <w:t>,</w:t>
      </w:r>
      <w:r w:rsidRPr="00154D9C">
        <w:t xml:space="preserve"> and an online tutorial on bidding in the assignment phase.</w:t>
      </w:r>
      <w:r>
        <w:rPr>
          <w:rStyle w:val="FootnoteReference"/>
        </w:rPr>
        <w:footnoteReference w:id="14"/>
      </w:r>
    </w:p>
    <w:p w:rsidR="005B109B" w:rsidP="0071520F" w14:paraId="7009733A" w14:textId="7E6BA343">
      <w:pPr>
        <w:spacing w:after="120" w:line="240" w:lineRule="auto"/>
        <w:ind w:firstLine="720"/>
      </w:pPr>
      <w:r>
        <w:t>W</w:t>
      </w:r>
      <w:r w:rsidRPr="005B109B">
        <w:t xml:space="preserve">inning clock phase bidders </w:t>
      </w:r>
      <w:r>
        <w:t xml:space="preserve">were sent the </w:t>
      </w:r>
      <w:r w:rsidRPr="005B109B">
        <w:t>Public Notice along with important information necessary to participate in the assignment phase by overnight delivery.</w:t>
      </w:r>
      <w:r>
        <w:t xml:space="preserve">  Additionally, w</w:t>
      </w:r>
      <w:r w:rsidRPr="005B109B">
        <w:t>inning clock phase bidders can access both the user guide and tutorial in electronic form in the “Education” section of the Auction 10</w:t>
      </w:r>
      <w:r w:rsidR="00EE188E">
        <w:t>3</w:t>
      </w:r>
      <w:r w:rsidRPr="005B109B">
        <w:t xml:space="preserve"> website at</w:t>
      </w:r>
      <w:r w:rsidR="00EE188E">
        <w:t xml:space="preserve"> </w:t>
      </w:r>
      <w:hyperlink r:id="rId8" w:history="1">
        <w:r w:rsidRPr="00012039" w:rsidR="00EE188E">
          <w:rPr>
            <w:rStyle w:val="Hyperlink"/>
          </w:rPr>
          <w:t>www.fcc.gov/auction/103/education</w:t>
        </w:r>
      </w:hyperlink>
      <w:r w:rsidRPr="005B109B">
        <w:t>.</w:t>
      </w:r>
      <w:r>
        <w:t xml:space="preserve"> </w:t>
      </w:r>
      <w:r w:rsidRPr="005B109B">
        <w:t xml:space="preserve"> </w:t>
      </w:r>
    </w:p>
    <w:p w:rsidR="00430E97" w:rsidRPr="001E6D97" w:rsidP="0071520F" w14:paraId="0263387B" w14:textId="6C6390F7">
      <w:pPr>
        <w:spacing w:after="120" w:line="240" w:lineRule="auto"/>
        <w:ind w:firstLine="720"/>
      </w:pPr>
      <w:r w:rsidRPr="007A7B98">
        <w:rPr>
          <w:rFonts w:ascii="Times New Roman" w:hAnsi="Times New Roman" w:cs="Times New Roman"/>
        </w:rPr>
        <w:t xml:space="preserve">On March 5, 2020, bidding in Auction 103 concluded following the close of bidding in the assignment phase.  </w:t>
      </w:r>
      <w:r>
        <w:rPr>
          <w:rFonts w:ascii="Times New Roman" w:hAnsi="Times New Roman" w:cs="Times New Roman"/>
        </w:rPr>
        <w:t xml:space="preserve">On March 12, 2020 by </w:t>
      </w:r>
      <w:r w:rsidRPr="007A7B98">
        <w:rPr>
          <w:rFonts w:ascii="Times New Roman" w:hAnsi="Times New Roman" w:cs="Times New Roman"/>
        </w:rPr>
        <w:t xml:space="preserve">Public Notice, </w:t>
      </w:r>
      <w:r>
        <w:rPr>
          <w:rFonts w:ascii="Times New Roman" w:hAnsi="Times New Roman" w:cs="Times New Roman"/>
        </w:rPr>
        <w:t xml:space="preserve">OEA in conjunction with </w:t>
      </w:r>
      <w:r w:rsidRPr="007A7B98">
        <w:rPr>
          <w:rFonts w:ascii="Times New Roman" w:hAnsi="Times New Roman" w:cs="Times New Roman"/>
        </w:rPr>
        <w:t>WTB, announce</w:t>
      </w:r>
      <w:r>
        <w:rPr>
          <w:rFonts w:ascii="Times New Roman" w:hAnsi="Times New Roman" w:cs="Times New Roman"/>
        </w:rPr>
        <w:t>d</w:t>
      </w:r>
      <w:r w:rsidRPr="007A7B98">
        <w:rPr>
          <w:rFonts w:ascii="Times New Roman" w:hAnsi="Times New Roman" w:cs="Times New Roman"/>
        </w:rPr>
        <w:t xml:space="preserve"> the results of Auction 103.</w:t>
      </w:r>
      <w:r>
        <w:rPr>
          <w:rStyle w:val="FootnoteReference"/>
          <w:rFonts w:ascii="Times New Roman" w:hAnsi="Times New Roman" w:cs="Times New Roman"/>
        </w:rPr>
        <w:footnoteReference w:id="15"/>
      </w:r>
      <w:r w:rsidRPr="007A7B98">
        <w:rPr>
          <w:rFonts w:ascii="Times New Roman" w:hAnsi="Times New Roman" w:cs="Times New Roman"/>
        </w:rPr>
        <w:t xml:space="preserve">  </w:t>
      </w:r>
    </w:p>
    <w:p w:rsidR="00160604" w:rsidRPr="00DB0F1A" w:rsidP="002F7580" w14:paraId="2FFB7B26" w14:textId="1D92E89F">
      <w:pPr>
        <w:pStyle w:val="ListParagraph"/>
        <w:keepNext/>
        <w:widowControl w:val="0"/>
        <w:numPr>
          <w:ilvl w:val="0"/>
          <w:numId w:val="3"/>
        </w:numPr>
        <w:tabs>
          <w:tab w:val="left" w:pos="720"/>
        </w:tabs>
        <w:spacing w:after="120" w:line="240" w:lineRule="auto"/>
        <w:outlineLvl w:val="1"/>
        <w:rPr>
          <w:rFonts w:ascii="Times New Roman" w:hAnsi="Times New Roman" w:cs="Times New Roman"/>
          <w:b/>
        </w:rPr>
      </w:pPr>
      <w:r>
        <w:rPr>
          <w:rFonts w:ascii="Times New Roman" w:hAnsi="Times New Roman" w:cs="Times New Roman"/>
          <w:b/>
        </w:rPr>
        <w:t>Post-Auction Procedures</w:t>
      </w:r>
    </w:p>
    <w:p w:rsidR="006662FF" w:rsidP="001E082B" w14:paraId="321BE617" w14:textId="49C3942A">
      <w:pPr>
        <w:pStyle w:val="ParaNum"/>
        <w:keepNext/>
        <w:numPr>
          <w:ilvl w:val="0"/>
          <w:numId w:val="0"/>
        </w:numPr>
        <w:ind w:firstLine="720"/>
        <w:rPr>
          <w:sz w:val="22"/>
          <w:szCs w:val="22"/>
        </w:rPr>
      </w:pPr>
      <w:bookmarkStart w:id="4" w:name="_Hlk36717347"/>
      <w:r w:rsidRPr="006662FF">
        <w:rPr>
          <w:sz w:val="22"/>
          <w:szCs w:val="22"/>
        </w:rPr>
        <w:t>Shortly after bidding end</w:t>
      </w:r>
      <w:r w:rsidR="008C4648">
        <w:rPr>
          <w:sz w:val="22"/>
          <w:szCs w:val="22"/>
        </w:rPr>
        <w:t>ed</w:t>
      </w:r>
      <w:r w:rsidRPr="006662FF">
        <w:rPr>
          <w:sz w:val="22"/>
          <w:szCs w:val="22"/>
        </w:rPr>
        <w:t xml:space="preserve"> in Auction 103, the Commission issue</w:t>
      </w:r>
      <w:r w:rsidR="008C4648">
        <w:rPr>
          <w:sz w:val="22"/>
          <w:szCs w:val="22"/>
        </w:rPr>
        <w:t>d</w:t>
      </w:r>
      <w:r w:rsidRPr="006662FF">
        <w:rPr>
          <w:sz w:val="22"/>
          <w:szCs w:val="22"/>
        </w:rPr>
        <w:t xml:space="preserve"> a public notice declaring that </w:t>
      </w:r>
      <w:r w:rsidR="008C4648">
        <w:rPr>
          <w:sz w:val="22"/>
          <w:szCs w:val="22"/>
        </w:rPr>
        <w:t xml:space="preserve">the </w:t>
      </w:r>
      <w:r w:rsidRPr="006662FF">
        <w:rPr>
          <w:sz w:val="22"/>
          <w:szCs w:val="22"/>
        </w:rPr>
        <w:t xml:space="preserve">auction </w:t>
      </w:r>
      <w:r w:rsidR="008C4648">
        <w:rPr>
          <w:sz w:val="22"/>
          <w:szCs w:val="22"/>
        </w:rPr>
        <w:t>had</w:t>
      </w:r>
      <w:r w:rsidRPr="006662FF">
        <w:rPr>
          <w:sz w:val="22"/>
          <w:szCs w:val="22"/>
        </w:rPr>
        <w:t xml:space="preserve"> closed and establishing deadlines for submitting down payment</w:t>
      </w:r>
      <w:r w:rsidR="008C4648">
        <w:rPr>
          <w:sz w:val="22"/>
          <w:szCs w:val="22"/>
        </w:rPr>
        <w:t>s</w:t>
      </w:r>
      <w:r w:rsidRPr="006662FF">
        <w:rPr>
          <w:sz w:val="22"/>
          <w:szCs w:val="22"/>
        </w:rPr>
        <w:t>, final payments, and the long-form application (FCC Form 601) for the Auction.</w:t>
      </w:r>
      <w:r>
        <w:rPr>
          <w:rStyle w:val="FootnoteReference"/>
          <w:sz w:val="22"/>
          <w:szCs w:val="22"/>
        </w:rPr>
        <w:footnoteReference w:id="16"/>
      </w:r>
      <w:r w:rsidRPr="006662FF">
        <w:rPr>
          <w:sz w:val="22"/>
          <w:szCs w:val="22"/>
        </w:rPr>
        <w:t xml:space="preserve">  Further instructions on these and other filing requirements </w:t>
      </w:r>
      <w:r w:rsidR="00BF7841">
        <w:rPr>
          <w:sz w:val="22"/>
          <w:szCs w:val="22"/>
        </w:rPr>
        <w:t>were</w:t>
      </w:r>
      <w:r w:rsidRPr="006662FF">
        <w:rPr>
          <w:sz w:val="22"/>
          <w:szCs w:val="22"/>
        </w:rPr>
        <w:t xml:space="preserve"> provided to winning bidders in the auction closing public notice for Auction 103. </w:t>
      </w:r>
    </w:p>
    <w:bookmarkEnd w:id="4"/>
    <w:p w:rsidR="006662FF" w:rsidRPr="001E082B" w:rsidP="001E082B" w14:paraId="33847DCD" w14:textId="3977559B">
      <w:pPr>
        <w:pStyle w:val="ParaNum"/>
        <w:keepNext/>
        <w:numPr>
          <w:ilvl w:val="0"/>
          <w:numId w:val="0"/>
        </w:numPr>
        <w:ind w:left="720"/>
        <w:rPr>
          <w:i/>
          <w:iCs/>
          <w:sz w:val="22"/>
          <w:szCs w:val="22"/>
          <w:u w:val="single"/>
        </w:rPr>
      </w:pPr>
      <w:r w:rsidRPr="001E082B">
        <w:rPr>
          <w:i/>
          <w:iCs/>
          <w:sz w:val="22"/>
          <w:szCs w:val="22"/>
          <w:u w:val="single"/>
        </w:rPr>
        <w:t>Tribal Lands Bidding Credit</w:t>
      </w:r>
    </w:p>
    <w:p w:rsidR="006662FF" w:rsidRPr="006662FF" w:rsidP="006662FF" w14:paraId="7CDAF158" w14:textId="77777777">
      <w:pPr>
        <w:pStyle w:val="ParaNum"/>
        <w:keepNext/>
        <w:rPr>
          <w:sz w:val="22"/>
          <w:szCs w:val="22"/>
        </w:rPr>
      </w:pPr>
      <w:r w:rsidRPr="006662FF">
        <w:rPr>
          <w:sz w:val="22"/>
          <w:szCs w:val="22"/>
        </w:rPr>
        <w:t xml:space="preserve">A tribal land bidding credit is available to any winning bidder that commits to deploying facilities and providing wireless services to qualifying tribal lands.  </w:t>
      </w:r>
    </w:p>
    <w:p w:rsidR="006662FF" w:rsidRPr="006662FF" w:rsidP="006662FF" w14:paraId="7669AEEF" w14:textId="6E218444">
      <w:pPr>
        <w:pStyle w:val="ParaNum"/>
        <w:keepNext/>
        <w:rPr>
          <w:sz w:val="22"/>
          <w:szCs w:val="22"/>
        </w:rPr>
      </w:pPr>
      <w:r w:rsidRPr="006662FF">
        <w:rPr>
          <w:sz w:val="22"/>
          <w:szCs w:val="22"/>
        </w:rPr>
        <w:t xml:space="preserve">For this purpose, qualifying tribal lands are defined as federally-recognized tribal areas that are either unserved by any telecommunications carrier or that have a telephone service penetration rate of 85 percent or less.  </w:t>
      </w:r>
    </w:p>
    <w:p w:rsidR="006662FF" w:rsidRPr="006662FF" w:rsidP="006662FF" w14:paraId="4F68EB4D" w14:textId="16DC0537">
      <w:pPr>
        <w:pStyle w:val="ParaNum"/>
        <w:keepNext/>
        <w:rPr>
          <w:sz w:val="22"/>
          <w:szCs w:val="22"/>
        </w:rPr>
      </w:pPr>
      <w:r w:rsidRPr="006662FF">
        <w:rPr>
          <w:sz w:val="22"/>
          <w:szCs w:val="22"/>
        </w:rPr>
        <w:t xml:space="preserve">The tribal lands bidding credit is in addition to, and separate from, any other bidding credit </w:t>
      </w:r>
      <w:r w:rsidRPr="006662FF">
        <w:rPr>
          <w:sz w:val="22"/>
          <w:szCs w:val="22"/>
        </w:rPr>
        <w:t xml:space="preserve">for which the applicant qualifies, such as the small business or rural service provider bidding credit. </w:t>
      </w:r>
    </w:p>
    <w:p w:rsidR="006662FF" w:rsidRPr="006662FF" w:rsidP="006662FF" w14:paraId="0717D925" w14:textId="11C0C0A9">
      <w:pPr>
        <w:pStyle w:val="ParaNum"/>
        <w:keepNext/>
        <w:rPr>
          <w:sz w:val="22"/>
          <w:szCs w:val="22"/>
        </w:rPr>
      </w:pPr>
      <w:r w:rsidRPr="006662FF">
        <w:rPr>
          <w:sz w:val="22"/>
          <w:szCs w:val="22"/>
        </w:rPr>
        <w:t xml:space="preserve">Unlike other bidding credits that are requested prior to the auction, a winning bidder applies for the tribal lands bidding credit after the auction when it files its FCC Form 601 post-auction application.  </w:t>
      </w:r>
    </w:p>
    <w:p w:rsidR="004532AF" w:rsidRPr="008D2D08" w:rsidP="004532AF" w14:paraId="60BB7B89" w14:textId="77777777">
      <w:pPr>
        <w:pStyle w:val="ParaNum"/>
        <w:keepNext/>
        <w:widowControl/>
        <w:numPr>
          <w:ilvl w:val="0"/>
          <w:numId w:val="15"/>
        </w:numPr>
        <w:ind w:left="1080"/>
        <w:rPr>
          <w:sz w:val="22"/>
          <w:szCs w:val="22"/>
        </w:rPr>
      </w:pPr>
      <w:r w:rsidRPr="008D2D08">
        <w:rPr>
          <w:sz w:val="22"/>
          <w:szCs w:val="22"/>
        </w:rPr>
        <w:t xml:space="preserve">Further information on tribal lands bidding credits can be found on the Commission’s website by going to </w:t>
      </w:r>
      <w:hyperlink r:id="rId9" w:history="1">
        <w:r w:rsidRPr="008D2D08">
          <w:rPr>
            <w:rStyle w:val="Hyperlink"/>
            <w:sz w:val="22"/>
            <w:szCs w:val="22"/>
          </w:rPr>
          <w:t>www.fcc.gov/auctions</w:t>
        </w:r>
      </w:hyperlink>
      <w:r w:rsidRPr="008D2D08">
        <w:rPr>
          <w:sz w:val="22"/>
          <w:szCs w:val="22"/>
        </w:rPr>
        <w:t xml:space="preserve"> and clicking on the Tribal Lands Credits link.</w:t>
      </w:r>
    </w:p>
    <w:p w:rsidR="004532AF" w:rsidRPr="008D2D08" w:rsidP="004532AF" w14:paraId="137F163B" w14:textId="77777777">
      <w:pPr>
        <w:pStyle w:val="ParaNum"/>
        <w:keepNext/>
        <w:numPr>
          <w:ilvl w:val="0"/>
          <w:numId w:val="0"/>
        </w:numPr>
        <w:ind w:firstLine="720"/>
        <w:rPr>
          <w:i/>
          <w:sz w:val="22"/>
          <w:szCs w:val="22"/>
          <w:u w:val="single"/>
        </w:rPr>
      </w:pPr>
      <w:r w:rsidRPr="008D2D08">
        <w:rPr>
          <w:i/>
          <w:sz w:val="22"/>
          <w:szCs w:val="22"/>
          <w:u w:val="single"/>
        </w:rPr>
        <w:t>Compliance Requirements for Winning Bidders</w:t>
      </w:r>
    </w:p>
    <w:p w:rsidR="004532AF" w:rsidRPr="008D2D08" w:rsidP="004532AF" w14:paraId="0D8498A6" w14:textId="77777777">
      <w:pPr>
        <w:pStyle w:val="ParaNum"/>
        <w:keepNext/>
        <w:numPr>
          <w:ilvl w:val="0"/>
          <w:numId w:val="0"/>
        </w:numPr>
        <w:ind w:firstLine="720"/>
        <w:rPr>
          <w:sz w:val="22"/>
          <w:szCs w:val="22"/>
        </w:rPr>
      </w:pPr>
      <w:r w:rsidRPr="008D2D08">
        <w:rPr>
          <w:sz w:val="22"/>
          <w:szCs w:val="22"/>
        </w:rPr>
        <w:t xml:space="preserve">Additional compliance requirements apply to winning bidders.  As with other winning bidders, any small entity that is a winning bidder will be required to comply with the following:  </w:t>
      </w:r>
    </w:p>
    <w:p w:rsidR="004532AF" w:rsidRPr="008D2D08" w:rsidP="004532AF" w14:paraId="32E0C929" w14:textId="77777777">
      <w:pPr>
        <w:pStyle w:val="ParaNum"/>
        <w:keepNext/>
        <w:numPr>
          <w:ilvl w:val="0"/>
          <w:numId w:val="16"/>
        </w:numPr>
        <w:tabs>
          <w:tab w:val="left" w:pos="1080"/>
        </w:tabs>
        <w:ind w:left="1080"/>
        <w:rPr>
          <w:sz w:val="22"/>
          <w:szCs w:val="22"/>
        </w:rPr>
      </w:pPr>
      <w:r w:rsidRPr="008D2D08">
        <w:rPr>
          <w:sz w:val="22"/>
          <w:szCs w:val="22"/>
        </w:rPr>
        <w:t xml:space="preserve">Within 10 business days of release of the auction closing public notice for Auction 103, submit as a down payment sufficient funds (in addition to its upfront payment) to bring its total amount of money on deposit with the Commission to 20 percent of the net amount of its winning bids; </w:t>
      </w:r>
    </w:p>
    <w:p w:rsidR="004532AF" w:rsidRPr="008D2D08" w:rsidP="004532AF" w14:paraId="7491EDDA" w14:textId="77777777">
      <w:pPr>
        <w:pStyle w:val="ParaNum"/>
        <w:keepNext/>
        <w:numPr>
          <w:ilvl w:val="0"/>
          <w:numId w:val="16"/>
        </w:numPr>
        <w:tabs>
          <w:tab w:val="left" w:pos="1440"/>
        </w:tabs>
        <w:ind w:left="1080"/>
        <w:rPr>
          <w:sz w:val="22"/>
          <w:szCs w:val="22"/>
        </w:rPr>
      </w:pPr>
      <w:r w:rsidRPr="008D2D08">
        <w:rPr>
          <w:sz w:val="22"/>
          <w:szCs w:val="22"/>
        </w:rPr>
        <w:t xml:space="preserve">Within 10 business days after the down payment deadline, submit the balance of the net amount for each of its winning bids; and </w:t>
      </w:r>
    </w:p>
    <w:p w:rsidR="004532AF" w:rsidRPr="008D2D08" w:rsidP="004532AF" w14:paraId="1D5EBABC" w14:textId="77777777">
      <w:pPr>
        <w:pStyle w:val="ParaNum"/>
        <w:keepNext/>
        <w:numPr>
          <w:ilvl w:val="0"/>
          <w:numId w:val="16"/>
        </w:numPr>
        <w:tabs>
          <w:tab w:val="left" w:pos="1440"/>
        </w:tabs>
        <w:ind w:left="1080"/>
        <w:rPr>
          <w:sz w:val="22"/>
          <w:szCs w:val="22"/>
        </w:rPr>
      </w:pPr>
      <w:r w:rsidRPr="008D2D08">
        <w:rPr>
          <w:sz w:val="22"/>
          <w:szCs w:val="22"/>
        </w:rPr>
        <w:t xml:space="preserve">Within 10 days after the release of the auction closing public notice, electronically submit a properly completed long-form application (FCC Form 601) and required exhibits for each license won through Auction 103.  </w:t>
      </w:r>
    </w:p>
    <w:p w:rsidR="004532AF" w:rsidRPr="008D2D08" w:rsidP="004532AF" w14:paraId="562E7F8F" w14:textId="77777777">
      <w:pPr>
        <w:pStyle w:val="ParaNum"/>
        <w:keepNext/>
        <w:numPr>
          <w:ilvl w:val="0"/>
          <w:numId w:val="16"/>
        </w:numPr>
        <w:tabs>
          <w:tab w:val="left" w:pos="1440"/>
        </w:tabs>
        <w:ind w:left="1080"/>
        <w:rPr>
          <w:sz w:val="22"/>
          <w:szCs w:val="22"/>
        </w:rPr>
      </w:pPr>
      <w:r w:rsidRPr="008D2D08">
        <w:rPr>
          <w:sz w:val="22"/>
          <w:szCs w:val="22"/>
        </w:rPr>
        <w:t>A winning bidder claiming eligibility for a small business bidding credit or a rural service provider bidding credit must demonstrate its eligibility in its FCC Form 601 post-auction application for the bidding credit sought.</w:t>
      </w:r>
      <w:r>
        <w:rPr>
          <w:sz w:val="22"/>
          <w:szCs w:val="22"/>
          <w:vertAlign w:val="superscript"/>
        </w:rPr>
        <w:footnoteReference w:id="17"/>
      </w:r>
    </w:p>
    <w:p w:rsidR="004532AF" w:rsidRPr="008D2D08" w:rsidP="004532AF" w14:paraId="50E072CE" w14:textId="77777777">
      <w:pPr>
        <w:tabs>
          <w:tab w:val="left" w:pos="720"/>
        </w:tabs>
        <w:rPr>
          <w:rFonts w:ascii="Times New Roman" w:hAnsi="Times New Roman" w:cs="Times New Roman"/>
        </w:rPr>
      </w:pPr>
      <w:r w:rsidRPr="008D2D08">
        <w:rPr>
          <w:rFonts w:ascii="Times New Roman" w:hAnsi="Times New Roman" w:cs="Times New Roman"/>
        </w:rPr>
        <w:tab/>
        <w:t>The Public Notice issued by the Commission on March 12, 2020 specified deadlines for payments and the filing of long-form applications and provided details for other post-auction procedures, including procedures regarding related incentive payments.  Each qualified bidder was sent an email with a link to the location of the Public Notice on the Commission’s website.  Each qualified bidder was also sent a package that included a copy of the Public Notice, which provides instructions on how to make payments for winning bids, and an envelope for the return of RSA SecurID® tokens used in Auction 103 bidding.  In addition to the materials that all qualified bidders received, each 39 GHz licensee that filed FCC Form 175-A for relinquishing spectrum usage rights received a letter with a copy of FCC Form 1877 to provide required acknowledgements and instructions with respect to any incentive payment, along with a copy of the Public Notice.</w:t>
      </w:r>
    </w:p>
    <w:p w:rsidR="004532AF" w:rsidRPr="008D2D08" w:rsidP="001E082B" w14:paraId="4DA12B37" w14:textId="77777777">
      <w:pPr>
        <w:pStyle w:val="Heading1"/>
        <w:spacing w:after="240"/>
        <w:ind w:left="720" w:hanging="720"/>
        <w:rPr>
          <w:rFonts w:eastAsia="Calibri" w:cs="Times New Roman"/>
          <w:color w:val="2F5496" w:themeColor="accent1" w:themeShade="BF"/>
          <w:sz w:val="32"/>
        </w:rPr>
      </w:pPr>
      <w:r w:rsidRPr="008D2D08">
        <w:rPr>
          <w:rFonts w:eastAsia="Calibri" w:cs="Times New Roman"/>
        </w:rPr>
        <w:t>III.</w:t>
      </w:r>
      <w:r w:rsidRPr="008D2D08">
        <w:rPr>
          <w:rFonts w:eastAsia="Calibri" w:cs="Times New Roman"/>
        </w:rPr>
        <w:tab/>
        <w:t xml:space="preserve">RECORDKEEPING AND </w:t>
      </w:r>
      <w:r w:rsidRPr="008D2D08">
        <w:rPr>
          <w:rFonts w:cs="Times New Roman"/>
        </w:rPr>
        <w:t>REPORTING</w:t>
      </w:r>
      <w:r w:rsidRPr="008D2D08">
        <w:rPr>
          <w:rFonts w:eastAsia="Calibri" w:cs="Times New Roman"/>
        </w:rPr>
        <w:t xml:space="preserve"> REQUIREMENTS</w:t>
      </w:r>
    </w:p>
    <w:p w:rsidR="004532AF" w:rsidRPr="008D2D08" w:rsidP="004532AF" w14:paraId="3B03C9C7" w14:textId="77777777">
      <w:pPr>
        <w:pStyle w:val="ParaNum"/>
        <w:widowControl/>
        <w:numPr>
          <w:ilvl w:val="0"/>
          <w:numId w:val="0"/>
        </w:numPr>
        <w:ind w:firstLine="720"/>
        <w:rPr>
          <w:sz w:val="22"/>
          <w:szCs w:val="22"/>
        </w:rPr>
      </w:pPr>
      <w:r w:rsidRPr="008D2D08">
        <w:rPr>
          <w:sz w:val="22"/>
          <w:szCs w:val="22"/>
        </w:rPr>
        <w:t xml:space="preserve">Pursuant to Section 1.65 of the Commission’s rules, each applicant has a continuing obligation to maintain the accuracy and completeness of information furnished in a pending application, including a pending application to participate in Auction 103.  An applicant for Auction 103 must furnish additional or corrected information to the Commission within five business days after a significant occurrence or amend its FCC Form 175 no more than five business days after the applicant becomes aware of the need for the amendment.  The </w:t>
      </w:r>
      <w:r w:rsidRPr="008D2D08">
        <w:rPr>
          <w:i/>
          <w:sz w:val="22"/>
          <w:szCs w:val="22"/>
        </w:rPr>
        <w:t>Auction 103 Procedures Public Notice</w:t>
      </w:r>
      <w:r w:rsidRPr="008D2D08">
        <w:rPr>
          <w:sz w:val="22"/>
          <w:szCs w:val="22"/>
        </w:rPr>
        <w:t xml:space="preserve"> provides instructions for each Auction 103 applicant to maintain the accuracy of its respective short-form application electronically using the FCC Auction Application System and/or by direct communication with the Auctions Division.</w:t>
      </w:r>
      <w:r>
        <w:rPr>
          <w:rStyle w:val="FootnoteReference"/>
          <w:sz w:val="22"/>
          <w:szCs w:val="22"/>
        </w:rPr>
        <w:footnoteReference w:id="18"/>
      </w:r>
    </w:p>
    <w:p w:rsidR="004532AF" w:rsidRPr="008D2D08" w:rsidP="004532AF" w14:paraId="1B60A73E" w14:textId="77777777">
      <w:pPr>
        <w:pStyle w:val="Heading1"/>
        <w:tabs>
          <w:tab w:val="left" w:pos="720"/>
        </w:tabs>
        <w:rPr>
          <w:rFonts w:eastAsia="Calibri" w:cs="Times New Roman"/>
        </w:rPr>
      </w:pPr>
      <w:r w:rsidRPr="008D2D08">
        <w:rPr>
          <w:rFonts w:cs="Times New Roman"/>
        </w:rPr>
        <w:t xml:space="preserve">IV. </w:t>
      </w:r>
      <w:r w:rsidRPr="008D2D08">
        <w:rPr>
          <w:rFonts w:cs="Times New Roman"/>
          <w:b w:val="0"/>
        </w:rPr>
        <w:tab/>
      </w:r>
      <w:r w:rsidRPr="008D2D08">
        <w:rPr>
          <w:rFonts w:cs="Times New Roman"/>
        </w:rPr>
        <w:t>IMPLEMENTATION DATE</w:t>
      </w:r>
    </w:p>
    <w:p w:rsidR="004532AF" w:rsidRPr="008D2D08" w:rsidP="004532AF" w14:paraId="65FCC818" w14:textId="3F448472">
      <w:pPr>
        <w:spacing w:before="120" w:after="0"/>
        <w:ind w:firstLine="720"/>
        <w:contextualSpacing/>
        <w:mirrorIndents/>
        <w:rPr>
          <w:rFonts w:ascii="Times New Roman" w:hAnsi="Times New Roman" w:cs="Times New Roman"/>
        </w:rPr>
      </w:pPr>
      <w:r w:rsidRPr="008D2D08">
        <w:rPr>
          <w:rFonts w:ascii="Times New Roman" w:hAnsi="Times New Roman" w:cs="Times New Roman"/>
        </w:rPr>
        <w:t xml:space="preserve">The procedures set forth in the </w:t>
      </w:r>
      <w:r w:rsidRPr="008D2D08">
        <w:rPr>
          <w:rFonts w:ascii="Times New Roman" w:hAnsi="Times New Roman" w:cs="Times New Roman"/>
          <w:i/>
        </w:rPr>
        <w:t>Auction 103 Procedures Public Notice</w:t>
      </w:r>
      <w:r w:rsidRPr="008D2D08">
        <w:rPr>
          <w:rFonts w:ascii="Times New Roman" w:eastAsia="Calibri" w:hAnsi="Times New Roman" w:cs="Times New Roman"/>
          <w:i/>
        </w:rPr>
        <w:t xml:space="preserve"> </w:t>
      </w:r>
      <w:r w:rsidRPr="008D2D08">
        <w:rPr>
          <w:rFonts w:ascii="Times New Roman" w:hAnsi="Times New Roman" w:cs="Times New Roman"/>
          <w:iCs/>
        </w:rPr>
        <w:t>became</w:t>
      </w:r>
      <w:r w:rsidRPr="008D2D08">
        <w:rPr>
          <w:rFonts w:ascii="Times New Roman" w:hAnsi="Times New Roman" w:cs="Times New Roman"/>
          <w:i/>
          <w:iCs/>
        </w:rPr>
        <w:t xml:space="preserve"> </w:t>
      </w:r>
      <w:r w:rsidRPr="008D2D08">
        <w:rPr>
          <w:rFonts w:ascii="Times New Roman" w:hAnsi="Times New Roman" w:cs="Times New Roman"/>
        </w:rPr>
        <w:t xml:space="preserve">effective upon publication of a summary of the </w:t>
      </w:r>
      <w:r w:rsidRPr="008D2D08">
        <w:rPr>
          <w:rFonts w:ascii="Times New Roman" w:hAnsi="Times New Roman" w:cs="Times New Roman"/>
          <w:i/>
          <w:iCs/>
        </w:rPr>
        <w:t>Public Notice</w:t>
      </w:r>
      <w:r w:rsidRPr="008D2D08">
        <w:rPr>
          <w:rFonts w:ascii="Times New Roman" w:hAnsi="Times New Roman" w:cs="Times New Roman"/>
        </w:rPr>
        <w:t xml:space="preserve"> at 84 Fed Reg. 43046 on August 20, 2019.  </w:t>
      </w:r>
      <w:bookmarkStart w:id="5" w:name="_Hlk510693064"/>
    </w:p>
    <w:p w:rsidR="004532AF" w:rsidRPr="008D2D08" w:rsidP="004532AF" w14:paraId="2D952101" w14:textId="77777777">
      <w:pPr>
        <w:spacing w:before="120" w:after="0"/>
        <w:ind w:firstLine="720"/>
        <w:contextualSpacing/>
        <w:mirrorIndents/>
        <w:rPr>
          <w:rFonts w:ascii="Times New Roman" w:eastAsia="Calibri" w:hAnsi="Times New Roman" w:cs="Times New Roman"/>
        </w:rPr>
      </w:pPr>
    </w:p>
    <w:p w:rsidR="004532AF" w:rsidRPr="008D2D08" w:rsidP="004532AF" w14:paraId="4D1FE680" w14:textId="7C4D7DBB">
      <w:pPr>
        <w:spacing w:before="120" w:after="0"/>
        <w:ind w:firstLine="720"/>
        <w:contextualSpacing/>
        <w:mirrorIndents/>
        <w:rPr>
          <w:rFonts w:ascii="Times New Roman" w:eastAsia="Calibri" w:hAnsi="Times New Roman" w:cs="Times New Roman"/>
        </w:rPr>
      </w:pPr>
      <w:r w:rsidRPr="008D2D08">
        <w:rPr>
          <w:rFonts w:ascii="Times New Roman" w:eastAsia="Calibri" w:hAnsi="Times New Roman" w:cs="Times New Roman"/>
        </w:rPr>
        <w:t xml:space="preserve">Implementation dates and deadlines associated with the execution of Auction 103 can be found in the following Public Notices:   </w:t>
      </w:r>
    </w:p>
    <w:p w:rsidR="004532AF" w:rsidRPr="008D2D08" w:rsidP="004532AF" w14:paraId="5BDA8CBF" w14:textId="77777777">
      <w:pPr>
        <w:pStyle w:val="ListParagraph"/>
        <w:numPr>
          <w:ilvl w:val="0"/>
          <w:numId w:val="17"/>
        </w:numPr>
        <w:tabs>
          <w:tab w:val="left" w:pos="1080"/>
        </w:tabs>
        <w:spacing w:before="120" w:after="0" w:line="240" w:lineRule="auto"/>
        <w:ind w:left="1080"/>
        <w:rPr>
          <w:rFonts w:ascii="Times New Roman" w:hAnsi="Times New Roman" w:cs="Times New Roman"/>
        </w:rPr>
      </w:pPr>
      <w:r w:rsidRPr="008D2D08">
        <w:rPr>
          <w:rFonts w:ascii="Times New Roman" w:hAnsi="Times New Roman" w:cs="Times New Roman"/>
          <w:i/>
          <w:iCs/>
        </w:rPr>
        <w:t>Close of Clock Phase Bidding in Auction 103 (Upper 37 GHz, 39 GHz, and 47 GHz); Schedule for Assignment Phase Mock Auction; Availability of Assignment Phase User Guide and Online Tutorial; Assignment Phase Bidding Begins February 18, 2020</w:t>
      </w:r>
      <w:r w:rsidRPr="008D2D08">
        <w:rPr>
          <w:rFonts w:ascii="Times New Roman" w:hAnsi="Times New Roman" w:cs="Times New Roman"/>
        </w:rPr>
        <w:t xml:space="preserve">, Public Notice, DA 20-120 (WTB/OEA Feb 5, 2020). </w:t>
      </w:r>
    </w:p>
    <w:p w:rsidR="004532AF" w:rsidRPr="008D2D08" w:rsidP="004532AF" w14:paraId="6A5669D4" w14:textId="77777777">
      <w:pPr>
        <w:pStyle w:val="ListParagraph"/>
        <w:tabs>
          <w:tab w:val="left" w:pos="1080"/>
        </w:tabs>
        <w:spacing w:before="120" w:after="0" w:line="240" w:lineRule="auto"/>
        <w:ind w:left="1080"/>
        <w:rPr>
          <w:rFonts w:ascii="Times New Roman" w:hAnsi="Times New Roman" w:cs="Times New Roman"/>
        </w:rPr>
      </w:pPr>
    </w:p>
    <w:p w:rsidR="004532AF" w:rsidRPr="008D2D08" w:rsidP="004532AF" w14:paraId="1026E02E" w14:textId="2CB42E14">
      <w:pPr>
        <w:pStyle w:val="ListParagraph"/>
        <w:numPr>
          <w:ilvl w:val="0"/>
          <w:numId w:val="17"/>
        </w:numPr>
        <w:tabs>
          <w:tab w:val="left" w:pos="1080"/>
        </w:tabs>
        <w:spacing w:before="120" w:after="0" w:line="240" w:lineRule="auto"/>
        <w:ind w:left="1080"/>
        <w:rPr>
          <w:rFonts w:ascii="Times New Roman" w:hAnsi="Times New Roman" w:cs="Times New Roman"/>
        </w:rPr>
      </w:pPr>
      <w:r w:rsidRPr="008D2D08">
        <w:rPr>
          <w:rFonts w:ascii="Times New Roman" w:hAnsi="Times New Roman" w:cs="Times New Roman"/>
          <w:i/>
          <w:iCs/>
        </w:rPr>
        <w:t>Incentive Auction of Upper Microwave Flexible Use Service Licenses in the Upper 37 GHz, 39 GHz, and 47 GHz Bands For Next-Generation Wireless Services Closes; Winning Bidders Announced for Auction</w:t>
      </w:r>
      <w:r w:rsidR="008C4648">
        <w:rPr>
          <w:rFonts w:ascii="Times New Roman" w:hAnsi="Times New Roman" w:cs="Times New Roman"/>
          <w:i/>
          <w:iCs/>
        </w:rPr>
        <w:t xml:space="preserve"> 103</w:t>
      </w:r>
      <w:r w:rsidRPr="008D2D08">
        <w:rPr>
          <w:rFonts w:ascii="Times New Roman" w:hAnsi="Times New Roman" w:cs="Times New Roman"/>
          <w:i/>
          <w:iCs/>
        </w:rPr>
        <w:t>; Down Payments Due March 26, 2020; FCC Forms 601 and 602 Due March 26, 2020; Final Payments Due April 9, 2020; FCC Form 1877 for Incentive Payments Due April 13, 2020,</w:t>
      </w:r>
      <w:r w:rsidRPr="008D2D08">
        <w:rPr>
          <w:rFonts w:ascii="Times New Roman" w:hAnsi="Times New Roman" w:cs="Times New Roman"/>
        </w:rPr>
        <w:t xml:space="preserve"> Public Notice, DA 20-253 (WTB</w:t>
      </w:r>
      <w:r w:rsidR="0086392F">
        <w:rPr>
          <w:rFonts w:ascii="Times New Roman" w:hAnsi="Times New Roman" w:cs="Times New Roman"/>
        </w:rPr>
        <w:t>/OEA</w:t>
      </w:r>
      <w:r w:rsidRPr="008D2D08">
        <w:rPr>
          <w:rFonts w:ascii="Times New Roman" w:hAnsi="Times New Roman" w:cs="Times New Roman"/>
        </w:rPr>
        <w:t xml:space="preserve"> Mar. 12, 2020).</w:t>
      </w:r>
    </w:p>
    <w:p w:rsidR="004532AF" w:rsidRPr="008D2D08" w:rsidP="004532AF" w14:paraId="3E730958" w14:textId="77777777">
      <w:pPr>
        <w:pStyle w:val="ListParagraph"/>
        <w:tabs>
          <w:tab w:val="left" w:pos="1080"/>
        </w:tabs>
        <w:spacing w:before="120" w:after="0" w:line="240" w:lineRule="auto"/>
        <w:ind w:left="1800"/>
        <w:rPr>
          <w:rFonts w:ascii="Times New Roman" w:hAnsi="Times New Roman" w:cs="Times New Roman"/>
        </w:rPr>
      </w:pPr>
      <w:r w:rsidRPr="008D2D08">
        <w:rPr>
          <w:rFonts w:ascii="Times New Roman" w:hAnsi="Times New Roman" w:cs="Times New Roman"/>
        </w:rPr>
        <w:t xml:space="preserve"> </w:t>
      </w:r>
    </w:p>
    <w:p w:rsidR="004532AF" w:rsidRPr="008D2D08" w:rsidP="004532AF" w14:paraId="5E3A5D7E" w14:textId="77777777">
      <w:pPr>
        <w:pStyle w:val="ListParagraph"/>
        <w:tabs>
          <w:tab w:val="left" w:pos="1080"/>
        </w:tabs>
        <w:spacing w:after="0" w:line="240" w:lineRule="auto"/>
        <w:ind w:left="1080"/>
        <w:rPr>
          <w:rFonts w:ascii="Times New Roman" w:hAnsi="Times New Roman" w:cs="Times New Roman"/>
        </w:rPr>
      </w:pPr>
    </w:p>
    <w:bookmarkEnd w:id="5"/>
    <w:p w:rsidR="004532AF" w:rsidRPr="008D2D08" w:rsidP="004532AF" w14:paraId="00219387" w14:textId="77777777">
      <w:pPr>
        <w:pStyle w:val="Heading1"/>
        <w:spacing w:before="0"/>
        <w:rPr>
          <w:rFonts w:eastAsia="Calibri" w:cs="Times New Roman"/>
        </w:rPr>
      </w:pPr>
      <w:r w:rsidRPr="008D2D08">
        <w:rPr>
          <w:rFonts w:eastAsia="Calibri" w:cs="Times New Roman"/>
        </w:rPr>
        <w:t>V.</w:t>
      </w:r>
      <w:r w:rsidRPr="008D2D08">
        <w:rPr>
          <w:rFonts w:eastAsia="Calibri" w:cs="Times New Roman"/>
        </w:rPr>
        <w:tab/>
        <w:t>INTERNET LINKS</w:t>
      </w:r>
    </w:p>
    <w:p w:rsidR="004532AF" w:rsidRPr="008D2D08" w:rsidP="004532AF" w14:paraId="232552F9" w14:textId="77777777">
      <w:pPr>
        <w:spacing w:before="120" w:after="120"/>
        <w:ind w:firstLine="720"/>
        <w:mirrorIndents/>
        <w:rPr>
          <w:rFonts w:ascii="Times New Roman" w:hAnsi="Times New Roman" w:cs="Times New Roman"/>
        </w:rPr>
      </w:pPr>
      <w:r w:rsidRPr="008D2D08">
        <w:rPr>
          <w:rFonts w:ascii="Times New Roman" w:eastAsia="Calibri" w:hAnsi="Times New Roman" w:cs="Times New Roman"/>
        </w:rPr>
        <w:t xml:space="preserve">A copy of the </w:t>
      </w:r>
      <w:r w:rsidRPr="008D2D08">
        <w:rPr>
          <w:rFonts w:ascii="Times New Roman" w:eastAsia="Calibri" w:hAnsi="Times New Roman" w:cs="Times New Roman"/>
          <w:i/>
        </w:rPr>
        <w:t>Auction 103 Procedures Public Notice</w:t>
      </w:r>
      <w:r w:rsidRPr="008D2D08">
        <w:rPr>
          <w:rFonts w:ascii="Times New Roman" w:eastAsia="Calibri" w:hAnsi="Times New Roman" w:cs="Times New Roman"/>
        </w:rPr>
        <w:t xml:space="preserve"> is available at:  </w:t>
      </w:r>
      <w:hyperlink r:id="rId10" w:history="1">
        <w:r w:rsidRPr="008D2D08">
          <w:rPr>
            <w:rStyle w:val="Hyperlink"/>
            <w:rFonts w:ascii="Times New Roman" w:hAnsi="Times New Roman" w:cs="Times New Roman"/>
          </w:rPr>
          <w:t>https://www.govinfo.gov/content/pkg/FR-2019-08-20/pdf/2019-17792.pdf</w:t>
        </w:r>
      </w:hyperlink>
    </w:p>
    <w:p w:rsidR="004532AF" w:rsidRPr="008D2D08" w:rsidP="004532AF" w14:paraId="69ECE562" w14:textId="77777777">
      <w:pPr>
        <w:spacing w:before="120" w:after="120"/>
        <w:ind w:firstLine="720"/>
        <w:mirrorIndents/>
        <w:rPr>
          <w:rFonts w:ascii="Times New Roman" w:eastAsia="Calibri" w:hAnsi="Times New Roman" w:cs="Times New Roman"/>
        </w:rPr>
      </w:pPr>
      <w:r w:rsidRPr="008D2D08">
        <w:rPr>
          <w:rFonts w:ascii="Times New Roman" w:eastAsia="Calibri" w:hAnsi="Times New Roman" w:cs="Times New Roman"/>
        </w:rPr>
        <w:t xml:space="preserve">A copy of the Federal Register Summary of the </w:t>
      </w:r>
      <w:r w:rsidRPr="008D2D08">
        <w:rPr>
          <w:rFonts w:ascii="Times New Roman" w:eastAsia="Calibri" w:hAnsi="Times New Roman" w:cs="Times New Roman"/>
          <w:i/>
        </w:rPr>
        <w:t>Auction 103 Procedures Public Notice</w:t>
      </w:r>
      <w:r w:rsidRPr="008D2D08">
        <w:rPr>
          <w:rFonts w:ascii="Times New Roman" w:eastAsia="Calibri" w:hAnsi="Times New Roman" w:cs="Times New Roman"/>
        </w:rPr>
        <w:t xml:space="preserve"> is available at:  </w:t>
      </w:r>
      <w:hyperlink r:id="rId11" w:history="1">
        <w:r w:rsidRPr="008D2D08">
          <w:rPr>
            <w:rStyle w:val="Hyperlink"/>
            <w:rFonts w:ascii="Times New Roman" w:eastAsia="Calibri" w:hAnsi="Times New Roman" w:cs="Times New Roman"/>
          </w:rPr>
          <w:t>https://www.govinfo.gov/content/pkg/FR-2018-08-30/pdf/2018-18692.pdf</w:t>
        </w:r>
      </w:hyperlink>
    </w:p>
    <w:p w:rsidR="004532AF" w:rsidRPr="008D2D08" w:rsidP="004532AF" w14:paraId="4028E167" w14:textId="77777777">
      <w:pPr>
        <w:spacing w:before="120" w:after="120"/>
        <w:ind w:firstLine="720"/>
        <w:mirrorIndents/>
        <w:rPr>
          <w:rFonts w:ascii="Times New Roman" w:hAnsi="Times New Roman" w:cs="Times New Roman"/>
        </w:rPr>
      </w:pPr>
      <w:r w:rsidRPr="008D2D08">
        <w:rPr>
          <w:rFonts w:ascii="Times New Roman" w:hAnsi="Times New Roman" w:cs="Times New Roman"/>
        </w:rPr>
        <w:t xml:space="preserve">A copy of </w:t>
      </w:r>
      <w:r w:rsidRPr="008D2D08">
        <w:rPr>
          <w:rFonts w:ascii="Times New Roman" w:hAnsi="Times New Roman" w:cs="Times New Roman"/>
          <w:i/>
          <w:iCs/>
        </w:rPr>
        <w:t>the Number of Generic License Blocks Available in Incentive Auction of Upper Microwave Flexible Use Service Licenses in the Upper 37 GHz, 39 GHz, and 47 GHz Bands (Auction 103)</w:t>
      </w:r>
      <w:r w:rsidRPr="008D2D08">
        <w:rPr>
          <w:rFonts w:ascii="Times New Roman" w:hAnsi="Times New Roman" w:cs="Times New Roman"/>
        </w:rPr>
        <w:t xml:space="preserve"> is available at: </w:t>
      </w:r>
      <w:hyperlink r:id="rId12" w:history="1">
        <w:r w:rsidRPr="008D2D08">
          <w:rPr>
            <w:rStyle w:val="Hyperlink"/>
            <w:rFonts w:ascii="Times New Roman" w:hAnsi="Times New Roman" w:cs="Times New Roman"/>
          </w:rPr>
          <w:t>https://docs.fcc.gov/public/attachments/DA-19-792A1.pdf</w:t>
        </w:r>
      </w:hyperlink>
    </w:p>
    <w:p w:rsidR="004532AF" w:rsidRPr="008D2D08" w:rsidP="004532AF" w14:paraId="7B5C0F78" w14:textId="77777777">
      <w:pPr>
        <w:spacing w:before="120" w:after="120"/>
        <w:ind w:firstLine="720"/>
        <w:mirrorIndents/>
        <w:rPr>
          <w:rStyle w:val="Hyperlink"/>
          <w:rFonts w:ascii="Times New Roman" w:hAnsi="Times New Roman" w:cs="Times New Roman"/>
        </w:rPr>
      </w:pPr>
      <w:r w:rsidRPr="008D2D08">
        <w:rPr>
          <w:rFonts w:ascii="Times New Roman" w:hAnsi="Times New Roman" w:cs="Times New Roman"/>
        </w:rPr>
        <w:t xml:space="preserve"> A copy of the </w:t>
      </w:r>
      <w:r w:rsidRPr="008D2D08">
        <w:rPr>
          <w:rFonts w:ascii="Times New Roman" w:hAnsi="Times New Roman" w:cs="Times New Roman"/>
          <w:i/>
        </w:rPr>
        <w:t xml:space="preserve">Close of </w:t>
      </w:r>
      <w:r w:rsidRPr="008D2D08">
        <w:rPr>
          <w:rFonts w:ascii="Times New Roman" w:hAnsi="Times New Roman" w:cs="Times New Roman"/>
          <w:i/>
          <w:iCs/>
        </w:rPr>
        <w:t>Clock Phase Bidding in Auction 103 (Upper 37 GHz, 39 GHz, and 47 GHz); Schedule For Assignment Phase Mock Auction; Availability Of Assignment Phase User Guide and Online Tutorial; Assignment Phase Bidding Begins February 18, 2020</w:t>
      </w:r>
      <w:r w:rsidRPr="008D2D08">
        <w:rPr>
          <w:rFonts w:ascii="Times New Roman" w:hAnsi="Times New Roman" w:cs="Times New Roman"/>
        </w:rPr>
        <w:t xml:space="preserve"> is available at: </w:t>
      </w:r>
      <w:hyperlink r:id="rId13" w:history="1">
        <w:r w:rsidRPr="008D2D08">
          <w:rPr>
            <w:rStyle w:val="Hyperlink"/>
            <w:rFonts w:ascii="Times New Roman" w:hAnsi="Times New Roman" w:cs="Times New Roman"/>
          </w:rPr>
          <w:t>https://docs.fcc.gov/public/attachments/DA-20-120A1.pdf</w:t>
        </w:r>
      </w:hyperlink>
    </w:p>
    <w:p w:rsidR="004532AF" w:rsidP="001E082B" w14:paraId="12C71153" w14:textId="7DD11CA8">
      <w:pPr>
        <w:tabs>
          <w:tab w:val="left" w:pos="720"/>
        </w:tabs>
        <w:spacing w:after="120" w:line="240" w:lineRule="auto"/>
        <w:rPr>
          <w:rFonts w:ascii="Times New Roman" w:hAnsi="Times New Roman" w:cs="Times New Roman"/>
        </w:rPr>
      </w:pPr>
      <w:r>
        <w:rPr>
          <w:rFonts w:ascii="Times New Roman" w:hAnsi="Times New Roman" w:cs="Times New Roman"/>
        </w:rPr>
        <w:tab/>
      </w:r>
      <w:r w:rsidRPr="008D2D08">
        <w:rPr>
          <w:rFonts w:ascii="Times New Roman" w:hAnsi="Times New Roman" w:cs="Times New Roman"/>
        </w:rPr>
        <w:t xml:space="preserve">A copy of the </w:t>
      </w:r>
      <w:r w:rsidRPr="008D2D08">
        <w:rPr>
          <w:rFonts w:ascii="Times New Roman" w:hAnsi="Times New Roman" w:cs="Times New Roman"/>
          <w:i/>
          <w:iCs/>
        </w:rPr>
        <w:t>Incentive Auction of Upper Microwave Flexible Use Service Licenses in the Upper 37 GHz, 39 GHz, and 47 GHz Bands For Next-Generation Wireless Services Closes; Winning Bidders Announced for Auction</w:t>
      </w:r>
      <w:r w:rsidR="008C4648">
        <w:rPr>
          <w:rFonts w:ascii="Times New Roman" w:hAnsi="Times New Roman" w:cs="Times New Roman"/>
          <w:i/>
          <w:iCs/>
        </w:rPr>
        <w:t xml:space="preserve"> 103</w:t>
      </w:r>
      <w:r w:rsidRPr="008D2D08">
        <w:rPr>
          <w:rFonts w:ascii="Times New Roman" w:hAnsi="Times New Roman" w:cs="Times New Roman"/>
          <w:i/>
          <w:iCs/>
        </w:rPr>
        <w:t xml:space="preserve">; Down Payments Due March 26, 2020; FCC Forms 601 and 602 Due March 26, 2020; Final Payments Due April 9, 2020; FCC Form 1877 for Incentive Payments Due April 13, 2020 </w:t>
      </w:r>
      <w:r w:rsidRPr="008D2D08">
        <w:rPr>
          <w:rFonts w:ascii="Times New Roman" w:hAnsi="Times New Roman" w:cs="Times New Roman"/>
        </w:rPr>
        <w:t>is available at:</w:t>
      </w:r>
      <w:r>
        <w:rPr>
          <w:rFonts w:ascii="Times New Roman" w:hAnsi="Times New Roman" w:cs="Times New Roman"/>
        </w:rPr>
        <w:t xml:space="preserve"> </w:t>
      </w:r>
      <w:hyperlink r:id="rId14" w:history="1">
        <w:r w:rsidRPr="008D2D08">
          <w:rPr>
            <w:rStyle w:val="Hyperlink"/>
            <w:rFonts w:ascii="Times New Roman" w:hAnsi="Times New Roman" w:cs="Times New Roman"/>
          </w:rPr>
          <w:t>https://docs.fcc.gov/public/attachments/DA-20-253A1.pdf</w:t>
        </w:r>
      </w:hyperlink>
      <w:r w:rsidRPr="008D2D08">
        <w:rPr>
          <w:rFonts w:ascii="Times New Roman" w:hAnsi="Times New Roman" w:cs="Times New Roman"/>
        </w:rPr>
        <w:t>.</w:t>
      </w:r>
    </w:p>
    <w:p w:rsidR="004532AF" w:rsidRPr="008D2D08" w:rsidP="001E082B" w14:paraId="79F053B2" w14:textId="77777777">
      <w:pPr>
        <w:spacing w:after="0"/>
        <w:ind w:firstLine="720"/>
        <w:mirrorIndents/>
        <w:rPr>
          <w:rFonts w:ascii="Times New Roman" w:eastAsia="Calibri" w:hAnsi="Times New Roman" w:cs="Times New Roman"/>
        </w:rPr>
      </w:pPr>
      <w:r w:rsidRPr="008D2D08">
        <w:rPr>
          <w:rFonts w:ascii="Times New Roman" w:eastAsia="Calibri" w:hAnsi="Times New Roman" w:cs="Times New Roman"/>
        </w:rPr>
        <w:t xml:space="preserve">A copy of the </w:t>
      </w:r>
      <w:r w:rsidRPr="008D2D08">
        <w:rPr>
          <w:rFonts w:ascii="Times New Roman" w:eastAsia="Calibri" w:hAnsi="Times New Roman" w:cs="Times New Roman"/>
          <w:i/>
        </w:rPr>
        <w:t>2018 Spectrum Frontiers Order</w:t>
      </w:r>
      <w:r w:rsidRPr="008D2D08">
        <w:rPr>
          <w:rFonts w:ascii="Times New Roman" w:eastAsia="Calibri" w:hAnsi="Times New Roman" w:cs="Times New Roman"/>
        </w:rPr>
        <w:t xml:space="preserve"> is available at:</w:t>
      </w:r>
      <w:r w:rsidRPr="008D2D08">
        <w:rPr>
          <w:rFonts w:ascii="Times New Roman" w:eastAsia="Calibri" w:hAnsi="Times New Roman" w:cs="Times New Roman"/>
          <w:b/>
        </w:rPr>
        <w:t xml:space="preserve">  </w:t>
      </w:r>
      <w:hyperlink r:id="rId15" w:history="1">
        <w:r w:rsidRPr="008D2D08">
          <w:rPr>
            <w:rStyle w:val="Hyperlink"/>
            <w:rFonts w:ascii="Times New Roman" w:eastAsia="Calibri" w:hAnsi="Times New Roman" w:cs="Times New Roman"/>
          </w:rPr>
          <w:t>https://docs.fcc.gov/public/attachments/FCC-18-73A1_Rcd.pdf</w:t>
        </w:r>
      </w:hyperlink>
      <w:r w:rsidRPr="008D2D08">
        <w:rPr>
          <w:rFonts w:ascii="Times New Roman" w:eastAsia="Calibri" w:hAnsi="Times New Roman" w:cs="Times New Roman"/>
        </w:rPr>
        <w:t>.</w:t>
      </w:r>
    </w:p>
    <w:p w:rsidR="004532AF" w:rsidRPr="008D2D08" w:rsidP="004532AF" w14:paraId="13C7DCDC" w14:textId="77777777">
      <w:pPr>
        <w:spacing w:before="120" w:after="120"/>
        <w:ind w:firstLine="720"/>
        <w:mirrorIndents/>
        <w:rPr>
          <w:rStyle w:val="Hyperlink"/>
          <w:rFonts w:ascii="Times New Roman" w:eastAsia="Calibri" w:hAnsi="Times New Roman" w:cs="Times New Roman"/>
        </w:rPr>
      </w:pPr>
      <w:r w:rsidRPr="008D2D08">
        <w:rPr>
          <w:rFonts w:ascii="Times New Roman" w:eastAsia="Calibri" w:hAnsi="Times New Roman" w:cs="Times New Roman"/>
        </w:rPr>
        <w:t xml:space="preserve">A copy of the </w:t>
      </w:r>
      <w:r w:rsidRPr="008D2D08">
        <w:rPr>
          <w:rFonts w:ascii="Times New Roman" w:eastAsia="Calibri" w:hAnsi="Times New Roman" w:cs="Times New Roman"/>
          <w:i/>
        </w:rPr>
        <w:t>2017 Spectrum Frontiers Order</w:t>
      </w:r>
      <w:r w:rsidRPr="008D2D08">
        <w:rPr>
          <w:rFonts w:ascii="Times New Roman" w:eastAsia="Calibri" w:hAnsi="Times New Roman" w:cs="Times New Roman"/>
        </w:rPr>
        <w:t xml:space="preserve"> is available at:</w:t>
      </w:r>
      <w:r w:rsidRPr="008D2D08">
        <w:rPr>
          <w:rFonts w:ascii="Times New Roman" w:eastAsia="Calibri" w:hAnsi="Times New Roman" w:cs="Times New Roman"/>
          <w:b/>
        </w:rPr>
        <w:t xml:space="preserve"> </w:t>
      </w:r>
      <w:hyperlink r:id="rId16" w:history="1">
        <w:r w:rsidRPr="008D2D08">
          <w:rPr>
            <w:rStyle w:val="Hyperlink"/>
            <w:rFonts w:ascii="Times New Roman" w:eastAsia="Calibri" w:hAnsi="Times New Roman" w:cs="Times New Roman"/>
          </w:rPr>
          <w:t>https://docs.fcc.gov/public/attachments/FCC-17-152A1_Rcd.pdf</w:t>
        </w:r>
      </w:hyperlink>
      <w:r w:rsidRPr="008D2D08">
        <w:rPr>
          <w:rStyle w:val="Hyperlink"/>
          <w:rFonts w:ascii="Times New Roman" w:eastAsia="Calibri" w:hAnsi="Times New Roman" w:cs="Times New Roman"/>
        </w:rPr>
        <w:t>.</w:t>
      </w:r>
    </w:p>
    <w:p w:rsidR="004532AF" w:rsidRPr="008D2D08" w:rsidP="004532AF" w14:paraId="7570ADE0" w14:textId="77777777">
      <w:pPr>
        <w:spacing w:before="120" w:after="120"/>
        <w:ind w:firstLine="720"/>
        <w:mirrorIndents/>
        <w:rPr>
          <w:rFonts w:ascii="Times New Roman" w:eastAsia="Calibri" w:hAnsi="Times New Roman" w:cs="Times New Roman"/>
        </w:rPr>
      </w:pPr>
      <w:r w:rsidRPr="008D2D08">
        <w:rPr>
          <w:rFonts w:ascii="Times New Roman" w:eastAsia="Calibri" w:hAnsi="Times New Roman" w:cs="Times New Roman"/>
        </w:rPr>
        <w:t xml:space="preserve">A copy of the </w:t>
      </w:r>
      <w:r w:rsidRPr="008D2D08">
        <w:rPr>
          <w:rFonts w:ascii="Times New Roman" w:eastAsia="Calibri" w:hAnsi="Times New Roman" w:cs="Times New Roman"/>
          <w:i/>
        </w:rPr>
        <w:t>2016 Spectrum Frontiers Order is</w:t>
      </w:r>
      <w:r w:rsidRPr="008D2D08">
        <w:rPr>
          <w:rFonts w:ascii="Times New Roman" w:eastAsia="Calibri" w:hAnsi="Times New Roman" w:cs="Times New Roman"/>
        </w:rPr>
        <w:t xml:space="preserve"> available at:</w:t>
      </w:r>
      <w:r w:rsidRPr="008D2D08">
        <w:rPr>
          <w:rFonts w:ascii="Times New Roman" w:eastAsia="Calibri" w:hAnsi="Times New Roman" w:cs="Times New Roman"/>
          <w:b/>
        </w:rPr>
        <w:t xml:space="preserve"> </w:t>
      </w:r>
      <w:hyperlink r:id="rId17" w:history="1">
        <w:r w:rsidRPr="008D2D08">
          <w:rPr>
            <w:rStyle w:val="Hyperlink"/>
            <w:rFonts w:ascii="Times New Roman" w:eastAsia="Calibri" w:hAnsi="Times New Roman" w:cs="Times New Roman"/>
          </w:rPr>
          <w:t>https://docs.fcc.gov/public/attachments/FCC-16-89A1_Rcd.pdf</w:t>
        </w:r>
      </w:hyperlink>
      <w:r w:rsidRPr="008D2D08">
        <w:rPr>
          <w:rFonts w:ascii="Times New Roman" w:eastAsia="Calibri" w:hAnsi="Times New Roman" w:cs="Times New Roman"/>
        </w:rPr>
        <w:t>.</w:t>
      </w:r>
    </w:p>
    <w:p w:rsidR="007E1769" w:rsidRPr="00160604" w:rsidP="001E082B" w14:paraId="072B642B" w14:textId="0426B3C0">
      <w:pPr>
        <w:spacing w:before="120" w:after="120"/>
        <w:mirrorIndents/>
        <w:rPr>
          <w:rFonts w:ascii="Times New Roman" w:eastAsia="Calibri" w:hAnsi="Times New Roman" w:cs="Times New Roman"/>
          <w:b/>
        </w:rPr>
      </w:pPr>
    </w:p>
    <w:p w:rsidR="007E1769" w:rsidRPr="00557D6A" w:rsidP="007E1769" w14:paraId="2BCD9EA3" w14:textId="77777777">
      <w:pPr>
        <w:spacing w:before="120" w:after="120"/>
        <w:ind w:firstLine="720"/>
        <w:mirrorIndents/>
        <w:rPr>
          <w:rFonts w:ascii="Times New Roman" w:eastAsia="Calibri" w:hAnsi="Times New Roman" w:cs="Times New Roman"/>
        </w:rPr>
      </w:pPr>
    </w:p>
    <w:sectPr w:rsidSect="002A78BF">
      <w:headerReference w:type="default" r:id="rId18"/>
      <w:footerReference w:type="default" r:id="rId19"/>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795E" w:rsidP="002A78BF" w14:paraId="038BB570" w14:textId="21DF8A55">
    <w:pPr>
      <w:pStyle w:val="Footer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3300F" w:rsidP="00160604" w14:paraId="7924C121" w14:textId="77777777">
      <w:pPr>
        <w:spacing w:after="0" w:line="240" w:lineRule="auto"/>
      </w:pPr>
      <w:r>
        <w:separator/>
      </w:r>
    </w:p>
  </w:footnote>
  <w:footnote w:type="continuationSeparator" w:id="1">
    <w:p w:rsidR="00F3300F" w:rsidP="00160604" w14:paraId="5992DFE9" w14:textId="77777777">
      <w:pPr>
        <w:spacing w:after="0" w:line="240" w:lineRule="auto"/>
      </w:pPr>
      <w:r>
        <w:continuationSeparator/>
      </w:r>
    </w:p>
  </w:footnote>
  <w:footnote w:type="continuationNotice" w:id="2">
    <w:p w:rsidR="00F3300F" w14:paraId="364F142D" w14:textId="77777777">
      <w:pPr>
        <w:spacing w:after="0" w:line="240" w:lineRule="auto"/>
      </w:pPr>
    </w:p>
  </w:footnote>
  <w:footnote w:id="3">
    <w:p w:rsidR="001F795E" w:rsidRPr="00705E46" w:rsidP="00261516" w14:paraId="70BFC612" w14:textId="0CFC8E71">
      <w:pPr>
        <w:pStyle w:val="FootnoteTextCharChar1"/>
        <w:spacing w:after="120"/>
        <w:rPr>
          <w:rFonts w:ascii="Times New Roman" w:hAnsi="Times New Roman" w:cs="Times New Roman"/>
        </w:rPr>
      </w:pPr>
      <w:r w:rsidRPr="007E44EB">
        <w:rPr>
          <w:rStyle w:val="FootnoteReference"/>
          <w:rFonts w:ascii="Times New Roman" w:hAnsi="Times New Roman" w:cs="Times New Roman"/>
        </w:rPr>
        <w:footnoteRef/>
      </w:r>
      <w:r>
        <w:rPr>
          <w:rFonts w:ascii="Times New Roman" w:hAnsi="Times New Roman" w:cs="Times New Roman"/>
        </w:rPr>
        <w:t xml:space="preserve"> </w:t>
      </w:r>
      <w:r w:rsidRPr="004E1578">
        <w:rPr>
          <w:rFonts w:ascii="Times New Roman" w:hAnsi="Times New Roman" w:cs="Times New Roman"/>
          <w:i/>
          <w:iCs/>
        </w:rPr>
        <w:t>Incentive</w:t>
      </w:r>
      <w:r>
        <w:rPr>
          <w:rFonts w:ascii="Times New Roman" w:hAnsi="Times New Roman" w:cs="Times New Roman"/>
        </w:rPr>
        <w:t xml:space="preserve"> </w:t>
      </w:r>
      <w:r w:rsidRPr="003D549B">
        <w:rPr>
          <w:i/>
        </w:rPr>
        <w:t>Auction of Upper Microwave Flexible Use</w:t>
      </w:r>
      <w:r>
        <w:rPr>
          <w:i/>
        </w:rPr>
        <w:t xml:space="preserve"> Service</w:t>
      </w:r>
      <w:r w:rsidRPr="003D549B">
        <w:rPr>
          <w:i/>
        </w:rPr>
        <w:t xml:space="preserve"> Licenses</w:t>
      </w:r>
      <w:r>
        <w:rPr>
          <w:i/>
        </w:rPr>
        <w:t xml:space="preserve"> in </w:t>
      </w:r>
      <w:r w:rsidRPr="003A796D">
        <w:rPr>
          <w:i/>
        </w:rPr>
        <w:t>the Upper 37 GHz, 39 GHz, and 47 GHz bands</w:t>
      </w:r>
      <w:r w:rsidRPr="003D549B">
        <w:rPr>
          <w:i/>
        </w:rPr>
        <w:t xml:space="preserve"> for Next-Generation Wireless Services; Notice and Filing Requirements, Minimum Opening Bids, Upfront Payments, and Other Procedures for Auction 10</w:t>
      </w:r>
      <w:r>
        <w:rPr>
          <w:i/>
        </w:rPr>
        <w:t>3</w:t>
      </w:r>
      <w:r w:rsidRPr="003D549B">
        <w:rPr>
          <w:i/>
        </w:rPr>
        <w:t>; Bidding in Auction 10</w:t>
      </w:r>
      <w:r>
        <w:rPr>
          <w:i/>
        </w:rPr>
        <w:t>3</w:t>
      </w:r>
      <w:r w:rsidRPr="003D549B">
        <w:rPr>
          <w:i/>
        </w:rPr>
        <w:t xml:space="preserve"> Scheduled to Begin </w:t>
      </w:r>
      <w:r>
        <w:rPr>
          <w:i/>
        </w:rPr>
        <w:t>December 10</w:t>
      </w:r>
      <w:r w:rsidRPr="003D549B">
        <w:rPr>
          <w:i/>
        </w:rPr>
        <w:t>, 201</w:t>
      </w:r>
      <w:r>
        <w:rPr>
          <w:i/>
        </w:rPr>
        <w:t>9</w:t>
      </w:r>
      <w:r w:rsidRPr="003D549B">
        <w:t xml:space="preserve">, Public Notice, </w:t>
      </w:r>
      <w:r>
        <w:t>34 FCC Rcd</w:t>
      </w:r>
      <w:r w:rsidRPr="003D549B">
        <w:t xml:space="preserve"> </w:t>
      </w:r>
      <w:r>
        <w:t>5532</w:t>
      </w:r>
      <w:r>
        <w:rPr>
          <w:lang w:val="de-DE"/>
        </w:rPr>
        <w:t xml:space="preserve"> </w:t>
      </w:r>
      <w:r w:rsidRPr="00705E46">
        <w:rPr>
          <w:rFonts w:ascii="Times New Roman" w:hAnsi="Times New Roman" w:cs="Times New Roman"/>
        </w:rPr>
        <w:t>(201</w:t>
      </w:r>
      <w:r>
        <w:rPr>
          <w:rFonts w:ascii="Times New Roman" w:hAnsi="Times New Roman" w:cs="Times New Roman"/>
        </w:rPr>
        <w:t>9</w:t>
      </w:r>
      <w:r w:rsidRPr="00705E46">
        <w:rPr>
          <w:rFonts w:ascii="Times New Roman" w:hAnsi="Times New Roman" w:cs="Times New Roman"/>
        </w:rPr>
        <w:t>)</w:t>
      </w:r>
      <w:r w:rsidRPr="00705E46">
        <w:rPr>
          <w:rFonts w:ascii="Times New Roman" w:hAnsi="Times New Roman" w:cs="Times New Roman"/>
          <w:lang w:val="de-DE"/>
        </w:rPr>
        <w:t xml:space="preserve"> (</w:t>
      </w:r>
      <w:r w:rsidRPr="00705E46">
        <w:rPr>
          <w:rFonts w:ascii="Times New Roman" w:hAnsi="Times New Roman" w:cs="Times New Roman"/>
          <w:i/>
          <w:lang w:val="de-DE"/>
        </w:rPr>
        <w:t>Auction</w:t>
      </w:r>
      <w:r>
        <w:rPr>
          <w:rFonts w:ascii="Times New Roman" w:hAnsi="Times New Roman" w:cs="Times New Roman"/>
          <w:i/>
          <w:lang w:val="de-DE"/>
        </w:rPr>
        <w:t xml:space="preserve"> 103</w:t>
      </w:r>
      <w:r w:rsidRPr="00705E46">
        <w:rPr>
          <w:rFonts w:ascii="Times New Roman" w:hAnsi="Times New Roman" w:cs="Times New Roman"/>
          <w:i/>
          <w:lang w:val="de-DE"/>
        </w:rPr>
        <w:t xml:space="preserve"> Procedures Public Notice</w:t>
      </w:r>
      <w:r w:rsidRPr="00705E46">
        <w:rPr>
          <w:rFonts w:ascii="Times New Roman" w:hAnsi="Times New Roman" w:cs="Times New Roman"/>
          <w:lang w:val="de-DE"/>
        </w:rPr>
        <w:t>).</w:t>
      </w:r>
    </w:p>
  </w:footnote>
  <w:footnote w:id="4">
    <w:p w:rsidR="001F795E" w:rsidP="00DA08A6" w14:paraId="51B3C6EC" w14:textId="79E841AE">
      <w:pPr>
        <w:pStyle w:val="FootnoteText"/>
        <w:spacing w:after="120"/>
      </w:pPr>
      <w:r>
        <w:rPr>
          <w:rStyle w:val="FootnoteReference"/>
        </w:rPr>
        <w:footnoteRef/>
      </w:r>
      <w:r>
        <w:t xml:space="preserve"> This SECG references subsequent public notices establishing relevant dates for Auction 103, where applicable.</w:t>
      </w:r>
    </w:p>
  </w:footnote>
  <w:footnote w:id="5">
    <w:p w:rsidR="001F795E" w:rsidRPr="00446802" w:rsidP="00446802" w14:paraId="4C61456B" w14:textId="580DEC6E">
      <w:pPr>
        <w:autoSpaceDE w:val="0"/>
        <w:autoSpaceDN w:val="0"/>
        <w:adjustRightInd w:val="0"/>
        <w:spacing w:after="120" w:line="240" w:lineRule="auto"/>
        <w:rPr>
          <w:rFonts w:ascii="Times New Roman" w:hAnsi="Times New Roman" w:cs="Times New Roman"/>
          <w:sz w:val="20"/>
          <w:szCs w:val="20"/>
        </w:rPr>
      </w:pPr>
      <w:r w:rsidRPr="00705E46">
        <w:rPr>
          <w:rStyle w:val="FootnoteReference"/>
          <w:rFonts w:ascii="Times New Roman" w:hAnsi="Times New Roman" w:cs="Times New Roman"/>
          <w:sz w:val="20"/>
          <w:szCs w:val="20"/>
        </w:rPr>
        <w:footnoteRef/>
      </w:r>
      <w:r w:rsidRPr="00705E46">
        <w:rPr>
          <w:rFonts w:ascii="Times New Roman" w:hAnsi="Times New Roman" w:cs="Times New Roman"/>
          <w:sz w:val="20"/>
          <w:szCs w:val="20"/>
        </w:rPr>
        <w:t xml:space="preserve"> </w:t>
      </w:r>
      <w:r w:rsidRPr="00705E46">
        <w:rPr>
          <w:rFonts w:ascii="Times New Roman" w:hAnsi="Times New Roman" w:cs="Times New Roman"/>
          <w:i/>
          <w:iCs/>
          <w:sz w:val="20"/>
          <w:szCs w:val="20"/>
        </w:rPr>
        <w:t xml:space="preserve">Use of Spectrum Bands Above 24 GHz </w:t>
      </w:r>
      <w:r>
        <w:rPr>
          <w:rFonts w:ascii="Times New Roman" w:hAnsi="Times New Roman" w:cs="Times New Roman"/>
          <w:i/>
          <w:iCs/>
          <w:sz w:val="20"/>
          <w:szCs w:val="20"/>
        </w:rPr>
        <w:t>f</w:t>
      </w:r>
      <w:r w:rsidRPr="00705E46">
        <w:rPr>
          <w:rFonts w:ascii="Times New Roman" w:hAnsi="Times New Roman" w:cs="Times New Roman"/>
          <w:i/>
          <w:iCs/>
          <w:sz w:val="20"/>
          <w:szCs w:val="20"/>
        </w:rPr>
        <w:t>or Mobile Radio Services et al</w:t>
      </w:r>
      <w:r w:rsidRPr="00705E46">
        <w:rPr>
          <w:rFonts w:ascii="Times New Roman" w:hAnsi="Times New Roman" w:cs="Times New Roman"/>
          <w:sz w:val="20"/>
          <w:szCs w:val="20"/>
        </w:rPr>
        <w:t>., Report and Order and</w:t>
      </w:r>
      <w:r>
        <w:rPr>
          <w:rFonts w:ascii="Times New Roman" w:hAnsi="Times New Roman" w:cs="Times New Roman"/>
          <w:sz w:val="20"/>
          <w:szCs w:val="20"/>
        </w:rPr>
        <w:t xml:space="preserve"> </w:t>
      </w:r>
      <w:r w:rsidRPr="00705E46">
        <w:rPr>
          <w:rFonts w:ascii="Times New Roman" w:hAnsi="Times New Roman" w:cs="Times New Roman"/>
          <w:sz w:val="20"/>
          <w:szCs w:val="20"/>
        </w:rPr>
        <w:t>Further Notice of Proposed Rulemaking, 31 FCC Rcd 8014 (2016); Second Report and Order, Second Further Notice of Proposed Rulemaking, Order on</w:t>
      </w:r>
      <w:r>
        <w:rPr>
          <w:rFonts w:ascii="Times New Roman" w:hAnsi="Times New Roman" w:cs="Times New Roman"/>
          <w:i/>
          <w:iCs/>
          <w:sz w:val="20"/>
          <w:szCs w:val="20"/>
        </w:rPr>
        <w:t xml:space="preserve"> </w:t>
      </w:r>
      <w:r w:rsidRPr="00705E46">
        <w:rPr>
          <w:rFonts w:ascii="Times New Roman" w:hAnsi="Times New Roman" w:cs="Times New Roman"/>
          <w:sz w:val="20"/>
          <w:szCs w:val="20"/>
        </w:rPr>
        <w:t>Reconsideration, and Memorandum Opinion and Order, 32 FCC Rcd 10988 (2017); Third Report and Order, Memorandum Opinion and Order, and Third Further</w:t>
      </w:r>
      <w:r>
        <w:rPr>
          <w:rFonts w:ascii="Times New Roman" w:hAnsi="Times New Roman" w:cs="Times New Roman"/>
          <w:i/>
          <w:iCs/>
          <w:sz w:val="20"/>
          <w:szCs w:val="20"/>
        </w:rPr>
        <w:t xml:space="preserve"> </w:t>
      </w:r>
      <w:r w:rsidRPr="00705E46">
        <w:rPr>
          <w:rFonts w:ascii="Times New Roman" w:hAnsi="Times New Roman" w:cs="Times New Roman"/>
          <w:sz w:val="20"/>
          <w:szCs w:val="20"/>
        </w:rPr>
        <w:t xml:space="preserve">Notice of Proposed Rulemaking, </w:t>
      </w:r>
      <w:r>
        <w:rPr>
          <w:rFonts w:ascii="Times New Roman" w:hAnsi="Times New Roman" w:cs="Times New Roman"/>
          <w:sz w:val="20"/>
          <w:szCs w:val="20"/>
        </w:rPr>
        <w:t>33 FCC Rcd 5576</w:t>
      </w:r>
      <w:r w:rsidRPr="00705E46">
        <w:rPr>
          <w:rFonts w:ascii="Times New Roman" w:hAnsi="Times New Roman" w:cs="Times New Roman"/>
          <w:sz w:val="20"/>
          <w:szCs w:val="20"/>
        </w:rPr>
        <w:t xml:space="preserve"> (2018)</w:t>
      </w:r>
      <w:r>
        <w:rPr>
          <w:rFonts w:ascii="Times New Roman" w:hAnsi="Times New Roman" w:cs="Times New Roman"/>
          <w:sz w:val="20"/>
          <w:szCs w:val="20"/>
        </w:rPr>
        <w:t xml:space="preserve"> </w:t>
      </w:r>
      <w:r w:rsidRPr="00705E46">
        <w:rPr>
          <w:rFonts w:ascii="Times New Roman" w:hAnsi="Times New Roman" w:cs="Times New Roman"/>
          <w:sz w:val="20"/>
          <w:szCs w:val="20"/>
        </w:rPr>
        <w:t xml:space="preserve">(collectively, the </w:t>
      </w:r>
      <w:r w:rsidRPr="00705E46">
        <w:rPr>
          <w:rFonts w:ascii="Times New Roman" w:hAnsi="Times New Roman" w:cs="Times New Roman"/>
          <w:i/>
          <w:iCs/>
          <w:sz w:val="20"/>
          <w:szCs w:val="20"/>
        </w:rPr>
        <w:t>Spectrum Frontiers Orders</w:t>
      </w:r>
      <w:r w:rsidRPr="00705E46">
        <w:rPr>
          <w:rFonts w:ascii="Times New Roman" w:hAnsi="Times New Roman" w:cs="Times New Roman"/>
          <w:sz w:val="20"/>
          <w:szCs w:val="20"/>
        </w:rPr>
        <w:t>).</w:t>
      </w:r>
    </w:p>
  </w:footnote>
  <w:footnote w:id="6">
    <w:p w:rsidR="001F795E" w:rsidP="00077DB6" w14:paraId="7311C0FB" w14:textId="4C6788CD">
      <w:pPr>
        <w:pStyle w:val="FootnoteText"/>
        <w:spacing w:after="120"/>
      </w:pPr>
      <w:r>
        <w:rPr>
          <w:rStyle w:val="FootnoteReference"/>
        </w:rPr>
        <w:footnoteRef/>
      </w:r>
      <w:r>
        <w:t xml:space="preserve"> </w:t>
      </w:r>
      <w:r w:rsidRPr="00705E46">
        <w:rPr>
          <w:rFonts w:ascii="Times New Roman" w:hAnsi="Times New Roman" w:cs="Times New Roman"/>
          <w:i/>
          <w:iCs/>
        </w:rPr>
        <w:t xml:space="preserve">Use of Spectrum Bands Above 24 GHz </w:t>
      </w:r>
      <w:r>
        <w:rPr>
          <w:rFonts w:ascii="Times New Roman" w:hAnsi="Times New Roman" w:cs="Times New Roman"/>
          <w:i/>
          <w:iCs/>
        </w:rPr>
        <w:t>f</w:t>
      </w:r>
      <w:r w:rsidRPr="00705E46">
        <w:rPr>
          <w:rFonts w:ascii="Times New Roman" w:hAnsi="Times New Roman" w:cs="Times New Roman"/>
          <w:i/>
          <w:iCs/>
        </w:rPr>
        <w:t>or Mobile Radio Services</w:t>
      </w:r>
      <w:r>
        <w:rPr>
          <w:rFonts w:ascii="Times New Roman" w:hAnsi="Times New Roman" w:cs="Times New Roman"/>
          <w:i/>
          <w:iCs/>
        </w:rPr>
        <w:t>,</w:t>
      </w:r>
      <w:r w:rsidRPr="00705E46">
        <w:rPr>
          <w:rFonts w:ascii="Times New Roman" w:hAnsi="Times New Roman" w:cs="Times New Roman"/>
          <w:i/>
          <w:iCs/>
        </w:rPr>
        <w:t xml:space="preserve"> et al</w:t>
      </w:r>
      <w:r w:rsidRPr="00705E46">
        <w:rPr>
          <w:rFonts w:ascii="Times New Roman" w:hAnsi="Times New Roman" w:cs="Times New Roman"/>
        </w:rPr>
        <w:t>.</w:t>
      </w:r>
      <w:r>
        <w:rPr>
          <w:rFonts w:ascii="Times New Roman" w:hAnsi="Times New Roman" w:cs="Times New Roman"/>
        </w:rPr>
        <w:t>, Small Entity Compliance Guide, DA 18-987 (OCBO Sept. 26, 2018); DA 18-896 (OCBO Aug. 29, 2018).</w:t>
      </w:r>
    </w:p>
  </w:footnote>
  <w:footnote w:id="7">
    <w:p w:rsidR="001F795E" w:rsidRPr="00E96E07" w:rsidP="00E96E07" w14:paraId="06C2508E" w14:textId="65034940">
      <w:pPr>
        <w:pStyle w:val="FootnoteText"/>
        <w:rPr>
          <w:caps/>
        </w:rPr>
      </w:pPr>
      <w:r>
        <w:rPr>
          <w:rStyle w:val="FootnoteReference"/>
        </w:rPr>
        <w:footnoteRef/>
      </w:r>
      <w:r>
        <w:t xml:space="preserve"> </w:t>
      </w:r>
      <w:bookmarkStart w:id="3" w:name="_Hlk32999057"/>
      <w:r w:rsidRPr="00E96E07">
        <w:rPr>
          <w:i/>
          <w:iCs/>
        </w:rPr>
        <w:t xml:space="preserve">Number of Generic License Blocks Available in Incentive Auction of Upper Microwave Flexible Use Service Licenses in </w:t>
      </w:r>
      <w:r>
        <w:rPr>
          <w:i/>
          <w:iCs/>
        </w:rPr>
        <w:t>t</w:t>
      </w:r>
      <w:r w:rsidRPr="00E96E07">
        <w:rPr>
          <w:i/>
          <w:iCs/>
        </w:rPr>
        <w:t>he Upper 37 G</w:t>
      </w:r>
      <w:r>
        <w:rPr>
          <w:i/>
          <w:iCs/>
        </w:rPr>
        <w:t>H</w:t>
      </w:r>
      <w:r w:rsidRPr="00E96E07">
        <w:rPr>
          <w:i/>
          <w:iCs/>
        </w:rPr>
        <w:t>z, 39 G</w:t>
      </w:r>
      <w:r>
        <w:rPr>
          <w:i/>
          <w:iCs/>
        </w:rPr>
        <w:t>H</w:t>
      </w:r>
      <w:r w:rsidRPr="00E96E07">
        <w:rPr>
          <w:i/>
          <w:iCs/>
        </w:rPr>
        <w:t>z, and 47 G</w:t>
      </w:r>
      <w:r>
        <w:rPr>
          <w:i/>
          <w:iCs/>
        </w:rPr>
        <w:t>H</w:t>
      </w:r>
      <w:r w:rsidRPr="00E96E07">
        <w:rPr>
          <w:i/>
          <w:iCs/>
        </w:rPr>
        <w:t>z Bands (Auction 103)</w:t>
      </w:r>
      <w:r>
        <w:t>, Public Notice, DA 19-792 (OEA/WTB Aug. 21, 2019).</w:t>
      </w:r>
    </w:p>
    <w:bookmarkEnd w:id="3"/>
  </w:footnote>
  <w:footnote w:id="8">
    <w:p w:rsidR="001F795E" w:rsidRPr="00D764A7" w:rsidP="00DA08A6" w14:paraId="780B88D8" w14:textId="77777777">
      <w:pPr>
        <w:pStyle w:val="FootnoteText"/>
        <w:spacing w:after="120"/>
      </w:pPr>
      <w:r w:rsidRPr="00D764A7">
        <w:rPr>
          <w:rStyle w:val="FootnoteReference"/>
        </w:rPr>
        <w:footnoteRef/>
      </w:r>
      <w:r w:rsidRPr="00D764A7">
        <w:t xml:space="preserve"> 47 CFR § 30.6.</w:t>
      </w:r>
    </w:p>
  </w:footnote>
  <w:footnote w:id="9">
    <w:p w:rsidR="001F795E" w14:paraId="7B7573FA" w14:textId="60D6ADCB">
      <w:pPr>
        <w:pStyle w:val="FootnoteText"/>
      </w:pPr>
      <w:r>
        <w:rPr>
          <w:rStyle w:val="FootnoteReference"/>
        </w:rPr>
        <w:footnoteRef/>
      </w:r>
      <w:r>
        <w:t xml:space="preserve"> </w:t>
      </w:r>
      <w:r w:rsidRPr="001A5A5D">
        <w:rPr>
          <w:i/>
        </w:rPr>
        <w:t>See Use of Spectrum Bands Above 24 GHz for Mobile Radio Services</w:t>
      </w:r>
      <w:r w:rsidRPr="001A5A5D">
        <w:t xml:space="preserve">, Fourth Report and Order, </w:t>
      </w:r>
      <w:r w:rsidRPr="00117C26">
        <w:t>33 FCC Rcd 12168</w:t>
      </w:r>
      <w:r w:rsidRPr="001A5A5D">
        <w:t xml:space="preserve"> (2018)</w:t>
      </w:r>
      <w:r>
        <w:t>.</w:t>
      </w:r>
    </w:p>
  </w:footnote>
  <w:footnote w:id="10">
    <w:p w:rsidR="001F795E" w:rsidP="002A78BF" w14:paraId="57BEEC50" w14:textId="2ED9E75F">
      <w:pPr>
        <w:pStyle w:val="FootnoteText"/>
        <w:spacing w:after="120"/>
      </w:pPr>
      <w:r>
        <w:rPr>
          <w:rStyle w:val="FootnoteReference"/>
        </w:rPr>
        <w:footnoteRef/>
      </w:r>
      <w:r>
        <w:t xml:space="preserve"> </w:t>
      </w:r>
      <w:r>
        <w:rPr>
          <w:i/>
        </w:rPr>
        <w:t>Auction 103 Procedures Public Notice</w:t>
      </w:r>
      <w:r>
        <w:t>, 34 FCC Rcd</w:t>
      </w:r>
      <w:r>
        <w:rPr>
          <w:lang w:val="de-DE"/>
        </w:rPr>
        <w:t xml:space="preserve"> </w:t>
      </w:r>
      <w:r>
        <w:t>at 5558, para. 79.</w:t>
      </w:r>
    </w:p>
  </w:footnote>
  <w:footnote w:id="11">
    <w:p w:rsidR="001F795E" w14:paraId="5CBDB565" w14:textId="20DBC74A">
      <w:pPr>
        <w:pStyle w:val="FootnoteText"/>
      </w:pPr>
      <w:r>
        <w:rPr>
          <w:rStyle w:val="FootnoteReference"/>
        </w:rPr>
        <w:footnoteRef/>
      </w:r>
      <w:r>
        <w:t xml:space="preserve"> </w:t>
      </w:r>
      <w:r>
        <w:rPr>
          <w:i/>
          <w:iCs/>
        </w:rPr>
        <w:t>Id</w:t>
      </w:r>
      <w:r>
        <w:t>.</w:t>
      </w:r>
      <w:r w:rsidRPr="00CF0E02">
        <w:t xml:space="preserve"> at </w:t>
      </w:r>
      <w:r>
        <w:t>5580</w:t>
      </w:r>
      <w:r w:rsidRPr="00CF0E02">
        <w:t xml:space="preserve">, para. </w:t>
      </w:r>
      <w:r>
        <w:t>153</w:t>
      </w:r>
      <w:r w:rsidRPr="00CF0E02">
        <w:t>.</w:t>
      </w:r>
    </w:p>
  </w:footnote>
  <w:footnote w:id="12">
    <w:p w:rsidR="001F795E" w:rsidP="005B509A" w14:paraId="472ABE13" w14:textId="7ED281EE">
      <w:pPr>
        <w:pStyle w:val="FootnoteText"/>
        <w:spacing w:after="120"/>
      </w:pPr>
      <w:r>
        <w:rPr>
          <w:rStyle w:val="FootnoteReference"/>
        </w:rPr>
        <w:footnoteRef/>
      </w:r>
      <w:r>
        <w:t xml:space="preserve"> </w:t>
      </w:r>
      <w:r>
        <w:rPr>
          <w:i/>
        </w:rPr>
        <w:t>Auction 103 Procedures Public Notice</w:t>
      </w:r>
      <w:r>
        <w:t>, 34 FCC Rcd at 5587, para. 177.</w:t>
      </w:r>
    </w:p>
  </w:footnote>
  <w:footnote w:id="13">
    <w:p w:rsidR="001F795E" w:rsidP="000B1974" w14:paraId="670E1FD5" w14:textId="64D0DEAD">
      <w:pPr>
        <w:pStyle w:val="FootnoteText"/>
        <w:spacing w:after="120"/>
      </w:pPr>
      <w:r>
        <w:rPr>
          <w:rStyle w:val="FootnoteReference"/>
        </w:rPr>
        <w:footnoteRef/>
      </w:r>
      <w:r>
        <w:t xml:space="preserve"> </w:t>
      </w:r>
      <w:r w:rsidRPr="00D66F3E">
        <w:rPr>
          <w:i/>
        </w:rPr>
        <w:t xml:space="preserve">Close of </w:t>
      </w:r>
      <w:r w:rsidRPr="00494266">
        <w:rPr>
          <w:i/>
          <w:iCs/>
        </w:rPr>
        <w:t xml:space="preserve">Clock Phase Bidding in Auction 103 (Upper 37 GHz, 39 GHz, </w:t>
      </w:r>
      <w:r>
        <w:rPr>
          <w:i/>
          <w:iCs/>
        </w:rPr>
        <w:t>a</w:t>
      </w:r>
      <w:r w:rsidRPr="00494266">
        <w:rPr>
          <w:i/>
          <w:iCs/>
        </w:rPr>
        <w:t xml:space="preserve">nd 47 GHz); Schedule </w:t>
      </w:r>
      <w:r>
        <w:rPr>
          <w:i/>
          <w:iCs/>
        </w:rPr>
        <w:t>f</w:t>
      </w:r>
      <w:r w:rsidRPr="00494266">
        <w:rPr>
          <w:i/>
          <w:iCs/>
        </w:rPr>
        <w:t xml:space="preserve">or Assignment Phase Mock Auction; Availability </w:t>
      </w:r>
      <w:r>
        <w:rPr>
          <w:i/>
          <w:iCs/>
        </w:rPr>
        <w:t>o</w:t>
      </w:r>
      <w:r w:rsidRPr="00494266">
        <w:rPr>
          <w:i/>
          <w:iCs/>
        </w:rPr>
        <w:t>f Assignment Phase User Guide and Online Tutorial; Assignment Phase Bidding Begins February 18, 2020</w:t>
      </w:r>
      <w:r>
        <w:t>, Public Notice, DA 20-120 (WTB/OEA Feb 5, 2020).</w:t>
      </w:r>
    </w:p>
  </w:footnote>
  <w:footnote w:id="14">
    <w:p w:rsidR="001F795E" w:rsidRPr="003B5151" w:rsidP="000B1974" w14:paraId="3A9B8DC6" w14:textId="3BFB7AD9">
      <w:pPr>
        <w:pStyle w:val="FootnoteText"/>
        <w:spacing w:after="120"/>
        <w:rPr>
          <w:sz w:val="16"/>
          <w:szCs w:val="16"/>
        </w:rPr>
      </w:pPr>
      <w:r>
        <w:rPr>
          <w:rStyle w:val="FootnoteReference"/>
        </w:rPr>
        <w:footnoteRef/>
      </w:r>
      <w:r>
        <w:t xml:space="preserve"> </w:t>
      </w:r>
      <w:r>
        <w:rPr>
          <w:i/>
        </w:rPr>
        <w:t>Id</w:t>
      </w:r>
      <w:r w:rsidRPr="00AB63C7">
        <w:rPr>
          <w:iCs/>
        </w:rPr>
        <w:t xml:space="preserve">. </w:t>
      </w:r>
    </w:p>
  </w:footnote>
  <w:footnote w:id="15">
    <w:p w:rsidR="0086392F" w:rsidP="00291A0E" w14:paraId="42BD5655" w14:textId="0F873058">
      <w:pPr>
        <w:pStyle w:val="FootnoteText"/>
        <w:spacing w:after="120"/>
      </w:pPr>
      <w:r>
        <w:rPr>
          <w:rStyle w:val="FootnoteReference"/>
        </w:rPr>
        <w:footnoteRef/>
      </w:r>
      <w:r>
        <w:t xml:space="preserve"> </w:t>
      </w:r>
      <w:r w:rsidRPr="001E082B">
        <w:rPr>
          <w:i/>
          <w:iCs/>
        </w:rPr>
        <w:t>Incentive Auction of Upper Microwave Flexible Use Service Licenses in the Upper 37 GHz, 39 GHz, and 47 GHz Bands For Next-Generation Wireless Services Closes; Winning Bidders Announced for Auction</w:t>
      </w:r>
      <w:r w:rsidR="008C4648">
        <w:rPr>
          <w:i/>
          <w:iCs/>
        </w:rPr>
        <w:t xml:space="preserve"> 103</w:t>
      </w:r>
      <w:r w:rsidRPr="001E082B">
        <w:rPr>
          <w:i/>
          <w:iCs/>
        </w:rPr>
        <w:t>; Down Payments Due March 26, 2020; FCC Forms 601 and 602 Due March 26, 2020; Final Payments Due April 9, 2020; FCC Form 1877 for Incentive Payments Due April 13, 2020</w:t>
      </w:r>
      <w:r w:rsidRPr="0086392F">
        <w:t>, Public Notice, DA 20-253 (WTB</w:t>
      </w:r>
      <w:r>
        <w:t>/OEA</w:t>
      </w:r>
      <w:r w:rsidRPr="0086392F">
        <w:t xml:space="preserve"> Mar. 12, 2020).</w:t>
      </w:r>
    </w:p>
  </w:footnote>
  <w:footnote w:id="16">
    <w:p w:rsidR="00291A0E" w14:paraId="73F504F6" w14:textId="10817B47">
      <w:pPr>
        <w:pStyle w:val="FootnoteText"/>
      </w:pPr>
      <w:r>
        <w:rPr>
          <w:rStyle w:val="FootnoteReference"/>
        </w:rPr>
        <w:footnoteRef/>
      </w:r>
      <w:r>
        <w:t xml:space="preserve"> </w:t>
      </w:r>
      <w:r w:rsidRPr="00291A0E">
        <w:rPr>
          <w:i/>
          <w:iCs/>
        </w:rPr>
        <w:t>Id.</w:t>
      </w:r>
    </w:p>
  </w:footnote>
  <w:footnote w:id="17">
    <w:p w:rsidR="004532AF" w:rsidRPr="00D764A7" w:rsidP="004532AF" w14:paraId="062D9D3E" w14:textId="77777777">
      <w:pPr>
        <w:pStyle w:val="FootnoteText"/>
        <w:widowControl w:val="0"/>
        <w:spacing w:after="120"/>
      </w:pPr>
      <w:r w:rsidRPr="00D764A7">
        <w:rPr>
          <w:rStyle w:val="FootnoteReference"/>
        </w:rPr>
        <w:footnoteRef/>
      </w:r>
      <w:r w:rsidRPr="00D764A7">
        <w:t xml:space="preserve"> </w:t>
      </w:r>
      <w:r w:rsidRPr="00A82458">
        <w:t>47 CFR</w:t>
      </w:r>
      <w:r>
        <w:t xml:space="preserve"> </w:t>
      </w:r>
      <w:r w:rsidRPr="00D764A7">
        <w:t>§ 1.2112(b).</w:t>
      </w:r>
    </w:p>
  </w:footnote>
  <w:footnote w:id="18">
    <w:p w:rsidR="004532AF" w:rsidP="004532AF" w14:paraId="1EF60953" w14:textId="77777777">
      <w:pPr>
        <w:pStyle w:val="FootnoteText"/>
      </w:pPr>
      <w:r>
        <w:rPr>
          <w:rStyle w:val="FootnoteReference"/>
        </w:rPr>
        <w:footnoteRef/>
      </w:r>
      <w:r>
        <w:t xml:space="preserve"> </w:t>
      </w:r>
      <w:r w:rsidRPr="00C766D2">
        <w:rPr>
          <w:i/>
        </w:rPr>
        <w:t>See Auction 10</w:t>
      </w:r>
      <w:r>
        <w:rPr>
          <w:i/>
        </w:rPr>
        <w:t>3</w:t>
      </w:r>
      <w:r w:rsidRPr="00C766D2">
        <w:rPr>
          <w:i/>
        </w:rPr>
        <w:t xml:space="preserve"> Procedures Public Notice</w:t>
      </w:r>
      <w:r>
        <w:t>, 34 FCC Rcd at 5566-68, paras. 98-105.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795E" w:rsidP="00BA3DAB" w14:paraId="33702333" w14:textId="77777777">
    <w:pPr>
      <w:pStyle w:val="Header1"/>
      <w:tabs>
        <w:tab w:val="left" w:pos="2700"/>
        <w:tab w:val="left" w:pos="3060"/>
      </w:tabs>
      <w:spacing w:before="360" w:line="228" w:lineRule="auto"/>
      <w:ind w:left="180" w:firstLine="1890"/>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64.8pt;height:64.8pt;margin-top:0;margin-left:-31.8pt;position:absolute;visibility:visible;z-index:-251658240" o:oleicon="f" o:allowincell="f" wrapcoords="-251 0 -251 21349 21600 21349 21600 0 -251 0" filled="t" fillcolor="#3cc">
          <v:imagedata r:id="rId1" o:title="" gain="69719f"/>
          <w10:wrap type="through"/>
        </v:shape>
        <o:OLEObject Type="Embed" ProgID="Word.Picture.8" ShapeID="_x0000_s2049" DrawAspect="Content" ObjectID="_1650807934" r:id="rId2"/>
      </w:pict>
    </w:r>
    <w:r>
      <w:rPr>
        <w:rFonts w:ascii="CG Times (W1)" w:hAnsi="CG Times (W1)"/>
        <w:sz w:val="28"/>
      </w:rPr>
      <w:t>Federal Communications Commission</w:t>
    </w:r>
  </w:p>
  <w:p w:rsidR="001F795E" w:rsidP="00BA3DAB" w14:paraId="70032661" w14:textId="13EC081B">
    <w:pPr>
      <w:tabs>
        <w:tab w:val="left" w:pos="3240"/>
        <w:tab w:val="left" w:pos="3510"/>
      </w:tabs>
      <w:rPr>
        <w:rFonts w:ascii="CG Times (W1)" w:hAnsi="CG Times (W1)"/>
        <w:sz w:val="28"/>
      </w:rPr>
    </w:pPr>
    <w:r>
      <w:rPr>
        <w:rFonts w:ascii="CG Times (W1)" w:hAnsi="CG Times (W1)"/>
        <w:sz w:val="28"/>
      </w:rPr>
      <w:tab/>
    </w:r>
    <w:r>
      <w:rPr>
        <w:rFonts w:ascii="CG Times (W1)" w:hAnsi="CG Times (W1)"/>
        <w:sz w:val="28"/>
      </w:rPr>
      <w:tab/>
      <w:t>Washington, D.C. 20554</w:t>
    </w:r>
  </w:p>
  <w:p w:rsidR="001F795E" w:rsidRPr="003172B5" w:rsidP="00BA3DAB" w14:paraId="43E442B0" w14:textId="7C4DBB48">
    <w:pPr>
      <w:tabs>
        <w:tab w:val="left" w:pos="3960"/>
      </w:tabs>
      <w:ind w:left="2880" w:firstLine="720"/>
      <w:rPr>
        <w:sz w:val="24"/>
        <w:szCs w:val="24"/>
      </w:rPr>
    </w:pPr>
    <w:r>
      <w:rPr>
        <w:rFonts w:ascii="CG Times (W1)" w:hAnsi="CG Times (W1)"/>
        <w:sz w:val="24"/>
        <w:szCs w:val="24"/>
      </w:rPr>
      <w:tab/>
    </w:r>
    <w:r w:rsidR="00C62FA2">
      <w:rPr>
        <w:rFonts w:ascii="CG Times (W1)" w:hAnsi="CG Times (W1)"/>
        <w:sz w:val="24"/>
        <w:szCs w:val="24"/>
      </w:rPr>
      <w:t>May 1</w:t>
    </w:r>
    <w:r w:rsidR="00887465">
      <w:rPr>
        <w:rFonts w:ascii="CG Times (W1)" w:hAnsi="CG Times (W1)"/>
        <w:sz w:val="24"/>
        <w:szCs w:val="24"/>
      </w:rPr>
      <w:t>3</w:t>
    </w:r>
    <w:r w:rsidR="00C62FA2">
      <w:rPr>
        <w:rFonts w:ascii="CG Times (W1)" w:hAnsi="CG Times (W1)"/>
        <w:sz w:val="24"/>
        <w:szCs w:val="24"/>
      </w:rPr>
      <w:t>, 2020</w:t>
    </w:r>
    <w:r w:rsidRPr="003172B5">
      <w:rPr>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795E" w:rsidP="00737389" w14:paraId="3E612E46" w14:textId="77777777">
    <w:pPr>
      <w:pStyle w:val="Header1"/>
      <w:spacing w:before="360" w:line="228" w:lineRule="auto"/>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795E" w:rsidRPr="00731810" w:rsidP="001E082B" w14:paraId="725A9D48" w14:textId="6C82DC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380F6A"/>
    <w:multiLevelType w:val="hybridMultilevel"/>
    <w:tmpl w:val="F8F0B27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C097812"/>
    <w:multiLevelType w:val="hybridMultilevel"/>
    <w:tmpl w:val="F7AC3A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0F40D5A"/>
    <w:multiLevelType w:val="hybridMultilevel"/>
    <w:tmpl w:val="A5FEB4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45E043D"/>
    <w:multiLevelType w:val="hybridMultilevel"/>
    <w:tmpl w:val="ADE6F3D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6614BF2"/>
    <w:multiLevelType w:val="hybridMultilevel"/>
    <w:tmpl w:val="93F8F69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1A7E03B1"/>
    <w:multiLevelType w:val="hybridMultilevel"/>
    <w:tmpl w:val="7CF8C7D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1CD3744F"/>
    <w:multiLevelType w:val="hybridMultilevel"/>
    <w:tmpl w:val="855211C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210F7B5A"/>
    <w:multiLevelType w:val="hybridMultilevel"/>
    <w:tmpl w:val="ED927E1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9">
    <w:nsid w:val="399D6D62"/>
    <w:multiLevelType w:val="hybridMultilevel"/>
    <w:tmpl w:val="32929508"/>
    <w:lvl w:ilvl="0">
      <w:start w:val="1"/>
      <w:numFmt w:val="bullet"/>
      <w:lvlText w:val=""/>
      <w:lvlJc w:val="left"/>
      <w:pPr>
        <w:ind w:left="3240" w:hanging="360"/>
      </w:pPr>
      <w:rPr>
        <w:rFonts w:ascii="Symbol" w:hAnsi="Symbol" w:hint="default"/>
      </w:rPr>
    </w:lvl>
    <w:lvl w:ilvl="1">
      <w:start w:val="1"/>
      <w:numFmt w:val="bullet"/>
      <w:lvlText w:val="o"/>
      <w:lvlJc w:val="left"/>
      <w:pPr>
        <w:ind w:left="3960" w:hanging="360"/>
      </w:pPr>
      <w:rPr>
        <w:rFonts w:ascii="Courier New" w:hAnsi="Courier New" w:cs="Courier New" w:hint="default"/>
      </w:rPr>
    </w:lvl>
    <w:lvl w:ilvl="2" w:tentative="1">
      <w:start w:val="1"/>
      <w:numFmt w:val="bullet"/>
      <w:lvlText w:val=""/>
      <w:lvlJc w:val="left"/>
      <w:pPr>
        <w:ind w:left="4680" w:hanging="360"/>
      </w:pPr>
      <w:rPr>
        <w:rFonts w:ascii="Wingdings" w:hAnsi="Wingdings" w:hint="default"/>
      </w:rPr>
    </w:lvl>
    <w:lvl w:ilvl="3" w:tentative="1">
      <w:start w:val="1"/>
      <w:numFmt w:val="bullet"/>
      <w:lvlText w:val=""/>
      <w:lvlJc w:val="left"/>
      <w:pPr>
        <w:ind w:left="5400" w:hanging="360"/>
      </w:pPr>
      <w:rPr>
        <w:rFonts w:ascii="Symbol" w:hAnsi="Symbol" w:hint="default"/>
      </w:rPr>
    </w:lvl>
    <w:lvl w:ilvl="4" w:tentative="1">
      <w:start w:val="1"/>
      <w:numFmt w:val="bullet"/>
      <w:lvlText w:val="o"/>
      <w:lvlJc w:val="left"/>
      <w:pPr>
        <w:ind w:left="6120" w:hanging="360"/>
      </w:pPr>
      <w:rPr>
        <w:rFonts w:ascii="Courier New" w:hAnsi="Courier New" w:cs="Courier New" w:hint="default"/>
      </w:rPr>
    </w:lvl>
    <w:lvl w:ilvl="5" w:tentative="1">
      <w:start w:val="1"/>
      <w:numFmt w:val="bullet"/>
      <w:lvlText w:val=""/>
      <w:lvlJc w:val="left"/>
      <w:pPr>
        <w:ind w:left="6840" w:hanging="360"/>
      </w:pPr>
      <w:rPr>
        <w:rFonts w:ascii="Wingdings" w:hAnsi="Wingdings" w:hint="default"/>
      </w:rPr>
    </w:lvl>
    <w:lvl w:ilvl="6" w:tentative="1">
      <w:start w:val="1"/>
      <w:numFmt w:val="bullet"/>
      <w:lvlText w:val=""/>
      <w:lvlJc w:val="left"/>
      <w:pPr>
        <w:ind w:left="7560" w:hanging="360"/>
      </w:pPr>
      <w:rPr>
        <w:rFonts w:ascii="Symbol" w:hAnsi="Symbol" w:hint="default"/>
      </w:rPr>
    </w:lvl>
    <w:lvl w:ilvl="7" w:tentative="1">
      <w:start w:val="1"/>
      <w:numFmt w:val="bullet"/>
      <w:lvlText w:val="o"/>
      <w:lvlJc w:val="left"/>
      <w:pPr>
        <w:ind w:left="8280" w:hanging="360"/>
      </w:pPr>
      <w:rPr>
        <w:rFonts w:ascii="Courier New" w:hAnsi="Courier New" w:cs="Courier New" w:hint="default"/>
      </w:rPr>
    </w:lvl>
    <w:lvl w:ilvl="8" w:tentative="1">
      <w:start w:val="1"/>
      <w:numFmt w:val="bullet"/>
      <w:lvlText w:val=""/>
      <w:lvlJc w:val="left"/>
      <w:pPr>
        <w:ind w:left="9000" w:hanging="360"/>
      </w:pPr>
      <w:rPr>
        <w:rFonts w:ascii="Wingdings" w:hAnsi="Wingdings" w:hint="default"/>
      </w:rPr>
    </w:lvl>
  </w:abstractNum>
  <w:abstractNum w:abstractNumId="10">
    <w:nsid w:val="3C695AD4"/>
    <w:multiLevelType w:val="hybridMultilevel"/>
    <w:tmpl w:val="73BC6D4A"/>
    <w:lvl w:ilvl="0">
      <w:start w:val="1"/>
      <w:numFmt w:val="upperLetter"/>
      <w:pStyle w:val="Heading2"/>
      <w:lvlText w:val="%1."/>
      <w:lvlJc w:val="left"/>
      <w:pPr>
        <w:ind w:left="1080" w:hanging="360"/>
      </w:pPr>
      <w:rPr>
        <w:rFonts w:hint="default"/>
        <w:b/>
        <w:sz w:val="22"/>
        <w:szCs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44566153"/>
    <w:multiLevelType w:val="hybridMultilevel"/>
    <w:tmpl w:val="E092FF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46C24CB"/>
    <w:multiLevelType w:val="hybridMultilevel"/>
    <w:tmpl w:val="75CCB70A"/>
    <w:lvl w:ilvl="0">
      <w:start w:val="1"/>
      <w:numFmt w:val="bullet"/>
      <w:lvlText w:val=""/>
      <w:lvlJc w:val="left"/>
      <w:pPr>
        <w:ind w:left="3600" w:hanging="360"/>
      </w:pPr>
      <w:rPr>
        <w:rFonts w:ascii="Symbol" w:hAnsi="Symbol" w:hint="default"/>
      </w:rPr>
    </w:lvl>
    <w:lvl w:ilvl="1">
      <w:start w:val="1"/>
      <w:numFmt w:val="bullet"/>
      <w:lvlText w:val="o"/>
      <w:lvlJc w:val="left"/>
      <w:pPr>
        <w:ind w:left="4320" w:hanging="360"/>
      </w:pPr>
      <w:rPr>
        <w:rFonts w:ascii="Courier New" w:hAnsi="Courier New" w:cs="Courier New" w:hint="default"/>
      </w:rPr>
    </w:lvl>
    <w:lvl w:ilvl="2">
      <w:start w:val="1"/>
      <w:numFmt w:val="bullet"/>
      <w:lvlText w:val=""/>
      <w:lvlJc w:val="left"/>
      <w:pPr>
        <w:ind w:left="5040" w:hanging="360"/>
      </w:pPr>
      <w:rPr>
        <w:rFonts w:ascii="Wingdings" w:hAnsi="Wingdings" w:hint="default"/>
      </w:rPr>
    </w:lvl>
    <w:lvl w:ilvl="3" w:tentative="1">
      <w:start w:val="1"/>
      <w:numFmt w:val="bullet"/>
      <w:lvlText w:val=""/>
      <w:lvlJc w:val="left"/>
      <w:pPr>
        <w:ind w:left="5760" w:hanging="360"/>
      </w:pPr>
      <w:rPr>
        <w:rFonts w:ascii="Symbol" w:hAnsi="Symbol" w:hint="default"/>
      </w:rPr>
    </w:lvl>
    <w:lvl w:ilvl="4" w:tentative="1">
      <w:start w:val="1"/>
      <w:numFmt w:val="bullet"/>
      <w:lvlText w:val="o"/>
      <w:lvlJc w:val="left"/>
      <w:pPr>
        <w:ind w:left="6480" w:hanging="360"/>
      </w:pPr>
      <w:rPr>
        <w:rFonts w:ascii="Courier New" w:hAnsi="Courier New" w:cs="Courier New" w:hint="default"/>
      </w:rPr>
    </w:lvl>
    <w:lvl w:ilvl="5" w:tentative="1">
      <w:start w:val="1"/>
      <w:numFmt w:val="bullet"/>
      <w:lvlText w:val=""/>
      <w:lvlJc w:val="left"/>
      <w:pPr>
        <w:ind w:left="7200" w:hanging="360"/>
      </w:pPr>
      <w:rPr>
        <w:rFonts w:ascii="Wingdings" w:hAnsi="Wingdings" w:hint="default"/>
      </w:rPr>
    </w:lvl>
    <w:lvl w:ilvl="6" w:tentative="1">
      <w:start w:val="1"/>
      <w:numFmt w:val="bullet"/>
      <w:lvlText w:val=""/>
      <w:lvlJc w:val="left"/>
      <w:pPr>
        <w:ind w:left="7920" w:hanging="360"/>
      </w:pPr>
      <w:rPr>
        <w:rFonts w:ascii="Symbol" w:hAnsi="Symbol" w:hint="default"/>
      </w:rPr>
    </w:lvl>
    <w:lvl w:ilvl="7" w:tentative="1">
      <w:start w:val="1"/>
      <w:numFmt w:val="bullet"/>
      <w:lvlText w:val="o"/>
      <w:lvlJc w:val="left"/>
      <w:pPr>
        <w:ind w:left="8640" w:hanging="360"/>
      </w:pPr>
      <w:rPr>
        <w:rFonts w:ascii="Courier New" w:hAnsi="Courier New" w:cs="Courier New" w:hint="default"/>
      </w:rPr>
    </w:lvl>
    <w:lvl w:ilvl="8" w:tentative="1">
      <w:start w:val="1"/>
      <w:numFmt w:val="bullet"/>
      <w:lvlText w:val=""/>
      <w:lvlJc w:val="left"/>
      <w:pPr>
        <w:ind w:left="9360" w:hanging="360"/>
      </w:pPr>
      <w:rPr>
        <w:rFonts w:ascii="Wingdings" w:hAnsi="Wingdings" w:hint="default"/>
      </w:rPr>
    </w:lvl>
  </w:abstractNum>
  <w:abstractNum w:abstractNumId="13">
    <w:nsid w:val="4B16466F"/>
    <w:multiLevelType w:val="hybridMultilevel"/>
    <w:tmpl w:val="546E4FE8"/>
    <w:lvl w:ilvl="0">
      <w:start w:val="1"/>
      <w:numFmt w:val="decimal"/>
      <w:lvlText w:val="%1."/>
      <w:lvlJc w:val="left"/>
      <w:pPr>
        <w:ind w:left="1800" w:hanging="360"/>
      </w:pPr>
      <w:rPr>
        <w:rFonts w:hint="default"/>
        <w:b/>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4">
    <w:nsid w:val="588C32B3"/>
    <w:multiLevelType w:val="hybridMultilevel"/>
    <w:tmpl w:val="74925EF0"/>
    <w:lvl w:ilvl="0">
      <w:start w:val="1"/>
      <w:numFmt w:val="bullet"/>
      <w:lvlText w:val=""/>
      <w:lvlJc w:val="left"/>
      <w:pPr>
        <w:ind w:left="1440" w:hanging="108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8B54F21"/>
    <w:multiLevelType w:val="hybridMultilevel"/>
    <w:tmpl w:val="4098635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61182925"/>
    <w:multiLevelType w:val="singleLevel"/>
    <w:tmpl w:val="D180CED0"/>
    <w:lvl w:ilvl="0">
      <w:start w:val="1"/>
      <w:numFmt w:val="bullet"/>
      <w:pStyle w:val="ParaNum"/>
      <w:lvlText w:val=""/>
      <w:lvlJc w:val="left"/>
      <w:pPr>
        <w:tabs>
          <w:tab w:val="num" w:pos="1080"/>
        </w:tabs>
        <w:ind w:left="0" w:firstLine="720"/>
      </w:pPr>
      <w:rPr>
        <w:rFonts w:ascii="Symbol" w:hAnsi="Symbol" w:hint="default"/>
      </w:rPr>
    </w:lvl>
  </w:abstractNum>
  <w:abstractNum w:abstractNumId="17">
    <w:nsid w:val="77570C44"/>
    <w:multiLevelType w:val="hybridMultilevel"/>
    <w:tmpl w:val="0D0E3722"/>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12"/>
  </w:num>
  <w:num w:numId="6">
    <w:abstractNumId w:val="11"/>
  </w:num>
  <w:num w:numId="7">
    <w:abstractNumId w:val="13"/>
  </w:num>
  <w:num w:numId="8">
    <w:abstractNumId w:val="8"/>
  </w:num>
  <w:num w:numId="9">
    <w:abstractNumId w:val="3"/>
  </w:num>
  <w:num w:numId="10">
    <w:abstractNumId w:val="2"/>
  </w:num>
  <w:num w:numId="11">
    <w:abstractNumId w:val="14"/>
  </w:num>
  <w:num w:numId="12">
    <w:abstractNumId w:val="7"/>
  </w:num>
  <w:num w:numId="13">
    <w:abstractNumId w:val="6"/>
  </w:num>
  <w:num w:numId="14">
    <w:abstractNumId w:val="9"/>
  </w:num>
  <w:num w:numId="15">
    <w:abstractNumId w:val="5"/>
  </w:num>
  <w:num w:numId="16">
    <w:abstractNumId w:val="0"/>
  </w:num>
  <w:num w:numId="17">
    <w:abstractNumId w:val="4"/>
  </w:num>
  <w:num w:numId="1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604"/>
    <w:rsid w:val="00000CA1"/>
    <w:rsid w:val="00003429"/>
    <w:rsid w:val="00010054"/>
    <w:rsid w:val="00010224"/>
    <w:rsid w:val="00012039"/>
    <w:rsid w:val="000146AD"/>
    <w:rsid w:val="00014FEE"/>
    <w:rsid w:val="00021F7E"/>
    <w:rsid w:val="0002241E"/>
    <w:rsid w:val="0002288A"/>
    <w:rsid w:val="00027897"/>
    <w:rsid w:val="00027CB9"/>
    <w:rsid w:val="00030D4C"/>
    <w:rsid w:val="00033FF2"/>
    <w:rsid w:val="00035334"/>
    <w:rsid w:val="0003548B"/>
    <w:rsid w:val="000400E9"/>
    <w:rsid w:val="00040849"/>
    <w:rsid w:val="000470B2"/>
    <w:rsid w:val="0005638A"/>
    <w:rsid w:val="00056C1F"/>
    <w:rsid w:val="0006068E"/>
    <w:rsid w:val="000649C6"/>
    <w:rsid w:val="0006515A"/>
    <w:rsid w:val="00070AF5"/>
    <w:rsid w:val="00072683"/>
    <w:rsid w:val="00077DB6"/>
    <w:rsid w:val="00080128"/>
    <w:rsid w:val="00085F61"/>
    <w:rsid w:val="000864A0"/>
    <w:rsid w:val="0008663D"/>
    <w:rsid w:val="0009034B"/>
    <w:rsid w:val="000A2799"/>
    <w:rsid w:val="000A2D2A"/>
    <w:rsid w:val="000A4A59"/>
    <w:rsid w:val="000A56C3"/>
    <w:rsid w:val="000B08CF"/>
    <w:rsid w:val="000B1769"/>
    <w:rsid w:val="000B1974"/>
    <w:rsid w:val="000C5066"/>
    <w:rsid w:val="000C6587"/>
    <w:rsid w:val="000D2438"/>
    <w:rsid w:val="000D7B1E"/>
    <w:rsid w:val="000F7805"/>
    <w:rsid w:val="00101D55"/>
    <w:rsid w:val="00110915"/>
    <w:rsid w:val="00111FDA"/>
    <w:rsid w:val="001150EC"/>
    <w:rsid w:val="00117C26"/>
    <w:rsid w:val="0012222F"/>
    <w:rsid w:val="00124CC7"/>
    <w:rsid w:val="00126D60"/>
    <w:rsid w:val="00134381"/>
    <w:rsid w:val="001403D3"/>
    <w:rsid w:val="0014059F"/>
    <w:rsid w:val="00154D9C"/>
    <w:rsid w:val="00154F49"/>
    <w:rsid w:val="001550A5"/>
    <w:rsid w:val="0015553E"/>
    <w:rsid w:val="00157652"/>
    <w:rsid w:val="00160604"/>
    <w:rsid w:val="00162B34"/>
    <w:rsid w:val="00174E87"/>
    <w:rsid w:val="001773EF"/>
    <w:rsid w:val="0019030F"/>
    <w:rsid w:val="00194C36"/>
    <w:rsid w:val="001962FF"/>
    <w:rsid w:val="001978D5"/>
    <w:rsid w:val="001A07B6"/>
    <w:rsid w:val="001A34F3"/>
    <w:rsid w:val="001A5661"/>
    <w:rsid w:val="001A5713"/>
    <w:rsid w:val="001A5A5D"/>
    <w:rsid w:val="001A5EEF"/>
    <w:rsid w:val="001A6F60"/>
    <w:rsid w:val="001B2D3E"/>
    <w:rsid w:val="001B44A1"/>
    <w:rsid w:val="001B45D8"/>
    <w:rsid w:val="001B60A1"/>
    <w:rsid w:val="001C2D79"/>
    <w:rsid w:val="001C6CA3"/>
    <w:rsid w:val="001D5F31"/>
    <w:rsid w:val="001E0344"/>
    <w:rsid w:val="001E040A"/>
    <w:rsid w:val="001E082B"/>
    <w:rsid w:val="001E5FC6"/>
    <w:rsid w:val="001E6D97"/>
    <w:rsid w:val="001E7B18"/>
    <w:rsid w:val="001F02FD"/>
    <w:rsid w:val="001F5EE8"/>
    <w:rsid w:val="001F64F8"/>
    <w:rsid w:val="001F795E"/>
    <w:rsid w:val="00201CCE"/>
    <w:rsid w:val="00217145"/>
    <w:rsid w:val="0021770A"/>
    <w:rsid w:val="002204B6"/>
    <w:rsid w:val="00221BC8"/>
    <w:rsid w:val="00223D53"/>
    <w:rsid w:val="00225C13"/>
    <w:rsid w:val="002277AC"/>
    <w:rsid w:val="00236F27"/>
    <w:rsid w:val="00237B60"/>
    <w:rsid w:val="00241618"/>
    <w:rsid w:val="00242B9C"/>
    <w:rsid w:val="00242B9D"/>
    <w:rsid w:val="002517D5"/>
    <w:rsid w:val="002520C9"/>
    <w:rsid w:val="0025550F"/>
    <w:rsid w:val="002565A8"/>
    <w:rsid w:val="00256E5A"/>
    <w:rsid w:val="002574EA"/>
    <w:rsid w:val="00257BCF"/>
    <w:rsid w:val="00257D82"/>
    <w:rsid w:val="00257FB3"/>
    <w:rsid w:val="00261516"/>
    <w:rsid w:val="002626A4"/>
    <w:rsid w:val="00281438"/>
    <w:rsid w:val="0028195A"/>
    <w:rsid w:val="00282AB7"/>
    <w:rsid w:val="0028449A"/>
    <w:rsid w:val="00285F24"/>
    <w:rsid w:val="00286B37"/>
    <w:rsid w:val="00291A0E"/>
    <w:rsid w:val="00293E22"/>
    <w:rsid w:val="002951D3"/>
    <w:rsid w:val="002A0B25"/>
    <w:rsid w:val="002A40DE"/>
    <w:rsid w:val="002A78BF"/>
    <w:rsid w:val="002B32E2"/>
    <w:rsid w:val="002B5EC2"/>
    <w:rsid w:val="002C0562"/>
    <w:rsid w:val="002C05D2"/>
    <w:rsid w:val="002C0642"/>
    <w:rsid w:val="002C3212"/>
    <w:rsid w:val="002D041C"/>
    <w:rsid w:val="002D146E"/>
    <w:rsid w:val="002D526E"/>
    <w:rsid w:val="002D5DE2"/>
    <w:rsid w:val="002D6906"/>
    <w:rsid w:val="002D7081"/>
    <w:rsid w:val="002D74D7"/>
    <w:rsid w:val="002E01F2"/>
    <w:rsid w:val="002E29A0"/>
    <w:rsid w:val="002E3718"/>
    <w:rsid w:val="002F2F40"/>
    <w:rsid w:val="002F466C"/>
    <w:rsid w:val="002F52C3"/>
    <w:rsid w:val="002F6031"/>
    <w:rsid w:val="002F7580"/>
    <w:rsid w:val="002F7C7D"/>
    <w:rsid w:val="003029FE"/>
    <w:rsid w:val="00306FF7"/>
    <w:rsid w:val="00311A42"/>
    <w:rsid w:val="003159E7"/>
    <w:rsid w:val="003172B5"/>
    <w:rsid w:val="00322377"/>
    <w:rsid w:val="0032336D"/>
    <w:rsid w:val="00325400"/>
    <w:rsid w:val="003254CD"/>
    <w:rsid w:val="00326BC4"/>
    <w:rsid w:val="00331281"/>
    <w:rsid w:val="003316AE"/>
    <w:rsid w:val="003316B1"/>
    <w:rsid w:val="00336E12"/>
    <w:rsid w:val="00336FCC"/>
    <w:rsid w:val="0033780C"/>
    <w:rsid w:val="0034002F"/>
    <w:rsid w:val="00362561"/>
    <w:rsid w:val="003638BC"/>
    <w:rsid w:val="0036511F"/>
    <w:rsid w:val="00367CE2"/>
    <w:rsid w:val="0038159A"/>
    <w:rsid w:val="0038509F"/>
    <w:rsid w:val="00385A61"/>
    <w:rsid w:val="003861D5"/>
    <w:rsid w:val="00386852"/>
    <w:rsid w:val="00393FED"/>
    <w:rsid w:val="003964A7"/>
    <w:rsid w:val="003A1062"/>
    <w:rsid w:val="003A2690"/>
    <w:rsid w:val="003A3F47"/>
    <w:rsid w:val="003A6B94"/>
    <w:rsid w:val="003A773E"/>
    <w:rsid w:val="003A796D"/>
    <w:rsid w:val="003B34A1"/>
    <w:rsid w:val="003B5151"/>
    <w:rsid w:val="003C14C4"/>
    <w:rsid w:val="003C243B"/>
    <w:rsid w:val="003C2552"/>
    <w:rsid w:val="003C35C7"/>
    <w:rsid w:val="003C555B"/>
    <w:rsid w:val="003C674F"/>
    <w:rsid w:val="003C77A2"/>
    <w:rsid w:val="003D3E38"/>
    <w:rsid w:val="003D5331"/>
    <w:rsid w:val="003D549B"/>
    <w:rsid w:val="003D77FF"/>
    <w:rsid w:val="003D7F64"/>
    <w:rsid w:val="003E3BA1"/>
    <w:rsid w:val="003F14DC"/>
    <w:rsid w:val="003F6A62"/>
    <w:rsid w:val="00403A2F"/>
    <w:rsid w:val="00403F2B"/>
    <w:rsid w:val="00411244"/>
    <w:rsid w:val="004147B8"/>
    <w:rsid w:val="004148BB"/>
    <w:rsid w:val="004168CF"/>
    <w:rsid w:val="004217B5"/>
    <w:rsid w:val="00423C73"/>
    <w:rsid w:val="00423FE9"/>
    <w:rsid w:val="00424629"/>
    <w:rsid w:val="00430E97"/>
    <w:rsid w:val="00433237"/>
    <w:rsid w:val="004334C5"/>
    <w:rsid w:val="00434D0C"/>
    <w:rsid w:val="00435180"/>
    <w:rsid w:val="00436896"/>
    <w:rsid w:val="00437F36"/>
    <w:rsid w:val="00441BC9"/>
    <w:rsid w:val="00446802"/>
    <w:rsid w:val="00447E0C"/>
    <w:rsid w:val="004532AF"/>
    <w:rsid w:val="00460B38"/>
    <w:rsid w:val="00467848"/>
    <w:rsid w:val="004714C8"/>
    <w:rsid w:val="0047762C"/>
    <w:rsid w:val="00483503"/>
    <w:rsid w:val="00484ED1"/>
    <w:rsid w:val="00485870"/>
    <w:rsid w:val="00487C15"/>
    <w:rsid w:val="004916D2"/>
    <w:rsid w:val="00494266"/>
    <w:rsid w:val="0049681A"/>
    <w:rsid w:val="00497A13"/>
    <w:rsid w:val="004A027C"/>
    <w:rsid w:val="004A77E8"/>
    <w:rsid w:val="004B0046"/>
    <w:rsid w:val="004B0977"/>
    <w:rsid w:val="004B098F"/>
    <w:rsid w:val="004B3636"/>
    <w:rsid w:val="004B5F5A"/>
    <w:rsid w:val="004B75F1"/>
    <w:rsid w:val="004B7DF1"/>
    <w:rsid w:val="004C3BFD"/>
    <w:rsid w:val="004C4363"/>
    <w:rsid w:val="004D10EF"/>
    <w:rsid w:val="004D2F7C"/>
    <w:rsid w:val="004D32C9"/>
    <w:rsid w:val="004D53D0"/>
    <w:rsid w:val="004D5423"/>
    <w:rsid w:val="004D6525"/>
    <w:rsid w:val="004E1578"/>
    <w:rsid w:val="004E5250"/>
    <w:rsid w:val="004E7CAD"/>
    <w:rsid w:val="004F05F0"/>
    <w:rsid w:val="004F08CE"/>
    <w:rsid w:val="004F4771"/>
    <w:rsid w:val="004F48FD"/>
    <w:rsid w:val="004F63A9"/>
    <w:rsid w:val="00510E3F"/>
    <w:rsid w:val="00511464"/>
    <w:rsid w:val="005133AA"/>
    <w:rsid w:val="00523133"/>
    <w:rsid w:val="00523648"/>
    <w:rsid w:val="005240F9"/>
    <w:rsid w:val="005244CA"/>
    <w:rsid w:val="00535DC7"/>
    <w:rsid w:val="005400BE"/>
    <w:rsid w:val="00541A1F"/>
    <w:rsid w:val="00545BC6"/>
    <w:rsid w:val="00546994"/>
    <w:rsid w:val="00557D6A"/>
    <w:rsid w:val="00560D3F"/>
    <w:rsid w:val="00561BF5"/>
    <w:rsid w:val="00562940"/>
    <w:rsid w:val="00562DC1"/>
    <w:rsid w:val="00563B7F"/>
    <w:rsid w:val="0056720E"/>
    <w:rsid w:val="005712E5"/>
    <w:rsid w:val="005727C2"/>
    <w:rsid w:val="00577FD7"/>
    <w:rsid w:val="0058068B"/>
    <w:rsid w:val="00583241"/>
    <w:rsid w:val="00583E4E"/>
    <w:rsid w:val="00585AB3"/>
    <w:rsid w:val="00587101"/>
    <w:rsid w:val="00590ADE"/>
    <w:rsid w:val="0059171D"/>
    <w:rsid w:val="005A2D84"/>
    <w:rsid w:val="005A4C64"/>
    <w:rsid w:val="005B109B"/>
    <w:rsid w:val="005B3FDD"/>
    <w:rsid w:val="005B509A"/>
    <w:rsid w:val="005D4C95"/>
    <w:rsid w:val="005D7394"/>
    <w:rsid w:val="005E06B2"/>
    <w:rsid w:val="005E4559"/>
    <w:rsid w:val="005F11DA"/>
    <w:rsid w:val="005F2F71"/>
    <w:rsid w:val="005F5EA7"/>
    <w:rsid w:val="00600F77"/>
    <w:rsid w:val="00607739"/>
    <w:rsid w:val="006100A2"/>
    <w:rsid w:val="006167EE"/>
    <w:rsid w:val="00617F23"/>
    <w:rsid w:val="006258A2"/>
    <w:rsid w:val="0062603B"/>
    <w:rsid w:val="00627F28"/>
    <w:rsid w:val="006306F5"/>
    <w:rsid w:val="00630C56"/>
    <w:rsid w:val="00633102"/>
    <w:rsid w:val="00636E8E"/>
    <w:rsid w:val="00643BA2"/>
    <w:rsid w:val="0064530E"/>
    <w:rsid w:val="0064688F"/>
    <w:rsid w:val="00650F6F"/>
    <w:rsid w:val="006511EE"/>
    <w:rsid w:val="00652F60"/>
    <w:rsid w:val="00661A82"/>
    <w:rsid w:val="006662FF"/>
    <w:rsid w:val="00667F8F"/>
    <w:rsid w:val="006714A0"/>
    <w:rsid w:val="006744E9"/>
    <w:rsid w:val="00674D57"/>
    <w:rsid w:val="00685407"/>
    <w:rsid w:val="006916FE"/>
    <w:rsid w:val="00692484"/>
    <w:rsid w:val="0069319F"/>
    <w:rsid w:val="006955A3"/>
    <w:rsid w:val="00695ED5"/>
    <w:rsid w:val="006A72AA"/>
    <w:rsid w:val="006B1428"/>
    <w:rsid w:val="006B79D4"/>
    <w:rsid w:val="006C00FB"/>
    <w:rsid w:val="006C2476"/>
    <w:rsid w:val="006C27CF"/>
    <w:rsid w:val="006C2B4D"/>
    <w:rsid w:val="006C45F0"/>
    <w:rsid w:val="006D025C"/>
    <w:rsid w:val="006D07EF"/>
    <w:rsid w:val="006D0EC3"/>
    <w:rsid w:val="006D0FC9"/>
    <w:rsid w:val="006E01AD"/>
    <w:rsid w:val="006E4C51"/>
    <w:rsid w:val="006E6973"/>
    <w:rsid w:val="006E6EFE"/>
    <w:rsid w:val="006E6F8D"/>
    <w:rsid w:val="006E767F"/>
    <w:rsid w:val="006F174E"/>
    <w:rsid w:val="00705E46"/>
    <w:rsid w:val="007117BC"/>
    <w:rsid w:val="0071520F"/>
    <w:rsid w:val="007160A2"/>
    <w:rsid w:val="0071612E"/>
    <w:rsid w:val="00716593"/>
    <w:rsid w:val="007170F1"/>
    <w:rsid w:val="007171E7"/>
    <w:rsid w:val="00720D9E"/>
    <w:rsid w:val="007215BA"/>
    <w:rsid w:val="007238BA"/>
    <w:rsid w:val="00724193"/>
    <w:rsid w:val="0072731A"/>
    <w:rsid w:val="00731810"/>
    <w:rsid w:val="007343B7"/>
    <w:rsid w:val="00735C9D"/>
    <w:rsid w:val="00737389"/>
    <w:rsid w:val="007479F4"/>
    <w:rsid w:val="00770965"/>
    <w:rsid w:val="00772222"/>
    <w:rsid w:val="00772F99"/>
    <w:rsid w:val="00773178"/>
    <w:rsid w:val="00777717"/>
    <w:rsid w:val="0078112A"/>
    <w:rsid w:val="00786E1A"/>
    <w:rsid w:val="00790265"/>
    <w:rsid w:val="007922C0"/>
    <w:rsid w:val="00793594"/>
    <w:rsid w:val="00793CA9"/>
    <w:rsid w:val="007A1639"/>
    <w:rsid w:val="007A6C65"/>
    <w:rsid w:val="007A7B98"/>
    <w:rsid w:val="007B28C1"/>
    <w:rsid w:val="007B7E24"/>
    <w:rsid w:val="007C3B66"/>
    <w:rsid w:val="007C3D8E"/>
    <w:rsid w:val="007C79BB"/>
    <w:rsid w:val="007D28F6"/>
    <w:rsid w:val="007D3982"/>
    <w:rsid w:val="007E1769"/>
    <w:rsid w:val="007E2D56"/>
    <w:rsid w:val="007E2EB3"/>
    <w:rsid w:val="007E524A"/>
    <w:rsid w:val="007E6F75"/>
    <w:rsid w:val="007F53DA"/>
    <w:rsid w:val="00801512"/>
    <w:rsid w:val="00807EC0"/>
    <w:rsid w:val="008116CD"/>
    <w:rsid w:val="008117C7"/>
    <w:rsid w:val="008147AF"/>
    <w:rsid w:val="008148AD"/>
    <w:rsid w:val="008157FB"/>
    <w:rsid w:val="008268F6"/>
    <w:rsid w:val="00827998"/>
    <w:rsid w:val="00832A48"/>
    <w:rsid w:val="00832AEF"/>
    <w:rsid w:val="008424F3"/>
    <w:rsid w:val="0084517F"/>
    <w:rsid w:val="008469D2"/>
    <w:rsid w:val="00850C44"/>
    <w:rsid w:val="008510E3"/>
    <w:rsid w:val="008512F3"/>
    <w:rsid w:val="00856D74"/>
    <w:rsid w:val="00861508"/>
    <w:rsid w:val="0086392F"/>
    <w:rsid w:val="00865396"/>
    <w:rsid w:val="00865A71"/>
    <w:rsid w:val="00866246"/>
    <w:rsid w:val="008666C3"/>
    <w:rsid w:val="00877328"/>
    <w:rsid w:val="008834AD"/>
    <w:rsid w:val="008843B5"/>
    <w:rsid w:val="0088540E"/>
    <w:rsid w:val="00887465"/>
    <w:rsid w:val="0088773B"/>
    <w:rsid w:val="00890EF7"/>
    <w:rsid w:val="00894777"/>
    <w:rsid w:val="008A012D"/>
    <w:rsid w:val="008A159E"/>
    <w:rsid w:val="008A1B36"/>
    <w:rsid w:val="008A6518"/>
    <w:rsid w:val="008A676C"/>
    <w:rsid w:val="008B2B13"/>
    <w:rsid w:val="008B5F44"/>
    <w:rsid w:val="008B7C0B"/>
    <w:rsid w:val="008C14EE"/>
    <w:rsid w:val="008C4648"/>
    <w:rsid w:val="008C6D5E"/>
    <w:rsid w:val="008C75E5"/>
    <w:rsid w:val="008D1AB6"/>
    <w:rsid w:val="008D1D0D"/>
    <w:rsid w:val="008D2D08"/>
    <w:rsid w:val="008E19FE"/>
    <w:rsid w:val="008E7808"/>
    <w:rsid w:val="008F5BDA"/>
    <w:rsid w:val="00904AC0"/>
    <w:rsid w:val="009060D6"/>
    <w:rsid w:val="00916F07"/>
    <w:rsid w:val="009176AE"/>
    <w:rsid w:val="00922F10"/>
    <w:rsid w:val="00925EF2"/>
    <w:rsid w:val="009275D1"/>
    <w:rsid w:val="00932002"/>
    <w:rsid w:val="009404B2"/>
    <w:rsid w:val="00942F70"/>
    <w:rsid w:val="00945A5E"/>
    <w:rsid w:val="0094699C"/>
    <w:rsid w:val="009562C4"/>
    <w:rsid w:val="0097407E"/>
    <w:rsid w:val="0097686C"/>
    <w:rsid w:val="00977046"/>
    <w:rsid w:val="00983C6D"/>
    <w:rsid w:val="009918AE"/>
    <w:rsid w:val="00991AEA"/>
    <w:rsid w:val="00995A0E"/>
    <w:rsid w:val="00996814"/>
    <w:rsid w:val="00996D2C"/>
    <w:rsid w:val="0099720F"/>
    <w:rsid w:val="009A41F8"/>
    <w:rsid w:val="009B2871"/>
    <w:rsid w:val="009B566E"/>
    <w:rsid w:val="009C2D4D"/>
    <w:rsid w:val="009D121A"/>
    <w:rsid w:val="009D1F94"/>
    <w:rsid w:val="009D25C3"/>
    <w:rsid w:val="009D6496"/>
    <w:rsid w:val="009D664E"/>
    <w:rsid w:val="009D7320"/>
    <w:rsid w:val="009E0171"/>
    <w:rsid w:val="009E0BE0"/>
    <w:rsid w:val="009E22E5"/>
    <w:rsid w:val="009E385E"/>
    <w:rsid w:val="009E3EA3"/>
    <w:rsid w:val="009E6DEF"/>
    <w:rsid w:val="009F07BC"/>
    <w:rsid w:val="009F28C7"/>
    <w:rsid w:val="009F3645"/>
    <w:rsid w:val="009F4239"/>
    <w:rsid w:val="009F53F3"/>
    <w:rsid w:val="009F6306"/>
    <w:rsid w:val="009F7046"/>
    <w:rsid w:val="00A037D5"/>
    <w:rsid w:val="00A0438B"/>
    <w:rsid w:val="00A06854"/>
    <w:rsid w:val="00A13D2D"/>
    <w:rsid w:val="00A212E0"/>
    <w:rsid w:val="00A266E3"/>
    <w:rsid w:val="00A272FE"/>
    <w:rsid w:val="00A337AC"/>
    <w:rsid w:val="00A40E90"/>
    <w:rsid w:val="00A42196"/>
    <w:rsid w:val="00A4487F"/>
    <w:rsid w:val="00A44FCD"/>
    <w:rsid w:val="00A45024"/>
    <w:rsid w:val="00A46704"/>
    <w:rsid w:val="00A4742B"/>
    <w:rsid w:val="00A4797C"/>
    <w:rsid w:val="00A5013A"/>
    <w:rsid w:val="00A520C5"/>
    <w:rsid w:val="00A64AE2"/>
    <w:rsid w:val="00A65B88"/>
    <w:rsid w:val="00A676EE"/>
    <w:rsid w:val="00A82458"/>
    <w:rsid w:val="00A82E9C"/>
    <w:rsid w:val="00A832CE"/>
    <w:rsid w:val="00A83D88"/>
    <w:rsid w:val="00A84E41"/>
    <w:rsid w:val="00A85B43"/>
    <w:rsid w:val="00A87745"/>
    <w:rsid w:val="00A87CE7"/>
    <w:rsid w:val="00A90AA0"/>
    <w:rsid w:val="00A92CD4"/>
    <w:rsid w:val="00A94281"/>
    <w:rsid w:val="00A94F80"/>
    <w:rsid w:val="00A950D8"/>
    <w:rsid w:val="00AA01FF"/>
    <w:rsid w:val="00AB0A3A"/>
    <w:rsid w:val="00AB22D3"/>
    <w:rsid w:val="00AB2931"/>
    <w:rsid w:val="00AB2F50"/>
    <w:rsid w:val="00AB5F45"/>
    <w:rsid w:val="00AB63C7"/>
    <w:rsid w:val="00AB790B"/>
    <w:rsid w:val="00AC5425"/>
    <w:rsid w:val="00AD62A7"/>
    <w:rsid w:val="00AD63C3"/>
    <w:rsid w:val="00AE5877"/>
    <w:rsid w:val="00B043AB"/>
    <w:rsid w:val="00B04D5D"/>
    <w:rsid w:val="00B051F4"/>
    <w:rsid w:val="00B0712B"/>
    <w:rsid w:val="00B071C7"/>
    <w:rsid w:val="00B114F7"/>
    <w:rsid w:val="00B21FB7"/>
    <w:rsid w:val="00B23E60"/>
    <w:rsid w:val="00B24773"/>
    <w:rsid w:val="00B25586"/>
    <w:rsid w:val="00B27A17"/>
    <w:rsid w:val="00B357E8"/>
    <w:rsid w:val="00B35854"/>
    <w:rsid w:val="00B409EA"/>
    <w:rsid w:val="00B4374E"/>
    <w:rsid w:val="00B4748B"/>
    <w:rsid w:val="00B504B7"/>
    <w:rsid w:val="00B53497"/>
    <w:rsid w:val="00B55317"/>
    <w:rsid w:val="00B55487"/>
    <w:rsid w:val="00B61746"/>
    <w:rsid w:val="00B624FB"/>
    <w:rsid w:val="00B6268F"/>
    <w:rsid w:val="00B629A2"/>
    <w:rsid w:val="00B631AB"/>
    <w:rsid w:val="00B672FF"/>
    <w:rsid w:val="00B72CF8"/>
    <w:rsid w:val="00B74094"/>
    <w:rsid w:val="00B80D68"/>
    <w:rsid w:val="00B8136D"/>
    <w:rsid w:val="00B926D8"/>
    <w:rsid w:val="00B93067"/>
    <w:rsid w:val="00B93860"/>
    <w:rsid w:val="00B93E18"/>
    <w:rsid w:val="00B96B53"/>
    <w:rsid w:val="00BA2542"/>
    <w:rsid w:val="00BA3DAB"/>
    <w:rsid w:val="00BA7AC4"/>
    <w:rsid w:val="00BB1C03"/>
    <w:rsid w:val="00BB25DF"/>
    <w:rsid w:val="00BB3946"/>
    <w:rsid w:val="00BC395C"/>
    <w:rsid w:val="00BC7262"/>
    <w:rsid w:val="00BC7EE0"/>
    <w:rsid w:val="00BD109E"/>
    <w:rsid w:val="00BD3AF7"/>
    <w:rsid w:val="00BE211C"/>
    <w:rsid w:val="00BE7FF7"/>
    <w:rsid w:val="00BF7841"/>
    <w:rsid w:val="00C0065E"/>
    <w:rsid w:val="00C042DB"/>
    <w:rsid w:val="00C046D5"/>
    <w:rsid w:val="00C066EB"/>
    <w:rsid w:val="00C10797"/>
    <w:rsid w:val="00C12D2A"/>
    <w:rsid w:val="00C133EF"/>
    <w:rsid w:val="00C149EB"/>
    <w:rsid w:val="00C151F1"/>
    <w:rsid w:val="00C16CA7"/>
    <w:rsid w:val="00C2211D"/>
    <w:rsid w:val="00C22330"/>
    <w:rsid w:val="00C22AFA"/>
    <w:rsid w:val="00C27C44"/>
    <w:rsid w:val="00C308FD"/>
    <w:rsid w:val="00C31F1C"/>
    <w:rsid w:val="00C463B7"/>
    <w:rsid w:val="00C47E89"/>
    <w:rsid w:val="00C52225"/>
    <w:rsid w:val="00C57E5A"/>
    <w:rsid w:val="00C601F9"/>
    <w:rsid w:val="00C62FA2"/>
    <w:rsid w:val="00C6531A"/>
    <w:rsid w:val="00C65451"/>
    <w:rsid w:val="00C65C01"/>
    <w:rsid w:val="00C66531"/>
    <w:rsid w:val="00C66EEF"/>
    <w:rsid w:val="00C67868"/>
    <w:rsid w:val="00C735D3"/>
    <w:rsid w:val="00C762C5"/>
    <w:rsid w:val="00C7669D"/>
    <w:rsid w:val="00C766D2"/>
    <w:rsid w:val="00C767A5"/>
    <w:rsid w:val="00C77EF2"/>
    <w:rsid w:val="00C801B2"/>
    <w:rsid w:val="00C85356"/>
    <w:rsid w:val="00C9129F"/>
    <w:rsid w:val="00C93675"/>
    <w:rsid w:val="00CA1380"/>
    <w:rsid w:val="00CA76D7"/>
    <w:rsid w:val="00CA77FC"/>
    <w:rsid w:val="00CA7A15"/>
    <w:rsid w:val="00CB0890"/>
    <w:rsid w:val="00CB7E1F"/>
    <w:rsid w:val="00CC16B7"/>
    <w:rsid w:val="00CC746C"/>
    <w:rsid w:val="00CD07FC"/>
    <w:rsid w:val="00CD1915"/>
    <w:rsid w:val="00CD769C"/>
    <w:rsid w:val="00CE15EF"/>
    <w:rsid w:val="00CF0E02"/>
    <w:rsid w:val="00CF6ACA"/>
    <w:rsid w:val="00CF6FE4"/>
    <w:rsid w:val="00D03EB1"/>
    <w:rsid w:val="00D0535A"/>
    <w:rsid w:val="00D11CF0"/>
    <w:rsid w:val="00D128AD"/>
    <w:rsid w:val="00D12B27"/>
    <w:rsid w:val="00D12E91"/>
    <w:rsid w:val="00D152EB"/>
    <w:rsid w:val="00D15F2B"/>
    <w:rsid w:val="00D217E1"/>
    <w:rsid w:val="00D23F00"/>
    <w:rsid w:val="00D24400"/>
    <w:rsid w:val="00D32838"/>
    <w:rsid w:val="00D34B94"/>
    <w:rsid w:val="00D61CCC"/>
    <w:rsid w:val="00D6269C"/>
    <w:rsid w:val="00D640D6"/>
    <w:rsid w:val="00D641D3"/>
    <w:rsid w:val="00D64D7D"/>
    <w:rsid w:val="00D66737"/>
    <w:rsid w:val="00D66F3E"/>
    <w:rsid w:val="00D67636"/>
    <w:rsid w:val="00D70E2E"/>
    <w:rsid w:val="00D73824"/>
    <w:rsid w:val="00D74514"/>
    <w:rsid w:val="00D764A7"/>
    <w:rsid w:val="00D95AF6"/>
    <w:rsid w:val="00D971E8"/>
    <w:rsid w:val="00DA08A6"/>
    <w:rsid w:val="00DA4D02"/>
    <w:rsid w:val="00DA7341"/>
    <w:rsid w:val="00DB0F1A"/>
    <w:rsid w:val="00DB69ED"/>
    <w:rsid w:val="00DC0FB9"/>
    <w:rsid w:val="00DC27CE"/>
    <w:rsid w:val="00DC35FA"/>
    <w:rsid w:val="00DC36DE"/>
    <w:rsid w:val="00DC3D30"/>
    <w:rsid w:val="00DC3E28"/>
    <w:rsid w:val="00DC6218"/>
    <w:rsid w:val="00DD31CE"/>
    <w:rsid w:val="00DD63DB"/>
    <w:rsid w:val="00DE242F"/>
    <w:rsid w:val="00DE2A0F"/>
    <w:rsid w:val="00DE2E54"/>
    <w:rsid w:val="00DE4FD0"/>
    <w:rsid w:val="00DF0714"/>
    <w:rsid w:val="00DF34DC"/>
    <w:rsid w:val="00DF3E56"/>
    <w:rsid w:val="00DF4E9E"/>
    <w:rsid w:val="00DF6CEA"/>
    <w:rsid w:val="00E00835"/>
    <w:rsid w:val="00E04D8C"/>
    <w:rsid w:val="00E07D58"/>
    <w:rsid w:val="00E1001B"/>
    <w:rsid w:val="00E12C26"/>
    <w:rsid w:val="00E12D34"/>
    <w:rsid w:val="00E12DDD"/>
    <w:rsid w:val="00E144BF"/>
    <w:rsid w:val="00E145C9"/>
    <w:rsid w:val="00E16586"/>
    <w:rsid w:val="00E21D69"/>
    <w:rsid w:val="00E2453B"/>
    <w:rsid w:val="00E25F39"/>
    <w:rsid w:val="00E272C1"/>
    <w:rsid w:val="00E30D96"/>
    <w:rsid w:val="00E3148A"/>
    <w:rsid w:val="00E34762"/>
    <w:rsid w:val="00E379BA"/>
    <w:rsid w:val="00E406C7"/>
    <w:rsid w:val="00E47912"/>
    <w:rsid w:val="00E47FB4"/>
    <w:rsid w:val="00E55B68"/>
    <w:rsid w:val="00E56FFB"/>
    <w:rsid w:val="00E60045"/>
    <w:rsid w:val="00E61438"/>
    <w:rsid w:val="00E631AB"/>
    <w:rsid w:val="00E63479"/>
    <w:rsid w:val="00E66265"/>
    <w:rsid w:val="00E66A9B"/>
    <w:rsid w:val="00E73561"/>
    <w:rsid w:val="00E74C8D"/>
    <w:rsid w:val="00E750D1"/>
    <w:rsid w:val="00E766FB"/>
    <w:rsid w:val="00E82564"/>
    <w:rsid w:val="00E8346D"/>
    <w:rsid w:val="00E8452B"/>
    <w:rsid w:val="00E90717"/>
    <w:rsid w:val="00E91FB6"/>
    <w:rsid w:val="00E9454B"/>
    <w:rsid w:val="00E96E07"/>
    <w:rsid w:val="00E96F0F"/>
    <w:rsid w:val="00EA39F6"/>
    <w:rsid w:val="00EA4705"/>
    <w:rsid w:val="00EA4CA2"/>
    <w:rsid w:val="00EA5BF9"/>
    <w:rsid w:val="00EB22B2"/>
    <w:rsid w:val="00EB3198"/>
    <w:rsid w:val="00EB56BA"/>
    <w:rsid w:val="00EB5A08"/>
    <w:rsid w:val="00EC4F36"/>
    <w:rsid w:val="00ED3A2E"/>
    <w:rsid w:val="00EE188E"/>
    <w:rsid w:val="00EE4BD3"/>
    <w:rsid w:val="00EF2E7E"/>
    <w:rsid w:val="00EF5830"/>
    <w:rsid w:val="00EF64CA"/>
    <w:rsid w:val="00EF77DD"/>
    <w:rsid w:val="00F02908"/>
    <w:rsid w:val="00F040B3"/>
    <w:rsid w:val="00F04E38"/>
    <w:rsid w:val="00F130D6"/>
    <w:rsid w:val="00F14FED"/>
    <w:rsid w:val="00F15428"/>
    <w:rsid w:val="00F2276C"/>
    <w:rsid w:val="00F24A7E"/>
    <w:rsid w:val="00F25534"/>
    <w:rsid w:val="00F30DAB"/>
    <w:rsid w:val="00F31F39"/>
    <w:rsid w:val="00F3211F"/>
    <w:rsid w:val="00F329A0"/>
    <w:rsid w:val="00F3300F"/>
    <w:rsid w:val="00F363B0"/>
    <w:rsid w:val="00F40A31"/>
    <w:rsid w:val="00F43E36"/>
    <w:rsid w:val="00F445C4"/>
    <w:rsid w:val="00F45D50"/>
    <w:rsid w:val="00F50628"/>
    <w:rsid w:val="00F50ACD"/>
    <w:rsid w:val="00F53C72"/>
    <w:rsid w:val="00F57A31"/>
    <w:rsid w:val="00F604D0"/>
    <w:rsid w:val="00F63C3D"/>
    <w:rsid w:val="00F664AB"/>
    <w:rsid w:val="00F67169"/>
    <w:rsid w:val="00F7277F"/>
    <w:rsid w:val="00F74DF6"/>
    <w:rsid w:val="00F772E3"/>
    <w:rsid w:val="00F77751"/>
    <w:rsid w:val="00F81933"/>
    <w:rsid w:val="00F83DB6"/>
    <w:rsid w:val="00F853F3"/>
    <w:rsid w:val="00F85F72"/>
    <w:rsid w:val="00F913B0"/>
    <w:rsid w:val="00F92A10"/>
    <w:rsid w:val="00F9569E"/>
    <w:rsid w:val="00F9647D"/>
    <w:rsid w:val="00F965ED"/>
    <w:rsid w:val="00FA5A38"/>
    <w:rsid w:val="00FB29B1"/>
    <w:rsid w:val="00FB64BC"/>
    <w:rsid w:val="00FC056A"/>
    <w:rsid w:val="00FC28EC"/>
    <w:rsid w:val="00FC2B60"/>
    <w:rsid w:val="00FC3168"/>
    <w:rsid w:val="00FC43C8"/>
    <w:rsid w:val="00FC4C34"/>
    <w:rsid w:val="00FC76DB"/>
    <w:rsid w:val="00FC7A36"/>
    <w:rsid w:val="00FC7FC5"/>
    <w:rsid w:val="00FD0613"/>
    <w:rsid w:val="00FD542C"/>
    <w:rsid w:val="00FD6093"/>
    <w:rsid w:val="00FD67E5"/>
    <w:rsid w:val="00FE08B6"/>
    <w:rsid w:val="00FE317F"/>
    <w:rsid w:val="00FF7F9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497"/>
  </w:style>
  <w:style w:type="paragraph" w:styleId="Heading1">
    <w:name w:val="heading 1"/>
    <w:basedOn w:val="Normal"/>
    <w:next w:val="Normal"/>
    <w:link w:val="Heading1Char"/>
    <w:uiPriority w:val="9"/>
    <w:rsid w:val="00B53497"/>
    <w:pPr>
      <w:keepNext/>
      <w:keepLines/>
      <w:spacing w:before="240" w:after="0"/>
      <w:outlineLvl w:val="0"/>
    </w:pPr>
    <w:rPr>
      <w:rFonts w:ascii="Times New Roman" w:hAnsi="Times New Roman" w:eastAsiaTheme="majorEastAsia" w:cstheme="majorBidi"/>
      <w:b/>
      <w:szCs w:val="32"/>
    </w:rPr>
  </w:style>
  <w:style w:type="paragraph" w:styleId="Heading2">
    <w:name w:val="heading 2"/>
    <w:aliases w:val="Heading 2 Char Char1,Heading 2 Char Char1 Char Char,Heading 2 Char Char3 Char,Heading 2 Char1,Heading 2 Char1 Char,Heading 2 Char1 Char Char,Heading 2 Char1 Char Char Char,Heading 2 Char2,UNDERRUBRIK 1-2 Char,h2 Char"/>
    <w:basedOn w:val="Normal"/>
    <w:next w:val="Normal"/>
    <w:link w:val="Heading2Char"/>
    <w:autoRedefine/>
    <w:qFormat/>
    <w:rsid w:val="00AD63C3"/>
    <w:pPr>
      <w:keepNext/>
      <w:numPr>
        <w:numId w:val="1"/>
      </w:numPr>
      <w:spacing w:after="0" w:line="240" w:lineRule="auto"/>
      <w:outlineLvl w:val="1"/>
    </w:pPr>
    <w:rPr>
      <w:rFonts w:ascii="Times New Roman" w:eastAsia="Times New Roman" w:hAnsi="Times New Roman" w:cs="Times New Roman"/>
      <w:b/>
      <w:snapToGrid w:val="0"/>
      <w:kern w:val="28"/>
      <w:szCs w:val="20"/>
    </w:rPr>
  </w:style>
  <w:style w:type="paragraph" w:styleId="Heading3">
    <w:name w:val="heading 3"/>
    <w:basedOn w:val="Normal"/>
    <w:next w:val="Normal"/>
    <w:link w:val="Heading3Char"/>
    <w:uiPriority w:val="9"/>
    <w:unhideWhenUsed/>
    <w:qFormat/>
    <w:rsid w:val="002951D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160604"/>
    <w:pPr>
      <w:spacing w:line="240" w:lineRule="auto"/>
    </w:pPr>
    <w:rPr>
      <w:sz w:val="20"/>
      <w:szCs w:val="20"/>
    </w:rPr>
  </w:style>
  <w:style w:type="character" w:customStyle="1" w:styleId="CommentTextChar">
    <w:name w:val="Comment Text Char"/>
    <w:basedOn w:val="DefaultParagraphFont"/>
    <w:link w:val="CommentText"/>
    <w:uiPriority w:val="99"/>
    <w:rsid w:val="00160604"/>
    <w:rPr>
      <w:sz w:val="20"/>
      <w:szCs w:val="20"/>
    </w:rPr>
  </w:style>
  <w:style w:type="paragraph" w:customStyle="1" w:styleId="FootnoteTextCharChar1">
    <w:name w:val="Footnote Text Char Char1"/>
    <w:basedOn w:val="Normal"/>
    <w:next w:val="FootnoteText"/>
    <w:link w:val="FootnoteTextChar"/>
    <w:unhideWhenUsed/>
    <w:rsid w:val="00160604"/>
    <w:pPr>
      <w:spacing w:after="0" w:line="240" w:lineRule="auto"/>
    </w:pPr>
    <w:rPr>
      <w:sz w:val="20"/>
      <w:szCs w:val="20"/>
    </w:rPr>
  </w:style>
  <w:style w:type="character" w:customStyle="1" w:styleId="FootnoteTextChar">
    <w:name w:val="Footnote Text Char"/>
    <w:aliases w:val="Footnote Text Char Char Char Char,Footnote Text Char Char Char Char Char2 Char,Footnote Text Char1 Char,Footnote Text Char1 Char Char Char1 Char,Footnote Text Char2 Char Char Char Char Char Char,Footnote Text Char3 Char1 Char,f Char"/>
    <w:basedOn w:val="DefaultParagraphFont"/>
    <w:link w:val="FootnoteTextCharChar1"/>
    <w:rsid w:val="00160604"/>
    <w:rPr>
      <w:sz w:val="20"/>
      <w:szCs w:val="20"/>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basedOn w:val="DefaultParagraphFont"/>
    <w:unhideWhenUsed/>
    <w:rsid w:val="00160604"/>
    <w:rPr>
      <w:vertAlign w:val="superscript"/>
    </w:rPr>
  </w:style>
  <w:style w:type="character" w:customStyle="1" w:styleId="Hyperlink1">
    <w:name w:val="Hyperlink1"/>
    <w:basedOn w:val="DefaultParagraphFont"/>
    <w:uiPriority w:val="99"/>
    <w:unhideWhenUsed/>
    <w:rsid w:val="00160604"/>
    <w:rPr>
      <w:color w:val="0563C1"/>
      <w:u w:val="single"/>
    </w:rPr>
  </w:style>
  <w:style w:type="paragraph" w:customStyle="1" w:styleId="Header1">
    <w:name w:val="Header1"/>
    <w:basedOn w:val="Normal"/>
    <w:next w:val="Header"/>
    <w:link w:val="HeaderChar"/>
    <w:uiPriority w:val="99"/>
    <w:unhideWhenUsed/>
    <w:rsid w:val="00160604"/>
    <w:pPr>
      <w:tabs>
        <w:tab w:val="center" w:pos="4680"/>
        <w:tab w:val="right" w:pos="9360"/>
      </w:tabs>
      <w:spacing w:after="0" w:line="240" w:lineRule="auto"/>
    </w:pPr>
  </w:style>
  <w:style w:type="character" w:customStyle="1" w:styleId="HeaderChar">
    <w:name w:val="Header Char"/>
    <w:basedOn w:val="DefaultParagraphFont"/>
    <w:link w:val="Header1"/>
    <w:uiPriority w:val="99"/>
    <w:rsid w:val="00160604"/>
  </w:style>
  <w:style w:type="paragraph" w:customStyle="1" w:styleId="Footer1">
    <w:name w:val="Footer1"/>
    <w:basedOn w:val="Normal"/>
    <w:next w:val="Footer"/>
    <w:link w:val="FooterChar"/>
    <w:uiPriority w:val="99"/>
    <w:unhideWhenUsed/>
    <w:rsid w:val="00160604"/>
    <w:pPr>
      <w:tabs>
        <w:tab w:val="center" w:pos="4680"/>
        <w:tab w:val="right" w:pos="9360"/>
      </w:tabs>
      <w:spacing w:after="0" w:line="240" w:lineRule="auto"/>
    </w:pPr>
  </w:style>
  <w:style w:type="character" w:customStyle="1" w:styleId="FooterChar">
    <w:name w:val="Footer Char"/>
    <w:basedOn w:val="DefaultParagraphFont"/>
    <w:link w:val="Footer1"/>
    <w:uiPriority w:val="99"/>
    <w:rsid w:val="00160604"/>
  </w:style>
  <w:style w:type="character" w:styleId="CommentReference">
    <w:name w:val="annotation reference"/>
    <w:basedOn w:val="DefaultParagraphFont"/>
    <w:semiHidden/>
    <w:unhideWhenUsed/>
    <w:rsid w:val="00160604"/>
    <w:rPr>
      <w:sz w:val="16"/>
      <w:szCs w:val="16"/>
    </w:rPr>
  </w:style>
  <w:style w:type="paragraph" w:styleId="FootnoteText">
    <w:name w:val="footnote text"/>
    <w:aliases w:val="ALTS FOOTNOTE Char,Footnote Text Char Char,Footnote Text Char Char3 Char Char Char Char,Footnote Text Char1 Char1 Char,Footnote Text Char2,Footnote Text Char3 Char1 Char Char Char,Footnote Text Char4 Char Char Char,f,fn,fn Char,fn Char1"/>
    <w:basedOn w:val="Normal"/>
    <w:link w:val="FootnoteTextChar1"/>
    <w:unhideWhenUsed/>
    <w:qFormat/>
    <w:rsid w:val="00160604"/>
    <w:pPr>
      <w:spacing w:after="0" w:line="240" w:lineRule="auto"/>
    </w:pPr>
    <w:rPr>
      <w:sz w:val="20"/>
      <w:szCs w:val="20"/>
    </w:rPr>
  </w:style>
  <w:style w:type="character" w:customStyle="1" w:styleId="FootnoteTextChar1">
    <w:name w:val="Footnote Text Char1"/>
    <w:aliases w:val="Footnote Text Char Char Char,Footnote Text Char Char3 Char Char Char Char Char,Footnote Text Char1 Char1 Char Char,Footnote Text Char2 Char,Footnote Text Char3 Char1 Char Char Char Char,Footnote Text Char4 Char Char Char Char,f Char1"/>
    <w:basedOn w:val="DefaultParagraphFont"/>
    <w:link w:val="FootnoteText"/>
    <w:rsid w:val="00160604"/>
    <w:rPr>
      <w:sz w:val="20"/>
      <w:szCs w:val="20"/>
    </w:rPr>
  </w:style>
  <w:style w:type="character" w:styleId="Hyperlink">
    <w:name w:val="Hyperlink"/>
    <w:basedOn w:val="DefaultParagraphFont"/>
    <w:uiPriority w:val="99"/>
    <w:unhideWhenUsed/>
    <w:rsid w:val="00160604"/>
    <w:rPr>
      <w:color w:val="0563C1" w:themeColor="hyperlink"/>
      <w:u w:val="single"/>
    </w:rPr>
  </w:style>
  <w:style w:type="paragraph" w:styleId="Header">
    <w:name w:val="header"/>
    <w:basedOn w:val="Normal"/>
    <w:link w:val="HeaderChar1"/>
    <w:uiPriority w:val="99"/>
    <w:unhideWhenUsed/>
    <w:rsid w:val="00160604"/>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160604"/>
  </w:style>
  <w:style w:type="paragraph" w:styleId="Footer">
    <w:name w:val="footer"/>
    <w:basedOn w:val="Normal"/>
    <w:link w:val="FooterChar1"/>
    <w:uiPriority w:val="99"/>
    <w:unhideWhenUsed/>
    <w:rsid w:val="00160604"/>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160604"/>
  </w:style>
  <w:style w:type="paragraph" w:styleId="BalloonText">
    <w:name w:val="Balloon Text"/>
    <w:basedOn w:val="Normal"/>
    <w:link w:val="BalloonTextChar"/>
    <w:uiPriority w:val="99"/>
    <w:semiHidden/>
    <w:unhideWhenUsed/>
    <w:rsid w:val="001606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604"/>
    <w:rPr>
      <w:rFonts w:ascii="Segoe UI" w:hAnsi="Segoe UI" w:cs="Segoe UI"/>
      <w:sz w:val="18"/>
      <w:szCs w:val="18"/>
    </w:rPr>
  </w:style>
  <w:style w:type="paragraph" w:styleId="ListParagraph">
    <w:name w:val="List Paragraph"/>
    <w:basedOn w:val="Normal"/>
    <w:uiPriority w:val="34"/>
    <w:qFormat/>
    <w:rsid w:val="00BB1C03"/>
    <w:pPr>
      <w:ind w:left="720"/>
      <w:contextualSpacing/>
    </w:pPr>
  </w:style>
  <w:style w:type="paragraph" w:styleId="CommentSubject">
    <w:name w:val="annotation subject"/>
    <w:basedOn w:val="CommentText"/>
    <w:next w:val="CommentText"/>
    <w:link w:val="CommentSubjectChar"/>
    <w:uiPriority w:val="99"/>
    <w:semiHidden/>
    <w:unhideWhenUsed/>
    <w:rsid w:val="00C66EEF"/>
    <w:rPr>
      <w:b/>
      <w:bCs/>
    </w:rPr>
  </w:style>
  <w:style w:type="character" w:customStyle="1" w:styleId="CommentSubjectChar">
    <w:name w:val="Comment Subject Char"/>
    <w:basedOn w:val="CommentTextChar"/>
    <w:link w:val="CommentSubject"/>
    <w:uiPriority w:val="99"/>
    <w:semiHidden/>
    <w:rsid w:val="00C66EEF"/>
    <w:rPr>
      <w:b/>
      <w:bCs/>
      <w:sz w:val="20"/>
      <w:szCs w:val="20"/>
    </w:rPr>
  </w:style>
  <w:style w:type="paragraph" w:styleId="Revision">
    <w:name w:val="Revision"/>
    <w:hidden/>
    <w:uiPriority w:val="99"/>
    <w:semiHidden/>
    <w:rsid w:val="00C66EEF"/>
    <w:pPr>
      <w:spacing w:after="0" w:line="240" w:lineRule="auto"/>
    </w:pPr>
  </w:style>
  <w:style w:type="character" w:customStyle="1" w:styleId="UnresolvedMention1">
    <w:name w:val="Unresolved Mention1"/>
    <w:basedOn w:val="DefaultParagraphFont"/>
    <w:uiPriority w:val="99"/>
    <w:semiHidden/>
    <w:unhideWhenUsed/>
    <w:rsid w:val="001550A5"/>
    <w:rPr>
      <w:color w:val="808080"/>
      <w:shd w:val="clear" w:color="auto" w:fill="E6E6E6"/>
    </w:rPr>
  </w:style>
  <w:style w:type="character" w:customStyle="1" w:styleId="Heading2Char">
    <w:name w:val="Heading 2 Char"/>
    <w:aliases w:val="Heading 2 Char Char1 Char,Heading 2 Char Char1 Char Char Char,Heading 2 Char Char3 Char Char,Heading 2 Char1 Char Char Char Char,Heading 2 Char1 Char Char Char1,Heading 2 Char1 Char Char1,UNDERRUBRIK 1-2 Char Char,h2 Char Char"/>
    <w:basedOn w:val="DefaultParagraphFont"/>
    <w:link w:val="Heading2"/>
    <w:rsid w:val="00AD63C3"/>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D217E1"/>
    <w:pPr>
      <w:widowControl w:val="0"/>
      <w:numPr>
        <w:numId w:val="2"/>
      </w:numPr>
      <w:spacing w:after="120" w:line="240" w:lineRule="auto"/>
    </w:pPr>
    <w:rPr>
      <w:rFonts w:ascii="Times New Roman" w:eastAsia="Times New Roman" w:hAnsi="Times New Roman" w:cs="Times New Roman"/>
      <w:snapToGrid w:val="0"/>
      <w:kern w:val="28"/>
      <w:sz w:val="20"/>
      <w:szCs w:val="20"/>
    </w:rPr>
  </w:style>
  <w:style w:type="character" w:customStyle="1" w:styleId="ParaNumChar">
    <w:name w:val="ParaNum Char"/>
    <w:link w:val="ParaNum"/>
    <w:rsid w:val="00D217E1"/>
    <w:rPr>
      <w:rFonts w:ascii="Times New Roman" w:eastAsia="Times New Roman" w:hAnsi="Times New Roman" w:cs="Times New Roman"/>
      <w:snapToGrid w:val="0"/>
      <w:kern w:val="28"/>
      <w:sz w:val="20"/>
      <w:szCs w:val="20"/>
    </w:rPr>
  </w:style>
  <w:style w:type="character" w:customStyle="1" w:styleId="ParaNumCharChar1">
    <w:name w:val="ParaNum Char Char1"/>
    <w:locked/>
    <w:rsid w:val="00E91FB6"/>
    <w:rPr>
      <w:snapToGrid w:val="0"/>
      <w:kern w:val="28"/>
      <w:sz w:val="22"/>
    </w:rPr>
  </w:style>
  <w:style w:type="character" w:styleId="FollowedHyperlink">
    <w:name w:val="FollowedHyperlink"/>
    <w:basedOn w:val="DefaultParagraphFont"/>
    <w:uiPriority w:val="99"/>
    <w:semiHidden/>
    <w:unhideWhenUsed/>
    <w:rsid w:val="00423FE9"/>
    <w:rPr>
      <w:color w:val="954F72" w:themeColor="followedHyperlink"/>
      <w:u w:val="single"/>
    </w:rPr>
  </w:style>
  <w:style w:type="character" w:customStyle="1" w:styleId="Heading1Char">
    <w:name w:val="Heading 1 Char"/>
    <w:basedOn w:val="DefaultParagraphFont"/>
    <w:link w:val="Heading1"/>
    <w:uiPriority w:val="9"/>
    <w:rsid w:val="00B53497"/>
    <w:rPr>
      <w:rFonts w:ascii="Times New Roman" w:hAnsi="Times New Roman" w:eastAsiaTheme="majorEastAsia" w:cstheme="majorBidi"/>
      <w:b/>
      <w:szCs w:val="32"/>
    </w:rPr>
  </w:style>
  <w:style w:type="paragraph" w:styleId="TOCHeading">
    <w:name w:val="TOC Heading"/>
    <w:basedOn w:val="Heading1"/>
    <w:next w:val="Normal"/>
    <w:uiPriority w:val="39"/>
    <w:unhideWhenUsed/>
    <w:qFormat/>
    <w:rsid w:val="003D5331"/>
    <w:pPr>
      <w:outlineLvl w:val="9"/>
    </w:pPr>
  </w:style>
  <w:style w:type="paragraph" w:styleId="TOC2">
    <w:name w:val="toc 2"/>
    <w:basedOn w:val="Normal"/>
    <w:next w:val="Normal"/>
    <w:autoRedefine/>
    <w:uiPriority w:val="39"/>
    <w:unhideWhenUsed/>
    <w:rsid w:val="00523133"/>
    <w:pPr>
      <w:tabs>
        <w:tab w:val="left" w:pos="720"/>
        <w:tab w:val="left" w:pos="1080"/>
        <w:tab w:val="right" w:leader="dot" w:pos="9350"/>
      </w:tabs>
      <w:spacing w:after="100"/>
      <w:ind w:left="720"/>
    </w:pPr>
  </w:style>
  <w:style w:type="paragraph" w:styleId="TOC1">
    <w:name w:val="toc 1"/>
    <w:basedOn w:val="Normal"/>
    <w:next w:val="Normal"/>
    <w:autoRedefine/>
    <w:uiPriority w:val="39"/>
    <w:unhideWhenUsed/>
    <w:rsid w:val="00B357E8"/>
    <w:pPr>
      <w:tabs>
        <w:tab w:val="left" w:pos="720"/>
        <w:tab w:val="right" w:leader="dot" w:pos="9350"/>
      </w:tabs>
      <w:spacing w:after="100"/>
    </w:pPr>
    <w:rPr>
      <w:rFonts w:ascii="Times New Roman" w:eastAsia="Calibri" w:hAnsi="Times New Roman" w:cs="Times New Roman"/>
      <w:b/>
      <w:noProof/>
    </w:rPr>
  </w:style>
  <w:style w:type="paragraph" w:styleId="TOC3">
    <w:name w:val="toc 3"/>
    <w:basedOn w:val="Normal"/>
    <w:next w:val="Normal"/>
    <w:autoRedefine/>
    <w:uiPriority w:val="39"/>
    <w:unhideWhenUsed/>
    <w:rsid w:val="003D5331"/>
    <w:pPr>
      <w:spacing w:after="100"/>
      <w:ind w:left="440"/>
    </w:pPr>
    <w:rPr>
      <w:rFonts w:eastAsiaTheme="minorEastAsia" w:cs="Times New Roman"/>
    </w:rPr>
  </w:style>
  <w:style w:type="paragraph" w:styleId="NoSpacing">
    <w:name w:val="No Spacing"/>
    <w:uiPriority w:val="1"/>
    <w:qFormat/>
    <w:rsid w:val="00F02908"/>
    <w:pPr>
      <w:spacing w:after="0" w:line="240" w:lineRule="auto"/>
    </w:pPr>
  </w:style>
  <w:style w:type="character" w:customStyle="1" w:styleId="Heading3Char">
    <w:name w:val="Heading 3 Char"/>
    <w:basedOn w:val="DefaultParagraphFont"/>
    <w:link w:val="Heading3"/>
    <w:uiPriority w:val="9"/>
    <w:rsid w:val="002951D3"/>
    <w:rPr>
      <w:rFonts w:asciiTheme="majorHAnsi" w:eastAsiaTheme="majorEastAsia" w:hAnsiTheme="majorHAnsi" w:cstheme="majorBidi"/>
      <w:color w:val="1F3763" w:themeColor="accent1" w:themeShade="7F"/>
      <w:sz w:val="24"/>
      <w:szCs w:val="24"/>
    </w:rPr>
  </w:style>
  <w:style w:type="character" w:customStyle="1" w:styleId="UnresolvedMention">
    <w:name w:val="Unresolved Mention"/>
    <w:basedOn w:val="DefaultParagraphFont"/>
    <w:uiPriority w:val="99"/>
    <w:semiHidden/>
    <w:unhideWhenUsed/>
    <w:rsid w:val="00865A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govinfo.gov/content/pkg/FR-2019-08-20/pdf/2019-17792.pdf" TargetMode="External" /><Relationship Id="rId11" Type="http://schemas.openxmlformats.org/officeDocument/2006/relationships/hyperlink" Target="https://www.govinfo.gov/content/pkg/FR-2018-08-30/pdf/2018-18692.pdf" TargetMode="External" /><Relationship Id="rId12" Type="http://schemas.openxmlformats.org/officeDocument/2006/relationships/hyperlink" Target="https://docs.fcc.gov/public/attachments/DA-19-792A1.pdf" TargetMode="External" /><Relationship Id="rId13" Type="http://schemas.openxmlformats.org/officeDocument/2006/relationships/hyperlink" Target="https://docs.fcc.gov/public/attachments/DA-20-120A1.pdf" TargetMode="External" /><Relationship Id="rId14" Type="http://schemas.openxmlformats.org/officeDocument/2006/relationships/hyperlink" Target="https://docs.fcc.gov/public/attachments/DA-20-253A1.pdf" TargetMode="External" /><Relationship Id="rId15" Type="http://schemas.openxmlformats.org/officeDocument/2006/relationships/hyperlink" Target="https://docs.fcc.gov/public/attachments/FCC-18-73A1_Rcd.pdf" TargetMode="External" /><Relationship Id="rId16" Type="http://schemas.openxmlformats.org/officeDocument/2006/relationships/hyperlink" Target="https://docs.fcc.gov/public/attachments/FCC-17-152A1_Rcd.pdf" TargetMode="External" /><Relationship Id="rId17" Type="http://schemas.openxmlformats.org/officeDocument/2006/relationships/hyperlink" Target="https://docs.fcc.gov/public/attachments/FCC-16-89A1_Rcd.pdf" TargetMode="External" /><Relationship Id="rId18" Type="http://schemas.openxmlformats.org/officeDocument/2006/relationships/header" Target="header3.xml" /><Relationship Id="rId19" Type="http://schemas.openxmlformats.org/officeDocument/2006/relationships/footer" Target="footer1.xml" /><Relationship Id="rId2" Type="http://schemas.openxmlformats.org/officeDocument/2006/relationships/settings" Target="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yperlink" Target="http://www.fcc.gov/auction/103" TargetMode="External" /><Relationship Id="rId8" Type="http://schemas.openxmlformats.org/officeDocument/2006/relationships/hyperlink" Target="http://www.fcc.gov/auction/103/education" TargetMode="External" /><Relationship Id="rId9" Type="http://schemas.openxmlformats.org/officeDocument/2006/relationships/hyperlink" Target="http://www.fcc.gov/auctions"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