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4E16" w:rsidRPr="00511023" w:rsidP="000E4E16" w14:paraId="7F8A4183" w14:textId="14916618">
      <w:pPr>
        <w:spacing w:after="0"/>
        <w:rPr>
          <w:rFonts w:ascii="Times New Roman" w:hAnsi="Times New Roman" w:cs="Times New Roman"/>
        </w:rPr>
      </w:pPr>
      <w:r w:rsidRPr="00511023">
        <w:rPr>
          <w:rFonts w:ascii="Times New Roman" w:hAnsi="Times New Roman" w:cs="Times New Roman"/>
        </w:rPr>
        <w:t xml:space="preserve">                                                                  </w:t>
      </w:r>
    </w:p>
    <w:p w:rsidR="006F2901" w:rsidRPr="00511023" w:rsidP="006F2901" w14:paraId="76004994"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0E4E16" w:rsidP="00511023" w14:paraId="02752977" w14:textId="04D99D11">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511023">
        <w:rPr>
          <w:rFonts w:ascii="Times New Roman" w:hAnsi="Times New Roman" w:cs="Times New Roman"/>
          <w:b/>
          <w:sz w:val="24"/>
          <w:szCs w:val="24"/>
        </w:rPr>
        <w:t>D</w:t>
      </w:r>
      <w:r w:rsidR="009D486B">
        <w:rPr>
          <w:rFonts w:ascii="Times New Roman" w:hAnsi="Times New Roman" w:cs="Times New Roman"/>
          <w:b/>
          <w:sz w:val="24"/>
          <w:szCs w:val="24"/>
        </w:rPr>
        <w:t>A</w:t>
      </w:r>
      <w:r w:rsidRPr="00511023">
        <w:rPr>
          <w:rFonts w:ascii="Times New Roman" w:hAnsi="Times New Roman" w:cs="Times New Roman"/>
          <w:b/>
          <w:sz w:val="24"/>
          <w:szCs w:val="24"/>
        </w:rPr>
        <w:t xml:space="preserve"> </w:t>
      </w:r>
      <w:r w:rsidR="00872AD4">
        <w:rPr>
          <w:rFonts w:ascii="Times New Roman" w:hAnsi="Times New Roman" w:cs="Times New Roman"/>
          <w:b/>
          <w:sz w:val="24"/>
          <w:szCs w:val="24"/>
        </w:rPr>
        <w:t>20</w:t>
      </w:r>
      <w:r w:rsidRPr="00511023" w:rsidR="00F4281B">
        <w:rPr>
          <w:rFonts w:ascii="Times New Roman" w:hAnsi="Times New Roman" w:cs="Times New Roman"/>
          <w:b/>
          <w:sz w:val="24"/>
          <w:szCs w:val="24"/>
        </w:rPr>
        <w:t>-</w:t>
      </w:r>
      <w:r w:rsidR="00737C88">
        <w:rPr>
          <w:rFonts w:ascii="Times New Roman" w:hAnsi="Times New Roman" w:cs="Times New Roman"/>
          <w:b/>
          <w:sz w:val="24"/>
          <w:szCs w:val="24"/>
        </w:rPr>
        <w:t>510</w:t>
      </w:r>
    </w:p>
    <w:p w:rsidR="006F117F" w:rsidRPr="00511023" w:rsidP="00511023" w14:paraId="700578AB" w14:textId="77777777">
      <w:pPr>
        <w:spacing w:after="0"/>
        <w:jc w:val="right"/>
        <w:rPr>
          <w:rFonts w:ascii="Times New Roman" w:hAnsi="Times New Roman" w:cs="Times New Roman"/>
          <w:sz w:val="24"/>
          <w:szCs w:val="24"/>
        </w:rPr>
      </w:pPr>
    </w:p>
    <w:p w:rsidR="000E4E16" w:rsidRPr="00511023" w:rsidP="00745310" w14:paraId="02B71EAA" w14:textId="7A54348E">
      <w:pPr>
        <w:tabs>
          <w:tab w:val="left" w:pos="2160"/>
          <w:tab w:val="left" w:pos="3600"/>
        </w:tabs>
        <w:spacing w:after="0"/>
        <w:jc w:val="center"/>
        <w:rPr>
          <w:rFonts w:ascii="Times New Roman" w:hAnsi="Times New Roman" w:cs="Times New Roman"/>
          <w:b/>
        </w:rPr>
      </w:pPr>
      <w:r>
        <w:rPr>
          <w:rFonts w:ascii="Times New Roman" w:hAnsi="Times New Roman" w:cs="Times New Roman"/>
          <w:b/>
          <w:sz w:val="28"/>
          <w:szCs w:val="28"/>
        </w:rPr>
        <w:t xml:space="preserve">          </w:t>
      </w:r>
      <w:r w:rsidRPr="00511023">
        <w:rPr>
          <w:rFonts w:ascii="Times New Roman" w:hAnsi="Times New Roman" w:cs="Times New Roman"/>
          <w:b/>
          <w:sz w:val="28"/>
          <w:szCs w:val="28"/>
        </w:rPr>
        <w:t>SMALL ENTITY COMPLIANCE GUIDE</w:t>
      </w:r>
    </w:p>
    <w:p w:rsidR="007340C3" w:rsidP="007340C3" w14:paraId="0F8457E4" w14:textId="77777777">
      <w:pPr>
        <w:tabs>
          <w:tab w:val="left" w:pos="2160"/>
          <w:tab w:val="left" w:pos="2880"/>
        </w:tabs>
        <w:spacing w:after="0"/>
        <w:ind w:hanging="90"/>
        <w:jc w:val="center"/>
        <w:rPr>
          <w:rFonts w:ascii="Times New Roman" w:hAnsi="Times New Roman" w:cs="Times New Roman"/>
          <w:b/>
          <w:bCs/>
        </w:rPr>
      </w:pPr>
      <w:r>
        <w:rPr>
          <w:rFonts w:ascii="Times New Roman" w:hAnsi="Times New Roman" w:cs="Times New Roman"/>
          <w:b/>
          <w:bCs/>
        </w:rPr>
        <w:t xml:space="preserve">        </w:t>
      </w:r>
    </w:p>
    <w:p w:rsidR="00514895" w:rsidP="00745310" w14:paraId="282131BC" w14:textId="56208F50">
      <w:pPr>
        <w:tabs>
          <w:tab w:val="left" w:pos="2160"/>
          <w:tab w:val="left" w:pos="3510"/>
        </w:tabs>
        <w:spacing w:after="0"/>
        <w:ind w:left="1080" w:hanging="90"/>
        <w:jc w:val="center"/>
        <w:rPr>
          <w:rFonts w:ascii="Times New Roman" w:hAnsi="Times New Roman" w:cs="Times New Roman"/>
          <w:b/>
        </w:rPr>
      </w:pPr>
      <w:r>
        <w:rPr>
          <w:rFonts w:ascii="Times New Roman" w:hAnsi="Times New Roman" w:cs="Times New Roman"/>
          <w:b/>
          <w:bCs/>
        </w:rPr>
        <w:t xml:space="preserve"> </w:t>
      </w:r>
      <w:r w:rsidR="007340C3">
        <w:rPr>
          <w:rFonts w:ascii="Times New Roman" w:hAnsi="Times New Roman" w:cs="Times New Roman"/>
          <w:b/>
          <w:bCs/>
        </w:rPr>
        <w:t xml:space="preserve"> </w:t>
      </w:r>
      <w:r w:rsidR="00872AD4">
        <w:rPr>
          <w:rFonts w:ascii="Times New Roman" w:hAnsi="Times New Roman" w:cs="Times New Roman"/>
          <w:b/>
          <w:bCs/>
        </w:rPr>
        <w:t>Transforming the 2.5 GHz Ban</w:t>
      </w:r>
      <w:bookmarkStart w:id="0" w:name="_GoBack"/>
      <w:bookmarkEnd w:id="0"/>
      <w:r w:rsidR="00872AD4">
        <w:rPr>
          <w:rFonts w:ascii="Times New Roman" w:hAnsi="Times New Roman" w:cs="Times New Roman"/>
          <w:b/>
          <w:bCs/>
        </w:rPr>
        <w:t>d</w:t>
      </w:r>
    </w:p>
    <w:p w:rsidR="00514895" w:rsidP="00745310" w14:paraId="52806BE9" w14:textId="77777777">
      <w:pPr>
        <w:tabs>
          <w:tab w:val="left" w:pos="2160"/>
          <w:tab w:val="left" w:pos="2880"/>
        </w:tabs>
        <w:spacing w:after="0"/>
        <w:ind w:left="1080" w:hanging="90"/>
        <w:jc w:val="center"/>
        <w:rPr>
          <w:rFonts w:ascii="Times New Roman" w:hAnsi="Times New Roman" w:cs="Times New Roman"/>
          <w:b/>
        </w:rPr>
      </w:pPr>
      <w:r>
        <w:rPr>
          <w:rFonts w:ascii="Times New Roman" w:hAnsi="Times New Roman" w:cs="Times New Roman"/>
          <w:b/>
        </w:rPr>
        <w:t>F</w:t>
      </w:r>
      <w:r w:rsidRPr="00511023" w:rsidR="006F2901">
        <w:rPr>
          <w:rFonts w:ascii="Times New Roman" w:hAnsi="Times New Roman" w:cs="Times New Roman"/>
          <w:b/>
        </w:rPr>
        <w:t xml:space="preserve">CC </w:t>
      </w:r>
      <w:r w:rsidR="00872AD4">
        <w:rPr>
          <w:rFonts w:ascii="Times New Roman" w:hAnsi="Times New Roman" w:cs="Times New Roman"/>
          <w:b/>
        </w:rPr>
        <w:t>19-62</w:t>
      </w:r>
    </w:p>
    <w:p w:rsidR="00514895" w:rsidP="00745310" w14:paraId="084FE04C" w14:textId="77777777">
      <w:pPr>
        <w:tabs>
          <w:tab w:val="left" w:pos="2160"/>
          <w:tab w:val="left" w:pos="2880"/>
        </w:tabs>
        <w:spacing w:after="0"/>
        <w:ind w:left="1080" w:hanging="90"/>
        <w:jc w:val="center"/>
        <w:rPr>
          <w:rFonts w:ascii="Times New Roman" w:hAnsi="Times New Roman" w:cs="Times New Roman"/>
          <w:b/>
        </w:rPr>
      </w:pPr>
      <w:r>
        <w:rPr>
          <w:rFonts w:ascii="Times New Roman" w:hAnsi="Times New Roman" w:cs="Times New Roman"/>
          <w:b/>
          <w:bCs/>
        </w:rPr>
        <w:t xml:space="preserve">WT </w:t>
      </w:r>
      <w:r w:rsidR="00C37AC8">
        <w:rPr>
          <w:rFonts w:ascii="Times New Roman" w:hAnsi="Times New Roman" w:cs="Times New Roman"/>
          <w:b/>
        </w:rPr>
        <w:t xml:space="preserve">Docket No. </w:t>
      </w:r>
      <w:r>
        <w:rPr>
          <w:rFonts w:ascii="Times New Roman" w:hAnsi="Times New Roman" w:cs="Times New Roman"/>
          <w:b/>
        </w:rPr>
        <w:t>18-120</w:t>
      </w:r>
    </w:p>
    <w:p w:rsidR="006F2901" w:rsidRPr="00511023" w:rsidP="00745310" w14:paraId="2FE15FB2" w14:textId="5E9C13AE">
      <w:pPr>
        <w:tabs>
          <w:tab w:val="left" w:pos="2160"/>
          <w:tab w:val="left" w:pos="2880"/>
        </w:tabs>
        <w:spacing w:after="0"/>
        <w:ind w:left="1080" w:hanging="90"/>
        <w:jc w:val="center"/>
        <w:rPr>
          <w:rFonts w:ascii="Times New Roman" w:hAnsi="Times New Roman" w:cs="Times New Roman"/>
          <w:b/>
        </w:rPr>
      </w:pPr>
      <w:r w:rsidRPr="00511023">
        <w:rPr>
          <w:rFonts w:ascii="Times New Roman" w:hAnsi="Times New Roman" w:cs="Times New Roman"/>
          <w:b/>
        </w:rPr>
        <w:t xml:space="preserve">Released </w:t>
      </w:r>
      <w:r w:rsidR="00514895">
        <w:rPr>
          <w:rFonts w:ascii="Times New Roman" w:hAnsi="Times New Roman" w:cs="Times New Roman"/>
          <w:b/>
        </w:rPr>
        <w:t xml:space="preserve">July 11, </w:t>
      </w:r>
      <w:r w:rsidR="00C37AC8">
        <w:rPr>
          <w:rFonts w:ascii="Times New Roman" w:hAnsi="Times New Roman" w:cs="Times New Roman"/>
          <w:b/>
        </w:rPr>
        <w:t>201</w:t>
      </w:r>
      <w:r w:rsidR="00CD75E3">
        <w:rPr>
          <w:rFonts w:ascii="Times New Roman" w:hAnsi="Times New Roman" w:cs="Times New Roman"/>
          <w:b/>
        </w:rPr>
        <w:t>9</w:t>
      </w:r>
    </w:p>
    <w:p w:rsidR="000E4E16" w:rsidRPr="00511023" w:rsidP="000E4E16" w14:paraId="7420EAC8" w14:textId="77777777">
      <w:pPr>
        <w:spacing w:after="0"/>
        <w:rPr>
          <w:rFonts w:ascii="Times New Roman" w:hAnsi="Times New Roman" w:cs="Times New Roman"/>
        </w:rPr>
      </w:pPr>
    </w:p>
    <w:p w:rsidR="00FE346F" w:rsidRPr="00511023" w:rsidP="000E4E16" w14:paraId="6742A8FC" w14:textId="77777777">
      <w:pPr>
        <w:spacing w:after="0"/>
        <w:rPr>
          <w:rFonts w:ascii="Times New Roman" w:hAnsi="Times New Roman" w:cs="Times New Roman"/>
          <w:b/>
        </w:rPr>
      </w:pPr>
    </w:p>
    <w:p w:rsidR="006F2901" w:rsidRPr="00511023" w:rsidP="00745310" w14:paraId="0359BFFD" w14:textId="1B2F66DA">
      <w:pPr>
        <w:spacing w:after="0"/>
        <w:ind w:left="1080"/>
        <w:jc w:val="both"/>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w:t>
      </w:r>
      <w:r w:rsidRPr="00E2092F">
        <w:rPr>
          <w:rFonts w:ascii="Times New Roman" w:hAnsi="Times New Roman" w:cs="Times New Roman"/>
          <w:b/>
        </w:rPr>
        <w:t>particular small</w:t>
      </w:r>
      <w:r w:rsidRPr="00E2092F">
        <w:rPr>
          <w:rFonts w:ascii="Times New Roman" w:hAnsi="Times New Roman" w:cs="Times New Roman"/>
          <w:b/>
        </w:rPr>
        <w:t xml:space="preserve">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745310" w14:paraId="25270ABA" w14:textId="77777777">
      <w:pPr>
        <w:pStyle w:val="ListParagraph"/>
        <w:ind w:left="1080" w:hanging="1080"/>
        <w:jc w:val="both"/>
        <w:rPr>
          <w:rFonts w:ascii="Times New Roman" w:hAnsi="Times New Roman" w:cs="Times New Roman"/>
          <w:b/>
        </w:rPr>
      </w:pPr>
    </w:p>
    <w:p w:rsidR="006F2901" w:rsidRPr="00511023" w:rsidP="00745310" w14:paraId="65D355CA" w14:textId="04898C38">
      <w:pPr>
        <w:pStyle w:val="ListParagraph"/>
        <w:ind w:left="1080"/>
        <w:jc w:val="both"/>
        <w:rPr>
          <w:rFonts w:ascii="Times New Roman" w:hAnsi="Times New Roman" w:cs="Times New Roman"/>
          <w:b/>
        </w:rPr>
      </w:pPr>
      <w:r w:rsidRPr="00E2092F">
        <w:rPr>
          <w:rFonts w:ascii="Times New Roman" w:hAnsi="Times New Roman" w:cs="Times New Roman"/>
          <w:b/>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w:t>
      </w:r>
      <w:r w:rsidRPr="00E2092F">
        <w:rPr>
          <w:rFonts w:ascii="Times New Roman" w:hAnsi="Times New Roman" w:cs="Times New Roman"/>
          <w:b/>
        </w:rPr>
        <w:t>particular situation</w:t>
      </w:r>
      <w:r w:rsidRPr="00E2092F" w:rsidR="00B47D0B">
        <w:rPr>
          <w:rFonts w:ascii="Times New Roman" w:hAnsi="Times New Roman" w:cs="Times New Roman"/>
          <w:b/>
        </w:rPr>
        <w:t xml:space="preserve">. </w:t>
      </w:r>
      <w:r w:rsidR="00514895">
        <w:rPr>
          <w:rFonts w:ascii="Times New Roman" w:hAnsi="Times New Roman" w:cs="Times New Roman"/>
          <w:b/>
        </w:rPr>
        <w:t xml:space="preserve"> </w:t>
      </w:r>
      <w:r w:rsidRPr="00E2092F" w:rsidR="00B47D0B">
        <w:rPr>
          <w:rFonts w:ascii="Times New Roman" w:hAnsi="Times New Roman" w:cs="Times New Roman"/>
          <w:b/>
        </w:rPr>
        <w:t>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0E4E16" w14:paraId="44F9D184" w14:textId="77777777">
      <w:pPr>
        <w:pStyle w:val="ListParagraph"/>
        <w:ind w:left="1080"/>
        <w:rPr>
          <w:rFonts w:ascii="Times New Roman" w:hAnsi="Times New Roman" w:cs="Times New Roman"/>
          <w:b/>
        </w:rPr>
      </w:pPr>
    </w:p>
    <w:p w:rsidR="006F2901" w:rsidRPr="00E2092F" w:rsidP="00E2092F" w14:paraId="3EE78D98" w14:textId="05A6654E">
      <w:pPr>
        <w:pStyle w:val="ListParagraph"/>
        <w:ind w:left="1080"/>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E2092F" w14:paraId="7189DA74" w14:textId="5B89279E">
      <w:pPr>
        <w:pStyle w:val="ListParagraph"/>
        <w:ind w:left="108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E2092F" w14:paraId="542FD57C" w14:textId="71A82108">
      <w:pPr>
        <w:pStyle w:val="ListParagraph"/>
        <w:ind w:left="1080"/>
        <w:jc w:val="center"/>
        <w:rPr>
          <w:rFonts w:ascii="Times New Roman" w:hAnsi="Times New Roman" w:cs="Times New Roman"/>
          <w:b/>
        </w:rPr>
      </w:pPr>
      <w:r w:rsidRPr="00E2092F">
        <w:rPr>
          <w:rFonts w:ascii="Times New Roman" w:hAnsi="Times New Roman" w:cs="Times New Roman"/>
          <w:b/>
        </w:rPr>
        <w:t>Videophone: 1-844-4-FCC-ASL (1-844-432-2275)</w:t>
      </w:r>
    </w:p>
    <w:p w:rsidR="0095132F" w:rsidRPr="00E2092F" w:rsidP="00E2092F" w14:paraId="4A1DEB02" w14:textId="37C1C0C6">
      <w:pPr>
        <w:pStyle w:val="ListParagraph"/>
        <w:ind w:left="1080"/>
        <w:jc w:val="center"/>
        <w:rPr>
          <w:rFonts w:ascii="Times New Roman" w:hAnsi="Times New Roman" w:cs="Times New Roman"/>
          <w:b/>
        </w:rPr>
        <w:sectPr w:rsidSect="00152909">
          <w:headerReference w:type="default" r:id="rId5"/>
          <w:footerReference w:type="default" r:id="rId6"/>
          <w:pgSz w:w="12240" w:h="15840"/>
          <w:pgMar w:top="1440" w:right="1440" w:bottom="1008" w:left="1440" w:header="720" w:footer="187" w:gutter="0"/>
          <w:cols w:space="720"/>
          <w:docGrid w:linePitch="360"/>
        </w:sectPr>
      </w:pPr>
      <w:r w:rsidRPr="00E2092F">
        <w:rPr>
          <w:rFonts w:ascii="Times New Roman" w:hAnsi="Times New Roman" w:cs="Times New Roman"/>
          <w:b/>
        </w:rPr>
        <w:t>Fax: 1-866-418-0232</w:t>
      </w:r>
    </w:p>
    <w:p w:rsidR="00CD624E" w:rsidP="00745310" w14:paraId="25301E88" w14:textId="5838E81C">
      <w:pPr>
        <w:tabs>
          <w:tab w:val="left" w:pos="2880"/>
          <w:tab w:val="left" w:pos="3240"/>
        </w:tabs>
        <w:rPr>
          <w:rFonts w:ascii="Times New Roman" w:hAnsi="Times New Roman" w:cs="Times New Roman"/>
          <w:b/>
          <w:u w:val="single"/>
        </w:rPr>
      </w:pPr>
      <w:r w:rsidRPr="006800DD">
        <w:rPr>
          <w:rFonts w:ascii="Times New Roman" w:hAnsi="Times New Roman" w:cs="Times New Roman"/>
          <w:b/>
        </w:rPr>
        <w:tab/>
      </w:r>
      <w:r w:rsidRPr="006800DD">
        <w:rPr>
          <w:rFonts w:ascii="Times New Roman" w:hAnsi="Times New Roman" w:cs="Times New Roman"/>
          <w:b/>
        </w:rPr>
        <w:tab/>
      </w:r>
      <w:r w:rsidRPr="00C419A9">
        <w:rPr>
          <w:rFonts w:ascii="Times New Roman" w:hAnsi="Times New Roman" w:cs="Times New Roman"/>
          <w:b/>
          <w:u w:val="single"/>
        </w:rPr>
        <w:t>TABLE OF CONTENTS</w:t>
      </w:r>
    </w:p>
    <w:p w:rsidR="00CD624E" w:rsidRPr="00C419A9" w:rsidP="00CD624E" w14:paraId="42100107" w14:textId="77777777">
      <w:pPr>
        <w:jc w:val="center"/>
        <w:rPr>
          <w:rFonts w:ascii="Times New Roman" w:hAnsi="Times New Roman" w:cs="Times New Roman"/>
          <w:b/>
          <w:u w:val="single"/>
        </w:rPr>
      </w:pPr>
    </w:p>
    <w:p w:rsidR="00CD624E" w:rsidRPr="00C419A9" w:rsidP="00CD624E" w14:paraId="0B3562B8" w14:textId="77777777">
      <w:pPr>
        <w:rPr>
          <w:rFonts w:ascii="Times New Roman" w:hAnsi="Times New Roman" w:cs="Times New Roman"/>
        </w:rPr>
      </w:pPr>
    </w:p>
    <w:p w:rsidR="00CD624E" w:rsidRPr="00C419A9" w:rsidP="00CD624E" w14:paraId="1A18EB69" w14:textId="5276ABAB">
      <w:pPr>
        <w:tabs>
          <w:tab w:val="right" w:leader="dot" w:pos="8640"/>
        </w:tabs>
        <w:rPr>
          <w:rFonts w:ascii="Times New Roman" w:hAnsi="Times New Roman" w:cs="Times New Roman"/>
          <w:b/>
        </w:rPr>
      </w:pPr>
      <w:r w:rsidRPr="00C419A9">
        <w:rPr>
          <w:rFonts w:ascii="Times New Roman" w:hAnsi="Times New Roman" w:cs="Times New Roman"/>
          <w:b/>
        </w:rPr>
        <w:t xml:space="preserve">I.         </w:t>
      </w:r>
      <w:r>
        <w:rPr>
          <w:rFonts w:ascii="Times New Roman" w:hAnsi="Times New Roman" w:cs="Times New Roman"/>
          <w:b/>
        </w:rPr>
        <w:t xml:space="preserve"> OBJECTIVES OF THE PROCEEDING </w:t>
      </w:r>
      <w:r>
        <w:rPr>
          <w:rFonts w:ascii="Times New Roman" w:hAnsi="Times New Roman" w:cs="Times New Roman"/>
          <w:b/>
        </w:rPr>
        <w:tab/>
      </w:r>
      <w:r w:rsidR="009E41F4">
        <w:rPr>
          <w:rFonts w:ascii="Times New Roman" w:hAnsi="Times New Roman" w:cs="Times New Roman"/>
          <w:b/>
        </w:rPr>
        <w:t>1</w:t>
      </w:r>
    </w:p>
    <w:p w:rsidR="00CD624E" w14:paraId="490BE852" w14:textId="48077C1D">
      <w:pPr>
        <w:tabs>
          <w:tab w:val="right" w:leader="dot" w:pos="8640"/>
        </w:tabs>
        <w:rPr>
          <w:rFonts w:ascii="Times New Roman" w:hAnsi="Times New Roman" w:cs="Times New Roman"/>
          <w:b/>
        </w:rPr>
      </w:pPr>
      <w:r w:rsidRPr="00C419A9">
        <w:rPr>
          <w:rFonts w:ascii="Times New Roman" w:hAnsi="Times New Roman" w:cs="Times New Roman"/>
          <w:b/>
        </w:rPr>
        <w:t xml:space="preserve">II.         </w:t>
      </w:r>
      <w:r>
        <w:rPr>
          <w:rFonts w:ascii="Times New Roman" w:hAnsi="Times New Roman" w:cs="Times New Roman"/>
          <w:b/>
        </w:rPr>
        <w:t xml:space="preserve">COMPLIANCE REQUIREMENTS </w:t>
      </w:r>
      <w:r>
        <w:rPr>
          <w:rFonts w:ascii="Times New Roman" w:hAnsi="Times New Roman" w:cs="Times New Roman"/>
          <w:b/>
        </w:rPr>
        <w:tab/>
      </w:r>
      <w:r w:rsidR="009E41F4">
        <w:rPr>
          <w:rFonts w:ascii="Times New Roman" w:hAnsi="Times New Roman" w:cs="Times New Roman"/>
          <w:b/>
        </w:rPr>
        <w:t>1</w:t>
      </w:r>
    </w:p>
    <w:p w:rsidR="00D22104" w:rsidRPr="00745310" w:rsidP="00745310" w14:paraId="62313289" w14:textId="07A6A70D">
      <w:pPr>
        <w:pStyle w:val="ListParagraph"/>
        <w:numPr>
          <w:ilvl w:val="0"/>
          <w:numId w:val="21"/>
        </w:numPr>
        <w:tabs>
          <w:tab w:val="left" w:leader="dot" w:pos="1260"/>
          <w:tab w:val="left" w:pos="1440"/>
          <w:tab w:val="right" w:leader="dot" w:pos="8640"/>
        </w:tabs>
        <w:ind w:left="1080"/>
        <w:rPr>
          <w:rFonts w:ascii="Times New Roman" w:hAnsi="Times New Roman" w:cs="Times New Roman"/>
          <w:b/>
          <w:bCs/>
        </w:rPr>
      </w:pPr>
      <w:r w:rsidRPr="00745310">
        <w:rPr>
          <w:rFonts w:ascii="Times New Roman" w:hAnsi="Times New Roman" w:cs="Times New Roman"/>
          <w:b/>
          <w:bCs/>
        </w:rPr>
        <w:t>Streamlined Compliance Requirements</w:t>
      </w:r>
      <w:r w:rsidRPr="00745310" w:rsidR="001834B4">
        <w:rPr>
          <w:rFonts w:ascii="Times New Roman" w:hAnsi="Times New Roman" w:cs="Times New Roman"/>
          <w:b/>
          <w:bCs/>
        </w:rPr>
        <w:t xml:space="preserve"> </w:t>
      </w:r>
      <w:r w:rsidRPr="00745310" w:rsidR="001834B4">
        <w:rPr>
          <w:rFonts w:ascii="Times New Roman" w:hAnsi="Times New Roman" w:cs="Times New Roman"/>
          <w:b/>
          <w:bCs/>
        </w:rPr>
        <w:tab/>
      </w:r>
      <w:r w:rsidRPr="00745310" w:rsidR="00820A69">
        <w:rPr>
          <w:rFonts w:ascii="Times New Roman" w:hAnsi="Times New Roman" w:cs="Times New Roman"/>
          <w:b/>
          <w:bCs/>
        </w:rPr>
        <w:t>1</w:t>
      </w:r>
    </w:p>
    <w:p w:rsidR="00D22104" w:rsidRPr="00745310" w:rsidP="00745310" w14:paraId="7869B12D" w14:textId="1F634DD4">
      <w:pPr>
        <w:pStyle w:val="ListParagraph"/>
        <w:numPr>
          <w:ilvl w:val="0"/>
          <w:numId w:val="21"/>
        </w:numPr>
        <w:tabs>
          <w:tab w:val="left" w:leader="dot" w:pos="1260"/>
          <w:tab w:val="left" w:pos="1440"/>
          <w:tab w:val="right" w:leader="dot" w:pos="8640"/>
        </w:tabs>
        <w:ind w:left="1080"/>
        <w:rPr>
          <w:rFonts w:ascii="Times New Roman" w:hAnsi="Times New Roman" w:cs="Times New Roman"/>
          <w:b/>
          <w:bCs/>
        </w:rPr>
      </w:pPr>
      <w:r w:rsidRPr="00745310">
        <w:rPr>
          <w:rFonts w:ascii="Times New Roman" w:hAnsi="Times New Roman" w:cs="Times New Roman"/>
          <w:b/>
          <w:bCs/>
        </w:rPr>
        <w:t>Tribal Priority Filing Window</w:t>
      </w:r>
      <w:r w:rsidRPr="00745310" w:rsidR="001834B4">
        <w:rPr>
          <w:rFonts w:ascii="Times New Roman" w:hAnsi="Times New Roman" w:cs="Times New Roman"/>
          <w:b/>
          <w:bCs/>
        </w:rPr>
        <w:t xml:space="preserve"> </w:t>
      </w:r>
      <w:r w:rsidRPr="00745310" w:rsidR="001834B4">
        <w:rPr>
          <w:rFonts w:ascii="Times New Roman" w:hAnsi="Times New Roman" w:cs="Times New Roman"/>
          <w:b/>
          <w:bCs/>
        </w:rPr>
        <w:tab/>
      </w:r>
      <w:r w:rsidRPr="00745310" w:rsidR="00820A69">
        <w:rPr>
          <w:rFonts w:ascii="Times New Roman" w:hAnsi="Times New Roman" w:cs="Times New Roman"/>
          <w:b/>
          <w:bCs/>
        </w:rPr>
        <w:t>2</w:t>
      </w:r>
    </w:p>
    <w:p w:rsidR="00D22104" w:rsidRPr="00745310" w:rsidP="00745310" w14:paraId="782405BF" w14:textId="3FAD8905">
      <w:pPr>
        <w:pStyle w:val="ListParagraph"/>
        <w:numPr>
          <w:ilvl w:val="0"/>
          <w:numId w:val="21"/>
        </w:numPr>
        <w:tabs>
          <w:tab w:val="left" w:leader="dot" w:pos="1260"/>
          <w:tab w:val="left" w:pos="1440"/>
          <w:tab w:val="right" w:leader="dot" w:pos="8640"/>
        </w:tabs>
        <w:ind w:left="1080"/>
        <w:rPr>
          <w:rFonts w:ascii="Times New Roman" w:hAnsi="Times New Roman" w:cs="Times New Roman"/>
          <w:b/>
          <w:bCs/>
        </w:rPr>
      </w:pPr>
      <w:r w:rsidRPr="00745310">
        <w:rPr>
          <w:rFonts w:ascii="Times New Roman" w:hAnsi="Times New Roman" w:cs="Times New Roman"/>
          <w:b/>
          <w:bCs/>
        </w:rPr>
        <w:t>Geographic Service Area (GSA) and the Band Plan for New Licenses</w:t>
      </w:r>
      <w:r w:rsidRPr="00745310" w:rsidR="001834B4">
        <w:rPr>
          <w:rFonts w:ascii="Times New Roman" w:hAnsi="Times New Roman" w:cs="Times New Roman"/>
          <w:b/>
          <w:bCs/>
        </w:rPr>
        <w:tab/>
      </w:r>
      <w:r w:rsidRPr="00745310" w:rsidR="00820A69">
        <w:rPr>
          <w:rFonts w:ascii="Times New Roman" w:hAnsi="Times New Roman" w:cs="Times New Roman"/>
          <w:b/>
          <w:bCs/>
        </w:rPr>
        <w:t>2</w:t>
      </w:r>
      <w:r w:rsidRPr="00745310" w:rsidR="001834B4">
        <w:rPr>
          <w:rFonts w:ascii="Times New Roman" w:hAnsi="Times New Roman" w:cs="Times New Roman"/>
          <w:b/>
          <w:bCs/>
        </w:rPr>
        <w:t xml:space="preserve"> </w:t>
      </w:r>
    </w:p>
    <w:p w:rsidR="00D22104" w:rsidRPr="00745310" w:rsidP="00745310" w14:paraId="68C03CDE" w14:textId="7F6E57D5">
      <w:pPr>
        <w:pStyle w:val="ListParagraph"/>
        <w:numPr>
          <w:ilvl w:val="0"/>
          <w:numId w:val="21"/>
        </w:numPr>
        <w:tabs>
          <w:tab w:val="left" w:leader="dot" w:pos="1260"/>
          <w:tab w:val="left" w:pos="1440"/>
          <w:tab w:val="right" w:leader="dot" w:pos="8640"/>
        </w:tabs>
        <w:ind w:left="1080"/>
        <w:rPr>
          <w:rFonts w:ascii="Times New Roman" w:hAnsi="Times New Roman" w:cs="Times New Roman"/>
          <w:b/>
          <w:bCs/>
        </w:rPr>
      </w:pPr>
      <w:r w:rsidRPr="00745310">
        <w:rPr>
          <w:rFonts w:ascii="Times New Roman" w:hAnsi="Times New Roman" w:cs="Times New Roman"/>
          <w:b/>
          <w:bCs/>
        </w:rPr>
        <w:t>Competitive Bidding Procedures</w:t>
      </w:r>
      <w:r w:rsidRPr="00745310" w:rsidR="001834B4">
        <w:rPr>
          <w:rFonts w:ascii="Times New Roman" w:hAnsi="Times New Roman" w:cs="Times New Roman"/>
          <w:b/>
          <w:bCs/>
        </w:rPr>
        <w:t xml:space="preserve"> </w:t>
      </w:r>
      <w:r w:rsidRPr="00745310" w:rsidR="001834B4">
        <w:rPr>
          <w:rFonts w:ascii="Times New Roman" w:hAnsi="Times New Roman" w:cs="Times New Roman"/>
          <w:b/>
          <w:bCs/>
        </w:rPr>
        <w:tab/>
      </w:r>
      <w:r w:rsidRPr="00745310" w:rsidR="00820A69">
        <w:rPr>
          <w:rFonts w:ascii="Times New Roman" w:hAnsi="Times New Roman" w:cs="Times New Roman"/>
          <w:b/>
          <w:bCs/>
        </w:rPr>
        <w:t>3</w:t>
      </w:r>
    </w:p>
    <w:p w:rsidR="00D22104" w:rsidRPr="00745310" w:rsidP="00745310" w14:paraId="5AF4ECD8" w14:textId="472C9079">
      <w:pPr>
        <w:pStyle w:val="ListParagraph"/>
        <w:numPr>
          <w:ilvl w:val="0"/>
          <w:numId w:val="21"/>
        </w:numPr>
        <w:tabs>
          <w:tab w:val="left" w:leader="dot" w:pos="1260"/>
          <w:tab w:val="left" w:pos="1440"/>
          <w:tab w:val="right" w:leader="dot" w:pos="8640"/>
        </w:tabs>
        <w:ind w:left="1080"/>
        <w:rPr>
          <w:rFonts w:ascii="Times New Roman" w:hAnsi="Times New Roman" w:cs="Times New Roman"/>
          <w:b/>
          <w:bCs/>
        </w:rPr>
      </w:pPr>
      <w:r w:rsidRPr="00745310">
        <w:rPr>
          <w:rFonts w:ascii="Times New Roman" w:hAnsi="Times New Roman" w:cs="Times New Roman"/>
          <w:b/>
          <w:bCs/>
        </w:rPr>
        <w:t>Construction Performance Requirements</w:t>
      </w:r>
      <w:r w:rsidRPr="00745310" w:rsidR="001834B4">
        <w:rPr>
          <w:rFonts w:ascii="Times New Roman" w:hAnsi="Times New Roman" w:cs="Times New Roman"/>
          <w:b/>
          <w:bCs/>
        </w:rPr>
        <w:t xml:space="preserve"> </w:t>
      </w:r>
      <w:r w:rsidRPr="00745310" w:rsidR="001834B4">
        <w:rPr>
          <w:rFonts w:ascii="Times New Roman" w:hAnsi="Times New Roman" w:cs="Times New Roman"/>
          <w:b/>
          <w:bCs/>
        </w:rPr>
        <w:tab/>
      </w:r>
      <w:r w:rsidRPr="00745310" w:rsidR="00820A69">
        <w:rPr>
          <w:rFonts w:ascii="Times New Roman" w:hAnsi="Times New Roman" w:cs="Times New Roman"/>
          <w:b/>
          <w:bCs/>
        </w:rPr>
        <w:t>3</w:t>
      </w:r>
    </w:p>
    <w:p w:rsidR="00D22104" w:rsidRPr="00745310" w:rsidP="00745310" w14:paraId="15366FA1" w14:textId="13AF42CF">
      <w:pPr>
        <w:pStyle w:val="ListParagraph"/>
        <w:numPr>
          <w:ilvl w:val="0"/>
          <w:numId w:val="21"/>
        </w:numPr>
        <w:tabs>
          <w:tab w:val="left" w:leader="dot" w:pos="1260"/>
          <w:tab w:val="left" w:pos="1440"/>
          <w:tab w:val="right" w:leader="dot" w:pos="8640"/>
        </w:tabs>
        <w:ind w:left="1080"/>
        <w:rPr>
          <w:rFonts w:ascii="Times New Roman" w:hAnsi="Times New Roman" w:cs="Times New Roman"/>
          <w:b/>
          <w:bCs/>
        </w:rPr>
      </w:pPr>
      <w:r w:rsidRPr="00745310">
        <w:rPr>
          <w:rFonts w:ascii="Times New Roman" w:hAnsi="Times New Roman" w:cs="Times New Roman"/>
          <w:b/>
          <w:bCs/>
        </w:rPr>
        <w:t>Renewal Standards</w:t>
      </w:r>
      <w:r w:rsidRPr="00745310" w:rsidR="001834B4">
        <w:rPr>
          <w:rFonts w:ascii="Times New Roman" w:hAnsi="Times New Roman" w:cs="Times New Roman"/>
          <w:b/>
          <w:bCs/>
        </w:rPr>
        <w:t xml:space="preserve"> </w:t>
      </w:r>
      <w:r w:rsidRPr="00745310" w:rsidR="001834B4">
        <w:rPr>
          <w:rFonts w:ascii="Times New Roman" w:hAnsi="Times New Roman" w:cs="Times New Roman"/>
          <w:b/>
          <w:bCs/>
        </w:rPr>
        <w:tab/>
      </w:r>
      <w:r w:rsidRPr="00745310" w:rsidR="00820A69">
        <w:rPr>
          <w:rFonts w:ascii="Times New Roman" w:hAnsi="Times New Roman" w:cs="Times New Roman"/>
          <w:b/>
          <w:bCs/>
        </w:rPr>
        <w:t>4</w:t>
      </w:r>
    </w:p>
    <w:p w:rsidR="00CD624E" w:rsidRPr="00C419A9" w:rsidP="00CD624E" w14:paraId="68DC6F13" w14:textId="79363324">
      <w:pPr>
        <w:tabs>
          <w:tab w:val="right" w:leader="dot" w:pos="8640"/>
        </w:tabs>
        <w:rPr>
          <w:rFonts w:ascii="Times New Roman" w:hAnsi="Times New Roman" w:cs="Times New Roman"/>
          <w:b/>
        </w:rPr>
      </w:pPr>
      <w:r w:rsidRPr="00C419A9">
        <w:rPr>
          <w:rFonts w:ascii="Times New Roman" w:hAnsi="Times New Roman" w:cs="Times New Roman"/>
          <w:b/>
        </w:rPr>
        <w:t>III.</w:t>
      </w:r>
      <w:r>
        <w:rPr>
          <w:rFonts w:ascii="Times New Roman" w:hAnsi="Times New Roman" w:cs="Times New Roman"/>
          <w:b/>
        </w:rPr>
        <w:t xml:space="preserve">        </w:t>
      </w:r>
      <w:r w:rsidRPr="00C419A9">
        <w:rPr>
          <w:rFonts w:ascii="Times New Roman" w:hAnsi="Times New Roman" w:cs="Times New Roman"/>
          <w:b/>
        </w:rPr>
        <w:t>RECORDKEEPI</w:t>
      </w:r>
      <w:r>
        <w:rPr>
          <w:rFonts w:ascii="Times New Roman" w:hAnsi="Times New Roman" w:cs="Times New Roman"/>
          <w:b/>
        </w:rPr>
        <w:t xml:space="preserve">NG AND REPORTING REQUIREMENTS </w:t>
      </w:r>
      <w:r>
        <w:rPr>
          <w:rFonts w:ascii="Times New Roman" w:hAnsi="Times New Roman" w:cs="Times New Roman"/>
          <w:b/>
        </w:rPr>
        <w:tab/>
      </w:r>
      <w:r w:rsidR="00820A69">
        <w:rPr>
          <w:rFonts w:ascii="Times New Roman" w:hAnsi="Times New Roman" w:cs="Times New Roman"/>
          <w:b/>
        </w:rPr>
        <w:t>4</w:t>
      </w:r>
    </w:p>
    <w:p w:rsidR="00CD624E" w:rsidRPr="00C419A9" w:rsidP="00CD624E" w14:paraId="6B9E0B35" w14:textId="7E8AF70C">
      <w:pPr>
        <w:tabs>
          <w:tab w:val="right" w:leader="dot" w:pos="8640"/>
        </w:tabs>
        <w:rPr>
          <w:rFonts w:ascii="Times New Roman" w:hAnsi="Times New Roman" w:cs="Times New Roman"/>
          <w:b/>
        </w:rPr>
      </w:pPr>
      <w:r w:rsidRPr="00C419A9">
        <w:rPr>
          <w:rFonts w:ascii="Times New Roman" w:hAnsi="Times New Roman" w:cs="Times New Roman"/>
          <w:b/>
        </w:rPr>
        <w:t>IV.</w:t>
      </w:r>
      <w:r>
        <w:rPr>
          <w:rFonts w:ascii="Times New Roman" w:hAnsi="Times New Roman" w:cs="Times New Roman"/>
          <w:b/>
        </w:rPr>
        <w:t xml:space="preserve">        IMPLEMENTATION DATE </w:t>
      </w:r>
      <w:r>
        <w:rPr>
          <w:rFonts w:ascii="Times New Roman" w:hAnsi="Times New Roman" w:cs="Times New Roman"/>
          <w:b/>
        </w:rPr>
        <w:tab/>
      </w:r>
      <w:r w:rsidR="004620F7">
        <w:rPr>
          <w:rFonts w:ascii="Times New Roman" w:hAnsi="Times New Roman" w:cs="Times New Roman"/>
          <w:b/>
        </w:rPr>
        <w:t>5</w:t>
      </w:r>
    </w:p>
    <w:p w:rsidR="00CD624E" w:rsidRPr="00C419A9" w:rsidP="00CD624E" w14:paraId="2920F242" w14:textId="6727816B">
      <w:pPr>
        <w:tabs>
          <w:tab w:val="right" w:leader="dot" w:pos="8640"/>
        </w:tabs>
        <w:rPr>
          <w:rFonts w:ascii="Times New Roman" w:hAnsi="Times New Roman" w:cs="Times New Roman"/>
          <w:b/>
        </w:rPr>
      </w:pPr>
      <w:r>
        <w:rPr>
          <w:rFonts w:ascii="Times New Roman" w:hAnsi="Times New Roman" w:cs="Times New Roman"/>
          <w:b/>
        </w:rPr>
        <w:t xml:space="preserve">V.         INTERNET LINKS </w:t>
      </w:r>
      <w:r>
        <w:rPr>
          <w:rFonts w:ascii="Times New Roman" w:hAnsi="Times New Roman" w:cs="Times New Roman"/>
          <w:b/>
        </w:rPr>
        <w:tab/>
      </w:r>
      <w:r w:rsidR="00820A69">
        <w:rPr>
          <w:rFonts w:ascii="Times New Roman" w:hAnsi="Times New Roman" w:cs="Times New Roman"/>
          <w:b/>
        </w:rPr>
        <w:t>5</w:t>
      </w:r>
    </w:p>
    <w:p w:rsidR="00CD624E" w:rsidP="00074CA4" w14:paraId="4688C0B6" w14:textId="77777777">
      <w:pPr>
        <w:pStyle w:val="ListParagraph"/>
        <w:spacing w:after="0"/>
        <w:ind w:left="0"/>
        <w:rPr>
          <w:rFonts w:ascii="Times New Roman" w:hAnsi="Times New Roman" w:cs="Times New Roman"/>
          <w:b/>
        </w:rPr>
      </w:pPr>
    </w:p>
    <w:p w:rsidR="008D4AA5" w:rsidRPr="00074CA4" w:rsidP="00074CA4" w14:paraId="2364AF40" w14:textId="77777777">
      <w:pPr>
        <w:rPr>
          <w:rFonts w:ascii="Times New Roman" w:hAnsi="Times New Roman" w:cs="Times New Roman"/>
          <w:b/>
        </w:rPr>
      </w:pPr>
    </w:p>
    <w:p w:rsidR="00463A2A" w:rsidP="00E97A21" w14:paraId="2A40148F" w14:textId="77777777">
      <w:pPr>
        <w:rPr>
          <w:rFonts w:ascii="Times New Roman" w:hAnsi="Times New Roman" w:cs="Times New Roman"/>
          <w:b/>
        </w:rPr>
      </w:pPr>
    </w:p>
    <w:p w:rsidR="001743EF" w:rsidP="00E97A21" w14:paraId="0E64538F" w14:textId="77777777">
      <w:pPr>
        <w:rPr>
          <w:rFonts w:ascii="Times New Roman" w:hAnsi="Times New Roman" w:cs="Times New Roman"/>
          <w:b/>
        </w:rPr>
        <w:sectPr w:rsidSect="001743EF">
          <w:headerReference w:type="default" r:id="rId7"/>
          <w:pgSz w:w="12240" w:h="15840"/>
          <w:pgMar w:top="1440" w:right="1440" w:bottom="1008" w:left="1440" w:header="720" w:footer="187" w:gutter="0"/>
          <w:pgNumType w:start="1"/>
          <w:cols w:space="720"/>
          <w:docGrid w:linePitch="360"/>
        </w:sectPr>
      </w:pPr>
    </w:p>
    <w:p w:rsidR="00E97A21" w:rsidRPr="00511023" w:rsidP="009E41F4" w14:paraId="003F6D71" w14:textId="719CC720">
      <w:pPr>
        <w:tabs>
          <w:tab w:val="left" w:pos="720"/>
        </w:tabs>
        <w:spacing w:after="120"/>
        <w:rPr>
          <w:rFonts w:ascii="Times New Roman" w:hAnsi="Times New Roman" w:cs="Times New Roman"/>
          <w:b/>
        </w:rPr>
      </w:pPr>
      <w:r>
        <w:rPr>
          <w:rFonts w:ascii="Times New Roman" w:hAnsi="Times New Roman" w:cs="Times New Roman"/>
          <w:b/>
        </w:rPr>
        <w:t xml:space="preserve">I.          </w:t>
      </w:r>
      <w:r w:rsidRPr="00511023" w:rsidR="001A1EAC">
        <w:rPr>
          <w:rFonts w:ascii="Times New Roman" w:hAnsi="Times New Roman" w:cs="Times New Roman"/>
          <w:b/>
        </w:rPr>
        <w:t>OBJECTIVES OF THE PROCEEDING</w:t>
      </w:r>
    </w:p>
    <w:p w:rsidR="00857778" w:rsidRPr="00857778" w:rsidP="009E41F4" w14:paraId="19FEEB33" w14:textId="242B815F">
      <w:pPr>
        <w:spacing w:after="120"/>
        <w:ind w:firstLine="720"/>
        <w:rPr>
          <w:rFonts w:ascii="Times New Roman" w:hAnsi="Times New Roman" w:cs="Times New Roman"/>
        </w:rPr>
      </w:pPr>
      <w:r w:rsidRPr="00511023">
        <w:rPr>
          <w:rFonts w:ascii="Times New Roman" w:hAnsi="Times New Roman" w:cs="Times New Roman"/>
        </w:rPr>
        <w:t xml:space="preserve">In this </w:t>
      </w:r>
      <w:r w:rsidR="00A55458">
        <w:rPr>
          <w:rFonts w:ascii="Times New Roman" w:hAnsi="Times New Roman" w:cs="Times New Roman"/>
          <w:i/>
          <w:iCs/>
        </w:rPr>
        <w:t xml:space="preserve">2.5 GHz </w:t>
      </w:r>
      <w:r w:rsidRPr="00511023">
        <w:rPr>
          <w:rFonts w:ascii="Times New Roman" w:hAnsi="Times New Roman" w:cs="Times New Roman"/>
          <w:i/>
        </w:rPr>
        <w:t>Report and Order</w:t>
      </w:r>
      <w:r w:rsidRPr="00511023">
        <w:rPr>
          <w:rFonts w:ascii="Times New Roman" w:hAnsi="Times New Roman" w:cs="Times New Roman"/>
        </w:rPr>
        <w:t xml:space="preserve"> in </w:t>
      </w:r>
      <w:r w:rsidR="00E921BB">
        <w:rPr>
          <w:rFonts w:ascii="Times New Roman" w:hAnsi="Times New Roman" w:cs="Times New Roman"/>
        </w:rPr>
        <w:t xml:space="preserve">FCC 19-62, </w:t>
      </w:r>
      <w:r w:rsidRPr="00511023">
        <w:rPr>
          <w:rFonts w:ascii="Times New Roman" w:hAnsi="Times New Roman" w:cs="Times New Roman"/>
        </w:rPr>
        <w:t xml:space="preserve">WT Docket No. </w:t>
      </w:r>
      <w:r w:rsidR="00164B0A">
        <w:rPr>
          <w:rFonts w:ascii="Times New Roman" w:hAnsi="Times New Roman" w:cs="Times New Roman"/>
        </w:rPr>
        <w:t>18-120</w:t>
      </w:r>
      <w:r w:rsidRPr="00511023">
        <w:rPr>
          <w:rFonts w:ascii="Times New Roman" w:hAnsi="Times New Roman" w:cs="Times New Roman"/>
        </w:rPr>
        <w:t xml:space="preserve">, </w:t>
      </w:r>
      <w:r w:rsidR="00E921BB">
        <w:rPr>
          <w:rFonts w:ascii="Times New Roman" w:hAnsi="Times New Roman" w:cs="Times New Roman"/>
        </w:rPr>
        <w:t>released on July 11, 2019,</w:t>
      </w:r>
      <w:r>
        <w:rPr>
          <w:rStyle w:val="FootnoteReference"/>
          <w:rFonts w:ascii="Times New Roman" w:hAnsi="Times New Roman" w:cs="Times New Roman"/>
        </w:rPr>
        <w:footnoteReference w:id="2"/>
      </w:r>
      <w:r w:rsidR="00E921BB">
        <w:rPr>
          <w:rFonts w:ascii="Times New Roman" w:hAnsi="Times New Roman" w:cs="Times New Roman"/>
        </w:rPr>
        <w:t xml:space="preserve"> </w:t>
      </w:r>
      <w:r w:rsidRPr="00511023">
        <w:rPr>
          <w:rFonts w:ascii="Times New Roman" w:hAnsi="Times New Roman" w:cs="Times New Roman"/>
        </w:rPr>
        <w:t>the Commission</w:t>
      </w:r>
      <w:r w:rsidR="00E921BB">
        <w:rPr>
          <w:rFonts w:ascii="Times New Roman" w:hAnsi="Times New Roman" w:cs="Times New Roman"/>
        </w:rPr>
        <w:t xml:space="preserve"> </w:t>
      </w:r>
      <w:r w:rsidR="00ED619E">
        <w:rPr>
          <w:rFonts w:ascii="Times New Roman" w:hAnsi="Times New Roman" w:cs="Times New Roman"/>
        </w:rPr>
        <w:t xml:space="preserve">revised the regulatory framework governing </w:t>
      </w:r>
      <w:r w:rsidR="004E1366">
        <w:rPr>
          <w:rFonts w:ascii="Times New Roman" w:hAnsi="Times New Roman" w:cs="Times New Roman"/>
        </w:rPr>
        <w:t xml:space="preserve">the </w:t>
      </w:r>
      <w:r w:rsidR="00ED619E">
        <w:rPr>
          <w:rFonts w:ascii="Times New Roman" w:hAnsi="Times New Roman" w:cs="Times New Roman"/>
        </w:rPr>
        <w:t>117.5 MHz of spectrum in the 2.5 GHz (2496-2690 MHz) band</w:t>
      </w:r>
      <w:r w:rsidR="004E1366">
        <w:rPr>
          <w:rFonts w:ascii="Times New Roman" w:hAnsi="Times New Roman" w:cs="Times New Roman"/>
        </w:rPr>
        <w:t xml:space="preserve"> </w:t>
      </w:r>
      <w:r w:rsidR="002B45A7">
        <w:rPr>
          <w:rFonts w:ascii="Times New Roman" w:hAnsi="Times New Roman" w:cs="Times New Roman"/>
        </w:rPr>
        <w:t xml:space="preserve">formerly </w:t>
      </w:r>
      <w:r w:rsidR="004E1366">
        <w:rPr>
          <w:rFonts w:ascii="Times New Roman" w:hAnsi="Times New Roman" w:cs="Times New Roman"/>
        </w:rPr>
        <w:t>referred to as the Educational Broadband Service (EBS)</w:t>
      </w:r>
      <w:r w:rsidR="00ED619E">
        <w:rPr>
          <w:rFonts w:ascii="Times New Roman" w:hAnsi="Times New Roman" w:cs="Times New Roman"/>
        </w:rPr>
        <w:t xml:space="preserve">.  </w:t>
      </w:r>
      <w:r w:rsidR="00A665BE">
        <w:rPr>
          <w:rFonts w:ascii="Times New Roman" w:hAnsi="Times New Roman" w:cs="Times New Roman"/>
        </w:rPr>
        <w:t>First,</w:t>
      </w:r>
      <w:r w:rsidR="00ED619E">
        <w:rPr>
          <w:rFonts w:ascii="Times New Roman" w:hAnsi="Times New Roman" w:cs="Times New Roman"/>
        </w:rPr>
        <w:t xml:space="preserve"> the Commission eliminated </w:t>
      </w:r>
      <w:r w:rsidR="00ED619E">
        <w:rPr>
          <w:rFonts w:ascii="Times New Roman" w:hAnsi="Times New Roman" w:cs="Times New Roman"/>
        </w:rPr>
        <w:t>a number of</w:t>
      </w:r>
      <w:r w:rsidR="00ED619E">
        <w:rPr>
          <w:rFonts w:ascii="Times New Roman" w:hAnsi="Times New Roman" w:cs="Times New Roman"/>
        </w:rPr>
        <w:t xml:space="preserve"> restrictions that </w:t>
      </w:r>
      <w:r w:rsidR="000A1EB2">
        <w:rPr>
          <w:rFonts w:ascii="Times New Roman" w:hAnsi="Times New Roman" w:cs="Times New Roman"/>
        </w:rPr>
        <w:t xml:space="preserve">previously </w:t>
      </w:r>
      <w:r w:rsidR="00ED619E">
        <w:rPr>
          <w:rFonts w:ascii="Times New Roman" w:hAnsi="Times New Roman" w:cs="Times New Roman"/>
        </w:rPr>
        <w:t>limited the use of</w:t>
      </w:r>
      <w:r w:rsidR="004E1366">
        <w:rPr>
          <w:rFonts w:ascii="Times New Roman" w:hAnsi="Times New Roman" w:cs="Times New Roman"/>
        </w:rPr>
        <w:t xml:space="preserve"> that spectrum</w:t>
      </w:r>
      <w:r w:rsidR="00A665BE">
        <w:rPr>
          <w:rFonts w:ascii="Times New Roman" w:hAnsi="Times New Roman" w:cs="Times New Roman"/>
        </w:rPr>
        <w:t xml:space="preserve">. </w:t>
      </w:r>
      <w:r w:rsidR="008F546D">
        <w:rPr>
          <w:rFonts w:ascii="Times New Roman" w:hAnsi="Times New Roman" w:cs="Times New Roman"/>
        </w:rPr>
        <w:t xml:space="preserve"> </w:t>
      </w:r>
      <w:r w:rsidR="00A665BE">
        <w:rPr>
          <w:rFonts w:ascii="Times New Roman" w:hAnsi="Times New Roman" w:cs="Times New Roman"/>
        </w:rPr>
        <w:t xml:space="preserve">Specifically, the Commission eliminated </w:t>
      </w:r>
      <w:r w:rsidR="000A67D4">
        <w:rPr>
          <w:rFonts w:ascii="Times New Roman" w:hAnsi="Times New Roman" w:cs="Times New Roman"/>
        </w:rPr>
        <w:t xml:space="preserve">the </w:t>
      </w:r>
      <w:r w:rsidR="00E921BB">
        <w:rPr>
          <w:rFonts w:ascii="Times New Roman" w:hAnsi="Times New Roman" w:cs="Times New Roman"/>
        </w:rPr>
        <w:t>(1) EBS eligibility requirements; (2) EBS educational use requirements;</w:t>
      </w:r>
      <w:r w:rsidR="00A665BE">
        <w:rPr>
          <w:rFonts w:ascii="Times New Roman" w:hAnsi="Times New Roman" w:cs="Times New Roman"/>
        </w:rPr>
        <w:t xml:space="preserve"> and</w:t>
      </w:r>
      <w:r w:rsidR="00E921BB">
        <w:rPr>
          <w:rFonts w:ascii="Times New Roman" w:hAnsi="Times New Roman" w:cs="Times New Roman"/>
        </w:rPr>
        <w:t xml:space="preserve"> (3) EBS leasing restrictions</w:t>
      </w:r>
      <w:r w:rsidR="00A665BE">
        <w:rPr>
          <w:rFonts w:ascii="Times New Roman" w:hAnsi="Times New Roman" w:cs="Times New Roman"/>
        </w:rPr>
        <w:t xml:space="preserve">.  In addition, the Commission </w:t>
      </w:r>
      <w:r w:rsidR="00E921BB">
        <w:rPr>
          <w:rFonts w:ascii="Times New Roman" w:hAnsi="Times New Roman" w:cs="Times New Roman"/>
        </w:rPr>
        <w:t>(</w:t>
      </w:r>
      <w:r w:rsidR="00A665BE">
        <w:rPr>
          <w:rFonts w:ascii="Times New Roman" w:hAnsi="Times New Roman" w:cs="Times New Roman"/>
        </w:rPr>
        <w:t>1</w:t>
      </w:r>
      <w:r w:rsidR="00E921BB">
        <w:rPr>
          <w:rFonts w:ascii="Times New Roman" w:hAnsi="Times New Roman" w:cs="Times New Roman"/>
        </w:rPr>
        <w:t>) adopted a Tribal Priority Window for unassigned 2.5 GH</w:t>
      </w:r>
      <w:r w:rsidR="00ED619E">
        <w:rPr>
          <w:rFonts w:ascii="Times New Roman" w:hAnsi="Times New Roman" w:cs="Times New Roman"/>
        </w:rPr>
        <w:t>z</w:t>
      </w:r>
      <w:r w:rsidR="00E921BB">
        <w:rPr>
          <w:rFonts w:ascii="Times New Roman" w:hAnsi="Times New Roman" w:cs="Times New Roman"/>
        </w:rPr>
        <w:t xml:space="preserve"> spectrum over Tribal areas; (</w:t>
      </w:r>
      <w:r w:rsidR="00A665BE">
        <w:rPr>
          <w:rFonts w:ascii="Times New Roman" w:hAnsi="Times New Roman" w:cs="Times New Roman"/>
        </w:rPr>
        <w:t>2</w:t>
      </w:r>
      <w:r w:rsidR="00E921BB">
        <w:rPr>
          <w:rFonts w:ascii="Times New Roman" w:hAnsi="Times New Roman" w:cs="Times New Roman"/>
        </w:rPr>
        <w:t>) adopted a competitive bidding process for other unassigned 2.5 GHz spectrum</w:t>
      </w:r>
      <w:r w:rsidR="008F546D">
        <w:rPr>
          <w:rFonts w:ascii="Times New Roman" w:hAnsi="Times New Roman" w:cs="Times New Roman"/>
        </w:rPr>
        <w:t>;</w:t>
      </w:r>
      <w:r w:rsidR="00E921BB">
        <w:rPr>
          <w:rFonts w:ascii="Times New Roman" w:hAnsi="Times New Roman" w:cs="Times New Roman"/>
        </w:rPr>
        <w:t xml:space="preserve"> (</w:t>
      </w:r>
      <w:r w:rsidR="00A665BE">
        <w:rPr>
          <w:rFonts w:ascii="Times New Roman" w:hAnsi="Times New Roman" w:cs="Times New Roman"/>
        </w:rPr>
        <w:t>3</w:t>
      </w:r>
      <w:r w:rsidR="00E921BB">
        <w:rPr>
          <w:rFonts w:ascii="Times New Roman" w:hAnsi="Times New Roman" w:cs="Times New Roman"/>
        </w:rPr>
        <w:t>) adopted new performance requireme</w:t>
      </w:r>
      <w:r>
        <w:rPr>
          <w:rFonts w:ascii="Times New Roman" w:hAnsi="Times New Roman" w:cs="Times New Roman"/>
        </w:rPr>
        <w:t>n</w:t>
      </w:r>
      <w:r w:rsidR="00E921BB">
        <w:rPr>
          <w:rFonts w:ascii="Times New Roman" w:hAnsi="Times New Roman" w:cs="Times New Roman"/>
        </w:rPr>
        <w:t xml:space="preserve">ts for 2.5 GHz licenses granted </w:t>
      </w:r>
      <w:r w:rsidR="00A665BE">
        <w:rPr>
          <w:rFonts w:ascii="Times New Roman" w:hAnsi="Times New Roman" w:cs="Times New Roman"/>
        </w:rPr>
        <w:t>through the Tribal Priority Window and the competitive bidding process</w:t>
      </w:r>
      <w:r w:rsidR="004E1366">
        <w:rPr>
          <w:rFonts w:ascii="Times New Roman" w:hAnsi="Times New Roman" w:cs="Times New Roman"/>
        </w:rPr>
        <w:t xml:space="preserve">; and (4) adopted new renewal standards for </w:t>
      </w:r>
      <w:r w:rsidR="00BC188C">
        <w:rPr>
          <w:rFonts w:ascii="Times New Roman" w:hAnsi="Times New Roman" w:cs="Times New Roman"/>
        </w:rPr>
        <w:t>EBS licenses</w:t>
      </w:r>
      <w:r w:rsidR="00A665BE">
        <w:rPr>
          <w:rFonts w:ascii="Times New Roman" w:hAnsi="Times New Roman" w:cs="Times New Roman"/>
        </w:rPr>
        <w:t>.</w:t>
      </w:r>
      <w:r w:rsidRPr="00511023">
        <w:rPr>
          <w:rFonts w:ascii="Times New Roman" w:hAnsi="Times New Roman" w:cs="Times New Roman"/>
        </w:rPr>
        <w:t xml:space="preserve"> </w:t>
      </w:r>
      <w:r w:rsidR="00A55458">
        <w:rPr>
          <w:rFonts w:ascii="Times New Roman" w:hAnsi="Times New Roman" w:cs="Times New Roman"/>
        </w:rPr>
        <w:t xml:space="preserve"> </w:t>
      </w:r>
      <w:r>
        <w:rPr>
          <w:rFonts w:ascii="Times New Roman" w:hAnsi="Times New Roman" w:cs="Times New Roman"/>
        </w:rPr>
        <w:t xml:space="preserve">The decisions made in this </w:t>
      </w:r>
      <w:r w:rsidR="002B45A7">
        <w:rPr>
          <w:rFonts w:ascii="Times New Roman" w:hAnsi="Times New Roman" w:cs="Times New Roman"/>
          <w:i/>
          <w:iCs/>
        </w:rPr>
        <w:t xml:space="preserve">2.5 GHz </w:t>
      </w:r>
      <w:r>
        <w:rPr>
          <w:rFonts w:ascii="Times New Roman" w:hAnsi="Times New Roman" w:cs="Times New Roman"/>
          <w:i/>
          <w:iCs/>
        </w:rPr>
        <w:t>Report and Order</w:t>
      </w:r>
      <w:r>
        <w:rPr>
          <w:rFonts w:ascii="Times New Roman" w:hAnsi="Times New Roman" w:cs="Times New Roman"/>
        </w:rPr>
        <w:t xml:space="preserve"> will make valuable mid-band spectrum available</w:t>
      </w:r>
      <w:r w:rsidR="00CD2992">
        <w:rPr>
          <w:rFonts w:ascii="Times New Roman" w:hAnsi="Times New Roman" w:cs="Times New Roman"/>
        </w:rPr>
        <w:t xml:space="preserve"> - </w:t>
      </w:r>
      <w:r>
        <w:rPr>
          <w:rFonts w:ascii="Times New Roman" w:hAnsi="Times New Roman" w:cs="Times New Roman"/>
        </w:rPr>
        <w:t>including to those in rural Tribal areas, for the mobile services on which consumers increasingly rely and which is critical to maintaining American leadership in the next generation of wireless connectivity.</w:t>
      </w:r>
    </w:p>
    <w:p w:rsidR="00EF4B82" w:rsidRPr="00511023" w:rsidP="009E41F4" w14:paraId="2676F6DC" w14:textId="7549C6E7">
      <w:pPr>
        <w:tabs>
          <w:tab w:val="left" w:pos="720"/>
        </w:tabs>
        <w:spacing w:after="120"/>
        <w:rPr>
          <w:rFonts w:ascii="Times New Roman" w:hAnsi="Times New Roman" w:cs="Times New Roman"/>
          <w:b/>
        </w:rPr>
      </w:pPr>
      <w:r w:rsidRPr="00511023">
        <w:rPr>
          <w:rFonts w:ascii="Times New Roman" w:hAnsi="Times New Roman" w:cs="Times New Roman"/>
          <w:b/>
        </w:rPr>
        <w:t xml:space="preserve">II. </w:t>
      </w:r>
      <w:r w:rsidR="00286EA8">
        <w:rPr>
          <w:rFonts w:ascii="Times New Roman" w:hAnsi="Times New Roman" w:cs="Times New Roman"/>
          <w:b/>
        </w:rPr>
        <w:tab/>
      </w:r>
      <w:r w:rsidRPr="00511023">
        <w:rPr>
          <w:rFonts w:ascii="Times New Roman" w:hAnsi="Times New Roman" w:cs="Times New Roman"/>
          <w:b/>
        </w:rPr>
        <w:t>COMPLIANCE REQUIREMENTS</w:t>
      </w:r>
    </w:p>
    <w:p w:rsidR="00BA0E43" w14:paraId="1A476E25" w14:textId="445CDDE0">
      <w:pPr>
        <w:pStyle w:val="Heading2"/>
      </w:pPr>
      <w:bookmarkStart w:id="1" w:name="_Toc480811438"/>
      <w:r>
        <w:t>Streamlined Compliance Requirements</w:t>
      </w:r>
      <w:r>
        <w:rPr>
          <w:rStyle w:val="FootnoteReference"/>
        </w:rPr>
        <w:footnoteReference w:id="3"/>
      </w:r>
    </w:p>
    <w:p w:rsidR="009E41F4" w:rsidP="002B45A7" w14:paraId="6B861C7F" w14:textId="2EC7B515">
      <w:pPr>
        <w:pStyle w:val="ListParagraph"/>
        <w:numPr>
          <w:ilvl w:val="0"/>
          <w:numId w:val="15"/>
        </w:numPr>
        <w:spacing w:after="120"/>
        <w:rPr>
          <w:rFonts w:ascii="Times New Roman" w:hAnsi="Times New Roman" w:cs="Times New Roman"/>
        </w:rPr>
      </w:pPr>
      <w:r w:rsidRPr="00A55458">
        <w:rPr>
          <w:rFonts w:ascii="Times New Roman" w:hAnsi="Times New Roman" w:cs="Times New Roman"/>
        </w:rPr>
        <w:t xml:space="preserve">In the </w:t>
      </w:r>
      <w:r w:rsidRPr="00A55458" w:rsidR="00A55458">
        <w:rPr>
          <w:rFonts w:ascii="Times New Roman" w:hAnsi="Times New Roman" w:cs="Times New Roman"/>
          <w:i/>
          <w:iCs/>
        </w:rPr>
        <w:t xml:space="preserve">2.5 GHz </w:t>
      </w:r>
      <w:r w:rsidRPr="00A55458">
        <w:rPr>
          <w:rFonts w:ascii="Times New Roman" w:hAnsi="Times New Roman" w:cs="Times New Roman"/>
          <w:i/>
        </w:rPr>
        <w:t>Report and</w:t>
      </w:r>
      <w:r w:rsidRPr="00A55458">
        <w:rPr>
          <w:rFonts w:ascii="Times New Roman" w:hAnsi="Times New Roman" w:cs="Times New Roman"/>
        </w:rPr>
        <w:t xml:space="preserve"> </w:t>
      </w:r>
      <w:r w:rsidRPr="00A55458">
        <w:rPr>
          <w:rFonts w:ascii="Times New Roman" w:hAnsi="Times New Roman" w:cs="Times New Roman"/>
          <w:i/>
        </w:rPr>
        <w:t>Order</w:t>
      </w:r>
      <w:r w:rsidRPr="00A55458">
        <w:rPr>
          <w:rFonts w:ascii="Times New Roman" w:hAnsi="Times New Roman" w:cs="Times New Roman"/>
        </w:rPr>
        <w:t xml:space="preserve"> the Commission has streamlined compliance requirements for the 2.5 GHz band by eliminating several</w:t>
      </w:r>
      <w:r w:rsidR="008023D6">
        <w:rPr>
          <w:rFonts w:ascii="Times New Roman" w:hAnsi="Times New Roman" w:cs="Times New Roman"/>
        </w:rPr>
        <w:t xml:space="preserve"> compliance requirements</w:t>
      </w:r>
      <w:r w:rsidRPr="00A55458">
        <w:rPr>
          <w:rFonts w:ascii="Times New Roman" w:hAnsi="Times New Roman" w:cs="Times New Roman"/>
        </w:rPr>
        <w:t>.</w:t>
      </w:r>
    </w:p>
    <w:p w:rsidR="002B45A7" w:rsidRPr="002B45A7" w:rsidP="002B45A7" w14:paraId="50C4FDD1" w14:textId="77777777">
      <w:pPr>
        <w:pStyle w:val="ListParagraph"/>
        <w:spacing w:after="120"/>
        <w:ind w:left="1080"/>
        <w:rPr>
          <w:rFonts w:ascii="Times New Roman" w:hAnsi="Times New Roman" w:cs="Times New Roman"/>
        </w:rPr>
      </w:pPr>
    </w:p>
    <w:p w:rsidR="00A55458" w:rsidP="009E41F4" w14:paraId="4F575CAC" w14:textId="02FC764C">
      <w:pPr>
        <w:pStyle w:val="ListParagraph"/>
        <w:numPr>
          <w:ilvl w:val="1"/>
          <w:numId w:val="15"/>
        </w:numPr>
        <w:spacing w:after="120"/>
        <w:rPr>
          <w:rFonts w:ascii="Times New Roman" w:hAnsi="Times New Roman" w:cs="Times New Roman"/>
        </w:rPr>
      </w:pPr>
      <w:r w:rsidRPr="00A55458">
        <w:rPr>
          <w:rFonts w:ascii="Times New Roman" w:hAnsi="Times New Roman" w:cs="Times New Roman"/>
        </w:rPr>
        <w:t xml:space="preserve">The Commission has eliminated former Section 27.1201 of the Rules which </w:t>
      </w:r>
      <w:r w:rsidR="008023D6">
        <w:rPr>
          <w:rFonts w:ascii="Times New Roman" w:hAnsi="Times New Roman" w:cs="Times New Roman"/>
        </w:rPr>
        <w:t xml:space="preserve">limited </w:t>
      </w:r>
      <w:r w:rsidRPr="00A55458">
        <w:rPr>
          <w:rFonts w:ascii="Times New Roman" w:hAnsi="Times New Roman" w:cs="Times New Roman"/>
        </w:rPr>
        <w:t>eligibility</w:t>
      </w:r>
      <w:r w:rsidR="008023D6">
        <w:rPr>
          <w:rFonts w:ascii="Times New Roman" w:hAnsi="Times New Roman" w:cs="Times New Roman"/>
        </w:rPr>
        <w:t xml:space="preserve"> for EBS licenses</w:t>
      </w:r>
      <w:r w:rsidRPr="00A55458">
        <w:rPr>
          <w:rFonts w:ascii="Times New Roman" w:hAnsi="Times New Roman" w:cs="Times New Roman"/>
        </w:rPr>
        <w:t>.</w:t>
      </w:r>
    </w:p>
    <w:p w:rsidR="002C0359" w:rsidP="00745310" w14:paraId="2A52F4A3" w14:textId="03ABD4CF">
      <w:pPr>
        <w:pStyle w:val="ListParagraph"/>
        <w:spacing w:after="120"/>
        <w:ind w:left="1800"/>
        <w:rPr>
          <w:rFonts w:ascii="Times New Roman" w:hAnsi="Times New Roman" w:cs="Times New Roman"/>
        </w:rPr>
      </w:pPr>
      <w:r>
        <w:rPr>
          <w:rFonts w:ascii="Times New Roman" w:hAnsi="Times New Roman" w:cs="Times New Roman"/>
        </w:rPr>
        <w:t xml:space="preserve"> </w:t>
      </w:r>
    </w:p>
    <w:p w:rsidR="002C0359" w:rsidRPr="002C0359" w:rsidP="00745310" w14:paraId="720FCC1C" w14:textId="2152BD16">
      <w:pPr>
        <w:pStyle w:val="ListParagraph"/>
        <w:numPr>
          <w:ilvl w:val="2"/>
          <w:numId w:val="15"/>
        </w:numPr>
        <w:spacing w:after="120"/>
        <w:rPr>
          <w:rFonts w:ascii="Times New Roman" w:hAnsi="Times New Roman" w:cs="Times New Roman"/>
        </w:rPr>
      </w:pPr>
      <w:r w:rsidRPr="00745310">
        <w:rPr>
          <w:rFonts w:ascii="Times New Roman" w:hAnsi="Times New Roman" w:cs="Times New Roman"/>
        </w:rPr>
        <w:t>Both incumbent EBS licenses and new EBS licenses once issued</w:t>
      </w:r>
      <w:r w:rsidR="00F60E84">
        <w:rPr>
          <w:rFonts w:ascii="Times New Roman" w:hAnsi="Times New Roman" w:cs="Times New Roman"/>
        </w:rPr>
        <w:t>,</w:t>
      </w:r>
      <w:r w:rsidRPr="00745310">
        <w:rPr>
          <w:rFonts w:ascii="Times New Roman" w:hAnsi="Times New Roman" w:cs="Times New Roman"/>
        </w:rPr>
        <w:t xml:space="preserve"> will be free of the eligibility restrictions, and EBS licensees may assign or transfer their licenses freely.</w:t>
      </w:r>
    </w:p>
    <w:p w:rsidR="009E41F4" w:rsidP="009E41F4" w14:paraId="07FEF549" w14:textId="77777777">
      <w:pPr>
        <w:pStyle w:val="ListParagraph"/>
        <w:spacing w:after="120"/>
        <w:ind w:left="1440"/>
        <w:rPr>
          <w:rFonts w:ascii="Times New Roman" w:hAnsi="Times New Roman" w:cs="Times New Roman"/>
        </w:rPr>
      </w:pPr>
    </w:p>
    <w:p w:rsidR="009E41F4" w:rsidP="009E41F4" w14:paraId="13228F29" w14:textId="06330C47">
      <w:pPr>
        <w:pStyle w:val="ListParagraph"/>
        <w:numPr>
          <w:ilvl w:val="1"/>
          <w:numId w:val="15"/>
        </w:numPr>
        <w:spacing w:after="120"/>
        <w:rPr>
          <w:rFonts w:ascii="Times New Roman" w:hAnsi="Times New Roman" w:cs="Times New Roman"/>
        </w:rPr>
      </w:pPr>
      <w:r w:rsidRPr="00A55458">
        <w:rPr>
          <w:rFonts w:ascii="Times New Roman" w:hAnsi="Times New Roman" w:cs="Times New Roman"/>
        </w:rPr>
        <w:t>The Commission has also eliminated Section 27.1203 of the Rules which set forth the EBS educational use requirements.</w:t>
      </w:r>
    </w:p>
    <w:p w:rsidR="00A23AE4" w:rsidP="00745310" w14:paraId="6F6AAD7F" w14:textId="0542658C">
      <w:pPr>
        <w:pStyle w:val="ListParagraph"/>
        <w:spacing w:after="120"/>
        <w:ind w:left="1800"/>
        <w:rPr>
          <w:rFonts w:ascii="Times New Roman" w:hAnsi="Times New Roman" w:cs="Times New Roman"/>
        </w:rPr>
      </w:pPr>
      <w:r>
        <w:rPr>
          <w:rFonts w:ascii="Times New Roman" w:hAnsi="Times New Roman" w:cs="Times New Roman"/>
        </w:rPr>
        <w:t xml:space="preserve"> </w:t>
      </w:r>
    </w:p>
    <w:p w:rsidR="00A23AE4" w:rsidRPr="00A23AE4" w:rsidP="00745310" w14:paraId="5F3E6434" w14:textId="50BE9FDC">
      <w:pPr>
        <w:pStyle w:val="ListParagraph"/>
        <w:numPr>
          <w:ilvl w:val="2"/>
          <w:numId w:val="15"/>
        </w:numPr>
        <w:spacing w:after="120"/>
        <w:rPr>
          <w:rFonts w:ascii="Times New Roman" w:hAnsi="Times New Roman" w:cs="Times New Roman"/>
        </w:rPr>
      </w:pPr>
      <w:r w:rsidRPr="00745310">
        <w:rPr>
          <w:rFonts w:ascii="Times New Roman" w:hAnsi="Times New Roman" w:cs="Times New Roman"/>
        </w:rPr>
        <w:t xml:space="preserve">Licensees holding licenses in the 2.5 GHz band, whether obtained before or after the adoption of the </w:t>
      </w:r>
      <w:r w:rsidRPr="00745310">
        <w:rPr>
          <w:rFonts w:ascii="Times New Roman" w:hAnsi="Times New Roman" w:cs="Times New Roman"/>
          <w:i/>
        </w:rPr>
        <w:t>Report and Order</w:t>
      </w:r>
      <w:r w:rsidRPr="00745310">
        <w:rPr>
          <w:rFonts w:ascii="Times New Roman" w:hAnsi="Times New Roman" w:cs="Times New Roman"/>
        </w:rPr>
        <w:t>, will not be required to use these licenses to fulfill an educational mission, although they are still permitted to do so.</w:t>
      </w:r>
    </w:p>
    <w:p w:rsidR="009E41F4" w:rsidRPr="009E41F4" w:rsidP="009E41F4" w14:paraId="2FDAE586" w14:textId="77777777">
      <w:pPr>
        <w:pStyle w:val="ListParagraph"/>
        <w:spacing w:after="120"/>
        <w:rPr>
          <w:rFonts w:ascii="Times New Roman" w:hAnsi="Times New Roman" w:cs="Times New Roman"/>
        </w:rPr>
      </w:pPr>
    </w:p>
    <w:p w:rsidR="00BA0E43" w:rsidP="009E41F4" w14:paraId="196363C1" w14:textId="340EE591">
      <w:pPr>
        <w:pStyle w:val="ListParagraph"/>
        <w:numPr>
          <w:ilvl w:val="1"/>
          <w:numId w:val="15"/>
        </w:numPr>
        <w:spacing w:after="120"/>
        <w:rPr>
          <w:rFonts w:ascii="Times New Roman" w:hAnsi="Times New Roman" w:cs="Times New Roman"/>
        </w:rPr>
      </w:pPr>
      <w:r w:rsidRPr="009E41F4">
        <w:rPr>
          <w:rFonts w:ascii="Times New Roman" w:hAnsi="Times New Roman" w:cs="Times New Roman"/>
        </w:rPr>
        <w:t>The Commission has revised Sections 1.9020</w:t>
      </w:r>
      <w:r w:rsidR="008023D6">
        <w:rPr>
          <w:rFonts w:ascii="Times New Roman" w:hAnsi="Times New Roman" w:cs="Times New Roman"/>
        </w:rPr>
        <w:t>,</w:t>
      </w:r>
      <w:r w:rsidRPr="009E41F4">
        <w:rPr>
          <w:rFonts w:ascii="Times New Roman" w:hAnsi="Times New Roman" w:cs="Times New Roman"/>
        </w:rPr>
        <w:t xml:space="preserve"> 1.9030</w:t>
      </w:r>
      <w:r w:rsidR="008023D6">
        <w:rPr>
          <w:rFonts w:ascii="Times New Roman" w:hAnsi="Times New Roman" w:cs="Times New Roman"/>
        </w:rPr>
        <w:t>, and 27.1214</w:t>
      </w:r>
      <w:r w:rsidRPr="009E41F4">
        <w:rPr>
          <w:rFonts w:ascii="Times New Roman" w:hAnsi="Times New Roman" w:cs="Times New Roman"/>
        </w:rPr>
        <w:t xml:space="preserve"> of its Rules and eliminated Section 1.9047 of its Rules </w:t>
      </w:r>
      <w:r w:rsidR="008023D6">
        <w:rPr>
          <w:rFonts w:ascii="Times New Roman" w:hAnsi="Times New Roman" w:cs="Times New Roman"/>
        </w:rPr>
        <w:t xml:space="preserve">to </w:t>
      </w:r>
      <w:r w:rsidR="00413366">
        <w:rPr>
          <w:rFonts w:ascii="Times New Roman" w:hAnsi="Times New Roman" w:cs="Times New Roman"/>
        </w:rPr>
        <w:t>r</w:t>
      </w:r>
      <w:r w:rsidR="008023D6">
        <w:rPr>
          <w:rFonts w:ascii="Times New Roman" w:hAnsi="Times New Roman" w:cs="Times New Roman"/>
        </w:rPr>
        <w:t>e</w:t>
      </w:r>
      <w:r w:rsidR="00413366">
        <w:rPr>
          <w:rFonts w:ascii="Times New Roman" w:hAnsi="Times New Roman" w:cs="Times New Roman"/>
        </w:rPr>
        <w:t>move</w:t>
      </w:r>
      <w:r w:rsidR="008023D6">
        <w:rPr>
          <w:rFonts w:ascii="Times New Roman" w:hAnsi="Times New Roman" w:cs="Times New Roman"/>
        </w:rPr>
        <w:t xml:space="preserve"> </w:t>
      </w:r>
      <w:r w:rsidRPr="009E41F4">
        <w:rPr>
          <w:rFonts w:ascii="Times New Roman" w:hAnsi="Times New Roman" w:cs="Times New Roman"/>
        </w:rPr>
        <w:t xml:space="preserve">restrictions on </w:t>
      </w:r>
      <w:r w:rsidR="00413366">
        <w:rPr>
          <w:rFonts w:ascii="Times New Roman" w:hAnsi="Times New Roman" w:cs="Times New Roman"/>
        </w:rPr>
        <w:t xml:space="preserve">the </w:t>
      </w:r>
      <w:r w:rsidRPr="009E41F4">
        <w:rPr>
          <w:rFonts w:ascii="Times New Roman" w:hAnsi="Times New Roman" w:cs="Times New Roman"/>
        </w:rPr>
        <w:t>leasing of EBS licenses.</w:t>
      </w:r>
    </w:p>
    <w:p w:rsidR="0056612D" w:rsidP="00745310" w14:paraId="0FB2673D" w14:textId="1577B239">
      <w:pPr>
        <w:pStyle w:val="ListParagraph"/>
        <w:spacing w:after="120"/>
        <w:ind w:left="1800"/>
        <w:rPr>
          <w:rFonts w:ascii="Times New Roman" w:hAnsi="Times New Roman" w:cs="Times New Roman"/>
        </w:rPr>
      </w:pPr>
      <w:r>
        <w:rPr>
          <w:rFonts w:ascii="Times New Roman" w:hAnsi="Times New Roman" w:cs="Times New Roman"/>
        </w:rPr>
        <w:t xml:space="preserve"> </w:t>
      </w:r>
    </w:p>
    <w:p w:rsidR="0056612D" w:rsidP="0056612D" w14:paraId="2BFCE32A" w14:textId="1543D8C6">
      <w:pPr>
        <w:pStyle w:val="ListParagraph"/>
        <w:numPr>
          <w:ilvl w:val="2"/>
          <w:numId w:val="15"/>
        </w:numPr>
        <w:spacing w:after="120"/>
        <w:rPr>
          <w:rFonts w:ascii="Times New Roman" w:hAnsi="Times New Roman" w:cs="Times New Roman"/>
        </w:rPr>
      </w:pPr>
      <w:r w:rsidRPr="0056612D">
        <w:rPr>
          <w:rFonts w:ascii="Times New Roman" w:hAnsi="Times New Roman" w:cs="Times New Roman"/>
        </w:rPr>
        <w:t>§</w:t>
      </w:r>
      <w:r w:rsidR="00B53205">
        <w:rPr>
          <w:rFonts w:ascii="Times New Roman" w:hAnsi="Times New Roman" w:cs="Times New Roman"/>
        </w:rPr>
        <w:t xml:space="preserve"> </w:t>
      </w:r>
      <w:r w:rsidRPr="0056612D">
        <w:rPr>
          <w:rFonts w:ascii="Times New Roman" w:hAnsi="Times New Roman" w:cs="Times New Roman"/>
        </w:rPr>
        <w:t>1.9020 &amp; 1.9030</w:t>
      </w:r>
      <w:r w:rsidR="00070436">
        <w:rPr>
          <w:rFonts w:ascii="Times New Roman" w:hAnsi="Times New Roman" w:cs="Times New Roman"/>
        </w:rPr>
        <w:t xml:space="preserve"> -</w:t>
      </w:r>
      <w:r w:rsidRPr="0056612D">
        <w:rPr>
          <w:rFonts w:ascii="Times New Roman" w:hAnsi="Times New Roman" w:cs="Times New Roman"/>
        </w:rPr>
        <w:t xml:space="preserve"> </w:t>
      </w:r>
      <w:r w:rsidR="00352B53">
        <w:rPr>
          <w:rFonts w:ascii="Times New Roman" w:hAnsi="Times New Roman" w:cs="Times New Roman"/>
        </w:rPr>
        <w:t>S</w:t>
      </w:r>
      <w:r w:rsidRPr="0056612D">
        <w:rPr>
          <w:rFonts w:ascii="Times New Roman" w:hAnsi="Times New Roman" w:cs="Times New Roman"/>
        </w:rPr>
        <w:t>pectrum lessee</w:t>
      </w:r>
      <w:r w:rsidR="00352B53">
        <w:rPr>
          <w:rFonts w:ascii="Times New Roman" w:hAnsi="Times New Roman" w:cs="Times New Roman"/>
        </w:rPr>
        <w:t>s</w:t>
      </w:r>
      <w:r w:rsidRPr="0056612D">
        <w:rPr>
          <w:rFonts w:ascii="Times New Roman" w:hAnsi="Times New Roman" w:cs="Times New Roman"/>
        </w:rPr>
        <w:t xml:space="preserve"> entering into a spectrum leasing arrangement involving a</w:t>
      </w:r>
      <w:r w:rsidR="00070436">
        <w:rPr>
          <w:rFonts w:ascii="Times New Roman" w:hAnsi="Times New Roman" w:cs="Times New Roman"/>
        </w:rPr>
        <w:t>n</w:t>
      </w:r>
      <w:r w:rsidRPr="0056612D">
        <w:rPr>
          <w:rFonts w:ascii="Times New Roman" w:hAnsi="Times New Roman" w:cs="Times New Roman"/>
        </w:rPr>
        <w:t xml:space="preserve"> EBS licensee </w:t>
      </w:r>
      <w:r w:rsidR="00352B53">
        <w:rPr>
          <w:rFonts w:ascii="Times New Roman" w:hAnsi="Times New Roman" w:cs="Times New Roman"/>
        </w:rPr>
        <w:t>are</w:t>
      </w:r>
      <w:r w:rsidRPr="0056612D">
        <w:rPr>
          <w:rFonts w:ascii="Times New Roman" w:hAnsi="Times New Roman" w:cs="Times New Roman"/>
        </w:rPr>
        <w:t xml:space="preserve"> no longer required to comply with the eligibility requirements that pertained to such a licensee and that have been eliminated</w:t>
      </w:r>
      <w:r w:rsidR="00352B53">
        <w:rPr>
          <w:rFonts w:ascii="Times New Roman" w:hAnsi="Times New Roman" w:cs="Times New Roman"/>
        </w:rPr>
        <w:t xml:space="preserve"> in the </w:t>
      </w:r>
      <w:r w:rsidR="00352B53">
        <w:rPr>
          <w:rFonts w:ascii="Times New Roman" w:hAnsi="Times New Roman" w:cs="Times New Roman"/>
          <w:i/>
          <w:iCs/>
        </w:rPr>
        <w:t>Report and Order</w:t>
      </w:r>
      <w:r w:rsidRPr="0056612D">
        <w:rPr>
          <w:rFonts w:ascii="Times New Roman" w:hAnsi="Times New Roman" w:cs="Times New Roman"/>
        </w:rPr>
        <w:t>.</w:t>
      </w:r>
      <w:r>
        <w:rPr>
          <w:rFonts w:ascii="Times New Roman" w:hAnsi="Times New Roman" w:cs="Times New Roman"/>
        </w:rPr>
        <w:t xml:space="preserve"> </w:t>
      </w:r>
    </w:p>
    <w:p w:rsidR="0056612D" w:rsidP="0056612D" w14:paraId="1D2FE9CA" w14:textId="09182F58">
      <w:pPr>
        <w:pStyle w:val="ListParagraph"/>
        <w:numPr>
          <w:ilvl w:val="2"/>
          <w:numId w:val="15"/>
        </w:numPr>
        <w:spacing w:after="120"/>
        <w:rPr>
          <w:rFonts w:ascii="Times New Roman" w:hAnsi="Times New Roman" w:cs="Times New Roman"/>
        </w:rPr>
      </w:pPr>
      <w:r w:rsidRPr="0056612D">
        <w:rPr>
          <w:rFonts w:ascii="Times New Roman" w:hAnsi="Times New Roman" w:cs="Times New Roman"/>
        </w:rPr>
        <w:t>§</w:t>
      </w:r>
      <w:r>
        <w:rPr>
          <w:rFonts w:ascii="Times New Roman" w:hAnsi="Times New Roman" w:cs="Times New Roman"/>
        </w:rPr>
        <w:t xml:space="preserve"> 27.1214 - </w:t>
      </w:r>
      <w:r w:rsidRPr="00F2198C" w:rsidR="00F2198C">
        <w:rPr>
          <w:rFonts w:ascii="Times New Roman" w:hAnsi="Times New Roman" w:cs="Times New Roman"/>
        </w:rPr>
        <w:t>The revised section maintains provisions applicable for EBS grandfathered leases while deleting all</w:t>
      </w:r>
      <w:r w:rsidR="005F3F70">
        <w:rPr>
          <w:rFonts w:ascii="Times New Roman" w:hAnsi="Times New Roman" w:cs="Times New Roman"/>
        </w:rPr>
        <w:t xml:space="preserve"> other</w:t>
      </w:r>
      <w:r w:rsidRPr="00F2198C" w:rsidR="00F2198C">
        <w:rPr>
          <w:rFonts w:ascii="Times New Roman" w:hAnsi="Times New Roman" w:cs="Times New Roman"/>
        </w:rPr>
        <w:t xml:space="preserve"> provisions.  </w:t>
      </w:r>
    </w:p>
    <w:p w:rsidR="00B3013C" w:rsidP="00745310" w14:paraId="7FDCF099" w14:textId="77777777">
      <w:pPr>
        <w:pStyle w:val="ListParagraph"/>
        <w:spacing w:after="120"/>
        <w:ind w:left="2520"/>
        <w:rPr>
          <w:rFonts w:ascii="Times New Roman" w:hAnsi="Times New Roman" w:cs="Times New Roman"/>
        </w:rPr>
      </w:pPr>
    </w:p>
    <w:p w:rsidR="00F2198C" w:rsidRPr="009E41F4" w:rsidP="00745310" w14:paraId="436D929C" w14:textId="66DFE62A">
      <w:pPr>
        <w:pStyle w:val="ListParagraph"/>
        <w:numPr>
          <w:ilvl w:val="2"/>
          <w:numId w:val="15"/>
        </w:numPr>
        <w:spacing w:after="120"/>
        <w:rPr>
          <w:rFonts w:ascii="Times New Roman" w:hAnsi="Times New Roman" w:cs="Times New Roman"/>
        </w:rPr>
      </w:pPr>
      <w:r w:rsidRPr="008757A5">
        <w:rPr>
          <w:rFonts w:ascii="Times New Roman" w:hAnsi="Times New Roman" w:cs="Times New Roman"/>
        </w:rPr>
        <w:t>§</w:t>
      </w:r>
      <w:r w:rsidR="00B53205">
        <w:rPr>
          <w:rFonts w:ascii="Times New Roman" w:hAnsi="Times New Roman" w:cs="Times New Roman"/>
        </w:rPr>
        <w:t xml:space="preserve"> </w:t>
      </w:r>
      <w:r w:rsidRPr="008757A5">
        <w:rPr>
          <w:rFonts w:ascii="Times New Roman" w:hAnsi="Times New Roman" w:cs="Times New Roman"/>
        </w:rPr>
        <w:t>1.9047 - EBS Licensees are no longer required to comply with special provisions relating to leases of educational broadband service spectrum.</w:t>
      </w:r>
    </w:p>
    <w:p w:rsidR="00BA0E43" w14:paraId="4430FA73" w14:textId="5658DDC5">
      <w:pPr>
        <w:pStyle w:val="Heading2"/>
      </w:pPr>
      <w:r>
        <w:t>Tribal Priority Filing Window (47 CFR § 27.1204)</w:t>
      </w:r>
      <w:r>
        <w:rPr>
          <w:rStyle w:val="FootnoteReference"/>
        </w:rPr>
        <w:footnoteReference w:id="4"/>
      </w:r>
    </w:p>
    <w:p w:rsidR="00472783" w:rsidP="009E41F4" w14:paraId="5DDAD57F" w14:textId="77777777">
      <w:pPr>
        <w:pStyle w:val="ParaNum"/>
        <w:numPr>
          <w:ilvl w:val="0"/>
          <w:numId w:val="15"/>
        </w:numPr>
      </w:pPr>
      <w:r>
        <w:t>The Commission has adopted a window filing process for new 2.5</w:t>
      </w:r>
      <w:r w:rsidR="00F11E04">
        <w:t xml:space="preserve"> </w:t>
      </w:r>
      <w:r>
        <w:t>GHz licenses over Tribal Lands.</w:t>
      </w:r>
      <w:r>
        <w:t xml:space="preserve">  </w:t>
      </w:r>
    </w:p>
    <w:p w:rsidR="00A55458" w:rsidP="009E41F4" w14:paraId="65712151" w14:textId="1EF4A88C">
      <w:pPr>
        <w:pStyle w:val="ParaNum"/>
        <w:numPr>
          <w:ilvl w:val="0"/>
          <w:numId w:val="15"/>
        </w:numPr>
      </w:pPr>
      <w:r>
        <w:t>T</w:t>
      </w:r>
      <w:r w:rsidRPr="00363480">
        <w:t xml:space="preserve">he Tribal priority window </w:t>
      </w:r>
      <w:r>
        <w:t xml:space="preserve">will open </w:t>
      </w:r>
      <w:r w:rsidRPr="00363480">
        <w:t>before we make unassigned EBS spectrum generally available to all entities through competitive bidding</w:t>
      </w:r>
      <w:r>
        <w:t>.</w:t>
      </w:r>
    </w:p>
    <w:p w:rsidR="00A55458" w:rsidP="009E41F4" w14:paraId="2EBDBBDF" w14:textId="77777777">
      <w:pPr>
        <w:pStyle w:val="ParaNum"/>
        <w:numPr>
          <w:ilvl w:val="0"/>
          <w:numId w:val="15"/>
        </w:numPr>
      </w:pPr>
      <w:r>
        <w:t>Licenses will only be granted for currently unassigned spectrum, although licensees may be granted overlay rights.</w:t>
      </w:r>
    </w:p>
    <w:p w:rsidR="00A55458" w:rsidP="009E41F4" w14:paraId="58CEE722" w14:textId="77777777">
      <w:pPr>
        <w:pStyle w:val="ParaNum"/>
        <w:numPr>
          <w:ilvl w:val="0"/>
          <w:numId w:val="15"/>
        </w:numPr>
      </w:pPr>
      <w:r>
        <w:t>Applicants are limited to federally recognized American Indian tribes or Alaska Native Villages, entities majority owned and controlled by federally recognized American Indian tribes or Alaska Native Villages or consortia comprised only of federally recognized American Indian tribes or Alaska Native Villages.</w:t>
      </w:r>
    </w:p>
    <w:p w:rsidR="00A55458" w:rsidP="009E41F4" w14:paraId="62EBAC49" w14:textId="3A89AD2A">
      <w:pPr>
        <w:pStyle w:val="ParaNum"/>
        <w:numPr>
          <w:ilvl w:val="0"/>
          <w:numId w:val="15"/>
        </w:numPr>
      </w:pPr>
      <w:r>
        <w:t>Applications are limited to Tribal Lands, which is defined to be any Federally recognized Indian Tribe’s reservation, pueblo or colony, including former reservations in Oklahoma, Alaska Native regions established pursuant to the Alaska Native Claims Settlement Act, Indian Allotments, Hawaiian Homelands and any lands designated as Tribal lands pursuant to the designation process contained in Section 54.412 of ou</w:t>
      </w:r>
      <w:r w:rsidR="00AF0D92">
        <w:t>r</w:t>
      </w:r>
      <w:r>
        <w:t xml:space="preserve"> rules prior to July 10, 2019.</w:t>
      </w:r>
    </w:p>
    <w:p w:rsidR="00A55458" w:rsidP="009E41F4" w14:paraId="4A5F75BD" w14:textId="1B1FE240">
      <w:pPr>
        <w:pStyle w:val="ParaNum"/>
        <w:numPr>
          <w:ilvl w:val="0"/>
          <w:numId w:val="15"/>
        </w:numPr>
      </w:pPr>
      <w:r>
        <w:t xml:space="preserve">The Tribal </w:t>
      </w:r>
      <w:r w:rsidR="00C16ABA">
        <w:t>L</w:t>
      </w:r>
      <w:r>
        <w:t>ands must be rural which is defined to be lands that are not part of an urbanized area or urban cluster area with a population equal to or greater than 50,000.</w:t>
      </w:r>
    </w:p>
    <w:p w:rsidR="007254EC" w:rsidP="009E41F4" w14:paraId="10BE2091" w14:textId="2B9F4816">
      <w:pPr>
        <w:pStyle w:val="ParaNum"/>
        <w:numPr>
          <w:ilvl w:val="0"/>
          <w:numId w:val="15"/>
        </w:numPr>
      </w:pPr>
      <w:r>
        <w:t>The applicant must also demonstrate local presence on the Tribal land.</w:t>
      </w:r>
    </w:p>
    <w:p w:rsidR="00472783" w:rsidP="009E41F4" w14:paraId="189D39C1" w14:textId="1C66E7E4">
      <w:pPr>
        <w:pStyle w:val="ParaNum"/>
        <w:numPr>
          <w:ilvl w:val="0"/>
          <w:numId w:val="15"/>
        </w:numPr>
      </w:pPr>
      <w:r w:rsidRPr="00472783">
        <w:t xml:space="preserve">In accordance with the process used by the Commission for competitive bidding and with our notice and comment requirements, the Wireless Telecommunications Bureau </w:t>
      </w:r>
      <w:r w:rsidR="00235B3B">
        <w:t xml:space="preserve">(WTB) </w:t>
      </w:r>
      <w:r w:rsidRPr="00472783">
        <w:t>will announce procedures for the Tribal priority window through one or more Public Notices and other appropriate outreach to potentially eligible Tribal applicants</w:t>
      </w:r>
      <w:r>
        <w:t>.</w:t>
      </w:r>
    </w:p>
    <w:p w:rsidR="00D8167A" w:rsidP="00D8167A" w14:paraId="30008161" w14:textId="5289EC45">
      <w:pPr>
        <w:pStyle w:val="ParaNum"/>
        <w:numPr>
          <w:ilvl w:val="0"/>
          <w:numId w:val="15"/>
        </w:numPr>
      </w:pPr>
      <w:r>
        <w:t xml:space="preserve">The </w:t>
      </w:r>
      <w:r w:rsidRPr="00472783" w:rsidR="009A3F1E">
        <w:t xml:space="preserve">Tribal priority </w:t>
      </w:r>
      <w:r w:rsidR="009A3F1E">
        <w:t xml:space="preserve">filing </w:t>
      </w:r>
      <w:r w:rsidRPr="00472783" w:rsidR="009A3F1E">
        <w:t xml:space="preserve">window </w:t>
      </w:r>
      <w:r w:rsidR="009A3F1E">
        <w:t xml:space="preserve">for applicants opened on February </w:t>
      </w:r>
      <w:r w:rsidR="0089246C">
        <w:t>3</w:t>
      </w:r>
      <w:r w:rsidR="009A3F1E">
        <w:t>, 2020 and will close on August 3, 2020.</w:t>
      </w:r>
      <w:r>
        <w:rPr>
          <w:rStyle w:val="FootnoteReference"/>
        </w:rPr>
        <w:footnoteReference w:id="5"/>
      </w:r>
    </w:p>
    <w:p w:rsidR="00235B3B" w:rsidRPr="007254EC" w:rsidP="009E41F4" w14:paraId="0C3739E8" w14:textId="37C7FCA3">
      <w:pPr>
        <w:pStyle w:val="ParaNum"/>
        <w:numPr>
          <w:ilvl w:val="0"/>
          <w:numId w:val="15"/>
        </w:numPr>
      </w:pPr>
      <w:r>
        <w:t xml:space="preserve">Applicants can access information </w:t>
      </w:r>
      <w:r w:rsidR="00273DEC">
        <w:t>about the Tribal priority filing window</w:t>
      </w:r>
      <w:r>
        <w:rPr>
          <w:rStyle w:val="FootnoteReference"/>
        </w:rPr>
        <w:footnoteReference w:id="6"/>
      </w:r>
      <w:r w:rsidR="00F9502A">
        <w:t xml:space="preserve">, </w:t>
      </w:r>
      <w:r w:rsidR="000F0ABF">
        <w:t>workshops</w:t>
      </w:r>
      <w:r>
        <w:rPr>
          <w:rStyle w:val="FootnoteReference"/>
        </w:rPr>
        <w:footnoteReference w:id="7"/>
      </w:r>
      <w:r w:rsidR="000F0ABF">
        <w:t>, application procedures</w:t>
      </w:r>
      <w:r>
        <w:rPr>
          <w:rStyle w:val="FootnoteReference"/>
        </w:rPr>
        <w:footnoteReference w:id="8"/>
      </w:r>
      <w:r w:rsidR="000F0ABF">
        <w:t xml:space="preserve">, </w:t>
      </w:r>
      <w:r w:rsidR="00273DEC">
        <w:t xml:space="preserve">and other related information </w:t>
      </w:r>
      <w:r>
        <w:t xml:space="preserve">at </w:t>
      </w:r>
      <w:hyperlink r:id="rId8" w:history="1">
        <w:r w:rsidRPr="00AE51A8">
          <w:rPr>
            <w:rStyle w:val="Hyperlink"/>
          </w:rPr>
          <w:t>www.fcc.gov/RuralTribalWindow</w:t>
        </w:r>
      </w:hyperlink>
      <w:r>
        <w:t xml:space="preserve">. </w:t>
      </w:r>
    </w:p>
    <w:p w:rsidR="00B61903" w:rsidP="00B61903" w14:paraId="13A00182" w14:textId="77777777">
      <w:pPr>
        <w:pStyle w:val="Heading2"/>
      </w:pPr>
      <w:r w:rsidRPr="001D36DA">
        <w:t xml:space="preserve">Geographic </w:t>
      </w:r>
      <w:r>
        <w:t xml:space="preserve">Service </w:t>
      </w:r>
      <w:r w:rsidRPr="001D36DA">
        <w:t xml:space="preserve">Area </w:t>
      </w:r>
      <w:r>
        <w:t xml:space="preserve">(GSA) </w:t>
      </w:r>
      <w:r w:rsidRPr="001D36DA">
        <w:t>and the Band Plan for New Licenses</w:t>
      </w:r>
      <w:r>
        <w:t xml:space="preserve"> (47 CFR § 27.1206, 47 CFR § 27.1207)</w:t>
      </w:r>
    </w:p>
    <w:p w:rsidR="00B61903" w:rsidP="00B61903" w14:paraId="7C668BD9" w14:textId="77777777">
      <w:pPr>
        <w:pStyle w:val="ParaNum"/>
        <w:numPr>
          <w:ilvl w:val="0"/>
          <w:numId w:val="20"/>
        </w:numPr>
      </w:pPr>
      <w:r>
        <w:t>Geographic Area (47 CFR § 27.1206)</w:t>
      </w:r>
    </w:p>
    <w:p w:rsidR="00B61903" w:rsidP="00B61903" w14:paraId="051009CF" w14:textId="77777777">
      <w:pPr>
        <w:pStyle w:val="ParaNum"/>
        <w:numPr>
          <w:ilvl w:val="1"/>
          <w:numId w:val="20"/>
        </w:numPr>
      </w:pPr>
      <w:r w:rsidRPr="008A0E37">
        <w:t>For EBS licenses issued in the Tribal Priority Window, the GSA consists of the rural Tribal land (as defined in § 27.1201(b)(2)) specified in the application</w:t>
      </w:r>
      <w:r>
        <w:t>.</w:t>
      </w:r>
    </w:p>
    <w:p w:rsidR="00B61903" w:rsidP="00B61903" w14:paraId="5354F4FC" w14:textId="77777777">
      <w:pPr>
        <w:pStyle w:val="ParaNum"/>
        <w:numPr>
          <w:ilvl w:val="1"/>
          <w:numId w:val="20"/>
        </w:numPr>
      </w:pPr>
      <w:r w:rsidRPr="008A0E37">
        <w:t>For all other new initial licenses issued after April 27, 2020, the GSA is the county for which the license is issued, subject to the exclusion of overlapping, co-channel incumbent GSAs</w:t>
      </w:r>
      <w:r>
        <w:t>.</w:t>
      </w:r>
    </w:p>
    <w:p w:rsidR="00B61903" w:rsidP="00B61903" w14:paraId="7D473685" w14:textId="77777777">
      <w:pPr>
        <w:pStyle w:val="ParaNum"/>
        <w:numPr>
          <w:ilvl w:val="0"/>
          <w:numId w:val="20"/>
        </w:numPr>
      </w:pPr>
      <w:r>
        <w:t xml:space="preserve">Band Plan (47 CFR § 27.1207) </w:t>
      </w:r>
    </w:p>
    <w:p w:rsidR="00B61903" w:rsidP="00B61903" w14:paraId="30037764" w14:textId="77777777">
      <w:pPr>
        <w:pStyle w:val="ParaNum"/>
        <w:numPr>
          <w:ilvl w:val="1"/>
          <w:numId w:val="20"/>
        </w:numPr>
      </w:pPr>
      <w:r w:rsidRPr="00AC7811">
        <w:t xml:space="preserve">The </w:t>
      </w:r>
      <w:r>
        <w:t>B</w:t>
      </w:r>
      <w:r w:rsidRPr="00AC7811">
        <w:t xml:space="preserve">and </w:t>
      </w:r>
      <w:r>
        <w:t>P</w:t>
      </w:r>
      <w:r w:rsidRPr="00AC7811">
        <w:t>lan adopted in the Report and Order include</w:t>
      </w:r>
      <w:r>
        <w:t>s</w:t>
      </w:r>
      <w:r w:rsidRPr="00AC7811">
        <w:t xml:space="preserve"> three overlay licenses</w:t>
      </w:r>
      <w:r>
        <w:t>.</w:t>
      </w:r>
    </w:p>
    <w:p w:rsidR="00B61903" w:rsidP="00B61903" w14:paraId="10080089" w14:textId="77777777">
      <w:pPr>
        <w:pStyle w:val="ParaNum"/>
        <w:numPr>
          <w:ilvl w:val="2"/>
          <w:numId w:val="20"/>
        </w:numPr>
      </w:pPr>
      <w:r>
        <w:t xml:space="preserve">The </w:t>
      </w:r>
      <w:r w:rsidRPr="00AC7811">
        <w:t>first license will include channels A1-A-3, B1-B3, C1-C3 (49.5 MHz)</w:t>
      </w:r>
      <w:r>
        <w:t>.</w:t>
      </w:r>
    </w:p>
    <w:p w:rsidR="00B61903" w:rsidP="00B61903" w14:paraId="1E094D01" w14:textId="77777777">
      <w:pPr>
        <w:pStyle w:val="ParaNum"/>
        <w:numPr>
          <w:ilvl w:val="2"/>
          <w:numId w:val="20"/>
        </w:numPr>
      </w:pPr>
      <w:r>
        <w:t xml:space="preserve">The </w:t>
      </w:r>
      <w:r w:rsidRPr="00AC7811">
        <w:t>second license will include channels D1-D3, the J channels, and channels A4-G4 (50.5 MHZ)</w:t>
      </w:r>
      <w:r>
        <w:t>.</w:t>
      </w:r>
    </w:p>
    <w:p w:rsidR="00B61903" w:rsidRPr="001D36DA" w:rsidP="00B61903" w14:paraId="65DBF2E8" w14:textId="77777777">
      <w:pPr>
        <w:pStyle w:val="ParaNum"/>
        <w:numPr>
          <w:ilvl w:val="2"/>
          <w:numId w:val="20"/>
        </w:numPr>
      </w:pPr>
      <w:r>
        <w:t xml:space="preserve">The </w:t>
      </w:r>
      <w:r w:rsidRPr="00AC7811">
        <w:t>third license channels G1-G3 and the relevant EBS K channels (16.5 megahertz of contiguous spectrum and 1 megahertz of the K channel associated with the G channel group).</w:t>
      </w:r>
    </w:p>
    <w:p w:rsidR="00BA0E43" w:rsidRPr="004620F7" w14:paraId="2541E98E" w14:textId="0DB011DD">
      <w:pPr>
        <w:pStyle w:val="Heading2"/>
      </w:pPr>
      <w:r w:rsidRPr="004620F7">
        <w:t>Competitive Bidding Procedures (47 CFR §</w:t>
      </w:r>
      <w:r w:rsidRPr="004620F7" w:rsidR="00F11E04">
        <w:t>§</w:t>
      </w:r>
      <w:r w:rsidRPr="004620F7">
        <w:t xml:space="preserve"> 27.1217</w:t>
      </w:r>
      <w:r w:rsidRPr="004620F7" w:rsidR="00F11E04">
        <w:t>, 27.1219</w:t>
      </w:r>
      <w:r>
        <w:rPr>
          <w:rStyle w:val="FootnoteReference"/>
        </w:rPr>
        <w:footnoteReference w:id="9"/>
      </w:r>
      <w:r w:rsidRPr="004620F7">
        <w:t>)</w:t>
      </w:r>
    </w:p>
    <w:p w:rsidR="00FE1469" w:rsidRPr="00A175D1" w:rsidP="009E41F4" w14:paraId="6B81A589" w14:textId="4EC4F4A8">
      <w:pPr>
        <w:pStyle w:val="ParaNum"/>
        <w:numPr>
          <w:ilvl w:val="0"/>
          <w:numId w:val="16"/>
        </w:numPr>
      </w:pPr>
      <w:r w:rsidRPr="00A175D1">
        <w:t>Any remaining unassigned EBS spectrum will be made available for commercial use via competitive bidding immediately following the completion of the Tribal priority filing window.</w:t>
      </w:r>
    </w:p>
    <w:p w:rsidR="00A55458" w:rsidP="009E41F4" w14:paraId="3D1673FA" w14:textId="69176547">
      <w:pPr>
        <w:pStyle w:val="ParaNum"/>
        <w:numPr>
          <w:ilvl w:val="0"/>
          <w:numId w:val="16"/>
        </w:numPr>
      </w:pPr>
      <w:r>
        <w:t>The Commission has adopted its Part 1</w:t>
      </w:r>
      <w:r w:rsidR="00FE1469">
        <w:t xml:space="preserve"> </w:t>
      </w:r>
      <w:r>
        <w:t xml:space="preserve">competitive bidding procedures </w:t>
      </w:r>
      <w:r w:rsidRPr="00E5052D" w:rsidR="00E5052D">
        <w:t xml:space="preserve">governing </w:t>
      </w:r>
      <w:r w:rsidR="00E5052D">
        <w:t xml:space="preserve">among other things, </w:t>
      </w:r>
      <w:r w:rsidRPr="00E5052D" w:rsidR="00E5052D">
        <w:t>competitive bidding design</w:t>
      </w:r>
      <w:r w:rsidR="00E5052D">
        <w:t xml:space="preserve">, </w:t>
      </w:r>
      <w:r>
        <w:t>designated entity provisions</w:t>
      </w:r>
      <w:r w:rsidR="000A1EB2">
        <w:t>,</w:t>
      </w:r>
      <w:r>
        <w:t xml:space="preserve"> </w:t>
      </w:r>
      <w:r w:rsidRPr="00E5052D" w:rsidR="00E5052D">
        <w:t>unjust enrichment, application and payment procedures, reporting requirements, and the prohibition on certain communications between auction applicants</w:t>
      </w:r>
      <w:r w:rsidR="00E5052D">
        <w:t xml:space="preserve">, </w:t>
      </w:r>
      <w:r>
        <w:t>for unassigned 2.5 GHz spectrum</w:t>
      </w:r>
      <w:r w:rsidR="000A1EB2">
        <w:t xml:space="preserve"> in the 117.5 MHz formerly known as EBS</w:t>
      </w:r>
      <w:r>
        <w:t>.</w:t>
      </w:r>
    </w:p>
    <w:p w:rsidR="005C1699" w:rsidP="009E41F4" w14:paraId="28CDCA33" w14:textId="043BA81C">
      <w:pPr>
        <w:pStyle w:val="ParaNum"/>
        <w:numPr>
          <w:ilvl w:val="0"/>
          <w:numId w:val="16"/>
        </w:numPr>
      </w:pPr>
      <w:r>
        <w:t>Bidding Credits will be available as follows:</w:t>
      </w:r>
    </w:p>
    <w:p w:rsidR="005C1699" w:rsidP="005C1699" w14:paraId="7FACDD76" w14:textId="3651AA3C">
      <w:pPr>
        <w:pStyle w:val="ParaNum"/>
        <w:numPr>
          <w:ilvl w:val="1"/>
          <w:numId w:val="16"/>
        </w:numPr>
      </w:pPr>
      <w:r>
        <w:t>A q</w:t>
      </w:r>
      <w:r w:rsidRPr="005C1699">
        <w:t xml:space="preserve">ualifying “small business” </w:t>
      </w:r>
      <w:r>
        <w:t xml:space="preserve">or a consortium of “small businesses” </w:t>
      </w:r>
      <w:r w:rsidRPr="005C1699">
        <w:t>– those with gross revenues for the preceding five years not exceeding $55 million – will be provided with a bidding credit of 15%</w:t>
      </w:r>
      <w:r>
        <w:t>.</w:t>
      </w:r>
    </w:p>
    <w:p w:rsidR="005C1699" w:rsidP="005C1699" w14:paraId="17CAAAD6" w14:textId="472CB4AD">
      <w:pPr>
        <w:pStyle w:val="ParaNum"/>
        <w:numPr>
          <w:ilvl w:val="1"/>
          <w:numId w:val="16"/>
        </w:numPr>
      </w:pPr>
      <w:r>
        <w:t xml:space="preserve">A qualifying </w:t>
      </w:r>
      <w:r w:rsidRPr="005C1699">
        <w:t>“very small businesses”</w:t>
      </w:r>
      <w:r w:rsidR="00023E37">
        <w:t xml:space="preserve"> or a consortium of “very small businesses”</w:t>
      </w:r>
      <w:r w:rsidRPr="005C1699">
        <w:t xml:space="preserve"> – those with average annual gross revenues for the preceding five years not exceeding $20 million – </w:t>
      </w:r>
      <w:r>
        <w:t xml:space="preserve">will be provided </w:t>
      </w:r>
      <w:r w:rsidRPr="005C1699">
        <w:t>with a bidding credit of 25%</w:t>
      </w:r>
      <w:r>
        <w:t xml:space="preserve">. </w:t>
      </w:r>
    </w:p>
    <w:p w:rsidR="00C27C0E" w:rsidRPr="00C27C0E" w:rsidP="00745310" w14:paraId="191C357B" w14:textId="04561E55">
      <w:pPr>
        <w:pStyle w:val="ListParagraph"/>
        <w:numPr>
          <w:ilvl w:val="1"/>
          <w:numId w:val="16"/>
        </w:numPr>
      </w:pPr>
      <w:r w:rsidRPr="00C27C0E">
        <w:rPr>
          <w:rFonts w:ascii="Times New Roman" w:eastAsia="Times New Roman" w:hAnsi="Times New Roman" w:cs="Times New Roman"/>
          <w:snapToGrid w:val="0"/>
          <w:kern w:val="28"/>
          <w:szCs w:val="20"/>
        </w:rPr>
        <w:t xml:space="preserve">A </w:t>
      </w:r>
      <w:r>
        <w:rPr>
          <w:rFonts w:ascii="Times New Roman" w:eastAsia="Times New Roman" w:hAnsi="Times New Roman" w:cs="Times New Roman"/>
          <w:snapToGrid w:val="0"/>
          <w:kern w:val="28"/>
          <w:szCs w:val="20"/>
        </w:rPr>
        <w:t xml:space="preserve">qualifying </w:t>
      </w:r>
      <w:r w:rsidRPr="00C27C0E">
        <w:rPr>
          <w:rFonts w:ascii="Times New Roman" w:eastAsia="Times New Roman" w:hAnsi="Times New Roman" w:cs="Times New Roman"/>
          <w:snapToGrid w:val="0"/>
          <w:kern w:val="28"/>
          <w:szCs w:val="20"/>
        </w:rPr>
        <w:t>rural service provider - who has not claimed a small business bidding credit and who serves predominantly rural areas that have fewer than 250,000 combined wireless, wireline, broadband and cable subscribers - will be provided with a bidding credit of 15%.</w:t>
      </w:r>
    </w:p>
    <w:p w:rsidR="003D226E" w14:paraId="24E92039" w14:textId="44AA9123">
      <w:pPr>
        <w:pStyle w:val="Heading2"/>
      </w:pPr>
      <w:r>
        <w:t>Construction</w:t>
      </w:r>
      <w:r w:rsidR="00BA0E43">
        <w:t xml:space="preserve"> </w:t>
      </w:r>
      <w:r w:rsidR="00F4578C">
        <w:t xml:space="preserve">Performance </w:t>
      </w:r>
      <w:r w:rsidR="00BA0E43">
        <w:t>Requirements</w:t>
      </w:r>
      <w:r>
        <w:t xml:space="preserve"> (47 CFR §</w:t>
      </w:r>
      <w:r w:rsidR="00BA0E43">
        <w:t xml:space="preserve"> 27.14(</w:t>
      </w:r>
      <w:r>
        <w:t>u</w:t>
      </w:r>
      <w:r w:rsidR="00BA0E43">
        <w:t>)</w:t>
      </w:r>
      <w:r>
        <w:t>)</w:t>
      </w:r>
      <w:bookmarkEnd w:id="1"/>
      <w:r>
        <w:rPr>
          <w:rStyle w:val="FootnoteReference"/>
        </w:rPr>
        <w:footnoteReference w:id="10"/>
      </w:r>
    </w:p>
    <w:p w:rsidR="009E41F4" w:rsidRPr="009E41F4" w:rsidP="009E41F4" w14:paraId="2463E537" w14:textId="1C1E55CC">
      <w:pPr>
        <w:pStyle w:val="ListParagraph"/>
        <w:numPr>
          <w:ilvl w:val="0"/>
          <w:numId w:val="17"/>
        </w:numPr>
        <w:spacing w:after="120" w:line="240" w:lineRule="auto"/>
        <w:rPr>
          <w:rFonts w:ascii="Times New Roman" w:eastAsia="Times New Roman" w:hAnsi="Times New Roman" w:cs="Times New Roman"/>
          <w:snapToGrid w:val="0"/>
          <w:kern w:val="28"/>
          <w:szCs w:val="20"/>
        </w:rPr>
      </w:pPr>
      <w:r w:rsidRPr="009E41F4">
        <w:rPr>
          <w:rFonts w:ascii="Times New Roman" w:hAnsi="Times New Roman" w:cs="Times New Roman"/>
        </w:rPr>
        <w:t xml:space="preserve">The </w:t>
      </w:r>
      <w:r w:rsidRPr="009E41F4">
        <w:rPr>
          <w:rFonts w:ascii="Times New Roman" w:hAnsi="Times New Roman" w:cs="Times New Roman"/>
          <w:i/>
        </w:rPr>
        <w:t>Report and Order</w:t>
      </w:r>
      <w:r w:rsidRPr="009E41F4">
        <w:rPr>
          <w:rFonts w:ascii="Times New Roman" w:hAnsi="Times New Roman" w:cs="Times New Roman"/>
        </w:rPr>
        <w:t xml:space="preserve"> maintains the existing </w:t>
      </w:r>
      <w:r w:rsidRPr="009E41F4" w:rsidR="00041D43">
        <w:rPr>
          <w:rFonts w:ascii="Times New Roman" w:hAnsi="Times New Roman" w:cs="Times New Roman"/>
        </w:rPr>
        <w:t xml:space="preserve">construction requirements for Broadband Radio Service (BRS) licenses and for EBS licenses issued prior to </w:t>
      </w:r>
      <w:r w:rsidR="00B71873">
        <w:rPr>
          <w:rFonts w:ascii="Times New Roman" w:hAnsi="Times New Roman" w:cs="Times New Roman"/>
        </w:rPr>
        <w:t>October 25, 2019</w:t>
      </w:r>
      <w:r w:rsidRPr="009E41F4" w:rsidR="00041D43">
        <w:rPr>
          <w:rFonts w:ascii="Times New Roman" w:hAnsi="Times New Roman" w:cs="Times New Roman"/>
        </w:rPr>
        <w:t>.</w:t>
      </w:r>
    </w:p>
    <w:p w:rsidR="009E41F4" w:rsidRPr="009E41F4" w:rsidP="009E41F4" w14:paraId="3B309418" w14:textId="77777777">
      <w:pPr>
        <w:pStyle w:val="ListParagraph"/>
        <w:spacing w:after="120" w:line="240" w:lineRule="auto"/>
        <w:rPr>
          <w:rFonts w:ascii="Times New Roman" w:eastAsia="Times New Roman" w:hAnsi="Times New Roman" w:cs="Times New Roman"/>
          <w:snapToGrid w:val="0"/>
          <w:kern w:val="28"/>
          <w:szCs w:val="20"/>
        </w:rPr>
      </w:pPr>
    </w:p>
    <w:p w:rsidR="009E41F4" w:rsidRPr="009E41F4" w:rsidP="009E41F4" w14:paraId="3F8DDF50" w14:textId="7E422632">
      <w:pPr>
        <w:pStyle w:val="ListParagraph"/>
        <w:numPr>
          <w:ilvl w:val="0"/>
          <w:numId w:val="17"/>
        </w:numPr>
        <w:spacing w:after="120" w:line="240" w:lineRule="auto"/>
        <w:rPr>
          <w:rFonts w:ascii="Times New Roman" w:eastAsia="Times New Roman" w:hAnsi="Times New Roman" w:cs="Times New Roman"/>
          <w:snapToGrid w:val="0"/>
          <w:kern w:val="28"/>
          <w:szCs w:val="20"/>
        </w:rPr>
      </w:pPr>
      <w:r w:rsidRPr="009E41F4">
        <w:rPr>
          <w:rFonts w:ascii="Times New Roman" w:hAnsi="Times New Roman" w:cs="Times New Roman"/>
        </w:rPr>
        <w:t xml:space="preserve">For new licenses issued after </w:t>
      </w:r>
      <w:r w:rsidR="00B71873">
        <w:rPr>
          <w:rFonts w:ascii="Times New Roman" w:hAnsi="Times New Roman" w:cs="Times New Roman"/>
        </w:rPr>
        <w:t xml:space="preserve">October 25, 2019, </w:t>
      </w:r>
      <w:r w:rsidRPr="009E41F4">
        <w:rPr>
          <w:rFonts w:ascii="Times New Roman" w:hAnsi="Times New Roman" w:cs="Times New Roman"/>
        </w:rPr>
        <w:t xml:space="preserve">pursuant to the Tribal Priority Window, such licensees providing mobile or point-to-multipoint service must make an interim showing within two years of license grant demonstrating reliable signal coverage of 50 percent of the population of the geographic service area, and </w:t>
      </w:r>
      <w:r w:rsidR="00FB381A">
        <w:rPr>
          <w:rFonts w:ascii="Times New Roman" w:hAnsi="Times New Roman" w:cs="Times New Roman"/>
        </w:rPr>
        <w:t xml:space="preserve">a final showing </w:t>
      </w:r>
      <w:r w:rsidRPr="009E41F4">
        <w:rPr>
          <w:rFonts w:ascii="Times New Roman" w:hAnsi="Times New Roman" w:cs="Times New Roman"/>
        </w:rPr>
        <w:t>to 80 percent within five years.</w:t>
      </w:r>
    </w:p>
    <w:p w:rsidR="009E41F4" w:rsidRPr="009E41F4" w:rsidP="009E41F4" w14:paraId="237E3CFA" w14:textId="77777777">
      <w:pPr>
        <w:pStyle w:val="ListParagraph"/>
        <w:spacing w:after="120" w:line="240" w:lineRule="auto"/>
        <w:rPr>
          <w:rFonts w:ascii="Times New Roman" w:eastAsia="Times New Roman" w:hAnsi="Times New Roman" w:cs="Times New Roman"/>
          <w:snapToGrid w:val="0"/>
          <w:kern w:val="28"/>
          <w:szCs w:val="20"/>
        </w:rPr>
      </w:pPr>
    </w:p>
    <w:p w:rsidR="009E41F4" w:rsidP="009E41F4" w14:paraId="3C33CF16" w14:textId="067BD092">
      <w:pPr>
        <w:pStyle w:val="ListParagraph"/>
        <w:numPr>
          <w:ilvl w:val="1"/>
          <w:numId w:val="17"/>
        </w:numPr>
        <w:spacing w:after="120" w:line="240" w:lineRule="auto"/>
        <w:rPr>
          <w:rFonts w:ascii="Times New Roman" w:eastAsia="Times New Roman" w:hAnsi="Times New Roman" w:cs="Times New Roman"/>
          <w:snapToGrid w:val="0"/>
          <w:kern w:val="28"/>
          <w:szCs w:val="20"/>
        </w:rPr>
      </w:pPr>
      <w:r w:rsidRPr="009E41F4">
        <w:rPr>
          <w:rFonts w:ascii="Times New Roman" w:hAnsi="Times New Roman" w:cs="Times New Roman"/>
        </w:rPr>
        <w:t>Such licensees providing</w:t>
      </w:r>
      <w:r w:rsidRPr="009E41F4">
        <w:rPr>
          <w:rFonts w:ascii="Times New Roman" w:eastAsia="Times New Roman" w:hAnsi="Times New Roman" w:cs="Times New Roman"/>
          <w:snapToGrid w:val="0"/>
          <w:kern w:val="28"/>
          <w:szCs w:val="20"/>
        </w:rPr>
        <w:t xml:space="preserve"> fixed point-to-point service must </w:t>
      </w:r>
      <w:r w:rsidR="00FB381A">
        <w:rPr>
          <w:rFonts w:ascii="Times New Roman" w:eastAsia="Times New Roman" w:hAnsi="Times New Roman" w:cs="Times New Roman"/>
          <w:snapToGrid w:val="0"/>
          <w:kern w:val="28"/>
          <w:szCs w:val="20"/>
        </w:rPr>
        <w:t xml:space="preserve">make an interim showing of </w:t>
      </w:r>
      <w:r w:rsidRPr="009E41F4">
        <w:rPr>
          <w:rFonts w:ascii="Times New Roman" w:eastAsia="Times New Roman" w:hAnsi="Times New Roman" w:cs="Times New Roman"/>
          <w:snapToGrid w:val="0"/>
          <w:kern w:val="28"/>
          <w:szCs w:val="20"/>
        </w:rPr>
        <w:t xml:space="preserve">operation of one link for each 50,000 persons in the geographic service area within two years of initial license grant, and </w:t>
      </w:r>
      <w:r w:rsidR="00FB381A">
        <w:rPr>
          <w:rFonts w:ascii="Times New Roman" w:eastAsia="Times New Roman" w:hAnsi="Times New Roman" w:cs="Times New Roman"/>
          <w:snapToGrid w:val="0"/>
          <w:kern w:val="28"/>
          <w:szCs w:val="20"/>
        </w:rPr>
        <w:t xml:space="preserve">a final showing of operation of </w:t>
      </w:r>
      <w:r w:rsidRPr="009E41F4">
        <w:rPr>
          <w:rFonts w:ascii="Times New Roman" w:eastAsia="Times New Roman" w:hAnsi="Times New Roman" w:cs="Times New Roman"/>
          <w:snapToGrid w:val="0"/>
          <w:kern w:val="28"/>
          <w:szCs w:val="20"/>
        </w:rPr>
        <w:t>one link for each 25,000 persons in the geographic service area within five years of initial license grant.</w:t>
      </w:r>
    </w:p>
    <w:p w:rsidR="009E41F4" w:rsidP="009E41F4" w14:paraId="120E399C" w14:textId="77777777">
      <w:pPr>
        <w:pStyle w:val="ListParagraph"/>
        <w:spacing w:after="120" w:line="240" w:lineRule="auto"/>
        <w:ind w:left="1440"/>
        <w:rPr>
          <w:rFonts w:ascii="Times New Roman" w:eastAsia="Times New Roman" w:hAnsi="Times New Roman" w:cs="Times New Roman"/>
          <w:snapToGrid w:val="0"/>
          <w:kern w:val="28"/>
          <w:szCs w:val="20"/>
        </w:rPr>
      </w:pPr>
    </w:p>
    <w:p w:rsidR="009E41F4" w:rsidRPr="009E41F4" w:rsidP="009E41F4" w14:paraId="0CFFA5D3" w14:textId="11D7E385">
      <w:pPr>
        <w:pStyle w:val="ListParagraph"/>
        <w:numPr>
          <w:ilvl w:val="1"/>
          <w:numId w:val="17"/>
        </w:numPr>
        <w:spacing w:after="120" w:line="240" w:lineRule="auto"/>
        <w:rPr>
          <w:rFonts w:ascii="Times New Roman" w:eastAsia="Times New Roman" w:hAnsi="Times New Roman" w:cs="Times New Roman"/>
          <w:snapToGrid w:val="0"/>
          <w:kern w:val="28"/>
          <w:szCs w:val="20"/>
        </w:rPr>
      </w:pPr>
      <w:r w:rsidRPr="009E41F4">
        <w:rPr>
          <w:rFonts w:ascii="Times New Roman" w:eastAsia="Times New Roman" w:hAnsi="Times New Roman" w:cs="Times New Roman"/>
          <w:snapToGrid w:val="0"/>
          <w:kern w:val="28"/>
          <w:szCs w:val="20"/>
        </w:rPr>
        <w:t>Licensees that do not meet their interim requirement will have the</w:t>
      </w:r>
      <w:r w:rsidR="00FB381A">
        <w:rPr>
          <w:rFonts w:ascii="Times New Roman" w:eastAsia="Times New Roman" w:hAnsi="Times New Roman" w:cs="Times New Roman"/>
          <w:snapToGrid w:val="0"/>
          <w:kern w:val="28"/>
          <w:szCs w:val="20"/>
        </w:rPr>
        <w:t xml:space="preserve"> deadline for their </w:t>
      </w:r>
      <w:r w:rsidRPr="009E41F4">
        <w:rPr>
          <w:rFonts w:ascii="Times New Roman" w:eastAsia="Times New Roman" w:hAnsi="Times New Roman" w:cs="Times New Roman"/>
          <w:snapToGrid w:val="0"/>
          <w:kern w:val="28"/>
          <w:szCs w:val="20"/>
        </w:rPr>
        <w:t xml:space="preserve">final </w:t>
      </w:r>
      <w:r w:rsidR="00FB381A">
        <w:rPr>
          <w:rFonts w:ascii="Times New Roman" w:eastAsia="Times New Roman" w:hAnsi="Times New Roman" w:cs="Times New Roman"/>
          <w:snapToGrid w:val="0"/>
          <w:kern w:val="28"/>
          <w:szCs w:val="20"/>
        </w:rPr>
        <w:t xml:space="preserve">showing </w:t>
      </w:r>
      <w:r w:rsidRPr="009E41F4">
        <w:rPr>
          <w:rFonts w:ascii="Times New Roman" w:eastAsia="Times New Roman" w:hAnsi="Times New Roman" w:cs="Times New Roman"/>
          <w:snapToGrid w:val="0"/>
          <w:kern w:val="28"/>
          <w:szCs w:val="20"/>
        </w:rPr>
        <w:t>advanced by one year.</w:t>
      </w:r>
    </w:p>
    <w:p w:rsidR="009E41F4" w:rsidP="009E41F4" w14:paraId="2D1A48A1" w14:textId="77777777">
      <w:pPr>
        <w:pStyle w:val="ListParagraph"/>
        <w:spacing w:after="120" w:line="240" w:lineRule="auto"/>
        <w:rPr>
          <w:rFonts w:ascii="Times New Roman" w:eastAsia="Times New Roman" w:hAnsi="Times New Roman" w:cs="Times New Roman"/>
          <w:snapToGrid w:val="0"/>
          <w:kern w:val="28"/>
          <w:szCs w:val="20"/>
        </w:rPr>
      </w:pPr>
    </w:p>
    <w:p w:rsidR="009E41F4" w:rsidRPr="009E41F4" w:rsidP="009E41F4" w14:paraId="351A876A" w14:textId="04358619">
      <w:pPr>
        <w:pStyle w:val="ListParagraph"/>
        <w:numPr>
          <w:ilvl w:val="0"/>
          <w:numId w:val="17"/>
        </w:numPr>
        <w:spacing w:after="120" w:line="240" w:lineRule="auto"/>
        <w:rPr>
          <w:rFonts w:ascii="Times New Roman" w:eastAsia="Times New Roman" w:hAnsi="Times New Roman" w:cs="Times New Roman"/>
          <w:snapToGrid w:val="0"/>
          <w:kern w:val="28"/>
          <w:szCs w:val="20"/>
        </w:rPr>
      </w:pPr>
      <w:r w:rsidRPr="009E41F4">
        <w:rPr>
          <w:rFonts w:ascii="Times New Roman" w:eastAsia="Times New Roman" w:hAnsi="Times New Roman" w:cs="Times New Roman"/>
          <w:snapToGrid w:val="0"/>
          <w:kern w:val="28"/>
          <w:szCs w:val="20"/>
        </w:rPr>
        <w:t xml:space="preserve">For new licenses issued after </w:t>
      </w:r>
      <w:r w:rsidR="00B71873">
        <w:rPr>
          <w:rFonts w:ascii="Times New Roman" w:eastAsia="Times New Roman" w:hAnsi="Times New Roman" w:cs="Times New Roman"/>
          <w:snapToGrid w:val="0"/>
          <w:kern w:val="28"/>
          <w:szCs w:val="20"/>
        </w:rPr>
        <w:t>October 25, 2019,</w:t>
      </w:r>
      <w:r w:rsidRPr="009E41F4">
        <w:rPr>
          <w:rFonts w:ascii="Times New Roman" w:eastAsia="Times New Roman" w:hAnsi="Times New Roman" w:cs="Times New Roman"/>
          <w:snapToGrid w:val="0"/>
          <w:kern w:val="28"/>
          <w:szCs w:val="20"/>
        </w:rPr>
        <w:t xml:space="preserve"> </w:t>
      </w:r>
      <w:r w:rsidR="00F57DF7">
        <w:rPr>
          <w:rFonts w:ascii="Times New Roman" w:eastAsia="Times New Roman" w:hAnsi="Times New Roman" w:cs="Times New Roman"/>
          <w:snapToGrid w:val="0"/>
          <w:kern w:val="28"/>
          <w:szCs w:val="20"/>
        </w:rPr>
        <w:t>other than licenses issued in the Tribal Priority Window</w:t>
      </w:r>
      <w:r w:rsidRPr="009E41F4">
        <w:rPr>
          <w:rFonts w:ascii="Times New Roman" w:eastAsia="Times New Roman" w:hAnsi="Times New Roman" w:cs="Times New Roman"/>
          <w:snapToGrid w:val="0"/>
          <w:kern w:val="28"/>
          <w:szCs w:val="20"/>
        </w:rPr>
        <w:t xml:space="preserve">, </w:t>
      </w:r>
      <w:r w:rsidRPr="009E41F4">
        <w:rPr>
          <w:rFonts w:ascii="Times New Roman" w:hAnsi="Times New Roman" w:cs="Times New Roman"/>
        </w:rPr>
        <w:t xml:space="preserve">such licensees providing mobile or point-to-multipoint service must make an interim showing within four years of license grant demonstrating reliable signal coverage of 50 percent of the population of the geographic service area, and </w:t>
      </w:r>
      <w:r w:rsidR="00FB381A">
        <w:rPr>
          <w:rFonts w:ascii="Times New Roman" w:hAnsi="Times New Roman" w:cs="Times New Roman"/>
        </w:rPr>
        <w:t xml:space="preserve">a final showing </w:t>
      </w:r>
      <w:r w:rsidRPr="009E41F4">
        <w:rPr>
          <w:rFonts w:ascii="Times New Roman" w:hAnsi="Times New Roman" w:cs="Times New Roman"/>
        </w:rPr>
        <w:t>to 80 percent within eight years.</w:t>
      </w:r>
    </w:p>
    <w:p w:rsidR="009E41F4" w:rsidRPr="009E41F4" w:rsidP="009E41F4" w14:paraId="3C783F8B" w14:textId="77777777">
      <w:pPr>
        <w:pStyle w:val="ListParagraph"/>
        <w:spacing w:after="120" w:line="240" w:lineRule="auto"/>
        <w:rPr>
          <w:rFonts w:ascii="Times New Roman" w:eastAsia="Times New Roman" w:hAnsi="Times New Roman" w:cs="Times New Roman"/>
          <w:snapToGrid w:val="0"/>
          <w:kern w:val="28"/>
          <w:szCs w:val="20"/>
        </w:rPr>
      </w:pPr>
    </w:p>
    <w:p w:rsidR="009E41F4" w:rsidP="009E41F4" w14:paraId="0FA3E02D" w14:textId="146631CB">
      <w:pPr>
        <w:pStyle w:val="ListParagraph"/>
        <w:numPr>
          <w:ilvl w:val="1"/>
          <w:numId w:val="17"/>
        </w:numPr>
        <w:spacing w:after="120" w:line="240" w:lineRule="auto"/>
        <w:rPr>
          <w:rFonts w:ascii="Times New Roman" w:eastAsia="Times New Roman" w:hAnsi="Times New Roman" w:cs="Times New Roman"/>
          <w:snapToGrid w:val="0"/>
          <w:kern w:val="28"/>
          <w:szCs w:val="20"/>
        </w:rPr>
      </w:pPr>
      <w:r w:rsidRPr="009E41F4">
        <w:rPr>
          <w:rFonts w:ascii="Times New Roman" w:hAnsi="Times New Roman" w:cs="Times New Roman"/>
        </w:rPr>
        <w:t xml:space="preserve">Such licensees </w:t>
      </w:r>
      <w:r w:rsidRPr="009E41F4">
        <w:rPr>
          <w:rFonts w:ascii="Times New Roman" w:eastAsia="Times New Roman" w:hAnsi="Times New Roman" w:cs="Times New Roman"/>
          <w:snapToGrid w:val="0"/>
          <w:kern w:val="28"/>
          <w:szCs w:val="20"/>
        </w:rPr>
        <w:t xml:space="preserve">providing fixed point-to-point service must </w:t>
      </w:r>
      <w:r w:rsidR="00FB381A">
        <w:rPr>
          <w:rFonts w:ascii="Times New Roman" w:eastAsia="Times New Roman" w:hAnsi="Times New Roman" w:cs="Times New Roman"/>
          <w:snapToGrid w:val="0"/>
          <w:kern w:val="28"/>
          <w:szCs w:val="20"/>
        </w:rPr>
        <w:t xml:space="preserve">make an interim showing of </w:t>
      </w:r>
      <w:r w:rsidRPr="009E41F4">
        <w:rPr>
          <w:rFonts w:ascii="Times New Roman" w:eastAsia="Times New Roman" w:hAnsi="Times New Roman" w:cs="Times New Roman"/>
          <w:snapToGrid w:val="0"/>
          <w:kern w:val="28"/>
          <w:szCs w:val="20"/>
        </w:rPr>
        <w:t xml:space="preserve">operation of one link for each 50,000 persons in the geographic service area within four years of initial license grant, and </w:t>
      </w:r>
      <w:r w:rsidR="00FB381A">
        <w:rPr>
          <w:rFonts w:ascii="Times New Roman" w:eastAsia="Times New Roman" w:hAnsi="Times New Roman" w:cs="Times New Roman"/>
          <w:snapToGrid w:val="0"/>
          <w:kern w:val="28"/>
          <w:szCs w:val="20"/>
        </w:rPr>
        <w:t xml:space="preserve">a final showing of operation of </w:t>
      </w:r>
      <w:r w:rsidRPr="009E41F4">
        <w:rPr>
          <w:rFonts w:ascii="Times New Roman" w:eastAsia="Times New Roman" w:hAnsi="Times New Roman" w:cs="Times New Roman"/>
          <w:snapToGrid w:val="0"/>
          <w:kern w:val="28"/>
          <w:szCs w:val="20"/>
        </w:rPr>
        <w:t>one link for each 25,000 persons in the geographic service area within eight years of initial license grant.</w:t>
      </w:r>
    </w:p>
    <w:p w:rsidR="009E41F4" w:rsidP="009E41F4" w14:paraId="364D567A" w14:textId="77777777">
      <w:pPr>
        <w:pStyle w:val="ListParagraph"/>
        <w:spacing w:after="120" w:line="240" w:lineRule="auto"/>
        <w:ind w:left="1440"/>
        <w:rPr>
          <w:rFonts w:ascii="Times New Roman" w:eastAsia="Times New Roman" w:hAnsi="Times New Roman" w:cs="Times New Roman"/>
          <w:snapToGrid w:val="0"/>
          <w:kern w:val="28"/>
          <w:szCs w:val="20"/>
        </w:rPr>
      </w:pPr>
    </w:p>
    <w:p w:rsidR="009E41F4" w:rsidRPr="009E41F4" w:rsidP="009E41F4" w14:paraId="7277804A" w14:textId="6901D300">
      <w:pPr>
        <w:pStyle w:val="ListParagraph"/>
        <w:numPr>
          <w:ilvl w:val="1"/>
          <w:numId w:val="17"/>
        </w:numPr>
        <w:spacing w:after="120" w:line="240" w:lineRule="auto"/>
        <w:rPr>
          <w:rFonts w:ascii="Times New Roman" w:eastAsia="Times New Roman" w:hAnsi="Times New Roman" w:cs="Times New Roman"/>
          <w:snapToGrid w:val="0"/>
          <w:kern w:val="28"/>
          <w:szCs w:val="20"/>
        </w:rPr>
      </w:pPr>
      <w:r w:rsidRPr="009E41F4">
        <w:rPr>
          <w:rFonts w:ascii="Times New Roman" w:eastAsia="Times New Roman" w:hAnsi="Times New Roman" w:cs="Times New Roman"/>
          <w:snapToGrid w:val="0"/>
          <w:kern w:val="28"/>
          <w:szCs w:val="20"/>
        </w:rPr>
        <w:t>Licensees that do not meet their interim requirement will have the</w:t>
      </w:r>
      <w:r w:rsidR="00FB381A">
        <w:rPr>
          <w:rFonts w:ascii="Times New Roman" w:eastAsia="Times New Roman" w:hAnsi="Times New Roman" w:cs="Times New Roman"/>
          <w:snapToGrid w:val="0"/>
          <w:kern w:val="28"/>
          <w:szCs w:val="20"/>
        </w:rPr>
        <w:t xml:space="preserve"> deadline for their</w:t>
      </w:r>
      <w:r w:rsidRPr="009E41F4">
        <w:rPr>
          <w:rFonts w:ascii="Times New Roman" w:eastAsia="Times New Roman" w:hAnsi="Times New Roman" w:cs="Times New Roman"/>
          <w:snapToGrid w:val="0"/>
          <w:kern w:val="28"/>
          <w:szCs w:val="20"/>
        </w:rPr>
        <w:t xml:space="preserve"> final </w:t>
      </w:r>
      <w:r w:rsidR="00FB381A">
        <w:rPr>
          <w:rFonts w:ascii="Times New Roman" w:eastAsia="Times New Roman" w:hAnsi="Times New Roman" w:cs="Times New Roman"/>
          <w:snapToGrid w:val="0"/>
          <w:kern w:val="28"/>
          <w:szCs w:val="20"/>
        </w:rPr>
        <w:t xml:space="preserve">showing </w:t>
      </w:r>
      <w:r w:rsidRPr="009E41F4">
        <w:rPr>
          <w:rFonts w:ascii="Times New Roman" w:eastAsia="Times New Roman" w:hAnsi="Times New Roman" w:cs="Times New Roman"/>
          <w:snapToGrid w:val="0"/>
          <w:kern w:val="28"/>
          <w:szCs w:val="20"/>
        </w:rPr>
        <w:t>advanced by two years.</w:t>
      </w:r>
    </w:p>
    <w:p w:rsidR="009E41F4" w:rsidP="009E41F4" w14:paraId="227AAFB8" w14:textId="77777777">
      <w:pPr>
        <w:pStyle w:val="ListParagraph"/>
        <w:spacing w:after="120" w:line="240" w:lineRule="auto"/>
        <w:rPr>
          <w:rFonts w:ascii="Times New Roman" w:eastAsia="Times New Roman" w:hAnsi="Times New Roman" w:cs="Times New Roman"/>
          <w:snapToGrid w:val="0"/>
          <w:kern w:val="28"/>
          <w:szCs w:val="20"/>
        </w:rPr>
      </w:pPr>
    </w:p>
    <w:p w:rsidR="009E41F4" w:rsidRPr="0025140C" w:rsidP="00745310" w14:paraId="57A6E9E8" w14:textId="6BEA5439">
      <w:pPr>
        <w:pStyle w:val="ListParagraph"/>
        <w:numPr>
          <w:ilvl w:val="0"/>
          <w:numId w:val="17"/>
        </w:numPr>
        <w:spacing w:after="120" w:line="240" w:lineRule="auto"/>
        <w:rPr>
          <w:rFonts w:ascii="Times New Roman" w:eastAsia="Times New Roman" w:hAnsi="Times New Roman" w:cs="Times New Roman"/>
          <w:snapToGrid w:val="0"/>
          <w:kern w:val="28"/>
          <w:szCs w:val="20"/>
        </w:rPr>
      </w:pPr>
      <w:r w:rsidRPr="0025140C">
        <w:rPr>
          <w:rFonts w:ascii="Times New Roman" w:eastAsia="Times New Roman" w:hAnsi="Times New Roman" w:cs="Times New Roman"/>
          <w:snapToGrid w:val="0"/>
          <w:kern w:val="28"/>
          <w:szCs w:val="20"/>
        </w:rPr>
        <w:t xml:space="preserve">Licenses will automatically </w:t>
      </w:r>
      <w:r w:rsidRPr="0025140C" w:rsidR="00A078A5">
        <w:rPr>
          <w:rFonts w:ascii="Times New Roman" w:eastAsia="Times New Roman" w:hAnsi="Times New Roman" w:cs="Times New Roman"/>
          <w:snapToGrid w:val="0"/>
          <w:kern w:val="28"/>
          <w:szCs w:val="20"/>
        </w:rPr>
        <w:t xml:space="preserve">terminate without Commission action </w:t>
      </w:r>
      <w:r w:rsidRPr="0025140C">
        <w:rPr>
          <w:rFonts w:ascii="Times New Roman" w:eastAsia="Times New Roman" w:hAnsi="Times New Roman" w:cs="Times New Roman"/>
          <w:snapToGrid w:val="0"/>
          <w:kern w:val="28"/>
          <w:szCs w:val="20"/>
        </w:rPr>
        <w:t>if l</w:t>
      </w:r>
      <w:r w:rsidRPr="0025140C" w:rsidR="00041D43">
        <w:rPr>
          <w:rFonts w:ascii="Times New Roman" w:eastAsia="Times New Roman" w:hAnsi="Times New Roman" w:cs="Times New Roman"/>
          <w:snapToGrid w:val="0"/>
          <w:kern w:val="28"/>
          <w:szCs w:val="20"/>
        </w:rPr>
        <w:t>icense</w:t>
      </w:r>
      <w:r w:rsidRPr="0025140C">
        <w:rPr>
          <w:rFonts w:ascii="Times New Roman" w:eastAsia="Times New Roman" w:hAnsi="Times New Roman" w:cs="Times New Roman"/>
          <w:snapToGrid w:val="0"/>
          <w:kern w:val="28"/>
          <w:szCs w:val="20"/>
        </w:rPr>
        <w:t>e</w:t>
      </w:r>
      <w:r w:rsidRPr="0025140C" w:rsidR="00041D43">
        <w:rPr>
          <w:rFonts w:ascii="Times New Roman" w:eastAsia="Times New Roman" w:hAnsi="Times New Roman" w:cs="Times New Roman"/>
          <w:snapToGrid w:val="0"/>
          <w:kern w:val="28"/>
          <w:szCs w:val="20"/>
        </w:rPr>
        <w:t xml:space="preserve">s do not meet their final </w:t>
      </w:r>
      <w:r w:rsidRPr="0025140C" w:rsidR="00A078A5">
        <w:rPr>
          <w:rFonts w:ascii="Times New Roman" w:eastAsia="Times New Roman" w:hAnsi="Times New Roman" w:cs="Times New Roman"/>
          <w:snapToGrid w:val="0"/>
          <w:kern w:val="28"/>
          <w:szCs w:val="20"/>
        </w:rPr>
        <w:t xml:space="preserve">performance </w:t>
      </w:r>
      <w:r w:rsidRPr="0025140C" w:rsidR="00041D43">
        <w:rPr>
          <w:rFonts w:ascii="Times New Roman" w:eastAsia="Times New Roman" w:hAnsi="Times New Roman" w:cs="Times New Roman"/>
          <w:snapToGrid w:val="0"/>
          <w:kern w:val="28"/>
          <w:szCs w:val="20"/>
        </w:rPr>
        <w:t>requirement</w:t>
      </w:r>
      <w:r w:rsidRPr="0025140C">
        <w:rPr>
          <w:rFonts w:ascii="Times New Roman" w:eastAsia="Times New Roman" w:hAnsi="Times New Roman" w:cs="Times New Roman"/>
          <w:snapToGrid w:val="0"/>
          <w:kern w:val="28"/>
          <w:szCs w:val="20"/>
        </w:rPr>
        <w:t>.</w:t>
      </w:r>
    </w:p>
    <w:p w:rsidR="00BC188C" w14:paraId="1524CC3B" w14:textId="5384367D">
      <w:pPr>
        <w:pStyle w:val="Heading2"/>
      </w:pPr>
      <w:r>
        <w:t>Renewal Standards (47 CFR § 27.1205)</w:t>
      </w:r>
      <w:r>
        <w:rPr>
          <w:rStyle w:val="FootnoteReference"/>
        </w:rPr>
        <w:footnoteReference w:id="11"/>
      </w:r>
    </w:p>
    <w:p w:rsidR="009E41F4" w:rsidP="009E41F4" w14:paraId="122B2FA8" w14:textId="17AE0B04">
      <w:pPr>
        <w:pStyle w:val="ParaNum"/>
        <w:numPr>
          <w:ilvl w:val="0"/>
          <w:numId w:val="19"/>
        </w:numPr>
      </w:pPr>
      <w:r>
        <w:t xml:space="preserve">The unified regulatory framework of </w:t>
      </w:r>
      <w:r w:rsidR="00117B2F">
        <w:t xml:space="preserve">the Wireless Radio Services (WRS) will apply to </w:t>
      </w:r>
      <w:r w:rsidR="00DB2CB1">
        <w:t xml:space="preserve">new and existing EBS </w:t>
      </w:r>
      <w:r w:rsidR="00117B2F">
        <w:t>licenses, including those licensed through the Tribal Priority Window and competitive bidding.</w:t>
      </w:r>
    </w:p>
    <w:p w:rsidR="009A61EC" w:rsidP="00745310" w14:paraId="3AA3064C" w14:textId="350CA45F">
      <w:pPr>
        <w:pStyle w:val="ParaNum"/>
        <w:numPr>
          <w:ilvl w:val="0"/>
          <w:numId w:val="19"/>
        </w:numPr>
      </w:pPr>
      <w:r>
        <w:t xml:space="preserve">Existing </w:t>
      </w:r>
      <w:r w:rsidR="00DB2CB1">
        <w:t xml:space="preserve">EBS </w:t>
      </w:r>
      <w:r>
        <w:t xml:space="preserve">licensees will be subject to the same renewal standards, </w:t>
      </w:r>
      <w:r w:rsidR="00DB2CB1">
        <w:t xml:space="preserve">however </w:t>
      </w:r>
      <w:r w:rsidRPr="00363480">
        <w:t>the old, substantial service build-out standard contained in section 27.14(o) of the Commission’s rules will apply to existing license renewals, unless the Commission alters the WRS build-out standards upon renewal</w:t>
      </w:r>
      <w:r>
        <w:t>.</w:t>
      </w:r>
    </w:p>
    <w:p w:rsidR="00034878" w:rsidRPr="00511023" w:rsidP="00117B2F" w14:paraId="688CB6D7" w14:textId="780076AC">
      <w:pPr>
        <w:tabs>
          <w:tab w:val="left" w:pos="720"/>
        </w:tabs>
        <w:spacing w:after="120"/>
        <w:rPr>
          <w:rFonts w:ascii="Times New Roman" w:hAnsi="Times New Roman" w:cs="Times New Roman"/>
          <w:b/>
        </w:rPr>
      </w:pPr>
      <w:r w:rsidRPr="00511023">
        <w:rPr>
          <w:rFonts w:ascii="Times New Roman" w:hAnsi="Times New Roman" w:cs="Times New Roman"/>
          <w:b/>
        </w:rPr>
        <w:t>I</w:t>
      </w:r>
      <w:r w:rsidR="00BA1697">
        <w:rPr>
          <w:rFonts w:ascii="Times New Roman" w:hAnsi="Times New Roman" w:cs="Times New Roman"/>
          <w:b/>
        </w:rPr>
        <w:t>II.</w:t>
      </w:r>
      <w:r w:rsidR="00286EA8">
        <w:rPr>
          <w:rFonts w:ascii="Times New Roman" w:hAnsi="Times New Roman" w:cs="Times New Roman"/>
          <w:b/>
        </w:rPr>
        <w:tab/>
      </w:r>
      <w:r w:rsidRPr="00511023" w:rsidR="00DE567B">
        <w:rPr>
          <w:rFonts w:ascii="Times New Roman" w:hAnsi="Times New Roman" w:cs="Times New Roman"/>
          <w:b/>
        </w:rPr>
        <w:t xml:space="preserve">RECORDKEEPING </w:t>
      </w:r>
      <w:r w:rsidR="00292357">
        <w:rPr>
          <w:rFonts w:ascii="Times New Roman" w:hAnsi="Times New Roman" w:cs="Times New Roman"/>
          <w:b/>
        </w:rPr>
        <w:t xml:space="preserve">AND REPORTING </w:t>
      </w:r>
      <w:r w:rsidRPr="00511023" w:rsidR="00DE567B">
        <w:rPr>
          <w:rFonts w:ascii="Times New Roman" w:hAnsi="Times New Roman" w:cs="Times New Roman"/>
          <w:b/>
        </w:rPr>
        <w:t>REQUIREMENTS</w:t>
      </w:r>
    </w:p>
    <w:p w:rsidR="009E41F4" w:rsidP="00745310" w14:paraId="7CDF08A6" w14:textId="39AC1EF2">
      <w:pPr>
        <w:spacing w:after="120"/>
        <w:ind w:firstLine="720"/>
        <w:rPr>
          <w:rFonts w:ascii="Times New Roman" w:hAnsi="Times New Roman" w:cs="Times New Roman"/>
          <w:color w:val="010101"/>
        </w:rPr>
      </w:pPr>
      <w:r w:rsidRPr="00745310">
        <w:rPr>
          <w:rFonts w:ascii="Times New Roman" w:hAnsi="Times New Roman" w:cs="Times New Roman"/>
          <w:color w:val="010101"/>
        </w:rPr>
        <w:t xml:space="preserve">The rules adopted in the </w:t>
      </w:r>
      <w:r w:rsidRPr="00745310" w:rsidR="00A55458">
        <w:rPr>
          <w:rFonts w:ascii="Times New Roman" w:hAnsi="Times New Roman" w:cs="Times New Roman"/>
          <w:i/>
          <w:iCs/>
        </w:rPr>
        <w:t xml:space="preserve">2.5 GHz </w:t>
      </w:r>
      <w:r w:rsidRPr="00745310">
        <w:rPr>
          <w:rFonts w:ascii="Times New Roman" w:hAnsi="Times New Roman" w:cs="Times New Roman"/>
          <w:i/>
          <w:color w:val="010101"/>
        </w:rPr>
        <w:t xml:space="preserve">Report and Order </w:t>
      </w:r>
      <w:r w:rsidRPr="00745310">
        <w:rPr>
          <w:rFonts w:ascii="Times New Roman" w:hAnsi="Times New Roman" w:cs="Times New Roman"/>
          <w:color w:val="010101"/>
        </w:rPr>
        <w:t>will impose new or additional reporting or recordkeeping obligations on small entities.</w:t>
      </w:r>
    </w:p>
    <w:p w:rsidR="0099511B" w:rsidRPr="0099511B" w14:paraId="515252AA" w14:textId="6D48BC65">
      <w:pPr>
        <w:pStyle w:val="ListParagraph"/>
        <w:numPr>
          <w:ilvl w:val="0"/>
          <w:numId w:val="18"/>
        </w:numPr>
        <w:spacing w:after="120"/>
        <w:ind w:left="1080"/>
        <w:rPr>
          <w:rFonts w:ascii="Times New Roman" w:hAnsi="Times New Roman" w:cs="Times New Roman"/>
          <w:color w:val="010101"/>
        </w:rPr>
      </w:pPr>
      <w:r w:rsidRPr="009E41F4">
        <w:rPr>
          <w:rFonts w:ascii="Times New Roman" w:hAnsi="Times New Roman" w:cs="Times New Roman"/>
          <w:color w:val="010101"/>
        </w:rPr>
        <w:t xml:space="preserve">Applicants filing in the Tribal Priority Window will be required to submit documentation demonstrating that they are eligible to file in the window.  (47 CFR </w:t>
      </w:r>
      <w:r w:rsidRPr="009E41F4">
        <w:rPr>
          <w:rFonts w:ascii="Times New Roman" w:hAnsi="Times New Roman" w:cs="Times New Roman"/>
        </w:rPr>
        <w:t xml:space="preserve">§ 27.1204) </w:t>
      </w:r>
      <w:r w:rsidRPr="0099511B">
        <w:rPr>
          <w:rFonts w:ascii="Times New Roman" w:hAnsi="Times New Roman" w:cs="Times New Roman"/>
        </w:rPr>
        <w:t xml:space="preserve">  </w:t>
      </w:r>
    </w:p>
    <w:p w:rsidR="0099511B" w:rsidRPr="00745310" w:rsidP="00745310" w14:paraId="74CCDF01" w14:textId="77777777">
      <w:pPr>
        <w:pStyle w:val="ListParagraph"/>
        <w:rPr>
          <w:rFonts w:ascii="Times New Roman" w:hAnsi="Times New Roman" w:cs="Times New Roman"/>
          <w:color w:val="010101"/>
        </w:rPr>
      </w:pPr>
    </w:p>
    <w:p w:rsidR="009E41F4" w:rsidRPr="00745310" w:rsidP="00745310" w14:paraId="13E3C558" w14:textId="1A705187">
      <w:pPr>
        <w:pStyle w:val="ListParagraph"/>
        <w:numPr>
          <w:ilvl w:val="0"/>
          <w:numId w:val="18"/>
        </w:numPr>
        <w:spacing w:after="120"/>
        <w:ind w:left="1080"/>
        <w:rPr>
          <w:rFonts w:ascii="Times New Roman" w:hAnsi="Times New Roman" w:cs="Times New Roman"/>
        </w:rPr>
      </w:pPr>
      <w:r w:rsidRPr="00745310">
        <w:rPr>
          <w:rFonts w:ascii="Times New Roman" w:hAnsi="Times New Roman" w:cs="Times New Roman"/>
        </w:rPr>
        <w:t>Licensees will be required to submit documentation to demonstrate that they meet construction requirements.  (47 CFR § 27.14(u))</w:t>
      </w:r>
    </w:p>
    <w:p w:rsidR="009E41F4" w:rsidRPr="009E41F4" w14:paraId="4B8BEFAD" w14:textId="77777777">
      <w:pPr>
        <w:pStyle w:val="ListParagraph"/>
        <w:spacing w:after="120"/>
        <w:ind w:left="1440"/>
        <w:rPr>
          <w:rFonts w:ascii="Times New Roman" w:hAnsi="Times New Roman" w:cs="Times New Roman"/>
          <w:color w:val="010101"/>
        </w:rPr>
      </w:pPr>
    </w:p>
    <w:p w:rsidR="002B45A7" w:rsidRPr="0025140C" w:rsidP="00745310" w14:paraId="57CA1D63" w14:textId="777602D4">
      <w:pPr>
        <w:pStyle w:val="ListParagraph"/>
        <w:numPr>
          <w:ilvl w:val="0"/>
          <w:numId w:val="18"/>
        </w:numPr>
        <w:spacing w:after="120"/>
        <w:ind w:left="1080"/>
        <w:rPr>
          <w:rFonts w:ascii="Times New Roman" w:hAnsi="Times New Roman" w:cs="Times New Roman"/>
          <w:color w:val="010101"/>
        </w:rPr>
      </w:pPr>
      <w:r w:rsidRPr="0025140C">
        <w:rPr>
          <w:rFonts w:ascii="Times New Roman" w:hAnsi="Times New Roman" w:cs="Times New Roman"/>
        </w:rPr>
        <w:t>Licensees will be required to submit documentation to demonstrate that they meet renewal standards.</w:t>
      </w:r>
      <w:r w:rsidRPr="0025140C">
        <w:rPr>
          <w:rFonts w:ascii="Times New Roman" w:hAnsi="Times New Roman" w:cs="Times New Roman"/>
          <w:color w:val="010101"/>
        </w:rPr>
        <w:t xml:space="preserve">  (47 CFR </w:t>
      </w:r>
      <w:r w:rsidRPr="0025140C">
        <w:rPr>
          <w:rFonts w:ascii="Times New Roman" w:hAnsi="Times New Roman" w:cs="Times New Roman"/>
        </w:rPr>
        <w:t xml:space="preserve">§ 27.1205)  </w:t>
      </w:r>
    </w:p>
    <w:p w:rsidR="00491F77" w:rsidP="00745310" w14:paraId="6176B903" w14:textId="0A80594B">
      <w:pPr>
        <w:tabs>
          <w:tab w:val="left" w:pos="720"/>
        </w:tabs>
        <w:spacing w:before="120" w:after="120"/>
        <w:rPr>
          <w:rFonts w:ascii="Times New Roman" w:hAnsi="Times New Roman" w:cs="Times New Roman"/>
          <w:b/>
        </w:rPr>
      </w:pPr>
      <w:r>
        <w:rPr>
          <w:rFonts w:ascii="Times New Roman" w:hAnsi="Times New Roman" w:cs="Times New Roman"/>
          <w:b/>
        </w:rPr>
        <w:t>I</w:t>
      </w:r>
      <w:r w:rsidRPr="00511023" w:rsidR="00066CB4">
        <w:rPr>
          <w:rFonts w:ascii="Times New Roman" w:hAnsi="Times New Roman" w:cs="Times New Roman"/>
          <w:b/>
        </w:rPr>
        <w:t xml:space="preserve">V. </w:t>
      </w:r>
      <w:r w:rsidR="00286EA8">
        <w:rPr>
          <w:rFonts w:ascii="Times New Roman" w:hAnsi="Times New Roman" w:cs="Times New Roman"/>
          <w:b/>
        </w:rPr>
        <w:tab/>
      </w:r>
      <w:r w:rsidRPr="00511023" w:rsidR="00066CB4">
        <w:rPr>
          <w:rFonts w:ascii="Times New Roman" w:hAnsi="Times New Roman" w:cs="Times New Roman"/>
          <w:b/>
        </w:rPr>
        <w:t>IMPLEMENTATION</w:t>
      </w:r>
      <w:r w:rsidR="00716724">
        <w:rPr>
          <w:rFonts w:ascii="Times New Roman" w:hAnsi="Times New Roman" w:cs="Times New Roman"/>
          <w:b/>
        </w:rPr>
        <w:t xml:space="preserve"> DATE</w:t>
      </w:r>
    </w:p>
    <w:p w:rsidR="002B45A7" w:rsidRPr="002B45A7" w:rsidP="00A175D1" w14:paraId="49BAAA9A" w14:textId="1D2B0D7B">
      <w:pPr>
        <w:pStyle w:val="ParaNum"/>
        <w:numPr>
          <w:ilvl w:val="0"/>
          <w:numId w:val="0"/>
        </w:numPr>
        <w:spacing w:after="240"/>
        <w:ind w:firstLine="720"/>
      </w:pPr>
      <w:r w:rsidRPr="00511023">
        <w:t>T</w:t>
      </w:r>
      <w:r w:rsidR="00491F77">
        <w:t xml:space="preserve">he rules in the </w:t>
      </w:r>
      <w:r w:rsidR="00A55458">
        <w:rPr>
          <w:i/>
          <w:iCs/>
        </w:rPr>
        <w:t xml:space="preserve">2.5 GHz </w:t>
      </w:r>
      <w:r w:rsidRPr="00511023" w:rsidR="00491F77">
        <w:rPr>
          <w:i/>
        </w:rPr>
        <w:t>Report and Order</w:t>
      </w:r>
      <w:r w:rsidR="00AC2A68">
        <w:t xml:space="preserve">, </w:t>
      </w:r>
      <w:r w:rsidR="00AC2A68">
        <w:t>with the exception of</w:t>
      </w:r>
      <w:r w:rsidR="00AC2A68">
        <w:t xml:space="preserve"> Sections 27.14(u) and 27.1204 </w:t>
      </w:r>
      <w:r w:rsidR="00F57DF7">
        <w:t xml:space="preserve">will </w:t>
      </w:r>
      <w:r w:rsidRPr="0084392B" w:rsidR="00491F77">
        <w:t>bec</w:t>
      </w:r>
      <w:r w:rsidR="00C16ABA">
        <w:t>o</w:t>
      </w:r>
      <w:r w:rsidRPr="0084392B" w:rsidR="00491F77">
        <w:t xml:space="preserve">me effective </w:t>
      </w:r>
      <w:r w:rsidR="00C16ABA">
        <w:t>on April 27, 2020.</w:t>
      </w:r>
      <w:r w:rsidR="00F57DF7">
        <w:t xml:space="preserve">  Sections 27.14(u) and 27.1204, which relate to construction requirements and the Tribal Priority window, bec</w:t>
      </w:r>
      <w:r w:rsidR="00FC7808">
        <w:t>a</w:t>
      </w:r>
      <w:r w:rsidR="00F57DF7">
        <w:t>me effective on November 25, 20</w:t>
      </w:r>
      <w:r w:rsidR="00745310">
        <w:t>19</w:t>
      </w:r>
      <w:r w:rsidR="00F57DF7">
        <w:t>,</w:t>
      </w:r>
      <w:r w:rsidR="00684E13">
        <w:t xml:space="preserve"> </w:t>
      </w:r>
      <w:r w:rsidR="00235B3B">
        <w:t xml:space="preserve">following </w:t>
      </w:r>
      <w:r w:rsidRPr="0084392B" w:rsidR="00F57DF7">
        <w:t>approval by the Office of Management and Budget (OMB) u</w:t>
      </w:r>
      <w:r w:rsidR="00F57DF7">
        <w:t>nder the Paperwork Reduction Act.</w:t>
      </w:r>
      <w:r w:rsidR="0091274D">
        <w:t xml:space="preserve">  </w:t>
      </w:r>
      <w:r w:rsidR="0068081E">
        <w:t xml:space="preserve">The </w:t>
      </w:r>
      <w:r w:rsidRPr="00472783" w:rsidR="0091274D">
        <w:t xml:space="preserve">Tribal priority </w:t>
      </w:r>
      <w:r w:rsidR="0091274D">
        <w:t xml:space="preserve">filing </w:t>
      </w:r>
      <w:r w:rsidRPr="00472783" w:rsidR="0091274D">
        <w:t xml:space="preserve">window </w:t>
      </w:r>
      <w:r w:rsidR="0091274D">
        <w:t xml:space="preserve">for applicants opened on February </w:t>
      </w:r>
      <w:r w:rsidR="0089246C">
        <w:t>3</w:t>
      </w:r>
      <w:r w:rsidR="0091274D">
        <w:t xml:space="preserve">, 2020 and will close on August 3, 2020.  </w:t>
      </w:r>
      <w:r w:rsidRPr="0091274D" w:rsidR="0091274D">
        <w:t>The process and procedures for submitting applications in the 2.5 GHz Rural Tribal Priority Window were issued on January 6, 2020.</w:t>
      </w:r>
    </w:p>
    <w:p w:rsidR="00485B77" w:rsidP="00A175D1" w14:paraId="636038EB" w14:textId="2EDAD811">
      <w:pPr>
        <w:tabs>
          <w:tab w:val="left" w:pos="720"/>
        </w:tabs>
        <w:spacing w:after="24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511023" w:rsidR="00C5062A">
        <w:rPr>
          <w:rFonts w:ascii="Times New Roman" w:hAnsi="Times New Roman" w:cs="Times New Roman"/>
          <w:b/>
        </w:rPr>
        <w:t>INTERNET LINKS</w:t>
      </w:r>
    </w:p>
    <w:p w:rsidR="00C5062A" w:rsidRPr="00745310" w:rsidP="009E41F4" w14:paraId="502FE2B9" w14:textId="41192F33">
      <w:pPr>
        <w:spacing w:after="120"/>
        <w:rPr>
          <w:rFonts w:ascii="Times New Roman" w:hAnsi="Times New Roman" w:cs="Times New Roman"/>
          <w:bCs/>
        </w:rPr>
      </w:pPr>
      <w:r w:rsidRPr="00745310">
        <w:rPr>
          <w:rFonts w:ascii="Times New Roman" w:hAnsi="Times New Roman" w:cs="Times New Roman"/>
          <w:bCs/>
        </w:rPr>
        <w:t xml:space="preserve">A copy of the </w:t>
      </w:r>
      <w:r w:rsidRPr="00745310" w:rsidR="00AC2A68">
        <w:rPr>
          <w:rFonts w:ascii="Times New Roman" w:hAnsi="Times New Roman" w:cs="Times New Roman"/>
          <w:bCs/>
          <w:i/>
        </w:rPr>
        <w:t>2.5 GHz Report and Order</w:t>
      </w:r>
      <w:r w:rsidRPr="00745310">
        <w:rPr>
          <w:rFonts w:ascii="Times New Roman" w:hAnsi="Times New Roman" w:cs="Times New Roman"/>
          <w:bCs/>
        </w:rPr>
        <w:t xml:space="preserve"> is available at: </w:t>
      </w:r>
    </w:p>
    <w:p w:rsidR="002C28C6" w:rsidP="009E41F4" w14:paraId="6FBB9970" w14:textId="7E45ED06">
      <w:pPr>
        <w:spacing w:after="120"/>
        <w:rPr>
          <w:rFonts w:ascii="Times New Roman" w:hAnsi="Times New Roman" w:cs="Times New Roman"/>
          <w:color w:val="0000FF"/>
          <w:u w:val="single"/>
        </w:rPr>
      </w:pPr>
      <w:hyperlink r:id="rId9" w:history="1">
        <w:r w:rsidRPr="002B45A7" w:rsidR="00AC2A68">
          <w:rPr>
            <w:rFonts w:ascii="Times New Roman" w:hAnsi="Times New Roman" w:cs="Times New Roman"/>
            <w:color w:val="0000FF"/>
            <w:u w:val="single"/>
          </w:rPr>
          <w:t>https://docs.fcc.gov/public/attachments/FCC-19-62A1.pdf</w:t>
        </w:r>
      </w:hyperlink>
      <w:r w:rsidR="0025140C">
        <w:rPr>
          <w:rFonts w:ascii="Times New Roman" w:hAnsi="Times New Roman" w:cs="Times New Roman"/>
          <w:color w:val="0000FF"/>
          <w:u w:val="single"/>
        </w:rPr>
        <w:t>.</w:t>
      </w:r>
    </w:p>
    <w:p w:rsidR="00C727A0" w:rsidRPr="00A175D1" w:rsidP="009E41F4" w14:paraId="5BA2F50A" w14:textId="77777777">
      <w:pPr>
        <w:spacing w:after="120"/>
        <w:rPr>
          <w:rFonts w:ascii="Times New Roman" w:hAnsi="Times New Roman" w:cs="Times New Roman"/>
          <w:b/>
          <w:sz w:val="6"/>
          <w:szCs w:val="6"/>
        </w:rPr>
      </w:pPr>
    </w:p>
    <w:p w:rsidR="004008B8" w:rsidRPr="00745310" w:rsidP="009E41F4" w14:paraId="76D7AB80" w14:textId="3C1CB8E4">
      <w:pPr>
        <w:spacing w:after="120"/>
        <w:rPr>
          <w:rFonts w:ascii="Times New Roman" w:hAnsi="Times New Roman" w:cs="Times New Roman"/>
          <w:bCs/>
        </w:rPr>
      </w:pPr>
      <w:r w:rsidRPr="00745310">
        <w:rPr>
          <w:rFonts w:ascii="Times New Roman" w:hAnsi="Times New Roman" w:cs="Times New Roman"/>
          <w:bCs/>
        </w:rPr>
        <w:t xml:space="preserve">A copy of the Federal Register Summary of the </w:t>
      </w:r>
      <w:r w:rsidRPr="00745310" w:rsidR="00AC2A68">
        <w:rPr>
          <w:rFonts w:ascii="Times New Roman" w:hAnsi="Times New Roman" w:cs="Times New Roman"/>
          <w:bCs/>
          <w:i/>
          <w:iCs/>
        </w:rPr>
        <w:t>2.5 GHz Report and Order</w:t>
      </w:r>
      <w:r w:rsidRPr="00745310">
        <w:rPr>
          <w:rFonts w:ascii="Times New Roman" w:hAnsi="Times New Roman" w:cs="Times New Roman"/>
          <w:bCs/>
        </w:rPr>
        <w:t xml:space="preserve"> is available</w:t>
      </w:r>
      <w:r w:rsidRPr="00745310" w:rsidR="00A55458">
        <w:rPr>
          <w:rFonts w:ascii="Times New Roman" w:hAnsi="Times New Roman" w:cs="Times New Roman"/>
          <w:bCs/>
        </w:rPr>
        <w:t xml:space="preserve"> </w:t>
      </w:r>
      <w:r w:rsidRPr="00745310">
        <w:rPr>
          <w:rFonts w:ascii="Times New Roman" w:hAnsi="Times New Roman" w:cs="Times New Roman"/>
          <w:bCs/>
        </w:rPr>
        <w:t xml:space="preserve">at: </w:t>
      </w:r>
      <w:r w:rsidRPr="00745310" w:rsidR="00334EB4">
        <w:rPr>
          <w:rFonts w:ascii="Times New Roman" w:hAnsi="Times New Roman" w:cs="Times New Roman"/>
          <w:bCs/>
        </w:rPr>
        <w:t xml:space="preserve"> </w:t>
      </w:r>
    </w:p>
    <w:p w:rsidR="002C28C6" w:rsidP="009E41F4" w14:paraId="41FBB1D9" w14:textId="2475A7F7">
      <w:pPr>
        <w:spacing w:after="120"/>
        <w:rPr>
          <w:rStyle w:val="Hyperlink"/>
          <w:rFonts w:ascii="Times New Roman" w:hAnsi="Times New Roman" w:cs="Times New Roman"/>
        </w:rPr>
      </w:pPr>
      <w:hyperlink r:id="rId10" w:history="1">
        <w:r w:rsidRPr="00E07188" w:rsidR="00E07188">
          <w:rPr>
            <w:rStyle w:val="Hyperlink"/>
            <w:rFonts w:ascii="Times New Roman" w:hAnsi="Times New Roman" w:cs="Times New Roman"/>
          </w:rPr>
          <w:t>https://www.govinfo.gov/content/pkg/FR-2019-10-25/pdf/2019-22511.pdf</w:t>
        </w:r>
      </w:hyperlink>
      <w:r w:rsidR="0025140C">
        <w:rPr>
          <w:rStyle w:val="Hyperlink"/>
          <w:rFonts w:ascii="Times New Roman" w:hAnsi="Times New Roman" w:cs="Times New Roman"/>
        </w:rPr>
        <w:t>.</w:t>
      </w:r>
    </w:p>
    <w:p w:rsidR="00FA5BFF" w:rsidRPr="00A175D1" w:rsidP="009E41F4" w14:paraId="50B969EC" w14:textId="74216F9A">
      <w:pPr>
        <w:spacing w:after="120"/>
        <w:rPr>
          <w:rStyle w:val="Hyperlink"/>
          <w:rFonts w:ascii="Times New Roman" w:hAnsi="Times New Roman" w:cs="Times New Roman"/>
          <w:sz w:val="6"/>
          <w:szCs w:val="6"/>
        </w:rPr>
      </w:pPr>
    </w:p>
    <w:p w:rsidR="00FA5BFF" w:rsidP="009E41F4" w14:paraId="41C3643A" w14:textId="435E4668">
      <w:pPr>
        <w:spacing w:after="120"/>
        <w:rPr>
          <w:rFonts w:ascii="Times New Roman" w:hAnsi="Times New Roman" w:cs="Times New Roman"/>
        </w:rPr>
      </w:pPr>
      <w:r>
        <w:rPr>
          <w:rStyle w:val="Hyperlink"/>
          <w:rFonts w:ascii="Times New Roman" w:hAnsi="Times New Roman" w:cs="Times New Roman"/>
        </w:rPr>
        <w:t xml:space="preserve">A copy of the Public Notice announcing the Tribal </w:t>
      </w:r>
      <w:r w:rsidRPr="0086117C">
        <w:rPr>
          <w:rFonts w:ascii="Times New Roman" w:hAnsi="Times New Roman" w:cs="Times New Roman"/>
        </w:rPr>
        <w:t>priority filing window</w:t>
      </w:r>
      <w:r>
        <w:rPr>
          <w:rFonts w:ascii="Times New Roman" w:hAnsi="Times New Roman" w:cs="Times New Roman"/>
        </w:rPr>
        <w:t xml:space="preserve"> and technical </w:t>
      </w:r>
      <w:r w:rsidRPr="0086117C">
        <w:rPr>
          <w:rFonts w:ascii="Times New Roman" w:hAnsi="Times New Roman" w:cs="Times New Roman"/>
        </w:rPr>
        <w:t>workshop</w:t>
      </w:r>
      <w:r>
        <w:rPr>
          <w:rFonts w:ascii="Times New Roman" w:hAnsi="Times New Roman" w:cs="Times New Roman"/>
        </w:rPr>
        <w:t xml:space="preserve"> is available at: </w:t>
      </w:r>
      <w:hyperlink r:id="rId11" w:history="1">
        <w:r w:rsidRPr="00E976EA">
          <w:rPr>
            <w:rStyle w:val="Hyperlink"/>
            <w:rFonts w:ascii="Times New Roman" w:hAnsi="Times New Roman" w:cs="Times New Roman"/>
          </w:rPr>
          <w:t>https://docs.fcc.gov/public/attachments/DA-19-1226A1.pdf</w:t>
        </w:r>
      </w:hyperlink>
      <w:r>
        <w:rPr>
          <w:rFonts w:ascii="Times New Roman" w:hAnsi="Times New Roman" w:cs="Times New Roman"/>
        </w:rPr>
        <w:t xml:space="preserve">. </w:t>
      </w:r>
    </w:p>
    <w:p w:rsidR="00C727A0" w:rsidRPr="00A175D1" w:rsidP="009E41F4" w14:paraId="12BFE737" w14:textId="77777777">
      <w:pPr>
        <w:spacing w:after="120"/>
        <w:rPr>
          <w:rStyle w:val="Hyperlink"/>
          <w:rFonts w:ascii="Times New Roman" w:hAnsi="Times New Roman" w:cs="Times New Roman"/>
          <w:sz w:val="6"/>
          <w:szCs w:val="6"/>
        </w:rPr>
      </w:pPr>
    </w:p>
    <w:p w:rsidR="00FA5BFF" w:rsidP="009E41F4" w14:paraId="220775FA" w14:textId="53F0593A">
      <w:pPr>
        <w:spacing w:after="120"/>
        <w:rPr>
          <w:rFonts w:ascii="Times New Roman" w:hAnsi="Times New Roman" w:cs="Times New Roman"/>
        </w:rPr>
      </w:pPr>
      <w:r>
        <w:rPr>
          <w:rStyle w:val="Hyperlink"/>
          <w:rFonts w:ascii="Times New Roman" w:hAnsi="Times New Roman" w:cs="Times New Roman"/>
        </w:rPr>
        <w:t xml:space="preserve">A copy of the Public Notice announcing the Tribal </w:t>
      </w:r>
      <w:r w:rsidRPr="0086117C">
        <w:rPr>
          <w:rFonts w:ascii="Times New Roman" w:hAnsi="Times New Roman" w:cs="Times New Roman"/>
        </w:rPr>
        <w:t>priority filing window</w:t>
      </w:r>
      <w:r w:rsidR="00C727A0">
        <w:rPr>
          <w:rFonts w:ascii="Times New Roman" w:hAnsi="Times New Roman" w:cs="Times New Roman"/>
        </w:rPr>
        <w:t xml:space="preserve"> application submission procedures is available at: </w:t>
      </w:r>
      <w:hyperlink r:id="rId12" w:history="1">
        <w:r w:rsidRPr="00E976EA" w:rsidR="00C727A0">
          <w:rPr>
            <w:rStyle w:val="Hyperlink"/>
            <w:rFonts w:ascii="Times New Roman" w:hAnsi="Times New Roman" w:cs="Times New Roman"/>
          </w:rPr>
          <w:t>https://docs.fcc.gov/public/attachments/DA-20-18A1.pdf</w:t>
        </w:r>
      </w:hyperlink>
      <w:r w:rsidR="00C727A0">
        <w:rPr>
          <w:rFonts w:ascii="Times New Roman" w:hAnsi="Times New Roman" w:cs="Times New Roman"/>
        </w:rPr>
        <w:t xml:space="preserve">. </w:t>
      </w:r>
    </w:p>
    <w:p w:rsidR="00C727A0" w:rsidRPr="00A175D1" w:rsidP="009E41F4" w14:paraId="469BF08B" w14:textId="77777777">
      <w:pPr>
        <w:spacing w:after="120"/>
        <w:rPr>
          <w:rStyle w:val="Hyperlink"/>
          <w:rFonts w:ascii="Times New Roman" w:hAnsi="Times New Roman" w:cs="Times New Roman"/>
          <w:sz w:val="6"/>
          <w:szCs w:val="6"/>
        </w:rPr>
      </w:pPr>
    </w:p>
    <w:p w:rsidR="00FA5BFF" w:rsidP="009E41F4" w14:paraId="74A0BF12" w14:textId="3D3CD146">
      <w:pPr>
        <w:spacing w:after="120"/>
        <w:rPr>
          <w:rFonts w:ascii="Times New Roman" w:hAnsi="Times New Roman" w:cs="Times New Roman"/>
        </w:rPr>
      </w:pPr>
      <w:r>
        <w:rPr>
          <w:rFonts w:ascii="Times New Roman" w:hAnsi="Times New Roman" w:cs="Times New Roman"/>
        </w:rPr>
        <w:t xml:space="preserve">The FCC’s website providing information on the </w:t>
      </w:r>
      <w:r w:rsidRPr="00A175D1">
        <w:rPr>
          <w:rFonts w:ascii="Times New Roman" w:hAnsi="Times New Roman" w:cs="Times New Roman"/>
        </w:rPr>
        <w:t>Tribal priority filing window, workshops and other related information is available at</w:t>
      </w:r>
      <w:r w:rsidR="0068081E">
        <w:rPr>
          <w:rFonts w:ascii="Times New Roman" w:hAnsi="Times New Roman" w:cs="Times New Roman"/>
        </w:rPr>
        <w:t>:</w:t>
      </w:r>
      <w:r w:rsidRPr="00A175D1">
        <w:rPr>
          <w:rFonts w:ascii="Times New Roman" w:hAnsi="Times New Roman" w:cs="Times New Roman"/>
        </w:rPr>
        <w:t xml:space="preserve"> </w:t>
      </w:r>
      <w:hyperlink r:id="rId8" w:history="1">
        <w:r w:rsidRPr="00A175D1">
          <w:rPr>
            <w:rStyle w:val="Hyperlink"/>
            <w:rFonts w:ascii="Times New Roman" w:hAnsi="Times New Roman" w:cs="Times New Roman"/>
          </w:rPr>
          <w:t>www.fcc.gov/RuralTribalWindow</w:t>
        </w:r>
      </w:hyperlink>
      <w:r w:rsidRPr="00A175D1">
        <w:rPr>
          <w:rFonts w:ascii="Times New Roman" w:hAnsi="Times New Roman" w:cs="Times New Roman"/>
        </w:rPr>
        <w:t>.</w:t>
      </w:r>
    </w:p>
    <w:p w:rsidR="00C16ABA" w:rsidRPr="00511023" w:rsidP="009E41F4" w14:paraId="28D60E91" w14:textId="3E206F8E">
      <w:pPr>
        <w:spacing w:after="120"/>
        <w:rPr>
          <w:rFonts w:ascii="Times New Roman" w:hAnsi="Times New Roman" w:cs="Times New Roman"/>
          <w:b/>
        </w:rPr>
      </w:pPr>
    </w:p>
    <w:sectPr w:rsidSect="001743EF">
      <w:headerReference w:type="default" r:id="rId13"/>
      <w:footerReference w:type="default" r:id="rId14"/>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1172" w:rsidP="00034878" w14:paraId="79C05815" w14:textId="77777777">
      <w:pPr>
        <w:spacing w:after="0" w:line="240" w:lineRule="auto"/>
      </w:pPr>
      <w:r>
        <w:separator/>
      </w:r>
    </w:p>
  </w:footnote>
  <w:footnote w:type="continuationSeparator" w:id="1">
    <w:p w:rsidR="00191172" w:rsidP="00034878" w14:paraId="1562F344" w14:textId="77777777">
      <w:pPr>
        <w:spacing w:after="0" w:line="240" w:lineRule="auto"/>
      </w:pPr>
      <w:r>
        <w:continuationSeparator/>
      </w:r>
    </w:p>
  </w:footnote>
  <w:footnote w:id="2">
    <w:p w:rsidR="00CD75E3" w:rsidRPr="00000DBD" w:rsidP="00000DBD" w14:paraId="599445C7" w14:textId="32D56FB2">
      <w:pPr>
        <w:pStyle w:val="FootnoteText"/>
        <w:spacing w:after="120"/>
        <w:rPr>
          <w:rFonts w:ascii="Times New Roman" w:hAnsi="Times New Roman" w:cs="Times New Roman"/>
        </w:rPr>
      </w:pPr>
      <w:r>
        <w:rPr>
          <w:rStyle w:val="FootnoteReference"/>
        </w:rPr>
        <w:footnoteRef/>
      </w:r>
      <w:r>
        <w:t xml:space="preserve"> </w:t>
      </w:r>
      <w:r>
        <w:rPr>
          <w:rFonts w:ascii="Times New Roman" w:hAnsi="Times New Roman" w:cs="Times New Roman"/>
          <w:i/>
          <w:iCs/>
        </w:rPr>
        <w:t>Transforming the 2.5 GHz Band</w:t>
      </w:r>
      <w:r>
        <w:rPr>
          <w:rFonts w:ascii="Times New Roman" w:hAnsi="Times New Roman" w:cs="Times New Roman"/>
        </w:rPr>
        <w:t>, Report and Order, 34 FCC Rcd 5446 (2019) (</w:t>
      </w:r>
      <w:r>
        <w:rPr>
          <w:rFonts w:ascii="Times New Roman" w:hAnsi="Times New Roman" w:cs="Times New Roman"/>
          <w:i/>
          <w:iCs/>
        </w:rPr>
        <w:t>2.5 GHz Report and Order</w:t>
      </w:r>
      <w:r>
        <w:rPr>
          <w:rFonts w:ascii="Times New Roman" w:hAnsi="Times New Roman" w:cs="Times New Roman"/>
        </w:rPr>
        <w:t>).</w:t>
      </w:r>
    </w:p>
  </w:footnote>
  <w:footnote w:id="3">
    <w:p w:rsidR="008F546D" w:rsidRPr="006731AF" w:rsidP="00000DBD" w14:paraId="39B8A501" w14:textId="52560B5D">
      <w:pPr>
        <w:pStyle w:val="FootnoteText"/>
        <w:spacing w:after="120"/>
      </w:pPr>
      <w:r>
        <w:rPr>
          <w:rStyle w:val="FootnoteReference"/>
        </w:rPr>
        <w:footnoteRef/>
      </w:r>
      <w:r>
        <w:t xml:space="preserve"> </w:t>
      </w:r>
      <w:bookmarkStart w:id="2" w:name="_Hlk33519280"/>
      <w:r w:rsidRPr="006731AF">
        <w:rPr>
          <w:rFonts w:ascii="Times New Roman" w:hAnsi="Times New Roman" w:cs="Times New Roman"/>
          <w:i/>
          <w:iCs/>
        </w:rPr>
        <w:t>See</w:t>
      </w:r>
      <w:r w:rsidRPr="006731AF" w:rsidR="006731AF">
        <w:rPr>
          <w:rFonts w:ascii="Times New Roman" w:hAnsi="Times New Roman" w:cs="Times New Roman"/>
          <w:i/>
          <w:iCs/>
        </w:rPr>
        <w:t xml:space="preserve"> 2.5 GHz Report and Order, </w:t>
      </w:r>
      <w:r w:rsidR="00807878">
        <w:rPr>
          <w:rFonts w:ascii="Times New Roman" w:hAnsi="Times New Roman" w:cs="Times New Roman"/>
        </w:rPr>
        <w:t>34 FCC Rcd</w:t>
      </w:r>
      <w:r w:rsidR="00CD75E3">
        <w:rPr>
          <w:rFonts w:ascii="Times New Roman" w:hAnsi="Times New Roman" w:cs="Times New Roman"/>
        </w:rPr>
        <w:t xml:space="preserve"> at</w:t>
      </w:r>
      <w:r w:rsidR="00807878">
        <w:rPr>
          <w:rFonts w:ascii="Times New Roman" w:hAnsi="Times New Roman" w:cs="Times New Roman"/>
        </w:rPr>
        <w:t xml:space="preserve"> 5450-59, </w:t>
      </w:r>
      <w:r w:rsidR="008023D6">
        <w:rPr>
          <w:rFonts w:ascii="Times New Roman" w:hAnsi="Times New Roman" w:cs="Times New Roman"/>
        </w:rPr>
        <w:t xml:space="preserve">paras. </w:t>
      </w:r>
      <w:r w:rsidRPr="006731AF" w:rsidR="006731AF">
        <w:rPr>
          <w:rFonts w:ascii="Times New Roman" w:hAnsi="Times New Roman" w:cs="Times New Roman"/>
        </w:rPr>
        <w:t>14-35.</w:t>
      </w:r>
      <w:bookmarkEnd w:id="2"/>
    </w:p>
  </w:footnote>
  <w:footnote w:id="4">
    <w:p w:rsidR="006731AF" w:rsidRPr="00A175D1" w:rsidP="00000DBD" w14:paraId="4BBEFF0D" w14:textId="49FED8BC">
      <w:pPr>
        <w:pStyle w:val="FootnoteText"/>
        <w:spacing w:after="120"/>
        <w:rPr>
          <w:rFonts w:ascii="Times New Roman" w:hAnsi="Times New Roman" w:cs="Times New Roman"/>
        </w:rPr>
      </w:pPr>
      <w:r w:rsidRPr="00A175D1">
        <w:rPr>
          <w:rStyle w:val="FootnoteReference"/>
          <w:rFonts w:ascii="Times New Roman" w:hAnsi="Times New Roman" w:cs="Times New Roman"/>
        </w:rPr>
        <w:footnoteRef/>
      </w:r>
      <w:r w:rsidRPr="00A175D1">
        <w:rPr>
          <w:rFonts w:ascii="Times New Roman" w:hAnsi="Times New Roman" w:cs="Times New Roman"/>
        </w:rPr>
        <w:t xml:space="preserve"> </w:t>
      </w:r>
      <w:r w:rsidRPr="004620F7">
        <w:rPr>
          <w:rFonts w:ascii="Times New Roman" w:hAnsi="Times New Roman" w:cs="Times New Roman"/>
          <w:i/>
          <w:iCs/>
        </w:rPr>
        <w:t xml:space="preserve">See 2.5 GHz Report and Order, </w:t>
      </w:r>
      <w:r w:rsidRPr="004620F7" w:rsidR="00807878">
        <w:rPr>
          <w:rFonts w:ascii="Times New Roman" w:hAnsi="Times New Roman" w:cs="Times New Roman"/>
        </w:rPr>
        <w:t xml:space="preserve">34 FCC Rcd at 5463-69, </w:t>
      </w:r>
      <w:r w:rsidRPr="004620F7" w:rsidR="008023D6">
        <w:rPr>
          <w:rFonts w:ascii="Times New Roman" w:hAnsi="Times New Roman" w:cs="Times New Roman"/>
        </w:rPr>
        <w:t xml:space="preserve">paras. </w:t>
      </w:r>
      <w:r w:rsidRPr="004620F7">
        <w:rPr>
          <w:rFonts w:ascii="Times New Roman" w:hAnsi="Times New Roman" w:cs="Times New Roman"/>
        </w:rPr>
        <w:t>47-65</w:t>
      </w:r>
      <w:r w:rsidRPr="00A40340" w:rsidR="00E07188">
        <w:rPr>
          <w:rFonts w:ascii="Times New Roman" w:hAnsi="Times New Roman" w:cs="Times New Roman"/>
        </w:rPr>
        <w:t>.</w:t>
      </w:r>
    </w:p>
  </w:footnote>
  <w:footnote w:id="5">
    <w:p w:rsidR="009A3F1E" w:rsidRPr="00A175D1" w:rsidP="00A175D1" w14:paraId="320A0AA1" w14:textId="541E97D0">
      <w:pPr>
        <w:pStyle w:val="FootnoteText"/>
        <w:spacing w:after="120"/>
        <w:rPr>
          <w:rFonts w:ascii="Times New Roman" w:hAnsi="Times New Roman" w:cs="Times New Roman"/>
        </w:rPr>
      </w:pPr>
      <w:r w:rsidRPr="00A175D1">
        <w:rPr>
          <w:rStyle w:val="FootnoteReference"/>
          <w:rFonts w:ascii="Times New Roman" w:hAnsi="Times New Roman" w:cs="Times New Roman"/>
        </w:rPr>
        <w:footnoteRef/>
      </w:r>
      <w:r w:rsidRPr="00A175D1">
        <w:rPr>
          <w:rFonts w:ascii="Times New Roman" w:hAnsi="Times New Roman" w:cs="Times New Roman"/>
        </w:rPr>
        <w:t xml:space="preserve"> </w:t>
      </w:r>
      <w:r w:rsidRPr="00A175D1" w:rsidR="008E3087">
        <w:rPr>
          <w:rFonts w:ascii="Times New Roman" w:hAnsi="Times New Roman" w:cs="Times New Roman"/>
          <w:i/>
          <w:iCs/>
        </w:rPr>
        <w:t>See Federal Communications Commission Announces 2.5 GHZ Rural Tribal Window and Technical Workshop, Transforming the 2.5 GHz Band</w:t>
      </w:r>
      <w:r w:rsidR="00DB67A0">
        <w:rPr>
          <w:rFonts w:ascii="Times New Roman" w:hAnsi="Times New Roman" w:cs="Times New Roman"/>
          <w:i/>
          <w:iCs/>
        </w:rPr>
        <w:t>,</w:t>
      </w:r>
      <w:r w:rsidRPr="00A175D1" w:rsidR="008E3087">
        <w:rPr>
          <w:rFonts w:ascii="Times New Roman" w:hAnsi="Times New Roman" w:cs="Times New Roman"/>
        </w:rPr>
        <w:t xml:space="preserve"> WT Docket No. 18-120, Public Notice</w:t>
      </w:r>
      <w:r w:rsidR="00DB67A0">
        <w:rPr>
          <w:rFonts w:ascii="Times New Roman" w:hAnsi="Times New Roman" w:cs="Times New Roman"/>
        </w:rPr>
        <w:t>,</w:t>
      </w:r>
      <w:r w:rsidRPr="00A175D1" w:rsidR="008E3087">
        <w:rPr>
          <w:rFonts w:ascii="Times New Roman" w:hAnsi="Times New Roman" w:cs="Times New Roman"/>
        </w:rPr>
        <w:t xml:space="preserve"> 34 FCC Rcd 11138 (2019).</w:t>
      </w:r>
    </w:p>
  </w:footnote>
  <w:footnote w:id="6">
    <w:p w:rsidR="00A40340" w:rsidRPr="00A175D1" w:rsidP="00A175D1" w14:paraId="71675749" w14:textId="2AA5D2D0">
      <w:pPr>
        <w:pStyle w:val="FootnoteText"/>
        <w:spacing w:after="120"/>
        <w:rPr>
          <w:rFonts w:ascii="Times New Roman" w:hAnsi="Times New Roman" w:cs="Times New Roman"/>
          <w:i/>
          <w:iCs/>
        </w:rPr>
      </w:pPr>
      <w:r w:rsidRPr="00A175D1">
        <w:rPr>
          <w:rStyle w:val="FootnoteReference"/>
          <w:rFonts w:ascii="Times New Roman" w:hAnsi="Times New Roman" w:cs="Times New Roman"/>
        </w:rPr>
        <w:footnoteRef/>
      </w:r>
      <w:r w:rsidRPr="00A175D1">
        <w:rPr>
          <w:rFonts w:ascii="Times New Roman" w:hAnsi="Times New Roman" w:cs="Times New Roman"/>
        </w:rPr>
        <w:t xml:space="preserve"> </w:t>
      </w:r>
      <w:r w:rsidRPr="00A175D1">
        <w:rPr>
          <w:rFonts w:ascii="Times New Roman" w:hAnsi="Times New Roman" w:cs="Times New Roman"/>
          <w:i/>
          <w:iCs/>
        </w:rPr>
        <w:t>Id.</w:t>
      </w:r>
    </w:p>
  </w:footnote>
  <w:footnote w:id="7">
    <w:p w:rsidR="00A40340" w:rsidRPr="00A175D1" w:rsidP="00A175D1" w14:paraId="157EFD59" w14:textId="46930808">
      <w:pPr>
        <w:pStyle w:val="FootnoteText"/>
        <w:spacing w:after="120"/>
        <w:rPr>
          <w:rFonts w:ascii="Times New Roman" w:hAnsi="Times New Roman" w:cs="Times New Roman"/>
          <w:i/>
          <w:iCs/>
        </w:rPr>
      </w:pPr>
      <w:r w:rsidRPr="00A175D1">
        <w:rPr>
          <w:rStyle w:val="FootnoteReference"/>
          <w:rFonts w:ascii="Times New Roman" w:hAnsi="Times New Roman" w:cs="Times New Roman"/>
          <w:i/>
          <w:iCs/>
        </w:rPr>
        <w:footnoteRef/>
      </w:r>
      <w:r w:rsidRPr="00A175D1">
        <w:rPr>
          <w:rFonts w:ascii="Times New Roman" w:hAnsi="Times New Roman" w:cs="Times New Roman"/>
          <w:i/>
          <w:iCs/>
        </w:rPr>
        <w:t xml:space="preserve"> Id.</w:t>
      </w:r>
    </w:p>
  </w:footnote>
  <w:footnote w:id="8">
    <w:p w:rsidR="00A40340" w:rsidP="00A175D1" w14:paraId="0E33DA40" w14:textId="4D7E1F84">
      <w:pPr>
        <w:pStyle w:val="FootnoteText"/>
        <w:spacing w:after="120"/>
      </w:pPr>
      <w:r w:rsidRPr="00A175D1">
        <w:rPr>
          <w:rStyle w:val="FootnoteReference"/>
          <w:rFonts w:ascii="Times New Roman" w:hAnsi="Times New Roman" w:cs="Times New Roman"/>
          <w:i/>
          <w:iCs/>
        </w:rPr>
        <w:footnoteRef/>
      </w:r>
      <w:r w:rsidRPr="00A175D1">
        <w:rPr>
          <w:rFonts w:ascii="Times New Roman" w:hAnsi="Times New Roman" w:cs="Times New Roman"/>
          <w:i/>
          <w:iCs/>
        </w:rPr>
        <w:t xml:space="preserve"> See</w:t>
      </w:r>
      <w:r w:rsidRPr="00A175D1" w:rsidR="00DB67A0">
        <w:rPr>
          <w:rFonts w:ascii="Times New Roman" w:hAnsi="Times New Roman" w:cs="Times New Roman"/>
          <w:i/>
          <w:iCs/>
        </w:rPr>
        <w:t xml:space="preserve"> Wireless Telecommunications Bureau Announces Procedures for 2.5 GHZ Rural Tribal Priority Window, Transforming the 2.5 GHz Band</w:t>
      </w:r>
      <w:r w:rsidR="00DB67A0">
        <w:rPr>
          <w:rFonts w:ascii="Times New Roman" w:hAnsi="Times New Roman" w:cs="Times New Roman"/>
          <w:i/>
          <w:iCs/>
        </w:rPr>
        <w:t>,</w:t>
      </w:r>
      <w:r w:rsidRPr="00A175D1" w:rsidR="00DB67A0">
        <w:rPr>
          <w:rFonts w:ascii="Times New Roman" w:hAnsi="Times New Roman" w:cs="Times New Roman"/>
          <w:i/>
          <w:iCs/>
        </w:rPr>
        <w:t xml:space="preserve"> </w:t>
      </w:r>
      <w:r w:rsidRPr="00A175D1" w:rsidR="00DB67A0">
        <w:rPr>
          <w:rFonts w:ascii="Times New Roman" w:hAnsi="Times New Roman" w:cs="Times New Roman"/>
        </w:rPr>
        <w:t>WT Docket No. 18-120, Public Notice, 35 FCC Rcd 30</w:t>
      </w:r>
      <w:r w:rsidR="0027035F">
        <w:rPr>
          <w:rFonts w:ascii="Times New Roman" w:hAnsi="Times New Roman" w:cs="Times New Roman"/>
        </w:rPr>
        <w:t>8</w:t>
      </w:r>
      <w:r w:rsidRPr="00A175D1" w:rsidR="00DB67A0">
        <w:rPr>
          <w:rFonts w:ascii="Times New Roman" w:hAnsi="Times New Roman" w:cs="Times New Roman"/>
        </w:rPr>
        <w:t xml:space="preserve"> (2020</w:t>
      </w:r>
      <w:r w:rsidRPr="00A175D1" w:rsidR="00DB67A0">
        <w:rPr>
          <w:rFonts w:ascii="Times New Roman" w:hAnsi="Times New Roman" w:cs="Times New Roman"/>
          <w:i/>
          <w:iCs/>
        </w:rPr>
        <w:t>).</w:t>
      </w:r>
    </w:p>
  </w:footnote>
  <w:footnote w:id="9">
    <w:p w:rsidR="006731AF" w:rsidP="00000DBD" w14:paraId="05B15C3F" w14:textId="50CD77FE">
      <w:pPr>
        <w:pStyle w:val="FootnoteText"/>
        <w:spacing w:after="120"/>
      </w:pPr>
      <w:r>
        <w:rPr>
          <w:rStyle w:val="FootnoteReference"/>
        </w:rPr>
        <w:footnoteRef/>
      </w:r>
      <w:r>
        <w:t xml:space="preserve"> </w:t>
      </w:r>
      <w:r w:rsidRPr="006731AF">
        <w:rPr>
          <w:rFonts w:ascii="Times New Roman" w:hAnsi="Times New Roman" w:cs="Times New Roman"/>
          <w:i/>
          <w:iCs/>
        </w:rPr>
        <w:t xml:space="preserve">See 2.5 GHz Report and Order, </w:t>
      </w:r>
      <w:r w:rsidR="00807878">
        <w:rPr>
          <w:rFonts w:ascii="Times New Roman" w:hAnsi="Times New Roman" w:cs="Times New Roman"/>
        </w:rPr>
        <w:t xml:space="preserve">34 FCC Rcd at 5472-83, </w:t>
      </w:r>
      <w:r w:rsidR="00F57DF7">
        <w:rPr>
          <w:rFonts w:ascii="Times New Roman" w:hAnsi="Times New Roman" w:cs="Times New Roman"/>
        </w:rPr>
        <w:t xml:space="preserve">paras. </w:t>
      </w:r>
      <w:r>
        <w:rPr>
          <w:rFonts w:ascii="Times New Roman" w:hAnsi="Times New Roman" w:cs="Times New Roman"/>
        </w:rPr>
        <w:t>75-100</w:t>
      </w:r>
      <w:r w:rsidRPr="006731AF">
        <w:rPr>
          <w:rFonts w:ascii="Times New Roman" w:hAnsi="Times New Roman" w:cs="Times New Roman"/>
        </w:rPr>
        <w:t>.</w:t>
      </w:r>
    </w:p>
  </w:footnote>
  <w:footnote w:id="10">
    <w:p w:rsidR="006731AF" w:rsidP="00000DBD" w14:paraId="76832D0C" w14:textId="758120FD">
      <w:pPr>
        <w:pStyle w:val="FootnoteText"/>
        <w:spacing w:after="120"/>
      </w:pPr>
      <w:r>
        <w:rPr>
          <w:rStyle w:val="FootnoteReference"/>
        </w:rPr>
        <w:footnoteRef/>
      </w:r>
      <w:r>
        <w:t xml:space="preserve"> </w:t>
      </w:r>
      <w:r w:rsidRPr="006731AF">
        <w:rPr>
          <w:rFonts w:ascii="Times New Roman" w:hAnsi="Times New Roman" w:cs="Times New Roman"/>
          <w:i/>
          <w:iCs/>
        </w:rPr>
        <w:t xml:space="preserve">See 2.5 GHz Report and Order, </w:t>
      </w:r>
      <w:r w:rsidR="00807878">
        <w:rPr>
          <w:rFonts w:ascii="Times New Roman" w:hAnsi="Times New Roman" w:cs="Times New Roman"/>
        </w:rPr>
        <w:t xml:space="preserve">34 FCC Rcd at 5483-86, </w:t>
      </w:r>
      <w:r w:rsidR="00F57DF7">
        <w:rPr>
          <w:rFonts w:ascii="Times New Roman" w:hAnsi="Times New Roman" w:cs="Times New Roman"/>
        </w:rPr>
        <w:t xml:space="preserve">paras. </w:t>
      </w:r>
      <w:r>
        <w:rPr>
          <w:rFonts w:ascii="Times New Roman" w:hAnsi="Times New Roman" w:cs="Times New Roman"/>
        </w:rPr>
        <w:t>101-</w:t>
      </w:r>
      <w:r w:rsidR="007254EC">
        <w:rPr>
          <w:rFonts w:ascii="Times New Roman" w:hAnsi="Times New Roman" w:cs="Times New Roman"/>
        </w:rPr>
        <w:t>1</w:t>
      </w:r>
      <w:r w:rsidR="00BC188C">
        <w:rPr>
          <w:rFonts w:ascii="Times New Roman" w:hAnsi="Times New Roman" w:cs="Times New Roman"/>
        </w:rPr>
        <w:t>09</w:t>
      </w:r>
      <w:r w:rsidR="007254EC">
        <w:rPr>
          <w:rFonts w:ascii="Times New Roman" w:hAnsi="Times New Roman" w:cs="Times New Roman"/>
        </w:rPr>
        <w:t>.</w:t>
      </w:r>
    </w:p>
  </w:footnote>
  <w:footnote w:id="11">
    <w:p w:rsidR="00BC188C" w:rsidP="00000DBD" w14:paraId="3FBBA962" w14:textId="75DB8251">
      <w:pPr>
        <w:pStyle w:val="FootnoteText"/>
        <w:spacing w:after="120"/>
      </w:pPr>
      <w:r>
        <w:rPr>
          <w:rStyle w:val="FootnoteReference"/>
        </w:rPr>
        <w:footnoteRef/>
      </w:r>
      <w:r>
        <w:t xml:space="preserve"> </w:t>
      </w:r>
      <w:r w:rsidRPr="006731AF">
        <w:rPr>
          <w:rFonts w:ascii="Times New Roman" w:hAnsi="Times New Roman" w:cs="Times New Roman"/>
          <w:i/>
          <w:iCs/>
        </w:rPr>
        <w:t xml:space="preserve">See 2.5 GHz Report and Order, </w:t>
      </w:r>
      <w:r w:rsidR="00807878">
        <w:rPr>
          <w:rFonts w:ascii="Times New Roman" w:hAnsi="Times New Roman" w:cs="Times New Roman"/>
        </w:rPr>
        <w:t xml:space="preserve">34 FCC Rcd at 5486-88, </w:t>
      </w:r>
      <w:r w:rsidR="00F57DF7">
        <w:rPr>
          <w:rFonts w:ascii="Times New Roman" w:hAnsi="Times New Roman" w:cs="Times New Roman"/>
        </w:rPr>
        <w:t xml:space="preserve">paras. </w:t>
      </w:r>
      <w:r>
        <w:rPr>
          <w:rFonts w:ascii="Times New Roman" w:hAnsi="Times New Roman" w:cs="Times New Roman"/>
        </w:rPr>
        <w:t>110-112.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121A4A" w14:paraId="0B5C5E41"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50810425" r:id="rId2"/>
      </w:pict>
    </w:r>
    <w:r>
      <w:rPr>
        <w:rFonts w:ascii="CG Times (W1)" w:hAnsi="CG Times (W1)"/>
        <w:sz w:val="28"/>
      </w:rPr>
      <w:t>Federal Communications Commission</w:t>
    </w:r>
  </w:p>
  <w:p w:rsidR="00121A4A" w:rsidP="00121A4A" w14:paraId="71989AC2" w14:textId="77777777">
    <w:pPr>
      <w:jc w:val="center"/>
      <w:rPr>
        <w:rFonts w:ascii="CG Times (W1)" w:hAnsi="CG Times (W1)"/>
        <w:sz w:val="28"/>
      </w:rPr>
    </w:pPr>
    <w:r>
      <w:rPr>
        <w:rFonts w:ascii="CG Times (W1)" w:hAnsi="CG Times (W1)"/>
        <w:sz w:val="28"/>
      </w:rPr>
      <w:t>Washington, D.C. 20554</w:t>
    </w:r>
  </w:p>
  <w:p w:rsidR="00121A4A" w:rsidRPr="003172B5" w:rsidP="00745310" w14:paraId="0675F8B2" w14:textId="16B39F2A">
    <w:pPr>
      <w:tabs>
        <w:tab w:val="left" w:pos="2700"/>
        <w:tab w:val="left" w:pos="2970"/>
      </w:tabs>
      <w:jc w:val="center"/>
      <w:rPr>
        <w:sz w:val="24"/>
        <w:szCs w:val="24"/>
      </w:rPr>
    </w:pPr>
    <w:r>
      <w:rPr>
        <w:rFonts w:ascii="CG Times (W1)" w:hAnsi="CG Times (W1)"/>
        <w:sz w:val="24"/>
        <w:szCs w:val="24"/>
      </w:rPr>
      <w:t>May 13, 2020</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571FD1"/>
    <w:multiLevelType w:val="hybridMultilevel"/>
    <w:tmpl w:val="AD72973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F036D41"/>
    <w:multiLevelType w:val="hybridMultilevel"/>
    <w:tmpl w:val="4364D3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7E06CBB"/>
    <w:multiLevelType w:val="multilevel"/>
    <w:tmpl w:val="64AA2BD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E02B9C"/>
    <w:multiLevelType w:val="hybridMultilevel"/>
    <w:tmpl w:val="5A40ACB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34ED23B2"/>
    <w:multiLevelType w:val="hybridMultilevel"/>
    <w:tmpl w:val="300CBAC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36956D5"/>
    <w:multiLevelType w:val="hybridMultilevel"/>
    <w:tmpl w:val="00F05DC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5AC61BB"/>
    <w:multiLevelType w:val="hybridMultilevel"/>
    <w:tmpl w:val="3126FC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B037B7E"/>
    <w:multiLevelType w:val="hybridMultilevel"/>
    <w:tmpl w:val="07FA565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6"/>
  </w:num>
  <w:num w:numId="3">
    <w:abstractNumId w:val="13"/>
  </w:num>
  <w:num w:numId="4">
    <w:abstractNumId w:val="4"/>
  </w:num>
  <w:num w:numId="5">
    <w:abstractNumId w:val="16"/>
  </w:num>
  <w:num w:numId="6">
    <w:abstractNumId w:val="8"/>
  </w:num>
  <w:num w:numId="7">
    <w:abstractNumId w:val="2"/>
  </w:num>
  <w:num w:numId="8">
    <w:abstractNumId w:val="15"/>
  </w:num>
  <w:num w:numId="9">
    <w:abstractNumId w:val="11"/>
  </w:num>
  <w:num w:numId="10">
    <w:abstractNumId w:val="3"/>
  </w:num>
  <w:num w:numId="11">
    <w:abstractNumId w:val="10"/>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3"/>
    </w:lvlOverride>
  </w:num>
  <w:num w:numId="14">
    <w:abstractNumId w:val="17"/>
  </w:num>
  <w:num w:numId="15">
    <w:abstractNumId w:val="7"/>
  </w:num>
  <w:num w:numId="16">
    <w:abstractNumId w:val="1"/>
  </w:num>
  <w:num w:numId="17">
    <w:abstractNumId w:val="5"/>
  </w:num>
  <w:num w:numId="18">
    <w:abstractNumId w:val="12"/>
  </w:num>
  <w:num w:numId="19">
    <w:abstractNumId w:val="0"/>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0DBD"/>
    <w:rsid w:val="000030DB"/>
    <w:rsid w:val="0000705E"/>
    <w:rsid w:val="00013982"/>
    <w:rsid w:val="0001453A"/>
    <w:rsid w:val="00023E37"/>
    <w:rsid w:val="00025AB0"/>
    <w:rsid w:val="000320CC"/>
    <w:rsid w:val="00034878"/>
    <w:rsid w:val="00041D43"/>
    <w:rsid w:val="000601FD"/>
    <w:rsid w:val="000604D7"/>
    <w:rsid w:val="00066CB4"/>
    <w:rsid w:val="00070436"/>
    <w:rsid w:val="00074CA4"/>
    <w:rsid w:val="00087BBD"/>
    <w:rsid w:val="0009430B"/>
    <w:rsid w:val="000A1EB2"/>
    <w:rsid w:val="000A67D4"/>
    <w:rsid w:val="000B7E9D"/>
    <w:rsid w:val="000C1FA6"/>
    <w:rsid w:val="000D2F0F"/>
    <w:rsid w:val="000D790A"/>
    <w:rsid w:val="000E4E16"/>
    <w:rsid w:val="000F0ABF"/>
    <w:rsid w:val="000F4833"/>
    <w:rsid w:val="000F616D"/>
    <w:rsid w:val="000F7BE7"/>
    <w:rsid w:val="00115515"/>
    <w:rsid w:val="00117B2F"/>
    <w:rsid w:val="00121A4A"/>
    <w:rsid w:val="00131CCC"/>
    <w:rsid w:val="001338B0"/>
    <w:rsid w:val="00133D08"/>
    <w:rsid w:val="00152909"/>
    <w:rsid w:val="001544BD"/>
    <w:rsid w:val="00164B0A"/>
    <w:rsid w:val="00173AB8"/>
    <w:rsid w:val="001743EF"/>
    <w:rsid w:val="001834B4"/>
    <w:rsid w:val="00191172"/>
    <w:rsid w:val="001961AA"/>
    <w:rsid w:val="001A1EAC"/>
    <w:rsid w:val="001D36DA"/>
    <w:rsid w:val="001D6690"/>
    <w:rsid w:val="00217D0E"/>
    <w:rsid w:val="00230205"/>
    <w:rsid w:val="00233B90"/>
    <w:rsid w:val="00235B3B"/>
    <w:rsid w:val="00243CE9"/>
    <w:rsid w:val="00247E1B"/>
    <w:rsid w:val="0025140C"/>
    <w:rsid w:val="0027035F"/>
    <w:rsid w:val="00273DEC"/>
    <w:rsid w:val="00282849"/>
    <w:rsid w:val="00286C75"/>
    <w:rsid w:val="00286EA8"/>
    <w:rsid w:val="00292357"/>
    <w:rsid w:val="002973BD"/>
    <w:rsid w:val="002A57BD"/>
    <w:rsid w:val="002A73FE"/>
    <w:rsid w:val="002B11B3"/>
    <w:rsid w:val="002B45A7"/>
    <w:rsid w:val="002B6FD0"/>
    <w:rsid w:val="002C0359"/>
    <w:rsid w:val="002C1EA9"/>
    <w:rsid w:val="002C28C6"/>
    <w:rsid w:val="002D0DED"/>
    <w:rsid w:val="002D3EE0"/>
    <w:rsid w:val="002F683E"/>
    <w:rsid w:val="002F7376"/>
    <w:rsid w:val="003017A1"/>
    <w:rsid w:val="00312C39"/>
    <w:rsid w:val="003149AB"/>
    <w:rsid w:val="003172B5"/>
    <w:rsid w:val="003205A4"/>
    <w:rsid w:val="00320D58"/>
    <w:rsid w:val="00330480"/>
    <w:rsid w:val="00331EA2"/>
    <w:rsid w:val="003322AF"/>
    <w:rsid w:val="00334EB4"/>
    <w:rsid w:val="003423E5"/>
    <w:rsid w:val="0034659A"/>
    <w:rsid w:val="00350CE8"/>
    <w:rsid w:val="00352B53"/>
    <w:rsid w:val="00363480"/>
    <w:rsid w:val="00364D35"/>
    <w:rsid w:val="00367858"/>
    <w:rsid w:val="003733F4"/>
    <w:rsid w:val="003837F4"/>
    <w:rsid w:val="00397C03"/>
    <w:rsid w:val="003D1B5B"/>
    <w:rsid w:val="003D226E"/>
    <w:rsid w:val="003D2FA7"/>
    <w:rsid w:val="003E1111"/>
    <w:rsid w:val="003E344A"/>
    <w:rsid w:val="003F1DFC"/>
    <w:rsid w:val="003F5CB7"/>
    <w:rsid w:val="004008B8"/>
    <w:rsid w:val="0040311E"/>
    <w:rsid w:val="004126D5"/>
    <w:rsid w:val="00413366"/>
    <w:rsid w:val="0041380C"/>
    <w:rsid w:val="004355EB"/>
    <w:rsid w:val="004620F7"/>
    <w:rsid w:val="00463A2A"/>
    <w:rsid w:val="00472783"/>
    <w:rsid w:val="004740BF"/>
    <w:rsid w:val="004749A4"/>
    <w:rsid w:val="00485B77"/>
    <w:rsid w:val="00491D54"/>
    <w:rsid w:val="00491F77"/>
    <w:rsid w:val="004B6491"/>
    <w:rsid w:val="004B7242"/>
    <w:rsid w:val="004E1366"/>
    <w:rsid w:val="004F22C7"/>
    <w:rsid w:val="004F3108"/>
    <w:rsid w:val="004F68F6"/>
    <w:rsid w:val="005008FB"/>
    <w:rsid w:val="0050544C"/>
    <w:rsid w:val="00507B6B"/>
    <w:rsid w:val="00511023"/>
    <w:rsid w:val="00514667"/>
    <w:rsid w:val="00514895"/>
    <w:rsid w:val="005275C1"/>
    <w:rsid w:val="00527F85"/>
    <w:rsid w:val="005449FD"/>
    <w:rsid w:val="0056612D"/>
    <w:rsid w:val="005717FB"/>
    <w:rsid w:val="005869BB"/>
    <w:rsid w:val="005B3852"/>
    <w:rsid w:val="005C1699"/>
    <w:rsid w:val="005C1817"/>
    <w:rsid w:val="005E70B7"/>
    <w:rsid w:val="005F3F70"/>
    <w:rsid w:val="00610B56"/>
    <w:rsid w:val="006175DB"/>
    <w:rsid w:val="00637613"/>
    <w:rsid w:val="00657EA8"/>
    <w:rsid w:val="00670E0C"/>
    <w:rsid w:val="006731AF"/>
    <w:rsid w:val="00674CCC"/>
    <w:rsid w:val="00677244"/>
    <w:rsid w:val="006800DD"/>
    <w:rsid w:val="0068081E"/>
    <w:rsid w:val="00683C2E"/>
    <w:rsid w:val="00684E13"/>
    <w:rsid w:val="006A0193"/>
    <w:rsid w:val="006A11BA"/>
    <w:rsid w:val="006B4F31"/>
    <w:rsid w:val="006E50A3"/>
    <w:rsid w:val="006E542F"/>
    <w:rsid w:val="006F117F"/>
    <w:rsid w:val="006F2901"/>
    <w:rsid w:val="006F411B"/>
    <w:rsid w:val="00701319"/>
    <w:rsid w:val="00716724"/>
    <w:rsid w:val="00722392"/>
    <w:rsid w:val="007254EC"/>
    <w:rsid w:val="007340C3"/>
    <w:rsid w:val="00734B5A"/>
    <w:rsid w:val="00735330"/>
    <w:rsid w:val="00737C88"/>
    <w:rsid w:val="00740ED6"/>
    <w:rsid w:val="00745310"/>
    <w:rsid w:val="007511BD"/>
    <w:rsid w:val="00760631"/>
    <w:rsid w:val="00765ABD"/>
    <w:rsid w:val="00791348"/>
    <w:rsid w:val="007B7E42"/>
    <w:rsid w:val="007E64DB"/>
    <w:rsid w:val="007F0A80"/>
    <w:rsid w:val="008023D6"/>
    <w:rsid w:val="00807878"/>
    <w:rsid w:val="008104E2"/>
    <w:rsid w:val="008153C6"/>
    <w:rsid w:val="008178D8"/>
    <w:rsid w:val="00820A69"/>
    <w:rsid w:val="00821520"/>
    <w:rsid w:val="00831688"/>
    <w:rsid w:val="0084392B"/>
    <w:rsid w:val="00857778"/>
    <w:rsid w:val="0086117C"/>
    <w:rsid w:val="00864203"/>
    <w:rsid w:val="00872AD4"/>
    <w:rsid w:val="00873F3D"/>
    <w:rsid w:val="008757A5"/>
    <w:rsid w:val="008773DE"/>
    <w:rsid w:val="0089246C"/>
    <w:rsid w:val="008A0E37"/>
    <w:rsid w:val="008C3B06"/>
    <w:rsid w:val="008C47F5"/>
    <w:rsid w:val="008D4AA5"/>
    <w:rsid w:val="008E2841"/>
    <w:rsid w:val="008E3087"/>
    <w:rsid w:val="008F02BA"/>
    <w:rsid w:val="008F546D"/>
    <w:rsid w:val="009110A9"/>
    <w:rsid w:val="0091274D"/>
    <w:rsid w:val="009464B8"/>
    <w:rsid w:val="0095028B"/>
    <w:rsid w:val="0095132F"/>
    <w:rsid w:val="00951C24"/>
    <w:rsid w:val="00972776"/>
    <w:rsid w:val="00972B46"/>
    <w:rsid w:val="009827ED"/>
    <w:rsid w:val="0099511B"/>
    <w:rsid w:val="00996590"/>
    <w:rsid w:val="009A3F1E"/>
    <w:rsid w:val="009A61EC"/>
    <w:rsid w:val="009B3815"/>
    <w:rsid w:val="009B41FC"/>
    <w:rsid w:val="009C5AF7"/>
    <w:rsid w:val="009C7F6E"/>
    <w:rsid w:val="009D486B"/>
    <w:rsid w:val="009E41F4"/>
    <w:rsid w:val="009E5893"/>
    <w:rsid w:val="00A078A5"/>
    <w:rsid w:val="00A175D1"/>
    <w:rsid w:val="00A23AE4"/>
    <w:rsid w:val="00A40340"/>
    <w:rsid w:val="00A422B6"/>
    <w:rsid w:val="00A55458"/>
    <w:rsid w:val="00A665BE"/>
    <w:rsid w:val="00AA34B7"/>
    <w:rsid w:val="00AA7D23"/>
    <w:rsid w:val="00AB1D1E"/>
    <w:rsid w:val="00AB1E95"/>
    <w:rsid w:val="00AC1A95"/>
    <w:rsid w:val="00AC2A68"/>
    <w:rsid w:val="00AC5039"/>
    <w:rsid w:val="00AC6478"/>
    <w:rsid w:val="00AC7811"/>
    <w:rsid w:val="00AD0BD0"/>
    <w:rsid w:val="00AD7A25"/>
    <w:rsid w:val="00AE51A8"/>
    <w:rsid w:val="00AF0D92"/>
    <w:rsid w:val="00B0585E"/>
    <w:rsid w:val="00B06D94"/>
    <w:rsid w:val="00B12C82"/>
    <w:rsid w:val="00B15ED8"/>
    <w:rsid w:val="00B3013C"/>
    <w:rsid w:val="00B47D0B"/>
    <w:rsid w:val="00B53205"/>
    <w:rsid w:val="00B61903"/>
    <w:rsid w:val="00B629FE"/>
    <w:rsid w:val="00B71873"/>
    <w:rsid w:val="00B7401E"/>
    <w:rsid w:val="00B8024D"/>
    <w:rsid w:val="00B81F96"/>
    <w:rsid w:val="00B849ED"/>
    <w:rsid w:val="00B87F2D"/>
    <w:rsid w:val="00BA0E43"/>
    <w:rsid w:val="00BA1697"/>
    <w:rsid w:val="00BB1633"/>
    <w:rsid w:val="00BC188C"/>
    <w:rsid w:val="00BF51F0"/>
    <w:rsid w:val="00C16ABA"/>
    <w:rsid w:val="00C235FA"/>
    <w:rsid w:val="00C27C0E"/>
    <w:rsid w:val="00C37AC8"/>
    <w:rsid w:val="00C419A9"/>
    <w:rsid w:val="00C47CEF"/>
    <w:rsid w:val="00C5062A"/>
    <w:rsid w:val="00C601D3"/>
    <w:rsid w:val="00C67CA7"/>
    <w:rsid w:val="00C727A0"/>
    <w:rsid w:val="00CC1EC9"/>
    <w:rsid w:val="00CC7874"/>
    <w:rsid w:val="00CD2992"/>
    <w:rsid w:val="00CD31CD"/>
    <w:rsid w:val="00CD59E5"/>
    <w:rsid w:val="00CD5DFF"/>
    <w:rsid w:val="00CD624E"/>
    <w:rsid w:val="00CD75E3"/>
    <w:rsid w:val="00D04824"/>
    <w:rsid w:val="00D22104"/>
    <w:rsid w:val="00D3573A"/>
    <w:rsid w:val="00D45898"/>
    <w:rsid w:val="00D4618C"/>
    <w:rsid w:val="00D47DB5"/>
    <w:rsid w:val="00D8160E"/>
    <w:rsid w:val="00D8167A"/>
    <w:rsid w:val="00DA51FF"/>
    <w:rsid w:val="00DA61D2"/>
    <w:rsid w:val="00DA673B"/>
    <w:rsid w:val="00DA6B99"/>
    <w:rsid w:val="00DB2CB1"/>
    <w:rsid w:val="00DB4D1A"/>
    <w:rsid w:val="00DB67A0"/>
    <w:rsid w:val="00DB784D"/>
    <w:rsid w:val="00DC1290"/>
    <w:rsid w:val="00DC5B9C"/>
    <w:rsid w:val="00DD2774"/>
    <w:rsid w:val="00DE567B"/>
    <w:rsid w:val="00DE653F"/>
    <w:rsid w:val="00DF24E2"/>
    <w:rsid w:val="00E02DFF"/>
    <w:rsid w:val="00E07188"/>
    <w:rsid w:val="00E154FC"/>
    <w:rsid w:val="00E2092F"/>
    <w:rsid w:val="00E22EA0"/>
    <w:rsid w:val="00E446F0"/>
    <w:rsid w:val="00E47D90"/>
    <w:rsid w:val="00E5052D"/>
    <w:rsid w:val="00E5315C"/>
    <w:rsid w:val="00E56A46"/>
    <w:rsid w:val="00E921BB"/>
    <w:rsid w:val="00E976EA"/>
    <w:rsid w:val="00E97A21"/>
    <w:rsid w:val="00EA4DD4"/>
    <w:rsid w:val="00EB64E6"/>
    <w:rsid w:val="00EC30F1"/>
    <w:rsid w:val="00EC6CF9"/>
    <w:rsid w:val="00EC723E"/>
    <w:rsid w:val="00ED5EC2"/>
    <w:rsid w:val="00ED619E"/>
    <w:rsid w:val="00ED7745"/>
    <w:rsid w:val="00EF4B82"/>
    <w:rsid w:val="00F0469C"/>
    <w:rsid w:val="00F11E04"/>
    <w:rsid w:val="00F1379B"/>
    <w:rsid w:val="00F2198C"/>
    <w:rsid w:val="00F25963"/>
    <w:rsid w:val="00F346E6"/>
    <w:rsid w:val="00F41273"/>
    <w:rsid w:val="00F426F6"/>
    <w:rsid w:val="00F4281B"/>
    <w:rsid w:val="00F445A1"/>
    <w:rsid w:val="00F4551F"/>
    <w:rsid w:val="00F4578C"/>
    <w:rsid w:val="00F57DF7"/>
    <w:rsid w:val="00F60E84"/>
    <w:rsid w:val="00F75BD2"/>
    <w:rsid w:val="00F83CA4"/>
    <w:rsid w:val="00F83D74"/>
    <w:rsid w:val="00F9502A"/>
    <w:rsid w:val="00FA3DE7"/>
    <w:rsid w:val="00FA5BFF"/>
    <w:rsid w:val="00FA5F3D"/>
    <w:rsid w:val="00FB381A"/>
    <w:rsid w:val="00FB500C"/>
    <w:rsid w:val="00FC7808"/>
    <w:rsid w:val="00FE1469"/>
    <w:rsid w:val="00FE30EB"/>
    <w:rsid w:val="00FE34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7B7E42"/>
    <w:pPr>
      <w:keepNext/>
      <w:widowControl w:val="0"/>
      <w:numPr>
        <w:ilvl w:val="1"/>
        <w:numId w:val="7"/>
      </w:numPr>
      <w:spacing w:after="120" w:line="240" w:lineRule="auto"/>
      <w:outlineLvl w:val="1"/>
    </w:pPr>
    <w:rPr>
      <w:rFonts w:ascii="Times New Roman" w:eastAsia="Times New Roman" w:hAnsi="Times New Roman" w:cs="Times New Roman"/>
      <w:b/>
      <w:iCs/>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uiPriority w:val="99"/>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iPriority w:val="99"/>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7B7E42"/>
    <w:rPr>
      <w:rFonts w:ascii="Times New Roman" w:eastAsia="Times New Roman" w:hAnsi="Times New Roman" w:cs="Times New Roman"/>
      <w:b/>
      <w:iCs/>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1">
    <w:name w:val="Unresolved Mention1"/>
    <w:basedOn w:val="DefaultParagraphFont"/>
    <w:uiPriority w:val="99"/>
    <w:semiHidden/>
    <w:unhideWhenUsed/>
    <w:rsid w:val="00E07188"/>
    <w:rPr>
      <w:color w:val="605E5C"/>
      <w:shd w:val="clear" w:color="auto" w:fill="E1DFDD"/>
    </w:rPr>
  </w:style>
  <w:style w:type="character" w:customStyle="1" w:styleId="UnresolvedMention">
    <w:name w:val="Unresolved Mention"/>
    <w:basedOn w:val="DefaultParagraphFont"/>
    <w:uiPriority w:val="99"/>
    <w:semiHidden/>
    <w:unhideWhenUsed/>
    <w:rsid w:val="00AE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govinfo.gov/content/pkg/FR-2019-10-25/pdf/2019-22511.pdf" TargetMode="External" /><Relationship Id="rId11" Type="http://schemas.openxmlformats.org/officeDocument/2006/relationships/hyperlink" Target="https://docs.fcc.gov/public/attachments/DA-19-1226A1.pdf" TargetMode="External" /><Relationship Id="rId12" Type="http://schemas.openxmlformats.org/officeDocument/2006/relationships/hyperlink" Target="https://docs.fcc.gov/public/attachments/DA-20-18A1.pdf" TargetMode="External" /><Relationship Id="rId13" Type="http://schemas.openxmlformats.org/officeDocument/2006/relationships/header" Target="header3.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http://www.fcc.gov/RuralTribalWindow" TargetMode="External" /><Relationship Id="rId9" Type="http://schemas.openxmlformats.org/officeDocument/2006/relationships/hyperlink" Target="https://docs.fcc.gov/public/attachments/FCC-19-62A1.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