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A2770" w:rsidP="004A2770" w14:paraId="79878F93" w14:textId="77777777">
      <w:pPr>
        <w:jc w:val="center"/>
        <w:rPr>
          <w:b/>
        </w:rPr>
      </w:pPr>
      <w:r w:rsidRPr="0070224F">
        <w:rPr>
          <w:rFonts w:ascii="Times New Roman Bold" w:hAnsi="Times New Roman Bold"/>
          <w:b/>
          <w:kern w:val="0"/>
          <w:szCs w:val="22"/>
        </w:rPr>
        <w:t>Before</w:t>
      </w:r>
      <w:r>
        <w:rPr>
          <w:b/>
        </w:rPr>
        <w:t xml:space="preserve"> the</w:t>
      </w:r>
    </w:p>
    <w:p w:rsidR="004A2770" w:rsidP="004A2770" w14:paraId="609BE805" w14:textId="77777777">
      <w:pPr>
        <w:pStyle w:val="StyleBoldCentered"/>
      </w:pPr>
      <w:r>
        <w:t>F</w:t>
      </w:r>
      <w:r>
        <w:rPr>
          <w:caps w:val="0"/>
        </w:rPr>
        <w:t>ederal Communications Commission</w:t>
      </w:r>
    </w:p>
    <w:p w:rsidR="004A2770" w:rsidP="004A2770" w14:paraId="5820FE21" w14:textId="77777777">
      <w:pPr>
        <w:pStyle w:val="StyleBoldCentered"/>
      </w:pPr>
      <w:r>
        <w:rPr>
          <w:caps w:val="0"/>
        </w:rPr>
        <w:t>Washington, D.C. 20554</w:t>
      </w:r>
    </w:p>
    <w:p w:rsidR="004A2770" w:rsidP="004A2770" w14:paraId="04C20A90" w14:textId="77777777"/>
    <w:p w:rsidR="004A2770" w:rsidP="004A2770" w14:paraId="231BF03C" w14:textId="77777777"/>
    <w:tbl>
      <w:tblPr>
        <w:tblW w:w="0" w:type="auto"/>
        <w:tblLayout w:type="fixed"/>
        <w:tblLook w:val="0000"/>
      </w:tblPr>
      <w:tblGrid>
        <w:gridCol w:w="4698"/>
        <w:gridCol w:w="630"/>
        <w:gridCol w:w="4248"/>
      </w:tblGrid>
      <w:tr w14:paraId="7F3A5181" w14:textId="77777777" w:rsidTr="00BB2537">
        <w:tblPrEx>
          <w:tblW w:w="0" w:type="auto"/>
          <w:tblLayout w:type="fixed"/>
          <w:tblLook w:val="0000"/>
        </w:tblPrEx>
        <w:tc>
          <w:tcPr>
            <w:tcW w:w="4698" w:type="dxa"/>
          </w:tcPr>
          <w:p w:rsidR="004A2770" w:rsidP="00BB2537" w14:paraId="01DBF0F0" w14:textId="77777777">
            <w:pPr>
              <w:tabs>
                <w:tab w:val="center" w:pos="4680"/>
              </w:tabs>
              <w:suppressAutoHyphens/>
              <w:rPr>
                <w:spacing w:val="-2"/>
              </w:rPr>
            </w:pPr>
            <w:r>
              <w:rPr>
                <w:spacing w:val="-2"/>
              </w:rPr>
              <w:t>In the Matter of</w:t>
            </w:r>
          </w:p>
          <w:p w:rsidR="004A2770" w:rsidP="00BB2537" w14:paraId="6DB6D112" w14:textId="77777777">
            <w:pPr>
              <w:tabs>
                <w:tab w:val="center" w:pos="4680"/>
              </w:tabs>
              <w:suppressAutoHyphens/>
              <w:rPr>
                <w:spacing w:val="-2"/>
              </w:rPr>
            </w:pPr>
          </w:p>
          <w:p w:rsidR="00064939" w:rsidP="00BB2537" w14:paraId="197F8DFD" w14:textId="77777777">
            <w:pPr>
              <w:tabs>
                <w:tab w:val="center" w:pos="4680"/>
              </w:tabs>
              <w:suppressAutoHyphens/>
              <w:rPr>
                <w:spacing w:val="-2"/>
              </w:rPr>
            </w:pPr>
            <w:r>
              <w:rPr>
                <w:spacing w:val="-2"/>
              </w:rPr>
              <w:t xml:space="preserve">Pre-Filing Announcement Requirements </w:t>
            </w:r>
          </w:p>
          <w:p w:rsidR="004A2770" w:rsidRPr="007115F7" w:rsidP="00BB2537" w14:paraId="4D76E36C" w14:textId="77777777">
            <w:pPr>
              <w:tabs>
                <w:tab w:val="center" w:pos="4680"/>
              </w:tabs>
              <w:suppressAutoHyphens/>
              <w:rPr>
                <w:spacing w:val="-2"/>
              </w:rPr>
            </w:pPr>
            <w:r>
              <w:rPr>
                <w:spacing w:val="-2"/>
              </w:rPr>
              <w:t>2020</w:t>
            </w:r>
            <w:r w:rsidR="000537AF">
              <w:rPr>
                <w:spacing w:val="-2"/>
              </w:rPr>
              <w:t>-2023</w:t>
            </w:r>
            <w:r>
              <w:rPr>
                <w:spacing w:val="-2"/>
              </w:rPr>
              <w:t xml:space="preserve"> </w:t>
            </w:r>
            <w:r w:rsidR="002C2F80">
              <w:rPr>
                <w:spacing w:val="-2"/>
              </w:rPr>
              <w:t>Renewal Applications</w:t>
            </w:r>
            <w:r w:rsidR="004706BB">
              <w:rPr>
                <w:spacing w:val="-2"/>
              </w:rPr>
              <w:t xml:space="preserve"> </w:t>
            </w:r>
          </w:p>
        </w:tc>
        <w:tc>
          <w:tcPr>
            <w:tcW w:w="630" w:type="dxa"/>
          </w:tcPr>
          <w:p w:rsidR="004A2770" w:rsidP="00BB2537" w14:paraId="64FF8F22" w14:textId="77777777">
            <w:pPr>
              <w:tabs>
                <w:tab w:val="center" w:pos="4680"/>
              </w:tabs>
              <w:suppressAutoHyphens/>
              <w:rPr>
                <w:b/>
                <w:spacing w:val="-2"/>
              </w:rPr>
            </w:pPr>
            <w:r>
              <w:rPr>
                <w:b/>
                <w:spacing w:val="-2"/>
              </w:rPr>
              <w:t>)</w:t>
            </w:r>
          </w:p>
          <w:p w:rsidR="004A2770" w:rsidP="00BB2537" w14:paraId="3B22F095" w14:textId="77777777">
            <w:pPr>
              <w:tabs>
                <w:tab w:val="center" w:pos="4680"/>
              </w:tabs>
              <w:suppressAutoHyphens/>
              <w:rPr>
                <w:b/>
                <w:spacing w:val="-2"/>
              </w:rPr>
            </w:pPr>
            <w:r>
              <w:rPr>
                <w:b/>
                <w:spacing w:val="-2"/>
              </w:rPr>
              <w:t>)</w:t>
            </w:r>
          </w:p>
          <w:p w:rsidR="004A2770" w:rsidP="00BB2537" w14:paraId="467446D1" w14:textId="77777777">
            <w:pPr>
              <w:tabs>
                <w:tab w:val="center" w:pos="4680"/>
              </w:tabs>
              <w:suppressAutoHyphens/>
              <w:rPr>
                <w:b/>
                <w:spacing w:val="-2"/>
              </w:rPr>
            </w:pPr>
            <w:r>
              <w:rPr>
                <w:b/>
                <w:spacing w:val="-2"/>
              </w:rPr>
              <w:t>)</w:t>
            </w:r>
          </w:p>
          <w:p w:rsidR="004A2770" w:rsidRPr="0022500F" w:rsidP="00BB2537" w14:paraId="75CD8CB9" w14:textId="77777777">
            <w:pPr>
              <w:tabs>
                <w:tab w:val="center" w:pos="4680"/>
              </w:tabs>
              <w:suppressAutoHyphens/>
              <w:rPr>
                <w:b/>
                <w:spacing w:val="-2"/>
              </w:rPr>
            </w:pPr>
            <w:r>
              <w:rPr>
                <w:b/>
                <w:spacing w:val="-2"/>
              </w:rPr>
              <w:t>)</w:t>
            </w:r>
          </w:p>
        </w:tc>
        <w:tc>
          <w:tcPr>
            <w:tcW w:w="4248" w:type="dxa"/>
          </w:tcPr>
          <w:p w:rsidR="004A2770" w:rsidP="00BB2537" w14:paraId="699C9C60" w14:textId="77777777">
            <w:pPr>
              <w:tabs>
                <w:tab w:val="center" w:pos="4680"/>
              </w:tabs>
              <w:suppressAutoHyphens/>
              <w:rPr>
                <w:spacing w:val="-2"/>
              </w:rPr>
            </w:pPr>
          </w:p>
          <w:p w:rsidR="004A2770" w:rsidP="00BB2537" w14:paraId="382802CA" w14:textId="77777777">
            <w:pPr>
              <w:pStyle w:val="TOAHeading"/>
              <w:tabs>
                <w:tab w:val="center" w:pos="4680"/>
                <w:tab w:val="clear" w:pos="9360"/>
              </w:tabs>
              <w:rPr>
                <w:spacing w:val="-2"/>
              </w:rPr>
            </w:pPr>
          </w:p>
          <w:p w:rsidR="004A2770" w:rsidP="00BB2537" w14:paraId="71FFD925" w14:textId="77777777">
            <w:pPr>
              <w:tabs>
                <w:tab w:val="center" w:pos="4680"/>
              </w:tabs>
              <w:suppressAutoHyphens/>
              <w:rPr>
                <w:spacing w:val="-2"/>
              </w:rPr>
            </w:pPr>
          </w:p>
        </w:tc>
      </w:tr>
    </w:tbl>
    <w:p w:rsidR="004A2770" w:rsidP="004A2770" w14:paraId="7B55C5CF" w14:textId="77777777"/>
    <w:p w:rsidR="004A2770" w:rsidP="004A2770" w14:paraId="24929175" w14:textId="77777777">
      <w:pPr>
        <w:pStyle w:val="StyleBoldCentered"/>
      </w:pPr>
      <w:r>
        <w:t>Order</w:t>
      </w:r>
    </w:p>
    <w:p w:rsidR="004A2770" w:rsidP="004A2770" w14:paraId="25E307B4" w14:textId="77777777">
      <w:pPr>
        <w:tabs>
          <w:tab w:val="left" w:pos="-720"/>
        </w:tabs>
        <w:suppressAutoHyphens/>
        <w:spacing w:line="227" w:lineRule="auto"/>
        <w:rPr>
          <w:spacing w:val="-2"/>
        </w:rPr>
      </w:pPr>
    </w:p>
    <w:p w:rsidR="004A2770" w:rsidP="004A2770" w14:paraId="11AB41D6" w14:textId="5BE81A29">
      <w:pPr>
        <w:tabs>
          <w:tab w:val="left" w:pos="720"/>
          <w:tab w:val="right" w:pos="9360"/>
        </w:tabs>
        <w:suppressAutoHyphens/>
        <w:spacing w:line="227" w:lineRule="auto"/>
        <w:rPr>
          <w:spacing w:val="-2"/>
        </w:rPr>
      </w:pPr>
      <w:r>
        <w:rPr>
          <w:b/>
          <w:spacing w:val="-2"/>
        </w:rPr>
        <w:t xml:space="preserve">Adopted:  </w:t>
      </w:r>
      <w:r w:rsidR="000537AF">
        <w:rPr>
          <w:b/>
          <w:spacing w:val="-2"/>
        </w:rPr>
        <w:t xml:space="preserve">May </w:t>
      </w:r>
      <w:r w:rsidR="0099736B">
        <w:rPr>
          <w:b/>
          <w:spacing w:val="-2"/>
        </w:rPr>
        <w:t>13</w:t>
      </w:r>
      <w:r>
        <w:rPr>
          <w:b/>
          <w:spacing w:val="-2"/>
        </w:rPr>
        <w:t>, 2020</w:t>
      </w:r>
      <w:r>
        <w:rPr>
          <w:b/>
          <w:spacing w:val="-2"/>
        </w:rPr>
        <w:tab/>
        <w:t xml:space="preserve">Released:  </w:t>
      </w:r>
      <w:r w:rsidR="000537AF">
        <w:rPr>
          <w:b/>
          <w:spacing w:val="-2"/>
        </w:rPr>
        <w:t xml:space="preserve">May </w:t>
      </w:r>
      <w:r w:rsidR="0099736B">
        <w:rPr>
          <w:b/>
          <w:spacing w:val="-2"/>
        </w:rPr>
        <w:t>13</w:t>
      </w:r>
      <w:r w:rsidR="00AD14C0">
        <w:rPr>
          <w:b/>
          <w:spacing w:val="-2"/>
        </w:rPr>
        <w:t>, 2020</w:t>
      </w:r>
    </w:p>
    <w:p w:rsidR="004A2770" w:rsidP="004A2770" w14:paraId="7209601E" w14:textId="77777777"/>
    <w:p w:rsidR="004A2770" w:rsidRPr="00384EA4" w:rsidP="004A2770" w14:paraId="6CB953A2" w14:textId="77777777">
      <w:pPr>
        <w:rPr>
          <w:spacing w:val="-2"/>
          <w:szCs w:val="22"/>
        </w:rPr>
      </w:pPr>
      <w:r w:rsidRPr="00384EA4">
        <w:rPr>
          <w:szCs w:val="22"/>
        </w:rPr>
        <w:t xml:space="preserve">By the Chief, </w:t>
      </w:r>
      <w:r w:rsidRPr="00384EA4" w:rsidR="0074065A">
        <w:rPr>
          <w:spacing w:val="-2"/>
          <w:szCs w:val="22"/>
        </w:rPr>
        <w:t>Media</w:t>
      </w:r>
      <w:r w:rsidRPr="00384EA4">
        <w:rPr>
          <w:spacing w:val="-2"/>
          <w:szCs w:val="22"/>
        </w:rPr>
        <w:t xml:space="preserve"> Bureau:</w:t>
      </w:r>
    </w:p>
    <w:p w:rsidR="004A2770" w:rsidRPr="00384EA4" w:rsidP="004A2770" w14:paraId="1CCA6E0E" w14:textId="77777777">
      <w:pPr>
        <w:rPr>
          <w:spacing w:val="-2"/>
          <w:szCs w:val="22"/>
        </w:rPr>
      </w:pPr>
    </w:p>
    <w:p w:rsidR="00CC1332" w:rsidRPr="00384EA4" w:rsidP="00B87D3F" w14:paraId="1CECE0D6" w14:textId="7AA155FA">
      <w:pPr>
        <w:pStyle w:val="ParaNum"/>
        <w:tabs>
          <w:tab w:val="clear" w:pos="1080"/>
          <w:tab w:val="num" w:pos="1440"/>
        </w:tabs>
        <w:rPr>
          <w:szCs w:val="22"/>
        </w:rPr>
      </w:pPr>
      <w:r>
        <w:rPr>
          <w:szCs w:val="22"/>
        </w:rPr>
        <w:t>In this Order, t</w:t>
      </w:r>
      <w:r w:rsidRPr="00384EA4" w:rsidR="00B87D3F">
        <w:rPr>
          <w:szCs w:val="22"/>
        </w:rPr>
        <w:t xml:space="preserve">he Media Bureau </w:t>
      </w:r>
      <w:r w:rsidR="002462E6">
        <w:rPr>
          <w:szCs w:val="22"/>
        </w:rPr>
        <w:t xml:space="preserve">(Bureau) </w:t>
      </w:r>
      <w:r>
        <w:rPr>
          <w:szCs w:val="22"/>
        </w:rPr>
        <w:t>waives the requirement</w:t>
      </w:r>
      <w:r w:rsidRPr="00384EA4" w:rsidR="00B87D3F">
        <w:rPr>
          <w:szCs w:val="22"/>
        </w:rPr>
        <w:t xml:space="preserve"> that </w:t>
      </w:r>
      <w:r w:rsidRPr="00384EA4" w:rsidR="00BB68B9">
        <w:rPr>
          <w:szCs w:val="22"/>
        </w:rPr>
        <w:t xml:space="preserve">broadcast stations </w:t>
      </w:r>
      <w:r>
        <w:rPr>
          <w:szCs w:val="22"/>
        </w:rPr>
        <w:t>scheduled</w:t>
      </w:r>
      <w:r w:rsidRPr="00384EA4" w:rsidR="00BB68B9">
        <w:rPr>
          <w:szCs w:val="22"/>
        </w:rPr>
        <w:t xml:space="preserve"> to file an application for renewal </w:t>
      </w:r>
      <w:r w:rsidRPr="00384EA4" w:rsidR="00595D92">
        <w:rPr>
          <w:szCs w:val="22"/>
        </w:rPr>
        <w:t xml:space="preserve">of license </w:t>
      </w:r>
      <w:r w:rsidR="000537AF">
        <w:rPr>
          <w:szCs w:val="22"/>
        </w:rPr>
        <w:t xml:space="preserve">for the remainder of the 2019-2023 renewal cycle </w:t>
      </w:r>
      <w:r w:rsidRPr="00384EA4" w:rsidR="000537AF">
        <w:rPr>
          <w:szCs w:val="22"/>
        </w:rPr>
        <w:t>comply with pre-filing announcements, pursuant to sections 73.3580(d)(4)(</w:t>
      </w:r>
      <w:r w:rsidRPr="00384EA4" w:rsidR="000537AF">
        <w:rPr>
          <w:szCs w:val="22"/>
        </w:rPr>
        <w:t>i</w:t>
      </w:r>
      <w:r w:rsidRPr="00384EA4" w:rsidR="000537AF">
        <w:rPr>
          <w:szCs w:val="22"/>
        </w:rPr>
        <w:t>) and 73.3580(d)(5)(</w:t>
      </w:r>
      <w:r w:rsidRPr="00384EA4" w:rsidR="000537AF">
        <w:rPr>
          <w:szCs w:val="22"/>
        </w:rPr>
        <w:t>i</w:t>
      </w:r>
      <w:r w:rsidRPr="00384EA4" w:rsidR="000537AF">
        <w:rPr>
          <w:szCs w:val="22"/>
        </w:rPr>
        <w:t>)(A) of the Commission’s rules.</w:t>
      </w:r>
      <w:r>
        <w:rPr>
          <w:rStyle w:val="FootnoteReference"/>
          <w:sz w:val="22"/>
          <w:szCs w:val="22"/>
        </w:rPr>
        <w:footnoteReference w:id="3"/>
      </w:r>
      <w:r w:rsidRPr="00384EA4" w:rsidR="000537AF">
        <w:rPr>
          <w:szCs w:val="22"/>
        </w:rPr>
        <w:t xml:space="preserve">  </w:t>
      </w:r>
      <w:r w:rsidR="000537AF">
        <w:rPr>
          <w:szCs w:val="22"/>
        </w:rPr>
        <w:t xml:space="preserve">This waiver shall be in effect beginning with those applicants filing radio or television license renewal applications </w:t>
      </w:r>
      <w:r w:rsidRPr="00384EA4" w:rsidR="00595D92">
        <w:rPr>
          <w:szCs w:val="22"/>
        </w:rPr>
        <w:t>on</w:t>
      </w:r>
      <w:r w:rsidRPr="00384EA4" w:rsidR="00BB68B9">
        <w:rPr>
          <w:szCs w:val="22"/>
        </w:rPr>
        <w:t xml:space="preserve"> </w:t>
      </w:r>
      <w:r w:rsidR="000537AF">
        <w:rPr>
          <w:szCs w:val="22"/>
        </w:rPr>
        <w:t>August 3</w:t>
      </w:r>
      <w:r w:rsidRPr="00384EA4" w:rsidR="00BB68B9">
        <w:rPr>
          <w:szCs w:val="22"/>
        </w:rPr>
        <w:t xml:space="preserve">, 2020, </w:t>
      </w:r>
      <w:r w:rsidR="000537AF">
        <w:rPr>
          <w:szCs w:val="22"/>
        </w:rPr>
        <w:t xml:space="preserve">and continuing </w:t>
      </w:r>
      <w:r w:rsidR="006C33AA">
        <w:rPr>
          <w:szCs w:val="22"/>
        </w:rPr>
        <w:t>until new rules eliminating pre-filing announcements take effect</w:t>
      </w:r>
      <w:r w:rsidR="000537AF">
        <w:rPr>
          <w:szCs w:val="22"/>
        </w:rPr>
        <w:t>.</w:t>
      </w:r>
      <w:r>
        <w:rPr>
          <w:rStyle w:val="FootnoteReference"/>
          <w:szCs w:val="22"/>
        </w:rPr>
        <w:footnoteReference w:id="4"/>
      </w:r>
      <w:r w:rsidR="000537AF">
        <w:rPr>
          <w:szCs w:val="22"/>
        </w:rPr>
        <w:t xml:space="preserve">  </w:t>
      </w:r>
      <w:r w:rsidRPr="00384EA4" w:rsidR="00B87D3F">
        <w:rPr>
          <w:szCs w:val="22"/>
        </w:rPr>
        <w:t xml:space="preserve">This </w:t>
      </w:r>
      <w:r w:rsidRPr="00384EA4" w:rsidR="004E5663">
        <w:rPr>
          <w:szCs w:val="22"/>
        </w:rPr>
        <w:t>Order</w:t>
      </w:r>
      <w:r w:rsidRPr="00384EA4" w:rsidR="00B87D3F">
        <w:rPr>
          <w:szCs w:val="22"/>
        </w:rPr>
        <w:t xml:space="preserve"> will alleviate administrative and compliance burdens on broadcast stations, enabling an increase in the broadcast of public service announcements and other coverage relating to the novel coronavirus (COVID</w:t>
      </w:r>
      <w:r>
        <w:rPr>
          <w:szCs w:val="22"/>
        </w:rPr>
        <w:noBreakHyphen/>
      </w:r>
      <w:r w:rsidRPr="00384EA4" w:rsidR="00B87D3F">
        <w:rPr>
          <w:szCs w:val="22"/>
        </w:rPr>
        <w:t>19) pandemic</w:t>
      </w:r>
      <w:r w:rsidR="006C33AA">
        <w:rPr>
          <w:szCs w:val="22"/>
        </w:rPr>
        <w:t xml:space="preserve">, until </w:t>
      </w:r>
      <w:r w:rsidR="00CF6FDD">
        <w:rPr>
          <w:szCs w:val="22"/>
        </w:rPr>
        <w:t xml:space="preserve">the </w:t>
      </w:r>
      <w:r w:rsidR="006C33AA">
        <w:rPr>
          <w:szCs w:val="22"/>
        </w:rPr>
        <w:t>new rules adopted May 12, 2020, take effect</w:t>
      </w:r>
      <w:r w:rsidRPr="00384EA4" w:rsidR="00B87D3F">
        <w:rPr>
          <w:szCs w:val="22"/>
        </w:rPr>
        <w:t>.</w:t>
      </w:r>
      <w:r>
        <w:rPr>
          <w:rStyle w:val="FootnoteReference"/>
          <w:szCs w:val="22"/>
        </w:rPr>
        <w:footnoteReference w:id="5"/>
      </w:r>
    </w:p>
    <w:p w:rsidR="004C328D" w:rsidRPr="00384EA4" w:rsidP="00595D92" w14:paraId="467A2BBD" w14:textId="18D41332">
      <w:pPr>
        <w:pStyle w:val="ParaNum"/>
        <w:tabs>
          <w:tab w:val="clear" w:pos="1080"/>
          <w:tab w:val="num" w:pos="1440"/>
        </w:tabs>
        <w:rPr>
          <w:szCs w:val="22"/>
        </w:rPr>
      </w:pPr>
      <w:r>
        <w:rPr>
          <w:szCs w:val="22"/>
        </w:rPr>
        <w:t xml:space="preserve">In the </w:t>
      </w:r>
      <w:r w:rsidRPr="002462E6">
        <w:rPr>
          <w:i/>
          <w:iCs/>
          <w:szCs w:val="22"/>
        </w:rPr>
        <w:t>April Waiver Order</w:t>
      </w:r>
      <w:r>
        <w:rPr>
          <w:szCs w:val="22"/>
        </w:rPr>
        <w:t>, we stated we would continue to monitor the status of the COVID-19 outbreak to determine whether further relief is warranted.</w:t>
      </w:r>
      <w:r>
        <w:rPr>
          <w:rStyle w:val="FootnoteReference"/>
          <w:szCs w:val="22"/>
        </w:rPr>
        <w:footnoteReference w:id="6"/>
      </w:r>
      <w:r>
        <w:rPr>
          <w:szCs w:val="22"/>
        </w:rPr>
        <w:t xml:space="preserve">   Based on our ongoing monitoring, we have determined that further relief is warranted.  </w:t>
      </w:r>
      <w:r w:rsidRPr="00384EA4" w:rsidR="002C2F80">
        <w:rPr>
          <w:szCs w:val="22"/>
        </w:rPr>
        <w:t xml:space="preserve">While the </w:t>
      </w:r>
      <w:r>
        <w:rPr>
          <w:szCs w:val="22"/>
        </w:rPr>
        <w:t xml:space="preserve">elimination of pre-filing announcements adopted in the </w:t>
      </w:r>
      <w:r w:rsidRPr="001461C5">
        <w:rPr>
          <w:i/>
          <w:iCs/>
          <w:szCs w:val="22"/>
        </w:rPr>
        <w:t>Public Notice Second R&amp;O</w:t>
      </w:r>
      <w:r>
        <w:rPr>
          <w:szCs w:val="22"/>
        </w:rPr>
        <w:t xml:space="preserve"> has</w:t>
      </w:r>
      <w:r w:rsidR="006C33AA">
        <w:rPr>
          <w:szCs w:val="22"/>
        </w:rPr>
        <w:t xml:space="preserve"> not yet taken effect,</w:t>
      </w:r>
      <w:r>
        <w:rPr>
          <w:szCs w:val="22"/>
          <w:vertAlign w:val="superscript"/>
        </w:rPr>
        <w:footnoteReference w:id="7"/>
      </w:r>
      <w:r w:rsidRPr="00384EA4">
        <w:rPr>
          <w:szCs w:val="22"/>
        </w:rPr>
        <w:t xml:space="preserve"> </w:t>
      </w:r>
      <w:r w:rsidR="006C33AA">
        <w:rPr>
          <w:szCs w:val="22"/>
        </w:rPr>
        <w:t xml:space="preserve"> g</w:t>
      </w:r>
      <w:r w:rsidRPr="00384EA4" w:rsidR="002C2F80">
        <w:rPr>
          <w:szCs w:val="22"/>
        </w:rPr>
        <w:t xml:space="preserve">iven the </w:t>
      </w:r>
      <w:r>
        <w:rPr>
          <w:szCs w:val="22"/>
        </w:rPr>
        <w:t xml:space="preserve">continuing </w:t>
      </w:r>
      <w:r w:rsidRPr="00384EA4" w:rsidR="002C2F80">
        <w:rPr>
          <w:szCs w:val="22"/>
        </w:rPr>
        <w:t xml:space="preserve">disruptions caused by COVID-19, including the significant loss of advertising revenue and the need to cover breaking news and </w:t>
      </w:r>
      <w:r w:rsidR="0078595E">
        <w:rPr>
          <w:szCs w:val="22"/>
        </w:rPr>
        <w:t xml:space="preserve">air </w:t>
      </w:r>
      <w:r w:rsidRPr="00384EA4" w:rsidR="002C2F80">
        <w:rPr>
          <w:szCs w:val="22"/>
        </w:rPr>
        <w:t>public service announcements relating to the pandemic, the Bureau has determined that good cause exists to relieve stations of the burden of scheduling and airing pre-filing announcements of their renewal applications</w:t>
      </w:r>
      <w:r w:rsidR="006C33AA">
        <w:rPr>
          <w:szCs w:val="22"/>
        </w:rPr>
        <w:t xml:space="preserve"> until the new rules go into effect</w:t>
      </w:r>
      <w:r w:rsidRPr="00384EA4" w:rsidR="002C2F80">
        <w:rPr>
          <w:szCs w:val="22"/>
        </w:rPr>
        <w:t xml:space="preserve">, so </w:t>
      </w:r>
      <w:r w:rsidR="006C33AA">
        <w:rPr>
          <w:szCs w:val="22"/>
        </w:rPr>
        <w:t>such stations</w:t>
      </w:r>
      <w:r w:rsidRPr="00384EA4" w:rsidR="002C2F80">
        <w:rPr>
          <w:szCs w:val="22"/>
        </w:rPr>
        <w:t xml:space="preserve"> may </w:t>
      </w:r>
      <w:r w:rsidR="00236895">
        <w:rPr>
          <w:szCs w:val="22"/>
        </w:rPr>
        <w:t>focus on keeping the public informed of developments concerning</w:t>
      </w:r>
      <w:r w:rsidRPr="00384EA4" w:rsidR="002C2F80">
        <w:rPr>
          <w:szCs w:val="22"/>
        </w:rPr>
        <w:t xml:space="preserve"> the COVID-19 outbreak.</w:t>
      </w:r>
    </w:p>
    <w:p w:rsidR="00E53189" w:rsidRPr="00384EA4" w:rsidP="00CF6FDD" w14:paraId="57ECBBC3" w14:textId="4B63391D">
      <w:pPr>
        <w:pStyle w:val="ParaNum"/>
        <w:tabs>
          <w:tab w:val="clear" w:pos="1080"/>
          <w:tab w:val="num" w:pos="1440"/>
        </w:tabs>
        <w:rPr>
          <w:szCs w:val="22"/>
        </w:rPr>
      </w:pPr>
      <w:r w:rsidRPr="00384EA4">
        <w:rPr>
          <w:szCs w:val="22"/>
        </w:rPr>
        <w:t xml:space="preserve">This </w:t>
      </w:r>
      <w:r w:rsidR="009C409A">
        <w:rPr>
          <w:szCs w:val="22"/>
        </w:rPr>
        <w:t>Order</w:t>
      </w:r>
      <w:r w:rsidRPr="00384EA4">
        <w:rPr>
          <w:szCs w:val="22"/>
        </w:rPr>
        <w:t xml:space="preserve"> applies </w:t>
      </w:r>
      <w:r w:rsidR="006C33AA">
        <w:rPr>
          <w:szCs w:val="22"/>
        </w:rPr>
        <w:t>to all</w:t>
      </w:r>
      <w:r w:rsidRPr="00384EA4">
        <w:rPr>
          <w:szCs w:val="22"/>
        </w:rPr>
        <w:t xml:space="preserve"> broadcast licensees whose licenses expire on </w:t>
      </w:r>
      <w:r w:rsidR="006C33AA">
        <w:rPr>
          <w:szCs w:val="22"/>
        </w:rPr>
        <w:t>December</w:t>
      </w:r>
      <w:r w:rsidRPr="00384EA4">
        <w:rPr>
          <w:szCs w:val="22"/>
        </w:rPr>
        <w:t xml:space="preserve"> 1, 2020,</w:t>
      </w:r>
      <w:r w:rsidR="006C33AA">
        <w:rPr>
          <w:szCs w:val="22"/>
        </w:rPr>
        <w:t xml:space="preserve"> and thereafter,</w:t>
      </w:r>
      <w:r w:rsidRPr="00384EA4">
        <w:rPr>
          <w:szCs w:val="22"/>
        </w:rPr>
        <w:t xml:space="preserve"> with renewal applications to be filed by </w:t>
      </w:r>
      <w:r w:rsidR="006C33AA">
        <w:rPr>
          <w:szCs w:val="22"/>
        </w:rPr>
        <w:t>August 3</w:t>
      </w:r>
      <w:r w:rsidRPr="00384EA4">
        <w:rPr>
          <w:szCs w:val="22"/>
        </w:rPr>
        <w:t>, 2020</w:t>
      </w:r>
      <w:r w:rsidR="006C33AA">
        <w:rPr>
          <w:szCs w:val="22"/>
        </w:rPr>
        <w:t>, and thereafter</w:t>
      </w:r>
      <w:r w:rsidRPr="00384EA4">
        <w:rPr>
          <w:szCs w:val="22"/>
        </w:rPr>
        <w:t>.</w:t>
      </w:r>
      <w:r w:rsidR="002462E6">
        <w:rPr>
          <w:szCs w:val="22"/>
        </w:rPr>
        <w:t xml:space="preserve">  </w:t>
      </w:r>
      <w:r w:rsidRPr="00384EA4" w:rsidR="009F037D">
        <w:rPr>
          <w:szCs w:val="22"/>
        </w:rPr>
        <w:t xml:space="preserve">Broadcasters should </w:t>
      </w:r>
      <w:r w:rsidR="009F037D">
        <w:rPr>
          <w:szCs w:val="22"/>
        </w:rPr>
        <w:t xml:space="preserve">also </w:t>
      </w:r>
      <w:r w:rsidRPr="00384EA4" w:rsidR="009F037D">
        <w:rPr>
          <w:szCs w:val="22"/>
        </w:rPr>
        <w:t xml:space="preserve">note that this </w:t>
      </w:r>
      <w:r w:rsidR="009F037D">
        <w:rPr>
          <w:szCs w:val="22"/>
        </w:rPr>
        <w:t>Order</w:t>
      </w:r>
      <w:r w:rsidRPr="00384EA4" w:rsidR="009F037D">
        <w:rPr>
          <w:szCs w:val="22"/>
        </w:rPr>
        <w:t xml:space="preserve"> does not apply to required post-filing announcements under sections </w:t>
      </w:r>
      <w:r w:rsidRPr="00384EA4" w:rsidR="009F037D">
        <w:rPr>
          <w:szCs w:val="22"/>
        </w:rPr>
        <w:t>73.3580(d)(4) and (d)(5)(</w:t>
      </w:r>
      <w:r w:rsidRPr="00384EA4" w:rsidR="009F037D">
        <w:rPr>
          <w:szCs w:val="22"/>
        </w:rPr>
        <w:t>i</w:t>
      </w:r>
      <w:r w:rsidRPr="00384EA4" w:rsidR="009F037D">
        <w:rPr>
          <w:szCs w:val="22"/>
        </w:rPr>
        <w:t>)(B) of the rules</w:t>
      </w:r>
      <w:r w:rsidR="009F037D">
        <w:rPr>
          <w:szCs w:val="22"/>
        </w:rPr>
        <w:t>,</w:t>
      </w:r>
      <w:r>
        <w:rPr>
          <w:rStyle w:val="FootnoteReference"/>
          <w:sz w:val="22"/>
          <w:szCs w:val="22"/>
        </w:rPr>
        <w:footnoteReference w:id="8"/>
      </w:r>
      <w:r w:rsidR="009F037D">
        <w:rPr>
          <w:szCs w:val="22"/>
        </w:rPr>
        <w:t xml:space="preserve"> or to required announcements under the rules adopted in the </w:t>
      </w:r>
      <w:r w:rsidRPr="00C22A50" w:rsidR="009F037D">
        <w:rPr>
          <w:i/>
          <w:iCs/>
          <w:szCs w:val="22"/>
        </w:rPr>
        <w:t>Public Notice Second R&amp;O</w:t>
      </w:r>
      <w:r w:rsidR="009F037D">
        <w:rPr>
          <w:szCs w:val="22"/>
        </w:rPr>
        <w:t xml:space="preserve"> when those rules become effective.</w:t>
      </w:r>
      <w:r>
        <w:rPr>
          <w:rStyle w:val="FootnoteReference"/>
          <w:szCs w:val="22"/>
        </w:rPr>
        <w:footnoteReference w:id="9"/>
      </w:r>
    </w:p>
    <w:p w:rsidR="001C3E27" w:rsidRPr="009F037D" w:rsidP="009F037D" w14:paraId="0FBAF756" w14:textId="1C541FF3">
      <w:pPr>
        <w:pStyle w:val="ParaNum"/>
        <w:tabs>
          <w:tab w:val="clear" w:pos="1080"/>
          <w:tab w:val="num" w:pos="1440"/>
        </w:tabs>
        <w:rPr>
          <w:szCs w:val="22"/>
        </w:rPr>
      </w:pPr>
      <w:r w:rsidRPr="00384EA4">
        <w:rPr>
          <w:szCs w:val="22"/>
        </w:rPr>
        <w:t>For more information, contact Nazifa Sawez (</w:t>
      </w:r>
      <w:hyperlink r:id="rId5" w:history="1">
        <w:r w:rsidRPr="00384EA4">
          <w:rPr>
            <w:rStyle w:val="Hyperlink"/>
            <w:szCs w:val="22"/>
          </w:rPr>
          <w:t>Nazifa.Sawez@fcc.gov</w:t>
        </w:r>
      </w:hyperlink>
      <w:r w:rsidRPr="00384EA4">
        <w:rPr>
          <w:szCs w:val="22"/>
        </w:rPr>
        <w:t>) at (202) 418-7059 or Chris Clark (</w:t>
      </w:r>
      <w:hyperlink r:id="rId6" w:history="1">
        <w:r w:rsidRPr="00384EA4">
          <w:rPr>
            <w:rStyle w:val="Hyperlink"/>
            <w:szCs w:val="22"/>
          </w:rPr>
          <w:t>Christopher.Clark@fcc.gov</w:t>
        </w:r>
      </w:hyperlink>
      <w:r w:rsidRPr="00384EA4">
        <w:rPr>
          <w:szCs w:val="22"/>
        </w:rPr>
        <w:t>) at (202) 418-2609 (Audio Division), or David Roberts (</w:t>
      </w:r>
      <w:hyperlink r:id="rId7" w:history="1">
        <w:r w:rsidRPr="00384EA4">
          <w:rPr>
            <w:rStyle w:val="Hyperlink"/>
            <w:szCs w:val="22"/>
          </w:rPr>
          <w:t>David.Roberts@fcc.gov</w:t>
        </w:r>
      </w:hyperlink>
      <w:r w:rsidRPr="00384EA4">
        <w:rPr>
          <w:szCs w:val="22"/>
        </w:rPr>
        <w:t xml:space="preserve">) at (202) 418-1618 (Video Division).  </w:t>
      </w:r>
    </w:p>
    <w:p w:rsidR="004A2770" w:rsidRPr="00384EA4" w:rsidP="002C2F80" w14:paraId="12AF6A86" w14:textId="77777777">
      <w:pPr>
        <w:pStyle w:val="ParaNum"/>
        <w:tabs>
          <w:tab w:val="clear" w:pos="1080"/>
          <w:tab w:val="num" w:pos="1440"/>
        </w:tabs>
        <w:rPr>
          <w:szCs w:val="22"/>
        </w:rPr>
      </w:pPr>
      <w:r w:rsidRPr="00384EA4">
        <w:rPr>
          <w:szCs w:val="22"/>
        </w:rPr>
        <w:t xml:space="preserve">ACCORDINGLY, </w:t>
      </w:r>
      <w:r w:rsidRPr="00384EA4">
        <w:rPr>
          <w:b/>
          <w:bCs/>
          <w:szCs w:val="22"/>
        </w:rPr>
        <w:t>IT IS ORDERED</w:t>
      </w:r>
      <w:r w:rsidRPr="00384EA4">
        <w:rPr>
          <w:szCs w:val="22"/>
        </w:rPr>
        <w:t xml:space="preserve">, pursuant to the authority </w:t>
      </w:r>
      <w:r w:rsidRPr="00384EA4" w:rsidR="00121F3B">
        <w:rPr>
          <w:szCs w:val="22"/>
        </w:rPr>
        <w:t>found</w:t>
      </w:r>
      <w:r w:rsidRPr="00384EA4">
        <w:rPr>
          <w:szCs w:val="22"/>
        </w:rPr>
        <w:t xml:space="preserve"> in sections</w:t>
      </w:r>
      <w:r w:rsidRPr="00384EA4" w:rsidR="001F6124">
        <w:rPr>
          <w:szCs w:val="22"/>
        </w:rPr>
        <w:t xml:space="preserve"> </w:t>
      </w:r>
      <w:r w:rsidRPr="00384EA4">
        <w:rPr>
          <w:szCs w:val="22"/>
        </w:rPr>
        <w:t>4</w:t>
      </w:r>
      <w:r w:rsidRPr="00384EA4" w:rsidR="001F6124">
        <w:rPr>
          <w:szCs w:val="22"/>
        </w:rPr>
        <w:t>(</w:t>
      </w:r>
      <w:r w:rsidRPr="00384EA4" w:rsidR="001F6124">
        <w:rPr>
          <w:szCs w:val="22"/>
        </w:rPr>
        <w:t>i</w:t>
      </w:r>
      <w:r w:rsidRPr="00384EA4" w:rsidR="001F6124">
        <w:rPr>
          <w:szCs w:val="22"/>
        </w:rPr>
        <w:t>)</w:t>
      </w:r>
      <w:r w:rsidRPr="00384EA4" w:rsidR="00A82A78">
        <w:rPr>
          <w:szCs w:val="22"/>
        </w:rPr>
        <w:t xml:space="preserve"> and</w:t>
      </w:r>
      <w:r w:rsidRPr="00384EA4" w:rsidR="005746DB">
        <w:rPr>
          <w:szCs w:val="22"/>
        </w:rPr>
        <w:t xml:space="preserve"> 4(j)</w:t>
      </w:r>
      <w:r w:rsidRPr="00384EA4">
        <w:rPr>
          <w:szCs w:val="22"/>
        </w:rPr>
        <w:t xml:space="preserve"> of the Commu</w:t>
      </w:r>
      <w:bookmarkStart w:id="0" w:name="_GoBack"/>
      <w:bookmarkEnd w:id="0"/>
      <w:r w:rsidRPr="00384EA4">
        <w:rPr>
          <w:szCs w:val="22"/>
        </w:rPr>
        <w:t xml:space="preserve">nications Act of 1934, as amended, 47 USC §§ </w:t>
      </w:r>
      <w:r w:rsidRPr="00384EA4" w:rsidR="0012619A">
        <w:rPr>
          <w:szCs w:val="22"/>
        </w:rPr>
        <w:t>154(</w:t>
      </w:r>
      <w:r w:rsidRPr="00384EA4" w:rsidR="0012619A">
        <w:rPr>
          <w:szCs w:val="22"/>
        </w:rPr>
        <w:t>i</w:t>
      </w:r>
      <w:r w:rsidRPr="00384EA4" w:rsidR="0012619A">
        <w:rPr>
          <w:szCs w:val="22"/>
        </w:rPr>
        <w:t>) and 154(j)</w:t>
      </w:r>
      <w:r w:rsidRPr="00384EA4">
        <w:rPr>
          <w:szCs w:val="22"/>
        </w:rPr>
        <w:t xml:space="preserve">, and </w:t>
      </w:r>
      <w:r w:rsidRPr="00384EA4" w:rsidR="00F2295D">
        <w:rPr>
          <w:szCs w:val="22"/>
        </w:rPr>
        <w:t xml:space="preserve">sections 0.61, 0.283, and 1.3 of the Commission’s rules, 47 CFR §§ 0.61, 0.283, and 1.3, this Order </w:t>
      </w:r>
      <w:r w:rsidRPr="00384EA4" w:rsidR="00F2295D">
        <w:rPr>
          <w:b/>
          <w:bCs/>
          <w:szCs w:val="22"/>
        </w:rPr>
        <w:t>IS ADOPTED</w:t>
      </w:r>
      <w:r w:rsidRPr="00384EA4" w:rsidR="001016E6">
        <w:rPr>
          <w:szCs w:val="22"/>
        </w:rPr>
        <w:t>.</w:t>
      </w:r>
    </w:p>
    <w:p w:rsidR="004A2770" w:rsidRPr="00384EA4" w:rsidP="002C2F80" w14:paraId="6E9646B5" w14:textId="77777777">
      <w:pPr>
        <w:pStyle w:val="ParaNum"/>
        <w:tabs>
          <w:tab w:val="clear" w:pos="1080"/>
          <w:tab w:val="num" w:pos="1440"/>
        </w:tabs>
        <w:rPr>
          <w:szCs w:val="22"/>
        </w:rPr>
      </w:pPr>
      <w:r w:rsidRPr="00384EA4">
        <w:rPr>
          <w:b/>
          <w:bCs/>
          <w:szCs w:val="22"/>
        </w:rPr>
        <w:t>IT IS FURTHER ORDERED</w:t>
      </w:r>
      <w:r w:rsidRPr="00384EA4">
        <w:rPr>
          <w:szCs w:val="22"/>
        </w:rPr>
        <w:t xml:space="preserve">, that pursuant to section 1.102(b)(1) of the Commission’s rules, 47 CFR § 1.102(b)(1), this Order </w:t>
      </w:r>
      <w:r w:rsidRPr="00384EA4">
        <w:rPr>
          <w:b/>
          <w:bCs/>
          <w:szCs w:val="22"/>
        </w:rPr>
        <w:t>SHALL BE EFFECTIVE</w:t>
      </w:r>
      <w:r w:rsidRPr="00384EA4">
        <w:rPr>
          <w:szCs w:val="22"/>
        </w:rPr>
        <w:t xml:space="preserve"> upon release.</w:t>
      </w:r>
    </w:p>
    <w:p w:rsidR="004A2770" w:rsidRPr="00384EA4" w:rsidP="004A2770" w14:paraId="16237828" w14:textId="77777777">
      <w:pPr>
        <w:pStyle w:val="ParaNum"/>
        <w:numPr>
          <w:ilvl w:val="0"/>
          <w:numId w:val="0"/>
        </w:numPr>
        <w:rPr>
          <w:szCs w:val="22"/>
        </w:rPr>
      </w:pPr>
    </w:p>
    <w:p w:rsidR="004A2770" w:rsidRPr="00384EA4" w:rsidP="004A2770" w14:paraId="69C5474F" w14:textId="77777777">
      <w:pPr>
        <w:keepNext/>
        <w:tabs>
          <w:tab w:val="left" w:pos="-720"/>
        </w:tabs>
        <w:suppressAutoHyphens/>
        <w:ind w:left="4320"/>
        <w:outlineLvl w:val="0"/>
        <w:rPr>
          <w:szCs w:val="22"/>
        </w:rPr>
      </w:pPr>
      <w:r w:rsidRPr="00384EA4">
        <w:rPr>
          <w:szCs w:val="22"/>
        </w:rPr>
        <w:t>FEDERAL COMMUNICATIONS COMMISSION</w:t>
      </w:r>
    </w:p>
    <w:p w:rsidR="004A2770" w:rsidRPr="00384EA4" w:rsidP="004A2770" w14:paraId="504D850E" w14:textId="77777777">
      <w:pPr>
        <w:keepNext/>
        <w:tabs>
          <w:tab w:val="left" w:pos="-720"/>
        </w:tabs>
        <w:suppressAutoHyphens/>
        <w:ind w:left="4320"/>
        <w:rPr>
          <w:szCs w:val="22"/>
        </w:rPr>
      </w:pPr>
    </w:p>
    <w:p w:rsidR="004A2770" w:rsidRPr="00384EA4" w:rsidP="004A2770" w14:paraId="48F63E61" w14:textId="77777777">
      <w:pPr>
        <w:keepNext/>
        <w:tabs>
          <w:tab w:val="left" w:pos="-720"/>
        </w:tabs>
        <w:suppressAutoHyphens/>
        <w:ind w:left="4320"/>
        <w:rPr>
          <w:szCs w:val="22"/>
        </w:rPr>
      </w:pPr>
    </w:p>
    <w:p w:rsidR="004A2770" w:rsidRPr="00384EA4" w:rsidP="004A2770" w14:paraId="29C3F657" w14:textId="77777777">
      <w:pPr>
        <w:keepNext/>
        <w:keepLines/>
        <w:ind w:left="4320"/>
        <w:outlineLvl w:val="0"/>
        <w:rPr>
          <w:szCs w:val="22"/>
        </w:rPr>
      </w:pPr>
    </w:p>
    <w:p w:rsidR="004A2770" w:rsidRPr="00384EA4" w:rsidP="004A2770" w14:paraId="5DCE3F0C" w14:textId="77777777">
      <w:pPr>
        <w:keepNext/>
        <w:keepLines/>
        <w:ind w:left="3600" w:firstLine="720"/>
        <w:outlineLvl w:val="0"/>
        <w:rPr>
          <w:szCs w:val="22"/>
        </w:rPr>
      </w:pPr>
    </w:p>
    <w:p w:rsidR="0065687F" w:rsidRPr="00384EA4" w:rsidP="0065687F" w14:paraId="4C558839" w14:textId="77777777">
      <w:pPr>
        <w:keepNext/>
        <w:keepLines/>
        <w:ind w:left="3600" w:firstLine="720"/>
        <w:outlineLvl w:val="0"/>
        <w:rPr>
          <w:szCs w:val="22"/>
        </w:rPr>
      </w:pPr>
      <w:r w:rsidRPr="00384EA4">
        <w:rPr>
          <w:szCs w:val="22"/>
        </w:rPr>
        <w:t xml:space="preserve">Michelle M. Carey </w:t>
      </w:r>
    </w:p>
    <w:p w:rsidR="00412FC5" w:rsidRPr="00384EA4" w:rsidP="0065687F" w14:paraId="0857DCE2" w14:textId="77777777">
      <w:pPr>
        <w:keepNext/>
        <w:keepLines/>
        <w:ind w:left="3600" w:firstLine="720"/>
        <w:outlineLvl w:val="0"/>
        <w:rPr>
          <w:szCs w:val="22"/>
        </w:rPr>
      </w:pPr>
      <w:r w:rsidRPr="00384EA4">
        <w:rPr>
          <w:szCs w:val="22"/>
        </w:rPr>
        <w:t>Chief, 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52EE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918E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2BC9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FEC03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83C2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448" w14:paraId="2DC18C57" w14:textId="77777777">
      <w:r>
        <w:separator/>
      </w:r>
    </w:p>
  </w:footnote>
  <w:footnote w:type="continuationSeparator" w:id="1">
    <w:p w:rsidR="00A90448" w:rsidP="00C721AC" w14:paraId="0E11E68A" w14:textId="0E54334E">
      <w:pPr>
        <w:spacing w:before="120"/>
        <w:rPr>
          <w:sz w:val="20"/>
        </w:rPr>
      </w:pPr>
    </w:p>
  </w:footnote>
  <w:footnote w:type="continuationNotice" w:id="2">
    <w:p w:rsidR="00A90448" w:rsidP="00C721AC" w14:paraId="4B1DDBF6" w14:textId="4F40F9CC">
      <w:pPr>
        <w:jc w:val="right"/>
        <w:rPr>
          <w:sz w:val="20"/>
        </w:rPr>
      </w:pPr>
    </w:p>
  </w:footnote>
  <w:footnote w:id="3">
    <w:p w:rsidR="000537AF" w:rsidP="000537AF" w14:paraId="1EBF03AC" w14:textId="77777777">
      <w:pPr>
        <w:pStyle w:val="FootnoteText"/>
      </w:pPr>
      <w:r>
        <w:rPr>
          <w:rStyle w:val="FootnoteReference"/>
        </w:rPr>
        <w:footnoteRef/>
      </w:r>
      <w:r>
        <w:t xml:space="preserve"> </w:t>
      </w:r>
      <w:r w:rsidRPr="001316B1">
        <w:t>47 CFR §§ 73.3580</w:t>
      </w:r>
      <w:r>
        <w:t>(d)(4)(</w:t>
      </w:r>
      <w:r>
        <w:t>i</w:t>
      </w:r>
      <w:r>
        <w:t>), (d)(5)(</w:t>
      </w:r>
      <w:r>
        <w:t>i</w:t>
      </w:r>
      <w:r>
        <w:t xml:space="preserve">)(A). </w:t>
      </w:r>
    </w:p>
  </w:footnote>
  <w:footnote w:id="4">
    <w:p w:rsidR="006C33AA" w:rsidP="006C33AA" w14:paraId="20FC9E99" w14:textId="33469FAF">
      <w:pPr>
        <w:pStyle w:val="FootnoteText"/>
      </w:pPr>
      <w:r>
        <w:rPr>
          <w:rStyle w:val="FootnoteReference"/>
        </w:rPr>
        <w:footnoteRef/>
      </w:r>
      <w:r>
        <w:t xml:space="preserve"> </w:t>
      </w:r>
      <w:r w:rsidRPr="001316B1">
        <w:rPr>
          <w:i/>
        </w:rPr>
        <w:t xml:space="preserve">See </w:t>
      </w:r>
      <w:r w:rsidRPr="001316B1">
        <w:rPr>
          <w:i/>
          <w:iCs/>
          <w:spacing w:val="-2"/>
        </w:rPr>
        <w:t>Amendment of Section 73.3580 of the Commission’s Rules Regarding Public Notice of the Filing of Applications</w:t>
      </w:r>
      <w:r w:rsidRPr="001316B1">
        <w:rPr>
          <w:spacing w:val="-2"/>
        </w:rPr>
        <w:t xml:space="preserve">, </w:t>
      </w:r>
      <w:r>
        <w:rPr>
          <w:spacing w:val="-2"/>
        </w:rPr>
        <w:t>Second Report and Order</w:t>
      </w:r>
      <w:r w:rsidRPr="001316B1">
        <w:rPr>
          <w:spacing w:val="-2"/>
        </w:rPr>
        <w:t xml:space="preserve">, </w:t>
      </w:r>
      <w:r>
        <w:rPr>
          <w:spacing w:val="-2"/>
        </w:rPr>
        <w:t>MB Docket Nos. 17-264, 17-105, 05-6, FCC 20-</w:t>
      </w:r>
      <w:r w:rsidR="00A216FE">
        <w:rPr>
          <w:spacing w:val="-2"/>
        </w:rPr>
        <w:t>65</w:t>
      </w:r>
      <w:r w:rsidRPr="001316B1">
        <w:rPr>
          <w:spacing w:val="-2"/>
        </w:rPr>
        <w:t xml:space="preserve">, paras. </w:t>
      </w:r>
      <w:r w:rsidR="004A6C74">
        <w:rPr>
          <w:spacing w:val="-2"/>
        </w:rPr>
        <w:t>27-29</w:t>
      </w:r>
      <w:r w:rsidRPr="001316B1">
        <w:rPr>
          <w:spacing w:val="-2"/>
        </w:rPr>
        <w:t xml:space="preserve"> (</w:t>
      </w:r>
      <w:r w:rsidR="003F4A6D">
        <w:rPr>
          <w:spacing w:val="-2"/>
        </w:rPr>
        <w:t xml:space="preserve">rel. </w:t>
      </w:r>
      <w:r>
        <w:rPr>
          <w:spacing w:val="-2"/>
        </w:rPr>
        <w:t xml:space="preserve">May </w:t>
      </w:r>
      <w:r w:rsidR="003F4A6D">
        <w:rPr>
          <w:spacing w:val="-2"/>
        </w:rPr>
        <w:t>13</w:t>
      </w:r>
      <w:r>
        <w:rPr>
          <w:spacing w:val="-2"/>
        </w:rPr>
        <w:t>, 2020</w:t>
      </w:r>
      <w:r w:rsidRPr="001316B1">
        <w:rPr>
          <w:spacing w:val="-2"/>
        </w:rPr>
        <w:t>)</w:t>
      </w:r>
      <w:r>
        <w:rPr>
          <w:spacing w:val="-2"/>
        </w:rPr>
        <w:t xml:space="preserve"> (</w:t>
      </w:r>
      <w:r w:rsidRPr="006C33AA">
        <w:rPr>
          <w:i/>
          <w:iCs/>
          <w:spacing w:val="-2"/>
        </w:rPr>
        <w:t>Public Notice Second R&amp;O</w:t>
      </w:r>
      <w:r>
        <w:rPr>
          <w:spacing w:val="-2"/>
        </w:rPr>
        <w:t>).</w:t>
      </w:r>
    </w:p>
  </w:footnote>
  <w:footnote w:id="5">
    <w:p w:rsidR="001461C5" w:rsidRPr="008848C2" w:rsidP="001461C5" w14:paraId="056E064B" w14:textId="77777777">
      <w:pPr>
        <w:pStyle w:val="FootnoteText"/>
      </w:pPr>
      <w:r>
        <w:rPr>
          <w:rStyle w:val="FootnoteReference"/>
        </w:rPr>
        <w:footnoteRef/>
      </w:r>
      <w:r>
        <w:t xml:space="preserve"> The Bureau adopted a similar Order on April 9, 2020, applicable to those filing June 1, 2020, renewal applications, at that time referencing the pendency of the proceeding leading to adoption of the </w:t>
      </w:r>
      <w:r w:rsidRPr="008848C2">
        <w:rPr>
          <w:i/>
          <w:iCs/>
        </w:rPr>
        <w:t>Public Notice Second R&amp;O</w:t>
      </w:r>
      <w:r w:rsidRPr="008848C2">
        <w:t xml:space="preserve">.  </w:t>
      </w:r>
      <w:r w:rsidRPr="008848C2">
        <w:rPr>
          <w:i/>
          <w:iCs/>
        </w:rPr>
        <w:t>Pre-Filing Announcement Requirements</w:t>
      </w:r>
      <w:r>
        <w:rPr>
          <w:i/>
          <w:iCs/>
        </w:rPr>
        <w:t xml:space="preserve"> –</w:t>
      </w:r>
      <w:r w:rsidRPr="008848C2">
        <w:rPr>
          <w:i/>
          <w:iCs/>
        </w:rPr>
        <w:t xml:space="preserve"> June 1, 2020 Renewal Applications</w:t>
      </w:r>
      <w:r>
        <w:t>, Order, DA 20-398 (MB Apr. 9, 2020) (</w:t>
      </w:r>
      <w:r w:rsidRPr="008848C2">
        <w:rPr>
          <w:i/>
          <w:iCs/>
        </w:rPr>
        <w:t>April Waiver Order</w:t>
      </w:r>
      <w:r>
        <w:t>).</w:t>
      </w:r>
    </w:p>
  </w:footnote>
  <w:footnote w:id="6">
    <w:p w:rsidR="001461C5" w:rsidP="001461C5" w14:paraId="793B8318" w14:textId="77777777">
      <w:pPr>
        <w:pStyle w:val="FootnoteText"/>
      </w:pPr>
      <w:r>
        <w:rPr>
          <w:rStyle w:val="FootnoteReference"/>
        </w:rPr>
        <w:footnoteRef/>
      </w:r>
      <w:r>
        <w:t xml:space="preserve"> </w:t>
      </w:r>
      <w:r w:rsidRPr="009F037D">
        <w:rPr>
          <w:i/>
          <w:iCs/>
        </w:rPr>
        <w:t>Id</w:t>
      </w:r>
      <w:r>
        <w:t>. at 1, para. 3.</w:t>
      </w:r>
    </w:p>
  </w:footnote>
  <w:footnote w:id="7">
    <w:p w:rsidR="001461C5" w:rsidRPr="001316B1" w:rsidP="001461C5" w14:paraId="02AADE3C" w14:textId="4BAA5ECB">
      <w:pPr>
        <w:pStyle w:val="FootnoteText"/>
        <w:widowControl w:val="0"/>
      </w:pPr>
      <w:r w:rsidRPr="001316B1">
        <w:rPr>
          <w:rStyle w:val="FootnoteReference"/>
        </w:rPr>
        <w:footnoteRef/>
      </w:r>
      <w:r w:rsidRPr="001316B1">
        <w:t xml:space="preserve"> </w:t>
      </w:r>
      <w:r w:rsidRPr="001316B1">
        <w:rPr>
          <w:i/>
        </w:rPr>
        <w:t xml:space="preserve">See </w:t>
      </w:r>
      <w:r>
        <w:rPr>
          <w:i/>
          <w:iCs/>
          <w:spacing w:val="-2"/>
        </w:rPr>
        <w:t>id</w:t>
      </w:r>
      <w:r>
        <w:rPr>
          <w:spacing w:val="-2"/>
        </w:rPr>
        <w:t>.</w:t>
      </w:r>
      <w:r w:rsidRPr="001316B1">
        <w:rPr>
          <w:spacing w:val="-2"/>
        </w:rPr>
        <w:t xml:space="preserve">, paras. </w:t>
      </w:r>
      <w:r>
        <w:rPr>
          <w:spacing w:val="-2"/>
        </w:rPr>
        <w:t xml:space="preserve">27-29; </w:t>
      </w:r>
      <w:r>
        <w:t>47 CFR § 73.3580(d)(4)(</w:t>
      </w:r>
      <w:r>
        <w:t>i</w:t>
      </w:r>
      <w:r>
        <w:t>) and (d)(5)(</w:t>
      </w:r>
      <w:r>
        <w:t>i</w:t>
      </w:r>
      <w:r>
        <w:t>).</w:t>
      </w:r>
    </w:p>
  </w:footnote>
  <w:footnote w:id="8">
    <w:p w:rsidR="009F037D" w:rsidP="009F037D" w14:paraId="67EB9161" w14:textId="77777777">
      <w:pPr>
        <w:pStyle w:val="FootnoteText"/>
      </w:pPr>
      <w:r>
        <w:rPr>
          <w:rStyle w:val="FootnoteReference"/>
        </w:rPr>
        <w:footnoteRef/>
      </w:r>
      <w:r>
        <w:t xml:space="preserve"> </w:t>
      </w:r>
      <w:r w:rsidRPr="001316B1">
        <w:t>47 CFR § 73.3580</w:t>
      </w:r>
      <w:r>
        <w:t>(d)(4)(</w:t>
      </w:r>
      <w:r>
        <w:t>i</w:t>
      </w:r>
      <w:r>
        <w:t>), (d)(5)(</w:t>
      </w:r>
      <w:r>
        <w:t>i</w:t>
      </w:r>
      <w:r>
        <w:t xml:space="preserve">)(B).  </w:t>
      </w:r>
      <w:r w:rsidRPr="0086667B">
        <w:rPr>
          <w:i/>
          <w:iCs/>
        </w:rPr>
        <w:t>See</w:t>
      </w:r>
      <w:r>
        <w:t xml:space="preserve"> 47 U.S.C. </w:t>
      </w:r>
      <w:r w:rsidRPr="001316B1">
        <w:t>§</w:t>
      </w:r>
      <w:r>
        <w:t xml:space="preserve"> 311(a).</w:t>
      </w:r>
    </w:p>
  </w:footnote>
  <w:footnote w:id="9">
    <w:p w:rsidR="00C22A50" w14:paraId="027E8B96" w14:textId="5F30D674">
      <w:pPr>
        <w:pStyle w:val="FootnoteText"/>
      </w:pPr>
      <w:r>
        <w:rPr>
          <w:rStyle w:val="FootnoteReference"/>
        </w:rPr>
        <w:footnoteRef/>
      </w:r>
      <w:r>
        <w:t xml:space="preserve"> </w:t>
      </w:r>
      <w:r w:rsidRPr="00874CA7">
        <w:rPr>
          <w:i/>
          <w:iCs/>
        </w:rPr>
        <w:t>See generally Public Notice Second R&amp;O</w:t>
      </w:r>
      <w:r>
        <w:t xml:space="preserve"> at paras. </w:t>
      </w:r>
      <w:r w:rsidR="00874CA7">
        <w:t>26-43 and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B62098" w14:textId="4004B3EF">
    <w:pPr>
      <w:pStyle w:val="Header"/>
      <w:rPr>
        <w:b w:val="0"/>
      </w:rPr>
    </w:pPr>
    <w:r>
      <w:tab/>
      <w:t>Federal Communications Commission</w:t>
    </w:r>
    <w:r>
      <w:tab/>
    </w:r>
    <w:r w:rsidR="004A2770">
      <w:t>DA 20-</w:t>
    </w:r>
    <w:r w:rsidR="00ED3FAA">
      <w:t>511</w:t>
    </w:r>
  </w:p>
  <w:p w:rsidR="00D25FB5" w14:paraId="510D54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7C8B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4013C9" w14:textId="2516B4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706BB">
      <w:tab/>
      <w:t>Federal Communications Commission</w:t>
    </w:r>
    <w:r w:rsidR="004706BB">
      <w:tab/>
    </w:r>
    <w:r w:rsidR="004A2770">
      <w:rPr>
        <w:spacing w:val="-2"/>
      </w:rPr>
      <w:t>DA 20</w:t>
    </w:r>
    <w:r w:rsidRPr="00163B04" w:rsidR="004A2770">
      <w:rPr>
        <w:spacing w:val="-2"/>
      </w:rPr>
      <w:t>-</w:t>
    </w:r>
    <w:r w:rsidR="00ED3FAA">
      <w:rPr>
        <w:spacing w:val="-2"/>
      </w:rPr>
      <w:t>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0"/>
    <w:rsid w:val="000069D4"/>
    <w:rsid w:val="00024600"/>
    <w:rsid w:val="00036039"/>
    <w:rsid w:val="00037F90"/>
    <w:rsid w:val="000537AF"/>
    <w:rsid w:val="00064939"/>
    <w:rsid w:val="000875BF"/>
    <w:rsid w:val="00096537"/>
    <w:rsid w:val="00096D8C"/>
    <w:rsid w:val="000B2910"/>
    <w:rsid w:val="000C0886"/>
    <w:rsid w:val="000C0B65"/>
    <w:rsid w:val="000C360B"/>
    <w:rsid w:val="000C5D43"/>
    <w:rsid w:val="000C7CC8"/>
    <w:rsid w:val="000D0929"/>
    <w:rsid w:val="000E05FE"/>
    <w:rsid w:val="000E21B3"/>
    <w:rsid w:val="000E3D42"/>
    <w:rsid w:val="001016E6"/>
    <w:rsid w:val="00121F3B"/>
    <w:rsid w:val="00122BD5"/>
    <w:rsid w:val="0012619A"/>
    <w:rsid w:val="001316B1"/>
    <w:rsid w:val="00133F79"/>
    <w:rsid w:val="001461C5"/>
    <w:rsid w:val="00163B04"/>
    <w:rsid w:val="0017419D"/>
    <w:rsid w:val="00181E80"/>
    <w:rsid w:val="00194A66"/>
    <w:rsid w:val="00197A6B"/>
    <w:rsid w:val="001A61E7"/>
    <w:rsid w:val="001B7E9E"/>
    <w:rsid w:val="001C3E27"/>
    <w:rsid w:val="001D6BCF"/>
    <w:rsid w:val="001E01CA"/>
    <w:rsid w:val="001F4E9A"/>
    <w:rsid w:val="001F6124"/>
    <w:rsid w:val="00222DCB"/>
    <w:rsid w:val="0022500F"/>
    <w:rsid w:val="00236895"/>
    <w:rsid w:val="002462E6"/>
    <w:rsid w:val="00265730"/>
    <w:rsid w:val="00272B9D"/>
    <w:rsid w:val="002753EB"/>
    <w:rsid w:val="00275CF5"/>
    <w:rsid w:val="00281079"/>
    <w:rsid w:val="0028301F"/>
    <w:rsid w:val="00285017"/>
    <w:rsid w:val="002A0565"/>
    <w:rsid w:val="002A2D2E"/>
    <w:rsid w:val="002A6CC8"/>
    <w:rsid w:val="002C00E8"/>
    <w:rsid w:val="002C2F80"/>
    <w:rsid w:val="00330FC8"/>
    <w:rsid w:val="00332318"/>
    <w:rsid w:val="00343749"/>
    <w:rsid w:val="00350123"/>
    <w:rsid w:val="003528C7"/>
    <w:rsid w:val="00356AB8"/>
    <w:rsid w:val="003660ED"/>
    <w:rsid w:val="00384EA4"/>
    <w:rsid w:val="003A09DB"/>
    <w:rsid w:val="003A1808"/>
    <w:rsid w:val="003B0550"/>
    <w:rsid w:val="003B694F"/>
    <w:rsid w:val="003C2831"/>
    <w:rsid w:val="003E2D10"/>
    <w:rsid w:val="003E37D5"/>
    <w:rsid w:val="003E6989"/>
    <w:rsid w:val="003F171C"/>
    <w:rsid w:val="003F4A6D"/>
    <w:rsid w:val="004013BA"/>
    <w:rsid w:val="00412FC5"/>
    <w:rsid w:val="00422276"/>
    <w:rsid w:val="004242F1"/>
    <w:rsid w:val="00427B4A"/>
    <w:rsid w:val="00440DB2"/>
    <w:rsid w:val="00445A00"/>
    <w:rsid w:val="00451B0F"/>
    <w:rsid w:val="004706BB"/>
    <w:rsid w:val="004A2770"/>
    <w:rsid w:val="004A6C74"/>
    <w:rsid w:val="004B1CCC"/>
    <w:rsid w:val="004C2EE3"/>
    <w:rsid w:val="004C328D"/>
    <w:rsid w:val="004C5E28"/>
    <w:rsid w:val="004E4A22"/>
    <w:rsid w:val="004E5663"/>
    <w:rsid w:val="00502ACC"/>
    <w:rsid w:val="00511968"/>
    <w:rsid w:val="00520B4D"/>
    <w:rsid w:val="005443B8"/>
    <w:rsid w:val="00554E5D"/>
    <w:rsid w:val="0055614C"/>
    <w:rsid w:val="00566D06"/>
    <w:rsid w:val="005739CE"/>
    <w:rsid w:val="005746DB"/>
    <w:rsid w:val="00586FEC"/>
    <w:rsid w:val="005931CD"/>
    <w:rsid w:val="00595D92"/>
    <w:rsid w:val="005A66A2"/>
    <w:rsid w:val="005E14C2"/>
    <w:rsid w:val="005F6365"/>
    <w:rsid w:val="00607BA5"/>
    <w:rsid w:val="0061180A"/>
    <w:rsid w:val="00626EB6"/>
    <w:rsid w:val="00655D03"/>
    <w:rsid w:val="0065687F"/>
    <w:rsid w:val="00663384"/>
    <w:rsid w:val="00680054"/>
    <w:rsid w:val="00682B3C"/>
    <w:rsid w:val="00683388"/>
    <w:rsid w:val="00683F84"/>
    <w:rsid w:val="00695DDF"/>
    <w:rsid w:val="006A646B"/>
    <w:rsid w:val="006A6A81"/>
    <w:rsid w:val="006C33AA"/>
    <w:rsid w:val="006E208B"/>
    <w:rsid w:val="006F7393"/>
    <w:rsid w:val="0070224F"/>
    <w:rsid w:val="007115F7"/>
    <w:rsid w:val="00732FAF"/>
    <w:rsid w:val="0073305E"/>
    <w:rsid w:val="0074065A"/>
    <w:rsid w:val="00746667"/>
    <w:rsid w:val="00763D4B"/>
    <w:rsid w:val="00785689"/>
    <w:rsid w:val="0078595E"/>
    <w:rsid w:val="0079754B"/>
    <w:rsid w:val="007A1037"/>
    <w:rsid w:val="007A1E6D"/>
    <w:rsid w:val="007B0EB2"/>
    <w:rsid w:val="007B5F72"/>
    <w:rsid w:val="007C25A9"/>
    <w:rsid w:val="00810B6F"/>
    <w:rsid w:val="00822CE0"/>
    <w:rsid w:val="00831E77"/>
    <w:rsid w:val="00841AB1"/>
    <w:rsid w:val="00860827"/>
    <w:rsid w:val="0086667B"/>
    <w:rsid w:val="00870436"/>
    <w:rsid w:val="00874CA7"/>
    <w:rsid w:val="0087718F"/>
    <w:rsid w:val="008848C2"/>
    <w:rsid w:val="008C68F1"/>
    <w:rsid w:val="008D0AAE"/>
    <w:rsid w:val="009171B9"/>
    <w:rsid w:val="00921803"/>
    <w:rsid w:val="00926503"/>
    <w:rsid w:val="00934D6E"/>
    <w:rsid w:val="009649B6"/>
    <w:rsid w:val="009726D8"/>
    <w:rsid w:val="0099736B"/>
    <w:rsid w:val="009B5C62"/>
    <w:rsid w:val="009C409A"/>
    <w:rsid w:val="009D7308"/>
    <w:rsid w:val="009F037D"/>
    <w:rsid w:val="009F76DB"/>
    <w:rsid w:val="00A216FE"/>
    <w:rsid w:val="00A32C3B"/>
    <w:rsid w:val="00A37019"/>
    <w:rsid w:val="00A45F4F"/>
    <w:rsid w:val="00A55FEB"/>
    <w:rsid w:val="00A600A9"/>
    <w:rsid w:val="00A82A78"/>
    <w:rsid w:val="00A90448"/>
    <w:rsid w:val="00AA55B7"/>
    <w:rsid w:val="00AA5B9E"/>
    <w:rsid w:val="00AB2407"/>
    <w:rsid w:val="00AB53DF"/>
    <w:rsid w:val="00AD14C0"/>
    <w:rsid w:val="00AD3A6E"/>
    <w:rsid w:val="00AD436C"/>
    <w:rsid w:val="00AF06A7"/>
    <w:rsid w:val="00B07E5C"/>
    <w:rsid w:val="00B2206D"/>
    <w:rsid w:val="00B32C9A"/>
    <w:rsid w:val="00B811F7"/>
    <w:rsid w:val="00B84665"/>
    <w:rsid w:val="00B87D3F"/>
    <w:rsid w:val="00BA5DC6"/>
    <w:rsid w:val="00BA6196"/>
    <w:rsid w:val="00BA6E19"/>
    <w:rsid w:val="00BB2537"/>
    <w:rsid w:val="00BB4CE4"/>
    <w:rsid w:val="00BB68B9"/>
    <w:rsid w:val="00BC6D8C"/>
    <w:rsid w:val="00BC70D6"/>
    <w:rsid w:val="00BD1D6A"/>
    <w:rsid w:val="00BE21B8"/>
    <w:rsid w:val="00BE2A38"/>
    <w:rsid w:val="00C22A50"/>
    <w:rsid w:val="00C34006"/>
    <w:rsid w:val="00C36B4C"/>
    <w:rsid w:val="00C426B1"/>
    <w:rsid w:val="00C46E34"/>
    <w:rsid w:val="00C64E22"/>
    <w:rsid w:val="00C66160"/>
    <w:rsid w:val="00C721AC"/>
    <w:rsid w:val="00C7588D"/>
    <w:rsid w:val="00C81C08"/>
    <w:rsid w:val="00C90D6A"/>
    <w:rsid w:val="00CA1A12"/>
    <w:rsid w:val="00CA247E"/>
    <w:rsid w:val="00CA6D21"/>
    <w:rsid w:val="00CC1332"/>
    <w:rsid w:val="00CC72B6"/>
    <w:rsid w:val="00CE3CD1"/>
    <w:rsid w:val="00CF07A1"/>
    <w:rsid w:val="00CF6FDD"/>
    <w:rsid w:val="00D0218D"/>
    <w:rsid w:val="00D16DBF"/>
    <w:rsid w:val="00D220DD"/>
    <w:rsid w:val="00D25FB5"/>
    <w:rsid w:val="00D267CA"/>
    <w:rsid w:val="00D44223"/>
    <w:rsid w:val="00D8370D"/>
    <w:rsid w:val="00D9128C"/>
    <w:rsid w:val="00DA2529"/>
    <w:rsid w:val="00DB130A"/>
    <w:rsid w:val="00DB2EBB"/>
    <w:rsid w:val="00DB6509"/>
    <w:rsid w:val="00DC10A1"/>
    <w:rsid w:val="00DC655F"/>
    <w:rsid w:val="00DD0B59"/>
    <w:rsid w:val="00DD7EBD"/>
    <w:rsid w:val="00DF62B6"/>
    <w:rsid w:val="00E07225"/>
    <w:rsid w:val="00E53189"/>
    <w:rsid w:val="00E5409F"/>
    <w:rsid w:val="00E57930"/>
    <w:rsid w:val="00E7064B"/>
    <w:rsid w:val="00E70E3B"/>
    <w:rsid w:val="00E750F7"/>
    <w:rsid w:val="00E91516"/>
    <w:rsid w:val="00EC054E"/>
    <w:rsid w:val="00ED3FAA"/>
    <w:rsid w:val="00EE6488"/>
    <w:rsid w:val="00EF6396"/>
    <w:rsid w:val="00F021FA"/>
    <w:rsid w:val="00F10AC3"/>
    <w:rsid w:val="00F2295D"/>
    <w:rsid w:val="00F57C3A"/>
    <w:rsid w:val="00F62E97"/>
    <w:rsid w:val="00F64209"/>
    <w:rsid w:val="00F93BF5"/>
    <w:rsid w:val="00FC31A4"/>
    <w:rsid w:val="00FD42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9F81DB-7E64-46AB-8D93-173A72B7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7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4A2770"/>
  </w:style>
  <w:style w:type="paragraph" w:styleId="BalloonText">
    <w:name w:val="Balloon Text"/>
    <w:basedOn w:val="Normal"/>
    <w:link w:val="BalloonTextChar"/>
    <w:rsid w:val="00680054"/>
    <w:rPr>
      <w:rFonts w:ascii="Segoe UI" w:hAnsi="Segoe UI" w:cs="Segoe UI"/>
      <w:sz w:val="18"/>
      <w:szCs w:val="18"/>
    </w:rPr>
  </w:style>
  <w:style w:type="character" w:customStyle="1" w:styleId="BalloonTextChar">
    <w:name w:val="Balloon Text Char"/>
    <w:basedOn w:val="DefaultParagraphFont"/>
    <w:link w:val="BalloonText"/>
    <w:rsid w:val="00680054"/>
    <w:rPr>
      <w:rFonts w:ascii="Segoe UI" w:hAnsi="Segoe UI" w:cs="Segoe UI"/>
      <w:snapToGrid w:val="0"/>
      <w:kern w:val="28"/>
      <w:sz w:val="18"/>
      <w:szCs w:val="18"/>
    </w:rPr>
  </w:style>
  <w:style w:type="character" w:styleId="CommentReference">
    <w:name w:val="annotation reference"/>
    <w:basedOn w:val="DefaultParagraphFont"/>
    <w:rsid w:val="00024600"/>
    <w:rPr>
      <w:sz w:val="16"/>
      <w:szCs w:val="16"/>
    </w:rPr>
  </w:style>
  <w:style w:type="paragraph" w:styleId="CommentText">
    <w:name w:val="annotation text"/>
    <w:basedOn w:val="Normal"/>
    <w:link w:val="CommentTextChar"/>
    <w:rsid w:val="00024600"/>
    <w:rPr>
      <w:sz w:val="20"/>
    </w:rPr>
  </w:style>
  <w:style w:type="character" w:customStyle="1" w:styleId="CommentTextChar">
    <w:name w:val="Comment Text Char"/>
    <w:basedOn w:val="DefaultParagraphFont"/>
    <w:link w:val="CommentText"/>
    <w:rsid w:val="00024600"/>
    <w:rPr>
      <w:snapToGrid w:val="0"/>
      <w:kern w:val="28"/>
    </w:rPr>
  </w:style>
  <w:style w:type="paragraph" w:styleId="CommentSubject">
    <w:name w:val="annotation subject"/>
    <w:basedOn w:val="CommentText"/>
    <w:next w:val="CommentText"/>
    <w:link w:val="CommentSubjectChar"/>
    <w:rsid w:val="00024600"/>
    <w:rPr>
      <w:b/>
      <w:bCs/>
    </w:rPr>
  </w:style>
  <w:style w:type="character" w:customStyle="1" w:styleId="CommentSubjectChar">
    <w:name w:val="Comment Subject Char"/>
    <w:basedOn w:val="CommentTextChar"/>
    <w:link w:val="CommentSubject"/>
    <w:rsid w:val="000246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zifa.Sawez@fcc.gov" TargetMode="External" /><Relationship Id="rId6" Type="http://schemas.openxmlformats.org/officeDocument/2006/relationships/hyperlink" Target="mailto:Christopher.Clark@fcc.gov" TargetMode="External" /><Relationship Id="rId7" Type="http://schemas.openxmlformats.org/officeDocument/2006/relationships/hyperlink" Target="mailto:David.Roberts@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