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2B26A0" w:rsidP="005F036C" w14:paraId="05856040" w14:textId="77777777">
      <w:pPr>
        <w:jc w:val="right"/>
        <w:rPr>
          <w:b/>
          <w:szCs w:val="22"/>
        </w:rPr>
      </w:pPr>
    </w:p>
    <w:p w:rsidR="00013A8B" w:rsidRPr="002B26A0" w:rsidP="005F036C" w14:paraId="51B9B2B8" w14:textId="545CC1D8">
      <w:pPr>
        <w:jc w:val="right"/>
        <w:rPr>
          <w:b/>
          <w:szCs w:val="22"/>
        </w:rPr>
      </w:pPr>
      <w:r w:rsidRPr="002B26A0">
        <w:rPr>
          <w:b/>
          <w:szCs w:val="22"/>
        </w:rPr>
        <w:t xml:space="preserve">DA </w:t>
      </w:r>
      <w:r w:rsidRPr="002B26A0" w:rsidR="00225BE5">
        <w:rPr>
          <w:b/>
          <w:szCs w:val="22"/>
        </w:rPr>
        <w:t>20</w:t>
      </w:r>
      <w:r w:rsidRPr="002B26A0">
        <w:rPr>
          <w:b/>
          <w:szCs w:val="22"/>
        </w:rPr>
        <w:t>-</w:t>
      </w:r>
      <w:r w:rsidRPr="002B26A0" w:rsidR="00225BE5">
        <w:rPr>
          <w:b/>
          <w:szCs w:val="22"/>
        </w:rPr>
        <w:t>521</w:t>
      </w:r>
    </w:p>
    <w:p w:rsidR="00013A8B" w:rsidRPr="002B26A0" w:rsidP="00013A8B" w14:paraId="5C0A0B38" w14:textId="63498647">
      <w:pPr>
        <w:spacing w:before="60"/>
        <w:jc w:val="right"/>
        <w:rPr>
          <w:b/>
          <w:szCs w:val="22"/>
        </w:rPr>
      </w:pPr>
      <w:r w:rsidRPr="002B26A0">
        <w:rPr>
          <w:b/>
          <w:szCs w:val="22"/>
        </w:rPr>
        <w:t xml:space="preserve">Released:  </w:t>
      </w:r>
      <w:r w:rsidRPr="002B26A0" w:rsidR="006A3A6E">
        <w:rPr>
          <w:b/>
          <w:szCs w:val="22"/>
        </w:rPr>
        <w:t>May</w:t>
      </w:r>
      <w:r w:rsidRPr="002B26A0" w:rsidR="005F036C">
        <w:rPr>
          <w:b/>
          <w:szCs w:val="22"/>
        </w:rPr>
        <w:t xml:space="preserve"> </w:t>
      </w:r>
      <w:r w:rsidRPr="002B26A0" w:rsidR="00225BE5">
        <w:rPr>
          <w:b/>
          <w:szCs w:val="22"/>
        </w:rPr>
        <w:t>15</w:t>
      </w:r>
      <w:r w:rsidRPr="002B26A0">
        <w:rPr>
          <w:b/>
          <w:szCs w:val="22"/>
        </w:rPr>
        <w:t>, 20</w:t>
      </w:r>
      <w:r w:rsidRPr="002B26A0" w:rsidR="0074063F">
        <w:rPr>
          <w:b/>
          <w:szCs w:val="22"/>
        </w:rPr>
        <w:t>20</w:t>
      </w:r>
    </w:p>
    <w:p w:rsidR="00013A8B" w:rsidRPr="002B26A0" w:rsidP="00013A8B" w14:paraId="085D3D09" w14:textId="77777777">
      <w:pPr>
        <w:jc w:val="right"/>
        <w:rPr>
          <w:szCs w:val="22"/>
        </w:rPr>
      </w:pPr>
    </w:p>
    <w:p w:rsidR="00013A8B" w:rsidRPr="002B26A0" w:rsidP="00013A8B" w14:paraId="7BFB4600" w14:textId="30402B19">
      <w:pPr>
        <w:spacing w:after="240"/>
        <w:jc w:val="center"/>
        <w:rPr>
          <w:b/>
          <w:caps/>
          <w:szCs w:val="22"/>
        </w:rPr>
      </w:pPr>
      <w:r w:rsidRPr="002B26A0">
        <w:rPr>
          <w:b/>
          <w:caps/>
          <w:szCs w:val="22"/>
        </w:rPr>
        <w:t xml:space="preserve">OFFICE OF ENGINEERING AND TECHNOLOGY </w:t>
      </w:r>
      <w:r w:rsidRPr="002B26A0" w:rsidR="00EC724F">
        <w:rPr>
          <w:b/>
          <w:szCs w:val="22"/>
        </w:rPr>
        <w:t>EXTEND</w:t>
      </w:r>
      <w:r w:rsidRPr="002B26A0" w:rsidR="00C10F6D">
        <w:rPr>
          <w:b/>
          <w:szCs w:val="22"/>
        </w:rPr>
        <w:t>S</w:t>
      </w:r>
      <w:r w:rsidRPr="002B26A0" w:rsidR="00500813">
        <w:rPr>
          <w:b/>
          <w:szCs w:val="22"/>
        </w:rPr>
        <w:t xml:space="preserve"> COMMENT AND</w:t>
      </w:r>
      <w:r w:rsidRPr="002B26A0" w:rsidR="00EC724F">
        <w:rPr>
          <w:b/>
          <w:szCs w:val="22"/>
        </w:rPr>
        <w:t xml:space="preserve"> </w:t>
      </w:r>
      <w:r w:rsidRPr="002B26A0" w:rsidR="00C10F6D">
        <w:rPr>
          <w:b/>
          <w:szCs w:val="22"/>
        </w:rPr>
        <w:t xml:space="preserve">REPLY </w:t>
      </w:r>
      <w:r w:rsidRPr="002B26A0" w:rsidR="00EC724F">
        <w:rPr>
          <w:b/>
          <w:szCs w:val="22"/>
        </w:rPr>
        <w:t>COMMENT DEADLINE</w:t>
      </w:r>
      <w:r w:rsidRPr="002B26A0" w:rsidR="00500813">
        <w:rPr>
          <w:b/>
          <w:szCs w:val="22"/>
        </w:rPr>
        <w:t>S</w:t>
      </w:r>
      <w:r w:rsidRPr="002B26A0" w:rsidR="00EC724F">
        <w:rPr>
          <w:b/>
          <w:szCs w:val="22"/>
        </w:rPr>
        <w:t xml:space="preserve"> </w:t>
      </w:r>
      <w:r w:rsidRPr="002B26A0" w:rsidR="00C10F6D">
        <w:rPr>
          <w:b/>
          <w:szCs w:val="22"/>
        </w:rPr>
        <w:t>FOR</w:t>
      </w:r>
      <w:r w:rsidRPr="002B26A0" w:rsidR="00EC724F">
        <w:rPr>
          <w:b/>
          <w:szCs w:val="22"/>
        </w:rPr>
        <w:t xml:space="preserve"> </w:t>
      </w:r>
      <w:r w:rsidRPr="002B26A0" w:rsidR="00500813">
        <w:rPr>
          <w:b/>
          <w:szCs w:val="22"/>
        </w:rPr>
        <w:t>HUMAN EXPOSURE TO RADIOFREQUENCY ELECTROMAGNETIC FIELDS</w:t>
      </w:r>
      <w:r w:rsidRPr="002B26A0" w:rsidR="00C10F6D">
        <w:rPr>
          <w:b/>
          <w:szCs w:val="22"/>
        </w:rPr>
        <w:t xml:space="preserve"> PROCEEDING</w:t>
      </w:r>
    </w:p>
    <w:p w:rsidR="00013A8B" w:rsidRPr="002B26A0" w:rsidP="00013A8B" w14:paraId="71B975FE" w14:textId="54D0CB5D">
      <w:pPr>
        <w:jc w:val="center"/>
        <w:rPr>
          <w:b/>
          <w:szCs w:val="22"/>
        </w:rPr>
      </w:pPr>
      <w:r w:rsidRPr="002B26A0">
        <w:rPr>
          <w:b/>
          <w:szCs w:val="22"/>
        </w:rPr>
        <w:t>ET</w:t>
      </w:r>
      <w:r w:rsidRPr="002B26A0" w:rsidR="006E4B7A">
        <w:rPr>
          <w:b/>
          <w:szCs w:val="22"/>
        </w:rPr>
        <w:t xml:space="preserve"> Docket No. 1</w:t>
      </w:r>
      <w:r w:rsidRPr="002B26A0">
        <w:rPr>
          <w:b/>
          <w:szCs w:val="22"/>
        </w:rPr>
        <w:t>9</w:t>
      </w:r>
      <w:r w:rsidRPr="002B26A0" w:rsidR="006E4B7A">
        <w:rPr>
          <w:b/>
          <w:szCs w:val="22"/>
        </w:rPr>
        <w:t>-</w:t>
      </w:r>
      <w:r w:rsidRPr="002B26A0" w:rsidR="00500813">
        <w:rPr>
          <w:b/>
          <w:szCs w:val="22"/>
        </w:rPr>
        <w:t>226</w:t>
      </w:r>
      <w:r w:rsidRPr="002B26A0" w:rsidR="006E4B7A">
        <w:rPr>
          <w:b/>
          <w:szCs w:val="22"/>
        </w:rPr>
        <w:br/>
      </w:r>
    </w:p>
    <w:p w:rsidR="00500813" w:rsidRPr="002B26A0" w:rsidP="00500813" w14:paraId="7E9B7F25" w14:textId="35E4D92C">
      <w:pPr>
        <w:rPr>
          <w:b/>
          <w:szCs w:val="22"/>
        </w:rPr>
      </w:pPr>
      <w:bookmarkStart w:id="0" w:name="TOChere"/>
      <w:r w:rsidRPr="002B26A0">
        <w:rPr>
          <w:b/>
          <w:szCs w:val="22"/>
        </w:rPr>
        <w:t xml:space="preserve">Revised Comment Date: </w:t>
      </w:r>
      <w:r w:rsidRPr="002B26A0" w:rsidR="00081345">
        <w:rPr>
          <w:b/>
          <w:szCs w:val="22"/>
        </w:rPr>
        <w:t>June</w:t>
      </w:r>
      <w:r w:rsidRPr="002B26A0">
        <w:rPr>
          <w:b/>
          <w:szCs w:val="22"/>
        </w:rPr>
        <w:t xml:space="preserve"> </w:t>
      </w:r>
      <w:r w:rsidRPr="002B26A0" w:rsidR="00081345">
        <w:rPr>
          <w:b/>
          <w:szCs w:val="22"/>
        </w:rPr>
        <w:t>1</w:t>
      </w:r>
      <w:r w:rsidRPr="002B26A0">
        <w:rPr>
          <w:b/>
          <w:szCs w:val="22"/>
        </w:rPr>
        <w:t>7, 2020</w:t>
      </w:r>
    </w:p>
    <w:p w:rsidR="005A42C3" w:rsidRPr="002B26A0" w:rsidP="00F96F63" w14:paraId="72F0852F" w14:textId="422FA04D">
      <w:pPr>
        <w:rPr>
          <w:b/>
          <w:szCs w:val="22"/>
        </w:rPr>
      </w:pPr>
      <w:r w:rsidRPr="002B26A0">
        <w:rPr>
          <w:b/>
          <w:szCs w:val="22"/>
        </w:rPr>
        <w:t xml:space="preserve">Revised </w:t>
      </w:r>
      <w:r w:rsidRPr="002B26A0" w:rsidR="00E53A98">
        <w:rPr>
          <w:b/>
          <w:szCs w:val="22"/>
        </w:rPr>
        <w:t xml:space="preserve">Reply Comment Date: </w:t>
      </w:r>
      <w:r w:rsidRPr="002B26A0" w:rsidR="00081345">
        <w:rPr>
          <w:b/>
          <w:szCs w:val="22"/>
        </w:rPr>
        <w:t>July</w:t>
      </w:r>
      <w:r w:rsidRPr="002B26A0" w:rsidR="00B922CC">
        <w:rPr>
          <w:b/>
          <w:szCs w:val="22"/>
        </w:rPr>
        <w:t xml:space="preserve"> 2</w:t>
      </w:r>
      <w:r w:rsidRPr="002B26A0" w:rsidR="00081345">
        <w:rPr>
          <w:b/>
          <w:szCs w:val="22"/>
        </w:rPr>
        <w:t>0</w:t>
      </w:r>
      <w:r w:rsidRPr="002B26A0" w:rsidR="00E53A98">
        <w:rPr>
          <w:b/>
          <w:szCs w:val="22"/>
        </w:rPr>
        <w:t>, 20</w:t>
      </w:r>
      <w:r w:rsidRPr="002B26A0" w:rsidR="0074063F">
        <w:rPr>
          <w:b/>
          <w:szCs w:val="22"/>
        </w:rPr>
        <w:t>20</w:t>
      </w:r>
    </w:p>
    <w:p w:rsidR="005B02C3" w:rsidP="00F96F63" w14:paraId="10325C48" w14:textId="77777777">
      <w:pPr>
        <w:rPr>
          <w:sz w:val="24"/>
        </w:rPr>
      </w:pPr>
    </w:p>
    <w:p w:rsidR="008A0829" w:rsidP="00081345" w14:paraId="770AE189" w14:textId="26ECC5DE">
      <w:pPr>
        <w:autoSpaceDE w:val="0"/>
        <w:autoSpaceDN w:val="0"/>
        <w:adjustRightInd w:val="0"/>
        <w:spacing w:after="240"/>
        <w:ind w:firstLine="720"/>
        <w:rPr>
          <w:color w:val="010101"/>
        </w:rPr>
      </w:pPr>
      <w:r w:rsidRPr="00897FBE">
        <w:rPr>
          <w:color w:val="010101"/>
        </w:rPr>
        <w:t>The Office of Engineering and Technology (OET</w:t>
      </w:r>
      <w:r w:rsidR="0074063F">
        <w:rPr>
          <w:color w:val="010101"/>
        </w:rPr>
        <w:t xml:space="preserve">) </w:t>
      </w:r>
      <w:r>
        <w:rPr>
          <w:color w:val="010101"/>
        </w:rPr>
        <w:t>extend</w:t>
      </w:r>
      <w:r w:rsidR="0074063F">
        <w:rPr>
          <w:color w:val="010101"/>
        </w:rPr>
        <w:t>s</w:t>
      </w:r>
      <w:r>
        <w:rPr>
          <w:color w:val="010101"/>
        </w:rPr>
        <w:t xml:space="preserve"> the</w:t>
      </w:r>
      <w:r w:rsidR="00081345">
        <w:rPr>
          <w:color w:val="010101"/>
        </w:rPr>
        <w:t xml:space="preserve"> comment and</w:t>
      </w:r>
      <w:r>
        <w:rPr>
          <w:color w:val="010101"/>
        </w:rPr>
        <w:t xml:space="preserve"> </w:t>
      </w:r>
      <w:r w:rsidR="0074063F">
        <w:rPr>
          <w:color w:val="010101"/>
        </w:rPr>
        <w:t xml:space="preserve">reply </w:t>
      </w:r>
      <w:r w:rsidRPr="00897FBE">
        <w:rPr>
          <w:color w:val="010101"/>
        </w:rPr>
        <w:t xml:space="preserve">comment </w:t>
      </w:r>
      <w:r>
        <w:rPr>
          <w:color w:val="010101"/>
        </w:rPr>
        <w:t>deadline</w:t>
      </w:r>
      <w:r w:rsidR="00081345">
        <w:rPr>
          <w:color w:val="010101"/>
        </w:rPr>
        <w:t>s</w:t>
      </w:r>
      <w:r>
        <w:rPr>
          <w:color w:val="010101"/>
        </w:rPr>
        <w:t xml:space="preserve"> </w:t>
      </w:r>
      <w:r w:rsidRPr="00897FBE">
        <w:rPr>
          <w:color w:val="010101"/>
        </w:rPr>
        <w:t xml:space="preserve">on the </w:t>
      </w:r>
      <w:r w:rsidR="0074063F">
        <w:rPr>
          <w:color w:val="010101"/>
        </w:rPr>
        <w:t xml:space="preserve">Notice of Proposed Rulemaking, </w:t>
      </w:r>
      <w:r w:rsidRPr="00081345" w:rsidR="00081345">
        <w:rPr>
          <w:color w:val="010101"/>
        </w:rPr>
        <w:t>Targeted Changes to the Commission’s Rules</w:t>
      </w:r>
      <w:r w:rsidR="00081345">
        <w:rPr>
          <w:color w:val="010101"/>
        </w:rPr>
        <w:t xml:space="preserve"> </w:t>
      </w:r>
      <w:r w:rsidRPr="00081345" w:rsidR="00081345">
        <w:rPr>
          <w:color w:val="010101"/>
        </w:rPr>
        <w:t>Regarding Human Exposure to Radiofrequency</w:t>
      </w:r>
      <w:r w:rsidR="00081345">
        <w:rPr>
          <w:color w:val="010101"/>
        </w:rPr>
        <w:t xml:space="preserve"> </w:t>
      </w:r>
      <w:r w:rsidRPr="00081345" w:rsidR="00081345">
        <w:rPr>
          <w:color w:val="010101"/>
        </w:rPr>
        <w:t>Electromagnetic Fields</w:t>
      </w:r>
      <w:r w:rsidR="0074063F">
        <w:rPr>
          <w:color w:val="010101"/>
        </w:rPr>
        <w:t xml:space="preserve">, released on December </w:t>
      </w:r>
      <w:r w:rsidR="00081345">
        <w:rPr>
          <w:color w:val="010101"/>
        </w:rPr>
        <w:t>4</w:t>
      </w:r>
      <w:r w:rsidR="0074063F">
        <w:rPr>
          <w:color w:val="010101"/>
        </w:rPr>
        <w:t xml:space="preserve">, 2019 </w:t>
      </w:r>
      <w:r>
        <w:rPr>
          <w:color w:val="010101"/>
        </w:rPr>
        <w:t>(</w:t>
      </w:r>
      <w:r w:rsidR="0074063F">
        <w:rPr>
          <w:color w:val="010101"/>
        </w:rPr>
        <w:t>NPRM</w:t>
      </w:r>
      <w:r>
        <w:rPr>
          <w:color w:val="010101"/>
        </w:rPr>
        <w:t>).</w:t>
      </w:r>
      <w:r>
        <w:rPr>
          <w:rStyle w:val="FootnoteReference"/>
        </w:rPr>
        <w:footnoteReference w:id="2"/>
      </w:r>
      <w:r>
        <w:rPr>
          <w:color w:val="010101"/>
        </w:rPr>
        <w:t xml:space="preserve">  </w:t>
      </w:r>
      <w:r w:rsidR="00B6397D">
        <w:rPr>
          <w:color w:val="010101"/>
        </w:rPr>
        <w:t xml:space="preserve">Currently, </w:t>
      </w:r>
      <w:r w:rsidR="00892176">
        <w:rPr>
          <w:color w:val="010101"/>
        </w:rPr>
        <w:t>t</w:t>
      </w:r>
      <w:r w:rsidR="003650AA">
        <w:rPr>
          <w:color w:val="010101"/>
        </w:rPr>
        <w:t>he co</w:t>
      </w:r>
      <w:r w:rsidR="009B7C90">
        <w:rPr>
          <w:color w:val="010101"/>
        </w:rPr>
        <w:t xml:space="preserve">mment due </w:t>
      </w:r>
      <w:r w:rsidR="0052580D">
        <w:rPr>
          <w:color w:val="010101"/>
        </w:rPr>
        <w:t xml:space="preserve">date </w:t>
      </w:r>
      <w:r w:rsidR="00B6397D">
        <w:rPr>
          <w:color w:val="010101"/>
        </w:rPr>
        <w:t xml:space="preserve">is </w:t>
      </w:r>
      <w:r w:rsidR="006A3A6E">
        <w:rPr>
          <w:color w:val="010101"/>
        </w:rPr>
        <w:t>June</w:t>
      </w:r>
      <w:r w:rsidR="003650AA">
        <w:rPr>
          <w:color w:val="010101"/>
        </w:rPr>
        <w:t xml:space="preserve"> </w:t>
      </w:r>
      <w:r w:rsidR="006A3A6E">
        <w:rPr>
          <w:color w:val="010101"/>
        </w:rPr>
        <w:t>3</w:t>
      </w:r>
      <w:r w:rsidR="009B7C90">
        <w:rPr>
          <w:color w:val="010101"/>
        </w:rPr>
        <w:t>, 20</w:t>
      </w:r>
      <w:r w:rsidR="003650AA">
        <w:rPr>
          <w:color w:val="010101"/>
        </w:rPr>
        <w:t>20</w:t>
      </w:r>
      <w:r w:rsidR="009B7C90">
        <w:rPr>
          <w:color w:val="010101"/>
        </w:rPr>
        <w:t xml:space="preserve"> and </w:t>
      </w:r>
      <w:r w:rsidR="00B6397D">
        <w:rPr>
          <w:color w:val="010101"/>
        </w:rPr>
        <w:t xml:space="preserve">the </w:t>
      </w:r>
      <w:r w:rsidR="009B7C90">
        <w:rPr>
          <w:color w:val="010101"/>
        </w:rPr>
        <w:t xml:space="preserve">reply comment due </w:t>
      </w:r>
      <w:r w:rsidR="0052580D">
        <w:rPr>
          <w:color w:val="010101"/>
        </w:rPr>
        <w:t xml:space="preserve">date </w:t>
      </w:r>
      <w:r w:rsidR="00B6397D">
        <w:rPr>
          <w:color w:val="010101"/>
        </w:rPr>
        <w:t xml:space="preserve">is </w:t>
      </w:r>
      <w:r w:rsidR="006A3A6E">
        <w:rPr>
          <w:color w:val="010101"/>
        </w:rPr>
        <w:t>July</w:t>
      </w:r>
      <w:r w:rsidR="009B7C90">
        <w:rPr>
          <w:color w:val="010101"/>
        </w:rPr>
        <w:t xml:space="preserve"> </w:t>
      </w:r>
      <w:r w:rsidR="003650AA">
        <w:rPr>
          <w:color w:val="010101"/>
        </w:rPr>
        <w:t>6</w:t>
      </w:r>
      <w:r w:rsidR="009B7C90">
        <w:rPr>
          <w:color w:val="010101"/>
        </w:rPr>
        <w:t>, 20</w:t>
      </w:r>
      <w:r w:rsidR="003650AA">
        <w:rPr>
          <w:color w:val="010101"/>
        </w:rPr>
        <w:t>20</w:t>
      </w:r>
      <w:r w:rsidR="009B7C90">
        <w:rPr>
          <w:color w:val="010101"/>
        </w:rPr>
        <w:t>.</w:t>
      </w:r>
      <w:r>
        <w:rPr>
          <w:rStyle w:val="FootnoteReference"/>
        </w:rPr>
        <w:footnoteReference w:id="3"/>
      </w:r>
      <w:r w:rsidR="009B7C90">
        <w:rPr>
          <w:color w:val="010101"/>
        </w:rPr>
        <w:t xml:space="preserve">  </w:t>
      </w:r>
      <w:r>
        <w:t xml:space="preserve">On </w:t>
      </w:r>
      <w:r w:rsidR="00B02633">
        <w:t>May 11</w:t>
      </w:r>
      <w:r w:rsidR="006044F1">
        <w:t>, 2020</w:t>
      </w:r>
      <w:r>
        <w:t xml:space="preserve">, </w:t>
      </w:r>
      <w:r w:rsidR="00B02633">
        <w:t xml:space="preserve">Momentum Dynamics Corporation </w:t>
      </w:r>
      <w:r>
        <w:t xml:space="preserve">sought </w:t>
      </w:r>
      <w:r w:rsidRPr="005322E4">
        <w:rPr>
          <w:snapToGrid/>
          <w:kern w:val="0"/>
        </w:rPr>
        <w:t xml:space="preserve">a </w:t>
      </w:r>
      <w:r w:rsidR="00B02633">
        <w:rPr>
          <w:snapToGrid/>
          <w:kern w:val="0"/>
        </w:rPr>
        <w:t>45</w:t>
      </w:r>
      <w:r w:rsidRPr="005322E4">
        <w:rPr>
          <w:snapToGrid/>
          <w:kern w:val="0"/>
        </w:rPr>
        <w:t>-day extension of the</w:t>
      </w:r>
      <w:r w:rsidR="00B02633">
        <w:rPr>
          <w:snapToGrid/>
          <w:kern w:val="0"/>
        </w:rPr>
        <w:t xml:space="preserve"> comment and</w:t>
      </w:r>
      <w:r w:rsidRPr="005322E4">
        <w:rPr>
          <w:snapToGrid/>
          <w:kern w:val="0"/>
        </w:rPr>
        <w:t xml:space="preserve"> </w:t>
      </w:r>
      <w:r w:rsidR="006044F1">
        <w:rPr>
          <w:snapToGrid/>
          <w:kern w:val="0"/>
        </w:rPr>
        <w:t xml:space="preserve">reply </w:t>
      </w:r>
      <w:r w:rsidRPr="005322E4">
        <w:rPr>
          <w:snapToGrid/>
          <w:kern w:val="0"/>
        </w:rPr>
        <w:t>comment filing date</w:t>
      </w:r>
      <w:r w:rsidR="00B02633">
        <w:rPr>
          <w:snapToGrid/>
          <w:kern w:val="0"/>
        </w:rPr>
        <w:t>s</w:t>
      </w:r>
      <w:r w:rsidRPr="00B6397D" w:rsidR="00B6397D">
        <w:rPr>
          <w:snapToGrid/>
          <w:kern w:val="0"/>
        </w:rPr>
        <w:t xml:space="preserve"> </w:t>
      </w:r>
      <w:r w:rsidR="00B6397D">
        <w:rPr>
          <w:snapToGrid/>
          <w:kern w:val="0"/>
        </w:rPr>
        <w:t xml:space="preserve">to perform testing in support of comments in the midst of the disruptions </w:t>
      </w:r>
      <w:r w:rsidRPr="00246DE9" w:rsidR="00B6397D">
        <w:rPr>
          <w:snapToGrid/>
          <w:kern w:val="0"/>
        </w:rPr>
        <w:t xml:space="preserve">necessitated by </w:t>
      </w:r>
      <w:r w:rsidR="00B6397D">
        <w:rPr>
          <w:snapToGrid/>
          <w:kern w:val="0"/>
        </w:rPr>
        <w:t xml:space="preserve">the </w:t>
      </w:r>
      <w:r w:rsidRPr="00246DE9" w:rsidR="00B6397D">
        <w:rPr>
          <w:snapToGrid/>
          <w:kern w:val="0"/>
        </w:rPr>
        <w:t>COV</w:t>
      </w:r>
      <w:r w:rsidR="00B6397D">
        <w:rPr>
          <w:snapToGrid/>
          <w:kern w:val="0"/>
        </w:rPr>
        <w:t>ID</w:t>
      </w:r>
      <w:r w:rsidRPr="00246DE9" w:rsidR="00B6397D">
        <w:rPr>
          <w:snapToGrid/>
          <w:kern w:val="0"/>
        </w:rPr>
        <w:t>-19</w:t>
      </w:r>
      <w:r w:rsidR="00B6397D">
        <w:rPr>
          <w:snapToGrid/>
          <w:kern w:val="0"/>
        </w:rPr>
        <w:t xml:space="preserve"> pandemic.</w:t>
      </w:r>
      <w:r>
        <w:rPr>
          <w:rStyle w:val="FootnoteReference"/>
          <w:snapToGrid/>
          <w:kern w:val="0"/>
        </w:rPr>
        <w:footnoteReference w:id="4"/>
      </w:r>
      <w:r w:rsidR="006044F1">
        <w:rPr>
          <w:snapToGrid/>
          <w:kern w:val="0"/>
        </w:rPr>
        <w:t xml:space="preserve"> </w:t>
      </w:r>
      <w:r w:rsidR="003B006F">
        <w:rPr>
          <w:snapToGrid/>
          <w:kern w:val="0"/>
        </w:rPr>
        <w:t xml:space="preserve"> </w:t>
      </w:r>
      <w:r w:rsidR="00072B03">
        <w:rPr>
          <w:snapToGrid/>
          <w:kern w:val="0"/>
        </w:rPr>
        <w:t xml:space="preserve">On May 14, 2020, </w:t>
      </w:r>
      <w:r w:rsidRPr="00072B03" w:rsidR="00072B03">
        <w:rPr>
          <w:snapToGrid/>
          <w:kern w:val="0"/>
        </w:rPr>
        <w:t>GuRu</w:t>
      </w:r>
      <w:r w:rsidRPr="00072B03" w:rsidR="00072B03">
        <w:rPr>
          <w:snapToGrid/>
          <w:kern w:val="0"/>
        </w:rPr>
        <w:t xml:space="preserve"> Wireless, Inc.</w:t>
      </w:r>
      <w:r w:rsidR="00072B03">
        <w:rPr>
          <w:snapToGrid/>
          <w:kern w:val="0"/>
        </w:rPr>
        <w:t xml:space="preserve"> expressed opposition to this </w:t>
      </w:r>
      <w:r w:rsidR="007B75F6">
        <w:rPr>
          <w:snapToGrid/>
          <w:kern w:val="0"/>
        </w:rPr>
        <w:t>motion</w:t>
      </w:r>
      <w:r w:rsidR="00072B03">
        <w:rPr>
          <w:snapToGrid/>
          <w:kern w:val="0"/>
        </w:rPr>
        <w:t xml:space="preserve">, noting that the </w:t>
      </w:r>
      <w:r w:rsidR="00072B03">
        <w:rPr>
          <w:szCs w:val="22"/>
        </w:rPr>
        <w:t xml:space="preserve">comment period for this proceeding has already been delayed and that supplemental information could be filed after the comment period through </w:t>
      </w:r>
      <w:r w:rsidR="00072B03">
        <w:rPr>
          <w:i/>
          <w:iCs/>
          <w:szCs w:val="22"/>
        </w:rPr>
        <w:t xml:space="preserve">ex </w:t>
      </w:r>
      <w:r w:rsidR="00072B03">
        <w:rPr>
          <w:i/>
          <w:iCs/>
          <w:szCs w:val="22"/>
        </w:rPr>
        <w:t>parte</w:t>
      </w:r>
      <w:r w:rsidR="00072B03">
        <w:rPr>
          <w:szCs w:val="22"/>
        </w:rPr>
        <w:t xml:space="preserve"> submission.</w:t>
      </w:r>
      <w:r>
        <w:rPr>
          <w:rStyle w:val="FootnoteReference"/>
          <w:snapToGrid/>
          <w:kern w:val="0"/>
        </w:rPr>
        <w:footnoteReference w:id="5"/>
      </w:r>
      <w:r w:rsidR="00072B03">
        <w:rPr>
          <w:szCs w:val="22"/>
        </w:rPr>
        <w:t xml:space="preserve"> </w:t>
      </w:r>
    </w:p>
    <w:p w:rsidR="008A0829" w:rsidP="000F5102" w14:paraId="777B4B7D" w14:textId="2DDEA8E3">
      <w:pPr>
        <w:autoSpaceDE w:val="0"/>
        <w:autoSpaceDN w:val="0"/>
        <w:adjustRightInd w:val="0"/>
        <w:spacing w:after="240"/>
        <w:ind w:firstLine="720"/>
      </w:pPr>
      <w:r w:rsidRPr="008635E4">
        <w:rPr>
          <w:szCs w:val="22"/>
        </w:rPr>
        <w:t>It is the general policy of the Commission that extensions of time shall not be routinely granted.</w:t>
      </w:r>
      <w:r>
        <w:rPr>
          <w:szCs w:val="22"/>
          <w:vertAlign w:val="superscript"/>
        </w:rPr>
        <w:footnoteReference w:id="6"/>
      </w:r>
      <w:r w:rsidRPr="008635E4">
        <w:rPr>
          <w:szCs w:val="22"/>
        </w:rPr>
        <w:t xml:space="preserve">  </w:t>
      </w:r>
      <w:r>
        <w:t>Under the circumstances</w:t>
      </w:r>
      <w:r w:rsidR="009B7C90">
        <w:t xml:space="preserve"> presented,</w:t>
      </w:r>
      <w:r>
        <w:t xml:space="preserve"> we conclude that a </w:t>
      </w:r>
      <w:r w:rsidR="00D569A8">
        <w:t>14</w:t>
      </w:r>
      <w:r>
        <w:t>-day extension of the</w:t>
      </w:r>
      <w:r w:rsidR="00D569A8">
        <w:t xml:space="preserve"> comment and</w:t>
      </w:r>
      <w:r>
        <w:t xml:space="preserve"> </w:t>
      </w:r>
      <w:r w:rsidR="009D62AA">
        <w:t xml:space="preserve">reply </w:t>
      </w:r>
      <w:r>
        <w:t>comment deadline</w:t>
      </w:r>
      <w:r w:rsidR="00D569A8">
        <w:t>s</w:t>
      </w:r>
      <w:r w:rsidR="0087317A">
        <w:t xml:space="preserve"> </w:t>
      </w:r>
      <w:r>
        <w:t xml:space="preserve">is warranted </w:t>
      </w:r>
      <w:r w:rsidR="009B7C90">
        <w:t xml:space="preserve">to </w:t>
      </w:r>
      <w:r w:rsidR="00B6397D">
        <w:t xml:space="preserve">address the concerns raised </w:t>
      </w:r>
      <w:r w:rsidR="00DC6C9C">
        <w:t>about conducting testing</w:t>
      </w:r>
      <w:r w:rsidR="00B6397D">
        <w:t xml:space="preserve"> and allow for a better </w:t>
      </w:r>
      <w:r w:rsidR="009B7C90">
        <w:t>develop</w:t>
      </w:r>
      <w:r w:rsidR="00B6397D">
        <w:t>ed</w:t>
      </w:r>
      <w:r w:rsidR="009B7C90">
        <w:t xml:space="preserve"> record </w:t>
      </w:r>
      <w:r w:rsidR="009D62AA">
        <w:t>in this proceeding</w:t>
      </w:r>
      <w:r>
        <w:t>.</w:t>
      </w:r>
      <w:r w:rsidR="00FB26AF">
        <w:t xml:space="preserve">  This short extensio</w:t>
      </w:r>
      <w:r w:rsidR="000F5102">
        <w:t xml:space="preserve">n </w:t>
      </w:r>
      <w:r w:rsidR="000F5102">
        <w:t>takes into account</w:t>
      </w:r>
      <w:r w:rsidR="000F5102">
        <w:t xml:space="preserve"> the </w:t>
      </w:r>
      <w:r w:rsidR="00E3735E">
        <w:t>prospect</w:t>
      </w:r>
      <w:r w:rsidR="000F5102">
        <w:t xml:space="preserve"> that parties may gain greater access to their worksites in the near future,</w:t>
      </w:r>
      <w:r>
        <w:rPr>
          <w:rStyle w:val="FootnoteReference"/>
        </w:rPr>
        <w:footnoteReference w:id="7"/>
      </w:r>
      <w:r w:rsidR="000F5102">
        <w:t xml:space="preserve"> but is not so long as to frustrate our interest in not unduly delaying this proceeding.</w:t>
      </w:r>
      <w:r w:rsidR="00FB26AF">
        <w:t xml:space="preserve"> </w:t>
      </w:r>
      <w:r w:rsidR="009D62AA">
        <w:t xml:space="preserve"> </w:t>
      </w:r>
      <w:r w:rsidR="000F5102">
        <w:t>We</w:t>
      </w:r>
      <w:r w:rsidR="006D270B">
        <w:t xml:space="preserve"> anticipate</w:t>
      </w:r>
      <w:r w:rsidR="000F5102">
        <w:t xml:space="preserve"> that i</w:t>
      </w:r>
      <w:r w:rsidRPr="00433C7A" w:rsidR="00433C7A">
        <w:t xml:space="preserve">nterested parties </w:t>
      </w:r>
      <w:r w:rsidR="000F5102">
        <w:t>will be able to</w:t>
      </w:r>
      <w:r w:rsidRPr="00433C7A" w:rsidR="00433C7A">
        <w:t xml:space="preserve"> use this time to develop complete, fully supported comments</w:t>
      </w:r>
      <w:r w:rsidR="00D569A8">
        <w:t xml:space="preserve"> and reply comments</w:t>
      </w:r>
      <w:r w:rsidR="000F5102">
        <w:t xml:space="preserve">, </w:t>
      </w:r>
      <w:r w:rsidR="006D270B">
        <w:t>and acknowledge</w:t>
      </w:r>
      <w:r w:rsidR="00610BEE">
        <w:t xml:space="preserve"> that parties </w:t>
      </w:r>
      <w:r w:rsidR="006730A3">
        <w:t xml:space="preserve">can </w:t>
      </w:r>
      <w:r w:rsidR="006D270B">
        <w:t xml:space="preserve">make </w:t>
      </w:r>
      <w:r w:rsidR="00610BEE">
        <w:rPr>
          <w:i/>
          <w:iCs/>
        </w:rPr>
        <w:t xml:space="preserve">ex </w:t>
      </w:r>
      <w:r w:rsidR="00610BEE">
        <w:rPr>
          <w:i/>
          <w:iCs/>
        </w:rPr>
        <w:t>parte</w:t>
      </w:r>
      <w:r w:rsidR="00610BEE">
        <w:t xml:space="preserve"> </w:t>
      </w:r>
      <w:r w:rsidR="006D270B">
        <w:t>presentations</w:t>
      </w:r>
      <w:r w:rsidR="00610BEE">
        <w:t xml:space="preserve"> to </w:t>
      </w:r>
      <w:r w:rsidR="006D270B">
        <w:t>introduce supplemental materials once the notice-and-reply comment cycle has closed</w:t>
      </w:r>
      <w:r>
        <w:t xml:space="preserve">.  </w:t>
      </w:r>
      <w:r w:rsidRPr="008635E4">
        <w:rPr>
          <w:szCs w:val="22"/>
        </w:rPr>
        <w:t xml:space="preserve">Accordingly, pursuant to Section 4(i) of the Communications Act of 1934, as </w:t>
      </w:r>
      <w:r w:rsidRPr="008635E4">
        <w:rPr>
          <w:szCs w:val="22"/>
        </w:rPr>
        <w:t>amended,</w:t>
      </w:r>
      <w:r>
        <w:rPr>
          <w:szCs w:val="22"/>
          <w:vertAlign w:val="superscript"/>
        </w:rPr>
        <w:footnoteReference w:id="8"/>
      </w:r>
      <w:r w:rsidRPr="008635E4">
        <w:rPr>
          <w:szCs w:val="22"/>
        </w:rPr>
        <w:t xml:space="preserve"> and Section 1.46 of the Commission's rules,</w:t>
      </w:r>
      <w:r>
        <w:rPr>
          <w:szCs w:val="22"/>
          <w:vertAlign w:val="superscript"/>
        </w:rPr>
        <w:footnoteReference w:id="9"/>
      </w:r>
      <w:r w:rsidRPr="008635E4">
        <w:rPr>
          <w:szCs w:val="22"/>
        </w:rPr>
        <w:t xml:space="preserve"> we extend the deadline for filing </w:t>
      </w:r>
      <w:r>
        <w:rPr>
          <w:szCs w:val="22"/>
        </w:rPr>
        <w:t xml:space="preserve">comments until </w:t>
      </w:r>
      <w:r w:rsidR="00D569A8">
        <w:rPr>
          <w:szCs w:val="22"/>
        </w:rPr>
        <w:t>June 1</w:t>
      </w:r>
      <w:r w:rsidR="00B922CC">
        <w:rPr>
          <w:szCs w:val="22"/>
        </w:rPr>
        <w:t>7</w:t>
      </w:r>
      <w:r w:rsidR="00882E30">
        <w:rPr>
          <w:szCs w:val="22"/>
        </w:rPr>
        <w:t>,</w:t>
      </w:r>
      <w:r>
        <w:rPr>
          <w:szCs w:val="22"/>
        </w:rPr>
        <w:t xml:space="preserve"> 20</w:t>
      </w:r>
      <w:r w:rsidR="00882E30">
        <w:rPr>
          <w:szCs w:val="22"/>
        </w:rPr>
        <w:t>20</w:t>
      </w:r>
      <w:r w:rsidR="00D569A8">
        <w:rPr>
          <w:szCs w:val="22"/>
        </w:rPr>
        <w:t>, and we extend the deadline for filin</w:t>
      </w:r>
      <w:bookmarkStart w:id="2" w:name="_GoBack"/>
      <w:bookmarkEnd w:id="2"/>
      <w:r w:rsidR="00D569A8">
        <w:rPr>
          <w:szCs w:val="22"/>
        </w:rPr>
        <w:t>g reply comments until July 20, 2020</w:t>
      </w:r>
      <w:r>
        <w:rPr>
          <w:szCs w:val="22"/>
        </w:rPr>
        <w:t>.</w:t>
      </w:r>
    </w:p>
    <w:p w:rsidR="000C76E8" w:rsidRPr="009D6643" w:rsidP="00D569A8" w14:paraId="500BEB07" w14:textId="73B8C6CB">
      <w:pPr>
        <w:spacing w:after="120"/>
        <w:ind w:firstLine="720"/>
        <w:rPr>
          <w:szCs w:val="22"/>
        </w:rPr>
      </w:pPr>
      <w:r w:rsidRPr="009D6643">
        <w:rPr>
          <w:szCs w:val="22"/>
        </w:rPr>
        <w:t xml:space="preserve">For further information, contact </w:t>
      </w:r>
      <w:r w:rsidRPr="00D569A8" w:rsidR="00D569A8">
        <w:rPr>
          <w:color w:val="010101"/>
        </w:rPr>
        <w:t>Martin Doczkat</w:t>
      </w:r>
      <w:r>
        <w:rPr>
          <w:color w:val="010101"/>
        </w:rPr>
        <w:t>,</w:t>
      </w:r>
      <w:r w:rsidRPr="00D569A8" w:rsidR="00D569A8">
        <w:rPr>
          <w:color w:val="010101"/>
        </w:rPr>
        <w:t xml:space="preserve"> martin.doczkat@fcc.gov of the </w:t>
      </w:r>
      <w:r>
        <w:rPr>
          <w:szCs w:val="22"/>
        </w:rPr>
        <w:t>Office of Engineering and Technology</w:t>
      </w:r>
      <w:r w:rsidRPr="00D569A8">
        <w:rPr>
          <w:color w:val="010101"/>
        </w:rPr>
        <w:t xml:space="preserve"> </w:t>
      </w:r>
      <w:r w:rsidRPr="00D569A8" w:rsidR="00D569A8">
        <w:rPr>
          <w:color w:val="010101"/>
        </w:rPr>
        <w:t>Electromagnetic Compatibility Division</w:t>
      </w:r>
      <w:r w:rsidR="00210083">
        <w:rPr>
          <w:color w:val="010101"/>
        </w:rPr>
        <w:t xml:space="preserve">, or </w:t>
      </w:r>
      <w:r w:rsidRPr="00D569A8" w:rsidR="00D569A8">
        <w:rPr>
          <w:color w:val="010101"/>
        </w:rPr>
        <w:t>the Commission's RF Safety Program, rfsafety@fcc.gov</w:t>
      </w:r>
      <w:r w:rsidR="00D569A8">
        <w:rPr>
          <w:color w:val="010101"/>
        </w:rPr>
        <w:t>.</w:t>
      </w:r>
    </w:p>
    <w:p w:rsidR="000C76E8" w:rsidRPr="009D6643" w:rsidP="000C76E8" w14:paraId="744445AE" w14:textId="77777777">
      <w:pPr>
        <w:spacing w:before="120" w:after="240"/>
        <w:rPr>
          <w:szCs w:val="22"/>
        </w:rPr>
      </w:pPr>
      <w:r w:rsidRPr="009D6643">
        <w:rPr>
          <w:szCs w:val="22"/>
        </w:rPr>
        <w:tab/>
        <w:t xml:space="preserve">Action by the </w:t>
      </w:r>
      <w:r w:rsidR="00882E30">
        <w:rPr>
          <w:szCs w:val="22"/>
        </w:rPr>
        <w:t>Actin</w:t>
      </w:r>
      <w:r w:rsidR="00866D52">
        <w:rPr>
          <w:szCs w:val="22"/>
        </w:rPr>
        <w:t>g</w:t>
      </w:r>
      <w:r w:rsidR="00882E30">
        <w:rPr>
          <w:szCs w:val="22"/>
        </w:rPr>
        <w:t xml:space="preserve"> </w:t>
      </w:r>
      <w:r w:rsidRPr="009D6643">
        <w:rPr>
          <w:szCs w:val="22"/>
        </w:rPr>
        <w:t xml:space="preserve">Chief, </w:t>
      </w:r>
      <w:r>
        <w:rPr>
          <w:szCs w:val="22"/>
        </w:rPr>
        <w:t>Office of Engineering and Technology</w:t>
      </w:r>
      <w:r w:rsidRPr="009D6643">
        <w:rPr>
          <w:szCs w:val="22"/>
        </w:rPr>
        <w:t>.</w:t>
      </w:r>
    </w:p>
    <w:p w:rsidR="00930ECF" w:rsidRPr="004061E2" w:rsidP="004061E2" w14:paraId="7A3211C1" w14:textId="77777777">
      <w:pPr>
        <w:rPr>
          <w:sz w:val="24"/>
        </w:rPr>
      </w:pPr>
      <w:r w:rsidRPr="00897FBE">
        <w:rPr>
          <w:color w:val="010101"/>
        </w:rPr>
        <w:t xml:space="preserve">                                                                                    -FCC-</w:t>
      </w:r>
      <w:bookmarkEnd w:id="0"/>
    </w:p>
    <w:sectPr w:rsidSect="000E588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03F860F6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6AAC6D7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70C21DAC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7C6D5776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C5546" w14:paraId="6DE00887" w14:textId="77777777">
      <w:r>
        <w:separator/>
      </w:r>
    </w:p>
  </w:footnote>
  <w:footnote w:type="continuationSeparator" w:id="1">
    <w:p w:rsidR="00BC5546" w14:paraId="084E72EA" w14:textId="77777777">
      <w:r>
        <w:continuationSeparator/>
      </w:r>
    </w:p>
  </w:footnote>
  <w:footnote w:id="2">
    <w:p w:rsidR="008A0829" w14:paraId="4FA4AB75" w14:textId="3777D102">
      <w:pPr>
        <w:pStyle w:val="FootnoteText"/>
      </w:pPr>
      <w:r>
        <w:rPr>
          <w:rStyle w:val="FootnoteReference"/>
        </w:rPr>
        <w:footnoteRef/>
      </w:r>
      <w:r w:rsidR="000865B1">
        <w:t xml:space="preserve"> </w:t>
      </w:r>
      <w:bookmarkStart w:id="1" w:name="_Hlk35961167"/>
      <w:r w:rsidRPr="00081345" w:rsidR="00081345">
        <w:rPr>
          <w:i/>
          <w:iCs/>
          <w:color w:val="010101"/>
        </w:rPr>
        <w:t>Targeted Changes to the Commission’s Rules Regarding Human Exposure to Radiofrequency Electromagnetic Fields</w:t>
      </w:r>
      <w:r>
        <w:t xml:space="preserve">, </w:t>
      </w:r>
      <w:r w:rsidR="000865B1">
        <w:t>ET</w:t>
      </w:r>
      <w:r>
        <w:t xml:space="preserve"> Docket No. 1</w:t>
      </w:r>
      <w:r w:rsidR="000865B1">
        <w:t>9</w:t>
      </w:r>
      <w:r>
        <w:t>-</w:t>
      </w:r>
      <w:r w:rsidR="00081345">
        <w:t>226</w:t>
      </w:r>
      <w:r w:rsidR="000865B1">
        <w:t>, Notice of Proposed Rulemaking</w:t>
      </w:r>
      <w:r w:rsidR="00B27E4E">
        <w:t xml:space="preserve">, </w:t>
      </w:r>
      <w:bookmarkEnd w:id="1"/>
      <w:r w:rsidR="000865B1">
        <w:t xml:space="preserve">34 FCC </w:t>
      </w:r>
      <w:r w:rsidR="000865B1">
        <w:t>Rcd</w:t>
      </w:r>
      <w:r w:rsidR="000865B1">
        <w:t xml:space="preserve"> </w:t>
      </w:r>
      <w:r w:rsidR="006A3A6E">
        <w:t xml:space="preserve">11687 </w:t>
      </w:r>
      <w:r w:rsidR="000865B1">
        <w:t>(2019</w:t>
      </w:r>
      <w:r>
        <w:t>).</w:t>
      </w:r>
    </w:p>
  </w:footnote>
  <w:footnote w:id="3">
    <w:p w:rsidR="00B02633" w:rsidP="00B02633" w14:paraId="55AF3B92" w14:textId="77777777">
      <w:pPr>
        <w:pStyle w:val="FootnoteText"/>
      </w:pPr>
      <w:r>
        <w:rPr>
          <w:rStyle w:val="FootnoteReference"/>
        </w:rPr>
        <w:footnoteRef/>
      </w:r>
      <w:r>
        <w:t xml:space="preserve"> Federal Communications Commission, </w:t>
      </w:r>
      <w:r w:rsidRPr="006A3A6E">
        <w:t>Human Exposure to Radiofrequency Electromagnetic Fields</w:t>
      </w:r>
      <w:r w:rsidRPr="00ED6FA1">
        <w:t>,</w:t>
      </w:r>
      <w:r>
        <w:t xml:space="preserve"> 85 Fed. Reg. 19117 (Apr. 6, 2020), corrected at 85 Fed. Reg. 20967 (Apr. 15, 2020) and 85 Fed. Reg. 26438 (May 4, 2020).</w:t>
      </w:r>
    </w:p>
  </w:footnote>
  <w:footnote w:id="4">
    <w:p w:rsidR="006044F1" w:rsidP="006044F1" w14:paraId="262AAACD" w14:textId="0D9AF7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02633">
        <w:t>Momentum Dynamics Corporation</w:t>
      </w:r>
      <w:r w:rsidR="00E66507">
        <w:t xml:space="preserve">, </w:t>
      </w:r>
      <w:r w:rsidR="00B02633">
        <w:t>Motion for Extension of Time</w:t>
      </w:r>
      <w:r w:rsidR="00E66507">
        <w:t>,</w:t>
      </w:r>
      <w:r w:rsidRPr="00E66507" w:rsidR="00E66507">
        <w:t xml:space="preserve"> ET Docket No. 19-</w:t>
      </w:r>
      <w:r w:rsidR="00B02633">
        <w:t>226</w:t>
      </w:r>
      <w:r w:rsidR="00E66507">
        <w:t xml:space="preserve"> (filed Ma</w:t>
      </w:r>
      <w:r w:rsidR="00B02633">
        <w:t>y 11</w:t>
      </w:r>
      <w:r w:rsidR="00E66507">
        <w:t>, 2020)</w:t>
      </w:r>
      <w:r w:rsidR="0082369C">
        <w:t>.</w:t>
      </w:r>
    </w:p>
  </w:footnote>
  <w:footnote w:id="5">
    <w:p w:rsidR="00072B03" w:rsidP="00072B03" w14:paraId="1D7F9EF2" w14:textId="418CE6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72B03">
        <w:t>GuRu</w:t>
      </w:r>
      <w:r w:rsidRPr="00072B03">
        <w:t xml:space="preserve"> Wireless, Inc.</w:t>
      </w:r>
      <w:r>
        <w:t>, Opposition to Request for More Time,</w:t>
      </w:r>
      <w:r w:rsidRPr="00E66507">
        <w:t xml:space="preserve"> ET Docket No. 19-</w:t>
      </w:r>
      <w:r>
        <w:t>226 (filed May 14, 2020).</w:t>
      </w:r>
    </w:p>
  </w:footnote>
  <w:footnote w:id="6">
    <w:p w:rsidR="000C76E8" w:rsidRPr="00C92AD1" w:rsidP="000C76E8" w14:paraId="4DE7313F" w14:textId="77777777">
      <w:pPr>
        <w:pStyle w:val="FootnoteText"/>
      </w:pPr>
      <w:r w:rsidRPr="00C92AD1">
        <w:rPr>
          <w:rStyle w:val="FootnoteReference"/>
        </w:rPr>
        <w:footnoteRef/>
      </w:r>
      <w:r w:rsidRPr="00C92AD1">
        <w:t xml:space="preserve"> 47 CFR § 1.46(a).</w:t>
      </w:r>
    </w:p>
  </w:footnote>
  <w:footnote w:id="7">
    <w:p w:rsidR="000F5102" w14:paraId="61320018" w14:textId="2564993D">
      <w:pPr>
        <w:pStyle w:val="FootnoteText"/>
      </w:pPr>
      <w:r>
        <w:rPr>
          <w:rStyle w:val="FootnoteReference"/>
        </w:rPr>
        <w:footnoteRef/>
      </w:r>
      <w:r>
        <w:t xml:space="preserve"> Momentum Dynamics Corporation, Motion for Extension of Time at 2 (expecting the “stay-at-home” order for its Chester County, Pa.-based location to remain in effect until at least June 4</w:t>
      </w:r>
      <w:r w:rsidR="00E3735E">
        <w:t>)</w:t>
      </w:r>
      <w:r>
        <w:t>.</w:t>
      </w:r>
    </w:p>
  </w:footnote>
  <w:footnote w:id="8">
    <w:p w:rsidR="000C76E8" w:rsidRPr="00C92AD1" w:rsidP="000C76E8" w14:paraId="39590F42" w14:textId="77777777">
      <w:pPr>
        <w:pStyle w:val="FootnoteText"/>
      </w:pPr>
      <w:r w:rsidRPr="00C92AD1">
        <w:rPr>
          <w:rStyle w:val="FootnoteReference"/>
        </w:rPr>
        <w:footnoteRef/>
      </w:r>
      <w:r w:rsidRPr="00C92AD1">
        <w:t xml:space="preserve"> 47 U.S.C. § 154(i).</w:t>
      </w:r>
    </w:p>
  </w:footnote>
  <w:footnote w:id="9">
    <w:p w:rsidR="000C76E8" w:rsidRPr="00C92AD1" w:rsidP="000C76E8" w14:paraId="28AB3ADC" w14:textId="77777777">
      <w:pPr>
        <w:pStyle w:val="FootnoteText"/>
      </w:pPr>
      <w:r w:rsidRPr="00C92AD1">
        <w:rPr>
          <w:rStyle w:val="FootnoteReference"/>
        </w:rPr>
        <w:footnoteRef/>
      </w:r>
      <w:r w:rsidRPr="00C92AD1">
        <w:t xml:space="preserve"> 47 CFR § 1.46.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800451" w14:paraId="2E5B62BB" w14:textId="77777777">
    <w:pPr>
      <w:tabs>
        <w:tab w:val="center" w:pos="4680"/>
        <w:tab w:val="right" w:pos="9360"/>
      </w:tabs>
      <w:rPr>
        <w:rFonts w:ascii="Arial" w:hAnsi="Arial" w:cs="Arial"/>
        <w:b/>
        <w:sz w:val="20"/>
      </w:rPr>
    </w:pPr>
    <w:r w:rsidRPr="009838BC"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300097E6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9838BC" w:rsidP="009838BC" w14:paraId="61129B52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21DD72DB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478BFBC6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4116528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6F7393" w:rsidRPr="005F036C" w:rsidP="005F036C" w14:paraId="21D0213B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3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3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<v:textbox inset=",0,,0">
                <w:txbxContent>
                  <w:p w:rsidR="009838BC" w:rsidP="009838BC" w14:paraId="11A6315B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2FC0313F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3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3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7B2E18C5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28"/>
    <w:rsid w:val="00013A8B"/>
    <w:rsid w:val="00072B03"/>
    <w:rsid w:val="00073D58"/>
    <w:rsid w:val="00081345"/>
    <w:rsid w:val="000865B1"/>
    <w:rsid w:val="000C4D4F"/>
    <w:rsid w:val="000C76E8"/>
    <w:rsid w:val="000D0013"/>
    <w:rsid w:val="000E5884"/>
    <w:rsid w:val="000F5102"/>
    <w:rsid w:val="00210083"/>
    <w:rsid w:val="00225BE5"/>
    <w:rsid w:val="002376E2"/>
    <w:rsid w:val="00246DE9"/>
    <w:rsid w:val="00272C41"/>
    <w:rsid w:val="002A31CD"/>
    <w:rsid w:val="002B26A0"/>
    <w:rsid w:val="002C0D95"/>
    <w:rsid w:val="002F5B9A"/>
    <w:rsid w:val="00357D50"/>
    <w:rsid w:val="003650AA"/>
    <w:rsid w:val="003B006F"/>
    <w:rsid w:val="004061E2"/>
    <w:rsid w:val="00433C7A"/>
    <w:rsid w:val="004C6421"/>
    <w:rsid w:val="00500813"/>
    <w:rsid w:val="0052580D"/>
    <w:rsid w:val="005322E4"/>
    <w:rsid w:val="0055614C"/>
    <w:rsid w:val="005A42C3"/>
    <w:rsid w:val="005B02C3"/>
    <w:rsid w:val="005F036C"/>
    <w:rsid w:val="006044F1"/>
    <w:rsid w:val="00610BEE"/>
    <w:rsid w:val="006321D2"/>
    <w:rsid w:val="006730A3"/>
    <w:rsid w:val="006A3A6E"/>
    <w:rsid w:val="006D270B"/>
    <w:rsid w:val="006E4B7A"/>
    <w:rsid w:val="006F7393"/>
    <w:rsid w:val="007033AC"/>
    <w:rsid w:val="0074063F"/>
    <w:rsid w:val="00762828"/>
    <w:rsid w:val="00777220"/>
    <w:rsid w:val="007B75F6"/>
    <w:rsid w:val="007C2965"/>
    <w:rsid w:val="00800451"/>
    <w:rsid w:val="0082369C"/>
    <w:rsid w:val="008252FD"/>
    <w:rsid w:val="00855264"/>
    <w:rsid w:val="008635E4"/>
    <w:rsid w:val="00866D52"/>
    <w:rsid w:val="0087317A"/>
    <w:rsid w:val="00882E30"/>
    <w:rsid w:val="00892176"/>
    <w:rsid w:val="00897FBE"/>
    <w:rsid w:val="008A0829"/>
    <w:rsid w:val="00910F12"/>
    <w:rsid w:val="00930ECF"/>
    <w:rsid w:val="009838BC"/>
    <w:rsid w:val="009B7C90"/>
    <w:rsid w:val="009D62AA"/>
    <w:rsid w:val="009D6643"/>
    <w:rsid w:val="009F67DC"/>
    <w:rsid w:val="00A1243F"/>
    <w:rsid w:val="00A66D34"/>
    <w:rsid w:val="00A866AC"/>
    <w:rsid w:val="00B02633"/>
    <w:rsid w:val="00B27E4E"/>
    <w:rsid w:val="00B42798"/>
    <w:rsid w:val="00B51EE9"/>
    <w:rsid w:val="00B6397D"/>
    <w:rsid w:val="00B922CC"/>
    <w:rsid w:val="00BC5546"/>
    <w:rsid w:val="00BD0052"/>
    <w:rsid w:val="00BD4B1F"/>
    <w:rsid w:val="00C10F6D"/>
    <w:rsid w:val="00C72C14"/>
    <w:rsid w:val="00C81A49"/>
    <w:rsid w:val="00C82B6B"/>
    <w:rsid w:val="00C86B30"/>
    <w:rsid w:val="00C92AD1"/>
    <w:rsid w:val="00CA5424"/>
    <w:rsid w:val="00D216CD"/>
    <w:rsid w:val="00D569A8"/>
    <w:rsid w:val="00D7179D"/>
    <w:rsid w:val="00DC6C9C"/>
    <w:rsid w:val="00E3735E"/>
    <w:rsid w:val="00E53A98"/>
    <w:rsid w:val="00E66507"/>
    <w:rsid w:val="00EB61AE"/>
    <w:rsid w:val="00EC724F"/>
    <w:rsid w:val="00ED6FA1"/>
    <w:rsid w:val="00F50C07"/>
    <w:rsid w:val="00F552ED"/>
    <w:rsid w:val="00F96F63"/>
    <w:rsid w:val="00FB1DBF"/>
    <w:rsid w:val="00FB26AF"/>
    <w:rsid w:val="00FC528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50CD3F2-E8B1-4BC6-A85D-18384BF9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C07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F50C07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F50C07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F50C07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F50C07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F50C07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F50C07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F50C07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F50C07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F50C07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F50C0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50C07"/>
  </w:style>
  <w:style w:type="paragraph" w:customStyle="1" w:styleId="ParaNum">
    <w:name w:val="ParaNum"/>
    <w:basedOn w:val="Normal"/>
    <w:rsid w:val="00F50C07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F50C07"/>
    <w:rPr>
      <w:sz w:val="20"/>
    </w:rPr>
  </w:style>
  <w:style w:type="character" w:styleId="EndnoteReference">
    <w:name w:val="endnote reference"/>
    <w:semiHidden/>
    <w:rsid w:val="00F50C07"/>
    <w:rPr>
      <w:vertAlign w:val="superscript"/>
    </w:rPr>
  </w:style>
  <w:style w:type="paragraph" w:styleId="FootnoteText">
    <w:name w:val="footnote text"/>
    <w:semiHidden/>
    <w:rsid w:val="00F50C07"/>
    <w:pPr>
      <w:spacing w:after="120"/>
    </w:pPr>
  </w:style>
  <w:style w:type="character" w:styleId="FootnoteReference">
    <w:name w:val="footnote reference"/>
    <w:semiHidden/>
    <w:rsid w:val="00F50C07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rsid w:val="00F50C07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F50C07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F50C07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F50C07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F50C07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F50C07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F50C07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F50C07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F50C07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F50C07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F50C07"/>
  </w:style>
  <w:style w:type="paragraph" w:styleId="Header">
    <w:name w:val="header"/>
    <w:basedOn w:val="Normal"/>
    <w:autoRedefine/>
    <w:rsid w:val="00F50C07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F50C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0C07"/>
  </w:style>
  <w:style w:type="paragraph" w:styleId="BlockText">
    <w:name w:val="Block Text"/>
    <w:basedOn w:val="Normal"/>
    <w:rsid w:val="00F50C07"/>
    <w:pPr>
      <w:spacing w:after="240"/>
      <w:ind w:left="1440" w:right="1440"/>
    </w:pPr>
  </w:style>
  <w:style w:type="paragraph" w:customStyle="1" w:styleId="Paratitle">
    <w:name w:val="Para title"/>
    <w:basedOn w:val="Normal"/>
    <w:rsid w:val="00F50C07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F50C07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F50C07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F50C07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F50C07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F50C0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F50C07"/>
    <w:rPr>
      <w:snapToGrid w:val="0"/>
      <w:kern w:val="28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02C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C3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5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58B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58B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B9558B"/>
    <w:rPr>
      <w:snapToGrid w:val="0"/>
      <w:kern w:val="28"/>
      <w:sz w:val="22"/>
    </w:rPr>
  </w:style>
  <w:style w:type="character" w:customStyle="1" w:styleId="UnresolvedMention2">
    <w:name w:val="Unresolved Mention2"/>
    <w:basedOn w:val="DefaultParagraphFont"/>
    <w:uiPriority w:val="99"/>
    <w:rsid w:val="00767D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Portrait.dot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