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0FE0" w:rsidP="00320FE0" w14:paraId="4E6E9E3F" w14:textId="77777777">
      <w:pPr>
        <w:jc w:val="center"/>
        <w:rPr>
          <w:b/>
        </w:rPr>
      </w:pPr>
      <w:r w:rsidRPr="0070224F">
        <w:rPr>
          <w:rFonts w:ascii="Times New Roman Bold" w:hAnsi="Times New Roman Bold"/>
          <w:b/>
          <w:kern w:val="0"/>
          <w:szCs w:val="22"/>
        </w:rPr>
        <w:t>Before</w:t>
      </w:r>
      <w:r>
        <w:rPr>
          <w:b/>
        </w:rPr>
        <w:t xml:space="preserve"> the</w:t>
      </w:r>
    </w:p>
    <w:p w:rsidR="00320FE0" w:rsidP="00320FE0" w14:paraId="04B9B0A8" w14:textId="77777777">
      <w:pPr>
        <w:pStyle w:val="StyleBoldCentered"/>
      </w:pPr>
      <w:r>
        <w:t>F</w:t>
      </w:r>
      <w:r>
        <w:rPr>
          <w:caps w:val="0"/>
        </w:rPr>
        <w:t>ederal Communications Commission</w:t>
      </w:r>
    </w:p>
    <w:p w:rsidR="00320FE0" w:rsidP="00320FE0" w14:paraId="62BAC15F" w14:textId="77777777">
      <w:pPr>
        <w:pStyle w:val="StyleBoldCentered"/>
      </w:pPr>
      <w:r>
        <w:rPr>
          <w:caps w:val="0"/>
        </w:rPr>
        <w:t>Washington, D.C. 20554</w:t>
      </w:r>
    </w:p>
    <w:p w:rsidR="00320FE0" w:rsidP="00320FE0" w14:paraId="31993706" w14:textId="77777777"/>
    <w:p w:rsidR="00320FE0" w:rsidP="00320FE0" w14:paraId="5DE0AF07" w14:textId="77777777"/>
    <w:tbl>
      <w:tblPr>
        <w:tblW w:w="0" w:type="auto"/>
        <w:tblLayout w:type="fixed"/>
        <w:tblLook w:val="0000"/>
      </w:tblPr>
      <w:tblGrid>
        <w:gridCol w:w="4698"/>
        <w:gridCol w:w="630"/>
        <w:gridCol w:w="4248"/>
      </w:tblGrid>
      <w:tr w14:paraId="5E225813" w14:textId="77777777" w:rsidTr="00B71D2A">
        <w:tblPrEx>
          <w:tblW w:w="0" w:type="auto"/>
          <w:tblLayout w:type="fixed"/>
          <w:tblLook w:val="0000"/>
        </w:tblPrEx>
        <w:trPr>
          <w:trHeight w:val="1017"/>
        </w:trPr>
        <w:tc>
          <w:tcPr>
            <w:tcW w:w="4698" w:type="dxa"/>
          </w:tcPr>
          <w:p w:rsidR="00320FE0" w:rsidP="00B71D2A" w14:paraId="0FA7952F" w14:textId="77777777">
            <w:pPr>
              <w:tabs>
                <w:tab w:val="center" w:pos="4680"/>
              </w:tabs>
              <w:suppressAutoHyphens/>
            </w:pPr>
            <w:r>
              <w:t>In the Matter of</w:t>
            </w:r>
          </w:p>
          <w:p w:rsidR="00320FE0" w:rsidP="00B71D2A" w14:paraId="2B12E64C" w14:textId="77777777">
            <w:pPr>
              <w:keepNext/>
              <w:widowControl/>
              <w:tabs>
                <w:tab w:val="center" w:pos="4680"/>
              </w:tabs>
              <w:suppressAutoHyphens/>
            </w:pPr>
          </w:p>
          <w:p w:rsidR="00320FE0" w:rsidRPr="00837FA5" w:rsidP="00B71D2A" w14:paraId="0F19AA42" w14:textId="77777777">
            <w:pPr>
              <w:keepNext/>
              <w:widowControl/>
              <w:tabs>
                <w:tab w:val="center" w:pos="4680"/>
              </w:tabs>
              <w:suppressAutoHyphens/>
            </w:pPr>
            <w:r w:rsidRPr="00837FA5">
              <w:t>National Exchange Carrier Association, Inc.</w:t>
            </w:r>
          </w:p>
          <w:p w:rsidR="00320FE0" w:rsidP="00B71D2A" w14:paraId="66A565BD" w14:textId="77777777">
            <w:pPr>
              <w:keepNext/>
              <w:widowControl/>
              <w:tabs>
                <w:tab w:val="center" w:pos="4680"/>
              </w:tabs>
              <w:suppressAutoHyphens/>
            </w:pPr>
            <w:r w:rsidRPr="00837FA5">
              <w:t>2020 Modification of Average Schedules</w:t>
            </w:r>
          </w:p>
          <w:p w:rsidR="00320FE0" w:rsidP="00B71D2A" w14:paraId="723CF39A" w14:textId="77777777">
            <w:pPr>
              <w:keepNext/>
              <w:widowControl/>
              <w:tabs>
                <w:tab w:val="center" w:pos="4680"/>
              </w:tabs>
              <w:suppressAutoHyphens/>
            </w:pPr>
          </w:p>
        </w:tc>
        <w:tc>
          <w:tcPr>
            <w:tcW w:w="630" w:type="dxa"/>
          </w:tcPr>
          <w:p w:rsidR="00320FE0" w:rsidP="00B71D2A" w14:paraId="275A4306" w14:textId="77777777">
            <w:pPr>
              <w:keepNext/>
              <w:widowControl/>
              <w:tabs>
                <w:tab w:val="center" w:pos="4680"/>
              </w:tabs>
              <w:suppressAutoHyphens/>
              <w:rPr>
                <w:b/>
              </w:rPr>
            </w:pPr>
            <w:r>
              <w:rPr>
                <w:b/>
              </w:rPr>
              <w:t>)</w:t>
            </w:r>
          </w:p>
          <w:p w:rsidR="00320FE0" w:rsidP="00B71D2A" w14:paraId="4CC9FC32" w14:textId="77777777">
            <w:pPr>
              <w:keepNext/>
              <w:widowControl/>
              <w:tabs>
                <w:tab w:val="center" w:pos="4680"/>
              </w:tabs>
              <w:suppressAutoHyphens/>
              <w:rPr>
                <w:b/>
              </w:rPr>
            </w:pPr>
            <w:r>
              <w:rPr>
                <w:b/>
              </w:rPr>
              <w:t>)</w:t>
            </w:r>
          </w:p>
          <w:p w:rsidR="00320FE0" w:rsidP="00B71D2A" w14:paraId="7BDCDAC9" w14:textId="77777777">
            <w:pPr>
              <w:keepNext/>
              <w:widowControl/>
              <w:tabs>
                <w:tab w:val="center" w:pos="4680"/>
              </w:tabs>
              <w:suppressAutoHyphens/>
              <w:rPr>
                <w:b/>
              </w:rPr>
            </w:pPr>
            <w:r>
              <w:rPr>
                <w:b/>
              </w:rPr>
              <w:t>)</w:t>
            </w:r>
          </w:p>
          <w:p w:rsidR="00320FE0" w:rsidP="00B71D2A" w14:paraId="62C23BF1" w14:textId="28CF6D63">
            <w:pPr>
              <w:keepNext/>
              <w:widowControl/>
              <w:tabs>
                <w:tab w:val="center" w:pos="4680"/>
              </w:tabs>
              <w:suppressAutoHyphens/>
              <w:rPr>
                <w:b/>
              </w:rPr>
            </w:pPr>
            <w:r>
              <w:rPr>
                <w:b/>
              </w:rPr>
              <w:t>)</w:t>
            </w:r>
          </w:p>
          <w:p w:rsidR="00320FE0" w:rsidP="00B71D2A" w14:paraId="38A4443C" w14:textId="10DA8066">
            <w:pPr>
              <w:keepNext/>
              <w:widowControl/>
              <w:tabs>
                <w:tab w:val="center" w:pos="4680"/>
              </w:tabs>
              <w:suppressAutoHyphens/>
              <w:rPr>
                <w:b/>
              </w:rPr>
            </w:pPr>
            <w:r>
              <w:rPr>
                <w:b/>
              </w:rPr>
              <w:t>)</w:t>
            </w:r>
          </w:p>
          <w:p w:rsidR="00320FE0" w:rsidP="00B71D2A" w14:paraId="50826E2F" w14:textId="77777777">
            <w:pPr>
              <w:keepNext/>
              <w:widowControl/>
              <w:tabs>
                <w:tab w:val="center" w:pos="4680"/>
              </w:tabs>
              <w:suppressAutoHyphens/>
              <w:rPr>
                <w:b/>
              </w:rPr>
            </w:pPr>
          </w:p>
          <w:p w:rsidR="00320FE0" w:rsidP="00B71D2A" w14:paraId="36C9CE8D" w14:textId="77777777">
            <w:pPr>
              <w:keepNext/>
              <w:widowControl/>
              <w:tabs>
                <w:tab w:val="center" w:pos="4680"/>
              </w:tabs>
              <w:suppressAutoHyphens/>
              <w:rPr>
                <w:b/>
              </w:rPr>
            </w:pPr>
          </w:p>
        </w:tc>
        <w:tc>
          <w:tcPr>
            <w:tcW w:w="4248" w:type="dxa"/>
          </w:tcPr>
          <w:p w:rsidR="00320FE0" w:rsidP="00B71D2A" w14:paraId="7705CA04" w14:textId="77777777">
            <w:pPr>
              <w:keepNext/>
              <w:widowControl/>
              <w:tabs>
                <w:tab w:val="center" w:pos="4680"/>
              </w:tabs>
              <w:suppressAutoHyphens/>
            </w:pPr>
          </w:p>
          <w:p w:rsidR="00320FE0" w:rsidP="00B71D2A" w14:paraId="3423F0A4" w14:textId="77777777">
            <w:pPr>
              <w:keepNext/>
              <w:widowControl/>
              <w:tabs>
                <w:tab w:val="center" w:pos="4680"/>
              </w:tabs>
              <w:suppressAutoHyphens/>
            </w:pPr>
          </w:p>
          <w:p w:rsidR="00320FE0" w:rsidP="00B71D2A" w14:paraId="61D3A0B6" w14:textId="77777777">
            <w:pPr>
              <w:keepNext/>
              <w:widowControl/>
              <w:tabs>
                <w:tab w:val="center" w:pos="4680"/>
              </w:tabs>
              <w:suppressAutoHyphens/>
            </w:pPr>
            <w:r>
              <w:t>WC Docket No. 19-371</w:t>
            </w:r>
          </w:p>
          <w:p w:rsidR="00320FE0" w:rsidP="00B71D2A" w14:paraId="0EC95DDB" w14:textId="77777777">
            <w:pPr>
              <w:keepNext/>
              <w:widowControl/>
              <w:tabs>
                <w:tab w:val="center" w:pos="4680"/>
              </w:tabs>
              <w:suppressAutoHyphens/>
            </w:pPr>
          </w:p>
        </w:tc>
      </w:tr>
    </w:tbl>
    <w:p w:rsidR="00320FE0" w:rsidP="00320FE0" w14:paraId="6699AF9C" w14:textId="77777777">
      <w:pPr>
        <w:pStyle w:val="Heading1"/>
        <w:keepNext w:val="0"/>
        <w:numPr>
          <w:ilvl w:val="0"/>
          <w:numId w:val="0"/>
        </w:numPr>
        <w:jc w:val="center"/>
      </w:pPr>
      <w:r>
        <w:t>order</w:t>
      </w:r>
    </w:p>
    <w:p w:rsidR="00320FE0" w:rsidP="00320FE0" w14:paraId="30F2E44A" w14:textId="77777777">
      <w:pPr>
        <w:tabs>
          <w:tab w:val="left" w:pos="720"/>
          <w:tab w:val="left" w:pos="5760"/>
        </w:tabs>
        <w:suppressAutoHyphens/>
        <w:spacing w:line="227" w:lineRule="auto"/>
      </w:pPr>
      <w:r>
        <w:rPr>
          <w:b/>
        </w:rPr>
        <w:t>Adopted: May 21, 2020</w:t>
      </w:r>
      <w:r>
        <w:rPr>
          <w:b/>
        </w:rPr>
        <w:tab/>
      </w:r>
      <w:r>
        <w:rPr>
          <w:b/>
        </w:rPr>
        <w:tab/>
        <w:t>Released: May 21, 2020</w:t>
      </w:r>
    </w:p>
    <w:p w:rsidR="00320FE0" w:rsidP="00320FE0" w14:paraId="712CC4F2" w14:textId="77777777"/>
    <w:p w:rsidR="00320FE0" w:rsidP="00320FE0" w14:paraId="5D8C5E7D" w14:textId="77777777">
      <w:r>
        <w:t>By the Chief, Pricing Policy Division, Wireline Competition Bureau:</w:t>
      </w:r>
    </w:p>
    <w:p w:rsidR="00320FE0" w:rsidP="00320FE0" w14:paraId="6D11D4DF" w14:textId="77777777"/>
    <w:p w:rsidR="00320FE0" w:rsidP="00320FE0" w14:paraId="60206BB1" w14:textId="77777777">
      <w:pPr>
        <w:pStyle w:val="ParaNum"/>
        <w:numPr>
          <w:ilvl w:val="0"/>
          <w:numId w:val="7"/>
        </w:numPr>
        <w:ind w:left="0"/>
      </w:pPr>
      <w:r>
        <w:t xml:space="preserve">In this Order, we approve the </w:t>
      </w:r>
      <w:r w:rsidRPr="002E6E72">
        <w:t xml:space="preserve">formulas for average schedule interstate settlement disbursements in connection with the provision of interstate access services </w:t>
      </w:r>
      <w:r>
        <w:t>proposed by the National Exchange Carrier Association, Inc. (NECA), pursuant to section 69.606 of the Commission’s rules, for a one-year period beginning July 1, 2020.</w:t>
      </w:r>
      <w:r>
        <w:rPr>
          <w:rStyle w:val="FootnoteReference"/>
        </w:rPr>
        <w:footnoteReference w:id="3"/>
      </w:r>
      <w:r>
        <w:t xml:space="preserve">  </w:t>
      </w:r>
      <w:r w:rsidRPr="00506418">
        <w:t xml:space="preserve">For the reasons set forth below, we </w:t>
      </w:r>
      <w:r>
        <w:t xml:space="preserve">approve the average schedule formulas as proposed by NECA. </w:t>
      </w:r>
    </w:p>
    <w:p w:rsidR="00320FE0" w:rsidP="00320FE0" w14:paraId="56D048BB" w14:textId="77777777">
      <w:pPr>
        <w:pStyle w:val="ParaNum"/>
        <w:numPr>
          <w:ilvl w:val="0"/>
          <w:numId w:val="7"/>
        </w:numPr>
        <w:ind w:left="0"/>
      </w:pPr>
      <w:r>
        <w:t>According to NECA, the methods described in its December 23 Filing represent the same methods employed in last year’s filing.</w:t>
      </w:r>
      <w:r>
        <w:rPr>
          <w:rStyle w:val="FootnoteReference"/>
        </w:rPr>
        <w:footnoteReference w:id="4"/>
      </w:r>
      <w:r>
        <w:t xml:space="preserve">  NECA’s proposed formula changes would result in a 3.3% overall increase in settlements at constant demand.</w:t>
      </w:r>
      <w:r>
        <w:rPr>
          <w:rStyle w:val="FootnoteReference"/>
        </w:rPr>
        <w:footnoteReference w:id="5"/>
      </w:r>
      <w:r>
        <w:t xml:space="preserve">  NECA expects actual settlements “to be lower, on average, due to projected losses of access lines and reductions in demand for special access services.”</w:t>
      </w:r>
      <w:r>
        <w:rPr>
          <w:rStyle w:val="FootnoteReference"/>
        </w:rPr>
        <w:footnoteReference w:id="6"/>
      </w:r>
      <w:r>
        <w:t xml:space="preserve">  The impact of the proposed formula changes “on individual average schedule companies will vary depending on each company’s size, demand trends and characteristics.”</w:t>
      </w:r>
      <w:r>
        <w:rPr>
          <w:rStyle w:val="FootnoteReference"/>
        </w:rPr>
        <w:footnoteReference w:id="7"/>
      </w:r>
      <w:r>
        <w:t xml:space="preserve"> </w:t>
      </w:r>
    </w:p>
    <w:p w:rsidR="00320FE0" w:rsidP="00320FE0" w14:paraId="0F830933" w14:textId="77777777">
      <w:pPr>
        <w:pStyle w:val="ParaNum"/>
        <w:numPr>
          <w:ilvl w:val="0"/>
          <w:numId w:val="7"/>
        </w:numPr>
        <w:ind w:left="0"/>
      </w:pPr>
      <w:r>
        <w:t>By Public Notice released February 3, 2020, we sought comment on NECA’s December 23 Filing.</w:t>
      </w:r>
      <w:r>
        <w:rPr>
          <w:rStyle w:val="FootnoteReference"/>
        </w:rPr>
        <w:footnoteReference w:id="8"/>
      </w:r>
      <w:r>
        <w:t xml:space="preserve">  No comments were filed. </w:t>
      </w:r>
    </w:p>
    <w:p w:rsidR="00320FE0" w:rsidP="00320FE0" w14:paraId="3104A625" w14:textId="77777777">
      <w:pPr>
        <w:pStyle w:val="ParaNum"/>
        <w:widowControl/>
        <w:numPr>
          <w:ilvl w:val="0"/>
          <w:numId w:val="7"/>
        </w:numPr>
        <w:ind w:left="0"/>
      </w:pPr>
      <w:r>
        <w:t xml:space="preserve">We have reviewed the NECA December 23 Filing and find that its proposed formulas are reasonable. </w:t>
      </w:r>
    </w:p>
    <w:p w:rsidR="00320FE0" w:rsidP="00320FE0" w14:paraId="1A66B143" w14:textId="77777777">
      <w:pPr>
        <w:pStyle w:val="ParaNum"/>
        <w:widowControl/>
        <w:numPr>
          <w:ilvl w:val="0"/>
          <w:numId w:val="7"/>
        </w:numPr>
        <w:ind w:left="0"/>
      </w:pPr>
      <w:r>
        <w:t>Accordingly, IT IS ORDERED, pursuant to sections 0.91, 0.291, and 69.606(a) of the Commission’s rules, 47 CFR §§ 0.91, 0.291, 69.606(a), that the average schedule formulas proposed by the National Exchange Carrier Association, Inc., on December 23, 2019 SHALL BECOME EFFECTIVE July 1, 2020, and remain in effect through June 30, 2021.</w:t>
      </w:r>
    </w:p>
    <w:p w:rsidR="00320FE0" w:rsidP="00320FE0" w14:paraId="70AB0651" w14:textId="77777777">
      <w:pPr>
        <w:pStyle w:val="ParaNum"/>
        <w:keepNext/>
        <w:widowControl/>
        <w:numPr>
          <w:ilvl w:val="0"/>
          <w:numId w:val="7"/>
        </w:numPr>
        <w:ind w:left="0"/>
      </w:pPr>
      <w:r>
        <w:t>IT IS FURTHER ORDERED, pursuant to section 1.102(b) of the Commission’s rules, 47 CFR § 1.102(b), that this Order SHALL BE EFFECTIVE upon release.</w:t>
      </w:r>
    </w:p>
    <w:p w:rsidR="00320FE0" w:rsidP="00320FE0" w14:paraId="6C1E4D5B" w14:textId="77777777">
      <w:pPr>
        <w:keepNext/>
        <w:widowControl/>
        <w:ind w:left="4320"/>
        <w:rPr>
          <w:color w:val="000000"/>
        </w:rPr>
      </w:pPr>
    </w:p>
    <w:p w:rsidR="00320FE0" w:rsidP="00320FE0" w14:paraId="618A86AE" w14:textId="77777777">
      <w:pPr>
        <w:keepNext/>
        <w:widowControl/>
        <w:ind w:left="4320"/>
        <w:rPr>
          <w:color w:val="000000"/>
        </w:rPr>
      </w:pPr>
      <w:r>
        <w:rPr>
          <w:color w:val="000000"/>
        </w:rPr>
        <w:t>FEDERAL COMMUNICATIONS COMMISSION</w:t>
      </w:r>
    </w:p>
    <w:p w:rsidR="00320FE0" w:rsidP="00320FE0" w14:paraId="1A5DAD56" w14:textId="77777777">
      <w:pPr>
        <w:keepNext/>
        <w:widowControl/>
        <w:ind w:left="4320"/>
        <w:rPr>
          <w:color w:val="000000"/>
        </w:rPr>
      </w:pPr>
    </w:p>
    <w:p w:rsidR="00320FE0" w:rsidP="00320FE0" w14:paraId="16CF73D8" w14:textId="77777777">
      <w:pPr>
        <w:keepNext/>
        <w:widowControl/>
        <w:ind w:left="4320"/>
      </w:pPr>
    </w:p>
    <w:p w:rsidR="00320FE0" w:rsidP="00320FE0" w14:paraId="2F9BD067" w14:textId="77777777">
      <w:pPr>
        <w:keepNext/>
        <w:widowControl/>
        <w:ind w:left="4320"/>
      </w:pPr>
    </w:p>
    <w:p w:rsidR="00320FE0" w:rsidP="00320FE0" w14:paraId="0796DC55" w14:textId="77777777">
      <w:pPr>
        <w:keepNext/>
        <w:widowControl/>
        <w:ind w:left="4320"/>
      </w:pPr>
    </w:p>
    <w:p w:rsidR="00320FE0" w:rsidP="00320FE0" w14:paraId="418F6559" w14:textId="77777777">
      <w:pPr>
        <w:keepNext/>
        <w:widowControl/>
        <w:ind w:left="4320"/>
        <w:rPr>
          <w:color w:val="000000"/>
        </w:rPr>
      </w:pPr>
      <w:r>
        <w:t>Gil M. Strobel</w:t>
      </w:r>
    </w:p>
    <w:p w:rsidR="00320FE0" w:rsidP="00320FE0" w14:paraId="352FD136" w14:textId="77777777">
      <w:pPr>
        <w:keepNext/>
        <w:widowControl/>
        <w:ind w:left="4320"/>
        <w:rPr>
          <w:color w:val="000000"/>
        </w:rPr>
      </w:pPr>
      <w:r>
        <w:rPr>
          <w:color w:val="000000"/>
        </w:rPr>
        <w:t xml:space="preserve">Chief </w:t>
      </w:r>
    </w:p>
    <w:p w:rsidR="00320FE0" w:rsidP="00320FE0" w14:paraId="0679E235" w14:textId="77777777">
      <w:pPr>
        <w:keepNext/>
        <w:widowControl/>
        <w:ind w:left="4320"/>
        <w:rPr>
          <w:color w:val="000000"/>
        </w:rPr>
      </w:pPr>
      <w:r>
        <w:rPr>
          <w:color w:val="000000"/>
        </w:rPr>
        <w:t>Pricing Policy Division</w:t>
      </w:r>
    </w:p>
    <w:p w:rsidR="00320FE0" w:rsidP="00320FE0" w14:paraId="0CE7B9B7" w14:textId="77777777">
      <w:pPr>
        <w:keepNext/>
        <w:widowControl/>
        <w:ind w:left="4320"/>
      </w:pPr>
      <w:r>
        <w:rPr>
          <w:color w:val="000000"/>
        </w:rPr>
        <w:t>Wireline Competition Bureau</w:t>
      </w:r>
    </w:p>
    <w:p w:rsidR="00320FE0" w:rsidRPr="00B118A3" w:rsidP="00320FE0" w14:paraId="30CC4646" w14:textId="77777777">
      <w:pPr>
        <w:pStyle w:val="ParaNum"/>
        <w:numPr>
          <w:ilvl w:val="0"/>
          <w:numId w:val="0"/>
        </w:numPr>
      </w:pPr>
    </w:p>
    <w:p w:rsidR="00412FC5" w:rsidRPr="00320FE0" w:rsidP="00320FE0" w14:paraId="6026BA5E" w14:textId="77777777"/>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5ED386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898BD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DC3326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47198D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EF948D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502E" w14:paraId="32B8F016" w14:textId="77777777">
      <w:r>
        <w:separator/>
      </w:r>
    </w:p>
  </w:footnote>
  <w:footnote w:type="continuationSeparator" w:id="1">
    <w:p w:rsidR="0072502E" w:rsidP="00C721AC" w14:paraId="41098845" w14:textId="77777777">
      <w:pPr>
        <w:spacing w:before="120"/>
        <w:rPr>
          <w:sz w:val="20"/>
        </w:rPr>
      </w:pPr>
      <w:r>
        <w:rPr>
          <w:sz w:val="20"/>
        </w:rPr>
        <w:t xml:space="preserve">(Continued from previous page)  </w:t>
      </w:r>
      <w:r>
        <w:rPr>
          <w:sz w:val="20"/>
        </w:rPr>
        <w:separator/>
      </w:r>
    </w:p>
  </w:footnote>
  <w:footnote w:type="continuationNotice" w:id="2">
    <w:p w:rsidR="0072502E" w:rsidP="00C721AC" w14:paraId="729D709C" w14:textId="77777777">
      <w:pPr>
        <w:jc w:val="right"/>
        <w:rPr>
          <w:sz w:val="20"/>
        </w:rPr>
      </w:pPr>
      <w:r>
        <w:rPr>
          <w:sz w:val="20"/>
        </w:rPr>
        <w:t>(continued….)</w:t>
      </w:r>
    </w:p>
  </w:footnote>
  <w:footnote w:id="3">
    <w:p w:rsidR="00320FE0" w:rsidRPr="00D200FE" w:rsidP="00320FE0" w14:paraId="27B0A607" w14:textId="77777777">
      <w:pPr>
        <w:pStyle w:val="FootnoteText"/>
      </w:pPr>
      <w:r>
        <w:rPr>
          <w:rStyle w:val="FootnoteReference"/>
        </w:rPr>
        <w:footnoteRef/>
      </w:r>
      <w:r>
        <w:t xml:space="preserve"> National Exchange Carrier Association </w:t>
      </w:r>
      <w:r>
        <w:rPr>
          <w:i/>
        </w:rPr>
        <w:t>2020</w:t>
      </w:r>
      <w:r w:rsidRPr="00837274">
        <w:rPr>
          <w:i/>
        </w:rPr>
        <w:t xml:space="preserve"> Modification of Average Schedules</w:t>
      </w:r>
      <w:r w:rsidRPr="00121CD7">
        <w:rPr>
          <w:iCs/>
        </w:rPr>
        <w:t>,</w:t>
      </w:r>
      <w:r>
        <w:t xml:space="preserve"> Attach. to Letter from Richard A. Askoff, Executive Director-Regulatory, NECA, to Marlene H. Dortch, Secretary, FCC, WC Docket 19-371 (filed Dec. 23, 2019) (</w:t>
      </w:r>
      <w:bookmarkStart w:id="0" w:name="_Hlk514334626"/>
      <w:r>
        <w:t>December 23 Filing</w:t>
      </w:r>
      <w:bookmarkEnd w:id="0"/>
      <w:r>
        <w:t xml:space="preserve">); </w:t>
      </w:r>
      <w:r w:rsidRPr="00D200FE">
        <w:t>47 CFR §</w:t>
      </w:r>
      <w:r>
        <w:t> </w:t>
      </w:r>
      <w:r w:rsidRPr="00D200FE">
        <w:t xml:space="preserve">69.606(b).  </w:t>
      </w:r>
    </w:p>
  </w:footnote>
  <w:footnote w:id="4">
    <w:p w:rsidR="00320FE0" w:rsidP="00320FE0" w14:paraId="3EDE0FAB" w14:textId="77777777">
      <w:pPr>
        <w:pStyle w:val="FootnoteText"/>
      </w:pPr>
      <w:r>
        <w:rPr>
          <w:rStyle w:val="FootnoteReference"/>
        </w:rPr>
        <w:footnoteRef/>
      </w:r>
      <w:r>
        <w:t xml:space="preserve"> </w:t>
      </w:r>
      <w:r w:rsidRPr="00B26A85">
        <w:t>December 2</w:t>
      </w:r>
      <w:r>
        <w:t>3</w:t>
      </w:r>
      <w:r w:rsidRPr="00B26A85">
        <w:t xml:space="preserve"> Filing</w:t>
      </w:r>
      <w:r>
        <w:t xml:space="preserve"> at 1.</w:t>
      </w:r>
    </w:p>
  </w:footnote>
  <w:footnote w:id="5">
    <w:p w:rsidR="00320FE0" w:rsidRPr="00A07620" w:rsidP="00320FE0" w14:paraId="680BE4A4" w14:textId="77777777">
      <w:pPr>
        <w:pStyle w:val="FootnoteText"/>
      </w:pPr>
      <w:r>
        <w:rPr>
          <w:rStyle w:val="FootnoteReference"/>
        </w:rPr>
        <w:footnoteRef/>
      </w:r>
      <w:r>
        <w:t xml:space="preserve"> </w:t>
      </w:r>
      <w:r>
        <w:rPr>
          <w:i/>
        </w:rPr>
        <w:t>Id</w:t>
      </w:r>
      <w:r>
        <w:t>.</w:t>
      </w:r>
    </w:p>
  </w:footnote>
  <w:footnote w:id="6">
    <w:p w:rsidR="00320FE0" w:rsidRPr="00A07620" w:rsidP="00320FE0" w14:paraId="2B4F5965" w14:textId="77777777">
      <w:pPr>
        <w:pStyle w:val="FootnoteText"/>
      </w:pPr>
      <w:r>
        <w:rPr>
          <w:rStyle w:val="FootnoteReference"/>
        </w:rPr>
        <w:footnoteRef/>
      </w:r>
      <w:r>
        <w:t xml:space="preserve"> </w:t>
      </w:r>
      <w:r>
        <w:rPr>
          <w:i/>
        </w:rPr>
        <w:t>Id</w:t>
      </w:r>
      <w:r>
        <w:t>.</w:t>
      </w:r>
    </w:p>
  </w:footnote>
  <w:footnote w:id="7">
    <w:p w:rsidR="00320FE0" w:rsidP="00320FE0" w14:paraId="1E254E29" w14:textId="77777777">
      <w:pPr>
        <w:pStyle w:val="FootnoteText"/>
      </w:pPr>
      <w:r>
        <w:rPr>
          <w:rStyle w:val="FootnoteReference"/>
        </w:rPr>
        <w:footnoteRef/>
      </w:r>
      <w:r>
        <w:t xml:space="preserve"> </w:t>
      </w:r>
      <w:r>
        <w:rPr>
          <w:i/>
        </w:rPr>
        <w:t>Id</w:t>
      </w:r>
      <w:r>
        <w:t>.</w:t>
      </w:r>
    </w:p>
  </w:footnote>
  <w:footnote w:id="8">
    <w:p w:rsidR="00320FE0" w:rsidRPr="000A519A" w:rsidP="00320FE0" w14:paraId="183445E7" w14:textId="77777777">
      <w:pPr>
        <w:pStyle w:val="FootnoteText"/>
        <w:tabs>
          <w:tab w:val="left" w:pos="360"/>
        </w:tabs>
      </w:pPr>
      <w:r>
        <w:rPr>
          <w:rStyle w:val="FootnoteReference"/>
        </w:rPr>
        <w:footnoteRef/>
      </w:r>
      <w:r>
        <w:rPr>
          <w:i/>
        </w:rPr>
        <w:t xml:space="preserve"> Wireline Competition Bureau Seeks Comment on the National Exchange Carrier Association, Inc.’s Proposed Modification of Average Schedule Formulas</w:t>
      </w:r>
      <w:r>
        <w:t>, WC Docket No. 19-371, Public Notice, 35 FCC Rcd 139, 139</w:t>
      </w:r>
      <w:r w:rsidRPr="000A519A">
        <w:t xml:space="preserve"> (WCB 20</w:t>
      </w:r>
      <w:r>
        <w:t>20</w:t>
      </w:r>
      <w:r w:rsidRPr="000A519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FA5" w14:paraId="08264EF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813A4D" w14:textId="07C15658">
    <w:pPr>
      <w:pStyle w:val="Header"/>
      <w:rPr>
        <w:b w:val="0"/>
      </w:rPr>
    </w:pPr>
    <w:r>
      <w:tab/>
      <w:t>Federal Communications Commission</w:t>
    </w:r>
    <w:r>
      <w:tab/>
    </w:r>
    <w:r w:rsidR="00837FA5">
      <w:t>DA 20-538</w:t>
    </w:r>
    <w:bookmarkStart w:id="1" w:name="_GoBack"/>
    <w:bookmarkEnd w:id="1"/>
  </w:p>
  <w:p w:rsidR="00D25FB5" w14:paraId="1BA6A74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36BA8F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516ACF" w14:textId="3812841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37FA5">
      <w:rPr>
        <w:spacing w:val="-2"/>
      </w:rPr>
      <w:t>DA 20-538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2F74D1FC"/>
    <w:lvl w:ilvl="0">
      <w:start w:val="1"/>
      <w:numFmt w:val="decimal"/>
      <w:lvlText w:val="%1."/>
      <w:lvlJc w:val="left"/>
      <w:pPr>
        <w:tabs>
          <w:tab w:val="num" w:pos="1170"/>
        </w:tabs>
        <w:ind w:left="9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E0"/>
    <w:rsid w:val="00036039"/>
    <w:rsid w:val="00037F90"/>
    <w:rsid w:val="000875BF"/>
    <w:rsid w:val="00096D8C"/>
    <w:rsid w:val="000A519A"/>
    <w:rsid w:val="000C0B65"/>
    <w:rsid w:val="000E05FE"/>
    <w:rsid w:val="000E3D42"/>
    <w:rsid w:val="00121CD7"/>
    <w:rsid w:val="00122BD5"/>
    <w:rsid w:val="00133F79"/>
    <w:rsid w:val="00194A66"/>
    <w:rsid w:val="001D6BCF"/>
    <w:rsid w:val="001E01CA"/>
    <w:rsid w:val="00275CF5"/>
    <w:rsid w:val="0028301F"/>
    <w:rsid w:val="00285017"/>
    <w:rsid w:val="002A2D2E"/>
    <w:rsid w:val="002C00E8"/>
    <w:rsid w:val="002E6E72"/>
    <w:rsid w:val="00320FE0"/>
    <w:rsid w:val="00343749"/>
    <w:rsid w:val="003660ED"/>
    <w:rsid w:val="003B0550"/>
    <w:rsid w:val="003B694F"/>
    <w:rsid w:val="003F171C"/>
    <w:rsid w:val="00412FC5"/>
    <w:rsid w:val="00422276"/>
    <w:rsid w:val="004242F1"/>
    <w:rsid w:val="00445A00"/>
    <w:rsid w:val="00451B0F"/>
    <w:rsid w:val="004C2EE3"/>
    <w:rsid w:val="004E4A22"/>
    <w:rsid w:val="00506418"/>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2502E"/>
    <w:rsid w:val="00785689"/>
    <w:rsid w:val="0079754B"/>
    <w:rsid w:val="007A1E6D"/>
    <w:rsid w:val="007B0EB2"/>
    <w:rsid w:val="00810B6F"/>
    <w:rsid w:val="00822CE0"/>
    <w:rsid w:val="00837274"/>
    <w:rsid w:val="00837FA5"/>
    <w:rsid w:val="00841AB1"/>
    <w:rsid w:val="008C68F1"/>
    <w:rsid w:val="00921803"/>
    <w:rsid w:val="00926503"/>
    <w:rsid w:val="009726D8"/>
    <w:rsid w:val="009D7308"/>
    <w:rsid w:val="009F76DB"/>
    <w:rsid w:val="00A07620"/>
    <w:rsid w:val="00A32C3B"/>
    <w:rsid w:val="00A45F4F"/>
    <w:rsid w:val="00A600A9"/>
    <w:rsid w:val="00AA55B7"/>
    <w:rsid w:val="00AA5B9E"/>
    <w:rsid w:val="00AB2407"/>
    <w:rsid w:val="00AB53DF"/>
    <w:rsid w:val="00B07E5C"/>
    <w:rsid w:val="00B118A3"/>
    <w:rsid w:val="00B26A85"/>
    <w:rsid w:val="00B71D2A"/>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00FE"/>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6A9414-6246-40D6-8B2B-92CA0343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FE0"/>
    <w:pPr>
      <w:widowControl w:val="0"/>
    </w:pPr>
    <w:rPr>
      <w:snapToGrid w:val="0"/>
      <w:kern w:val="28"/>
      <w:sz w:val="22"/>
    </w:rPr>
  </w:style>
  <w:style w:type="paragraph" w:styleId="Heading1">
    <w:name w:val="heading 1"/>
    <w:basedOn w:val="Normal"/>
    <w:next w:val="ParaNum"/>
    <w:qFormat/>
    <w:rsid w:val="00320FE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20FE0"/>
    <w:pPr>
      <w:keepNext/>
      <w:numPr>
        <w:ilvl w:val="1"/>
        <w:numId w:val="3"/>
      </w:numPr>
      <w:spacing w:after="120"/>
      <w:outlineLvl w:val="1"/>
    </w:pPr>
    <w:rPr>
      <w:b/>
    </w:rPr>
  </w:style>
  <w:style w:type="paragraph" w:styleId="Heading3">
    <w:name w:val="heading 3"/>
    <w:basedOn w:val="Normal"/>
    <w:next w:val="ParaNum"/>
    <w:qFormat/>
    <w:rsid w:val="00320FE0"/>
    <w:pPr>
      <w:keepNext/>
      <w:numPr>
        <w:ilvl w:val="2"/>
        <w:numId w:val="3"/>
      </w:numPr>
      <w:tabs>
        <w:tab w:val="left" w:pos="2160"/>
      </w:tabs>
      <w:spacing w:after="120"/>
      <w:outlineLvl w:val="2"/>
    </w:pPr>
    <w:rPr>
      <w:b/>
    </w:rPr>
  </w:style>
  <w:style w:type="paragraph" w:styleId="Heading4">
    <w:name w:val="heading 4"/>
    <w:basedOn w:val="Normal"/>
    <w:next w:val="ParaNum"/>
    <w:qFormat/>
    <w:rsid w:val="00320FE0"/>
    <w:pPr>
      <w:keepNext/>
      <w:numPr>
        <w:ilvl w:val="3"/>
        <w:numId w:val="3"/>
      </w:numPr>
      <w:tabs>
        <w:tab w:val="left" w:pos="2880"/>
      </w:tabs>
      <w:spacing w:after="120"/>
      <w:outlineLvl w:val="3"/>
    </w:pPr>
    <w:rPr>
      <w:b/>
    </w:rPr>
  </w:style>
  <w:style w:type="paragraph" w:styleId="Heading5">
    <w:name w:val="heading 5"/>
    <w:basedOn w:val="Normal"/>
    <w:next w:val="ParaNum"/>
    <w:qFormat/>
    <w:rsid w:val="00320FE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20FE0"/>
    <w:pPr>
      <w:numPr>
        <w:ilvl w:val="5"/>
        <w:numId w:val="3"/>
      </w:numPr>
      <w:tabs>
        <w:tab w:val="left" w:pos="4320"/>
      </w:tabs>
      <w:spacing w:after="120"/>
      <w:outlineLvl w:val="5"/>
    </w:pPr>
    <w:rPr>
      <w:b/>
    </w:rPr>
  </w:style>
  <w:style w:type="paragraph" w:styleId="Heading7">
    <w:name w:val="heading 7"/>
    <w:basedOn w:val="Normal"/>
    <w:next w:val="ParaNum"/>
    <w:qFormat/>
    <w:rsid w:val="00320FE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20FE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20FE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320F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0FE0"/>
  </w:style>
  <w:style w:type="paragraph" w:customStyle="1" w:styleId="ParaNum">
    <w:name w:val="ParaNum"/>
    <w:basedOn w:val="Normal"/>
    <w:rsid w:val="00320FE0"/>
    <w:pPr>
      <w:numPr>
        <w:numId w:val="2"/>
      </w:numPr>
      <w:tabs>
        <w:tab w:val="clear" w:pos="1080"/>
        <w:tab w:val="num" w:pos="1440"/>
      </w:tabs>
      <w:spacing w:after="120"/>
    </w:pPr>
  </w:style>
  <w:style w:type="paragraph" w:styleId="EndnoteText">
    <w:name w:val="endnote text"/>
    <w:basedOn w:val="Normal"/>
    <w:semiHidden/>
    <w:rsid w:val="00320FE0"/>
    <w:rPr>
      <w:sz w:val="20"/>
    </w:rPr>
  </w:style>
  <w:style w:type="character" w:styleId="EndnoteReference">
    <w:name w:val="endnote reference"/>
    <w:semiHidden/>
    <w:rsid w:val="00320FE0"/>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rsid w:val="00320FE0"/>
    <w:pPr>
      <w:spacing w:after="120"/>
    </w:pPr>
  </w:style>
  <w:style w:type="character" w:styleId="FootnoteReference">
    <w:name w:val="footnote reference"/>
    <w:aliases w:val="(NECG) Footnote Reference,Appel note de bas de p,FR,Footnote Reference/,Style 12,Style 124,Style 13,Style 17,Style 3,Style 6,Style 7,fr,o"/>
    <w:rsid w:val="00320FE0"/>
    <w:rPr>
      <w:rFonts w:ascii="Times New Roman" w:hAnsi="Times New Roman"/>
      <w:dstrike w:val="0"/>
      <w:color w:val="auto"/>
      <w:sz w:val="20"/>
      <w:vertAlign w:val="superscript"/>
    </w:rPr>
  </w:style>
  <w:style w:type="paragraph" w:styleId="TOC1">
    <w:name w:val="toc 1"/>
    <w:basedOn w:val="Normal"/>
    <w:next w:val="Normal"/>
    <w:semiHidden/>
    <w:rsid w:val="00320FE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20FE0"/>
    <w:pPr>
      <w:tabs>
        <w:tab w:val="left" w:pos="720"/>
        <w:tab w:val="right" w:leader="dot" w:pos="9360"/>
      </w:tabs>
      <w:suppressAutoHyphens/>
      <w:ind w:left="720" w:right="720" w:hanging="360"/>
    </w:pPr>
    <w:rPr>
      <w:noProof/>
    </w:rPr>
  </w:style>
  <w:style w:type="paragraph" w:styleId="TOC3">
    <w:name w:val="toc 3"/>
    <w:basedOn w:val="Normal"/>
    <w:next w:val="Normal"/>
    <w:semiHidden/>
    <w:rsid w:val="00320FE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20FE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20FE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20FE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20FE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20FE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20FE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20FE0"/>
    <w:pPr>
      <w:tabs>
        <w:tab w:val="right" w:pos="9360"/>
      </w:tabs>
      <w:suppressAutoHyphens/>
    </w:pPr>
  </w:style>
  <w:style w:type="character" w:customStyle="1" w:styleId="EquationCaption">
    <w:name w:val="_Equation Caption"/>
    <w:rsid w:val="00320FE0"/>
  </w:style>
  <w:style w:type="paragraph" w:styleId="Header">
    <w:name w:val="header"/>
    <w:basedOn w:val="Normal"/>
    <w:autoRedefine/>
    <w:rsid w:val="00320FE0"/>
    <w:pPr>
      <w:tabs>
        <w:tab w:val="center" w:pos="4680"/>
        <w:tab w:val="right" w:pos="9360"/>
      </w:tabs>
    </w:pPr>
    <w:rPr>
      <w:b/>
    </w:rPr>
  </w:style>
  <w:style w:type="paragraph" w:styleId="Footer">
    <w:name w:val="footer"/>
    <w:basedOn w:val="Normal"/>
    <w:link w:val="FooterChar"/>
    <w:uiPriority w:val="99"/>
    <w:rsid w:val="00320FE0"/>
    <w:pPr>
      <w:tabs>
        <w:tab w:val="center" w:pos="4320"/>
        <w:tab w:val="right" w:pos="8640"/>
      </w:tabs>
    </w:pPr>
  </w:style>
  <w:style w:type="character" w:styleId="PageNumber">
    <w:name w:val="page number"/>
    <w:rsid w:val="00320FE0"/>
  </w:style>
  <w:style w:type="paragraph" w:styleId="BlockText">
    <w:name w:val="Block Text"/>
    <w:basedOn w:val="Normal"/>
    <w:rsid w:val="00320FE0"/>
    <w:pPr>
      <w:spacing w:after="240"/>
      <w:ind w:left="1440" w:right="1440"/>
    </w:pPr>
  </w:style>
  <w:style w:type="paragraph" w:customStyle="1" w:styleId="Paratitle">
    <w:name w:val="Para title"/>
    <w:basedOn w:val="Normal"/>
    <w:rsid w:val="00320FE0"/>
    <w:pPr>
      <w:tabs>
        <w:tab w:val="center" w:pos="9270"/>
      </w:tabs>
      <w:spacing w:after="240"/>
    </w:pPr>
    <w:rPr>
      <w:spacing w:val="-2"/>
    </w:rPr>
  </w:style>
  <w:style w:type="paragraph" w:customStyle="1" w:styleId="Bullet">
    <w:name w:val="Bullet"/>
    <w:basedOn w:val="Normal"/>
    <w:rsid w:val="00320FE0"/>
    <w:pPr>
      <w:tabs>
        <w:tab w:val="left" w:pos="2160"/>
      </w:tabs>
      <w:spacing w:after="220"/>
      <w:ind w:left="2160" w:hanging="720"/>
    </w:pPr>
  </w:style>
  <w:style w:type="paragraph" w:customStyle="1" w:styleId="TableFormat">
    <w:name w:val="TableFormat"/>
    <w:basedOn w:val="Bullet"/>
    <w:rsid w:val="00320FE0"/>
    <w:pPr>
      <w:tabs>
        <w:tab w:val="clear" w:pos="2160"/>
        <w:tab w:val="left" w:pos="5040"/>
      </w:tabs>
      <w:ind w:left="5040" w:hanging="3600"/>
    </w:pPr>
  </w:style>
  <w:style w:type="paragraph" w:customStyle="1" w:styleId="TOCTitle">
    <w:name w:val="TOC Title"/>
    <w:basedOn w:val="Normal"/>
    <w:rsid w:val="00320FE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20FE0"/>
    <w:pPr>
      <w:jc w:val="center"/>
    </w:pPr>
    <w:rPr>
      <w:rFonts w:ascii="Times New Roman Bold" w:hAnsi="Times New Roman Bold"/>
      <w:b/>
      <w:bCs/>
      <w:caps/>
      <w:szCs w:val="22"/>
    </w:rPr>
  </w:style>
  <w:style w:type="character" w:styleId="Hyperlink">
    <w:name w:val="Hyperlink"/>
    <w:rsid w:val="00320FE0"/>
    <w:rPr>
      <w:color w:val="0000FF"/>
      <w:u w:val="single"/>
    </w:rPr>
  </w:style>
  <w:style w:type="character" w:customStyle="1" w:styleId="FooterChar">
    <w:name w:val="Footer Char"/>
    <w:link w:val="Footer"/>
    <w:uiPriority w:val="99"/>
    <w:rsid w:val="00320FE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