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F69E8" w:rsidP="00CF69E8" w14:paraId="5965E4F2" w14:textId="77777777">
      <w:pPr>
        <w:jc w:val="center"/>
        <w:rPr>
          <w:b/>
        </w:rPr>
      </w:pPr>
      <w:r w:rsidRPr="0070224F">
        <w:rPr>
          <w:rFonts w:ascii="Times New Roman Bold" w:hAnsi="Times New Roman Bold"/>
          <w:b/>
          <w:kern w:val="0"/>
          <w:szCs w:val="22"/>
        </w:rPr>
        <w:t>Before</w:t>
      </w:r>
      <w:r>
        <w:rPr>
          <w:b/>
        </w:rPr>
        <w:t xml:space="preserve"> the</w:t>
      </w:r>
    </w:p>
    <w:p w:rsidR="00CF69E8" w:rsidP="00CF69E8" w14:paraId="350CF606" w14:textId="77777777">
      <w:pPr>
        <w:pStyle w:val="StyleBoldCentered"/>
      </w:pPr>
      <w:r>
        <w:t>F</w:t>
      </w:r>
      <w:r>
        <w:rPr>
          <w:caps w:val="0"/>
        </w:rPr>
        <w:t>ederal Communications Commission</w:t>
      </w:r>
    </w:p>
    <w:p w:rsidR="00CF69E8" w:rsidP="00CF69E8" w14:paraId="4D47236A" w14:textId="77777777">
      <w:pPr>
        <w:pStyle w:val="StyleBoldCentered"/>
      </w:pPr>
      <w:r>
        <w:rPr>
          <w:caps w:val="0"/>
        </w:rPr>
        <w:t>Washington, D.C. 20554</w:t>
      </w:r>
    </w:p>
    <w:p w:rsidR="00CF69E8" w:rsidP="00CF69E8" w14:paraId="3D266E2D" w14:textId="77777777"/>
    <w:p w:rsidR="00CF69E8" w:rsidP="00CF69E8" w14:paraId="065D97EE" w14:textId="77777777"/>
    <w:tbl>
      <w:tblPr>
        <w:tblW w:w="0" w:type="auto"/>
        <w:tblLayout w:type="fixed"/>
        <w:tblLook w:val="0000"/>
      </w:tblPr>
      <w:tblGrid>
        <w:gridCol w:w="4698"/>
        <w:gridCol w:w="630"/>
        <w:gridCol w:w="4248"/>
      </w:tblGrid>
      <w:tr w14:paraId="61695F54" w14:textId="77777777" w:rsidTr="00E0766C">
        <w:tblPrEx>
          <w:tblW w:w="0" w:type="auto"/>
          <w:tblLayout w:type="fixed"/>
          <w:tblLook w:val="0000"/>
        </w:tblPrEx>
        <w:tc>
          <w:tcPr>
            <w:tcW w:w="4698" w:type="dxa"/>
          </w:tcPr>
          <w:p w:rsidR="00CF69E8" w:rsidP="00E0766C" w14:paraId="4F9A484C" w14:textId="77777777">
            <w:pPr>
              <w:tabs>
                <w:tab w:val="center" w:pos="4680"/>
              </w:tabs>
              <w:suppressAutoHyphens/>
              <w:rPr>
                <w:spacing w:val="-2"/>
              </w:rPr>
            </w:pPr>
            <w:r>
              <w:rPr>
                <w:spacing w:val="-2"/>
              </w:rPr>
              <w:t>In the Matter of</w:t>
            </w:r>
          </w:p>
          <w:p w:rsidR="00CF69E8" w:rsidP="00E0766C" w14:paraId="6CD46658" w14:textId="77777777">
            <w:pPr>
              <w:tabs>
                <w:tab w:val="center" w:pos="4680"/>
              </w:tabs>
              <w:suppressAutoHyphens/>
              <w:rPr>
                <w:spacing w:val="-2"/>
              </w:rPr>
            </w:pPr>
          </w:p>
          <w:p w:rsidR="00CF69E8" w:rsidP="00E0766C" w14:paraId="2B673CE6" w14:textId="77777777">
            <w:pPr>
              <w:tabs>
                <w:tab w:val="center" w:pos="4680"/>
              </w:tabs>
              <w:suppressAutoHyphens/>
              <w:rPr>
                <w:spacing w:val="-2"/>
              </w:rPr>
            </w:pPr>
          </w:p>
          <w:p w:rsidR="00CF69E8" w:rsidRPr="007115F7" w:rsidP="00E0766C" w14:paraId="32981201" w14:textId="77777777">
            <w:pPr>
              <w:tabs>
                <w:tab w:val="center" w:pos="4680"/>
              </w:tabs>
              <w:suppressAutoHyphens/>
              <w:rPr>
                <w:spacing w:val="-2"/>
              </w:rPr>
            </w:pPr>
            <w:r>
              <w:rPr>
                <w:spacing w:val="-2"/>
              </w:rPr>
              <w:t>Rural Health Care Support Mechanism</w:t>
            </w:r>
          </w:p>
        </w:tc>
        <w:tc>
          <w:tcPr>
            <w:tcW w:w="630" w:type="dxa"/>
          </w:tcPr>
          <w:p w:rsidR="00CF69E8" w:rsidP="00E0766C" w14:paraId="0EF79106" w14:textId="77777777">
            <w:pPr>
              <w:tabs>
                <w:tab w:val="center" w:pos="4680"/>
              </w:tabs>
              <w:suppressAutoHyphens/>
              <w:rPr>
                <w:b/>
                <w:spacing w:val="-2"/>
              </w:rPr>
            </w:pPr>
            <w:r>
              <w:rPr>
                <w:b/>
                <w:spacing w:val="-2"/>
              </w:rPr>
              <w:t>)</w:t>
            </w:r>
          </w:p>
          <w:p w:rsidR="00CF69E8" w:rsidP="00E0766C" w14:paraId="4A8352CB" w14:textId="77777777">
            <w:pPr>
              <w:tabs>
                <w:tab w:val="center" w:pos="4680"/>
              </w:tabs>
              <w:suppressAutoHyphens/>
              <w:rPr>
                <w:b/>
                <w:spacing w:val="-2"/>
              </w:rPr>
            </w:pPr>
            <w:r>
              <w:rPr>
                <w:b/>
                <w:spacing w:val="-2"/>
              </w:rPr>
              <w:t>)</w:t>
            </w:r>
          </w:p>
          <w:p w:rsidR="00CF69E8" w:rsidP="00E0766C" w14:paraId="2B0C17C1" w14:textId="77777777">
            <w:pPr>
              <w:tabs>
                <w:tab w:val="center" w:pos="4680"/>
              </w:tabs>
              <w:suppressAutoHyphens/>
              <w:rPr>
                <w:b/>
                <w:spacing w:val="-2"/>
              </w:rPr>
            </w:pPr>
            <w:r>
              <w:rPr>
                <w:b/>
                <w:spacing w:val="-2"/>
              </w:rPr>
              <w:t>)</w:t>
            </w:r>
          </w:p>
          <w:p w:rsidR="00CF69E8" w:rsidP="00E0766C" w14:paraId="09F81112" w14:textId="77777777">
            <w:pPr>
              <w:tabs>
                <w:tab w:val="center" w:pos="4680"/>
              </w:tabs>
              <w:suppressAutoHyphens/>
              <w:rPr>
                <w:b/>
                <w:spacing w:val="-2"/>
              </w:rPr>
            </w:pPr>
            <w:r>
              <w:rPr>
                <w:b/>
                <w:spacing w:val="-2"/>
              </w:rPr>
              <w:t>)</w:t>
            </w:r>
          </w:p>
          <w:p w:rsidR="00CF69E8" w:rsidP="00E0766C" w14:paraId="0CB39DBC" w14:textId="77777777">
            <w:pPr>
              <w:tabs>
                <w:tab w:val="center" w:pos="4680"/>
              </w:tabs>
              <w:suppressAutoHyphens/>
              <w:rPr>
                <w:spacing w:val="-2"/>
              </w:rPr>
            </w:pPr>
            <w:r>
              <w:rPr>
                <w:b/>
                <w:spacing w:val="-2"/>
              </w:rPr>
              <w:t>)</w:t>
            </w:r>
          </w:p>
        </w:tc>
        <w:tc>
          <w:tcPr>
            <w:tcW w:w="4248" w:type="dxa"/>
          </w:tcPr>
          <w:p w:rsidR="00CF69E8" w:rsidP="00E0766C" w14:paraId="61B6DFA1" w14:textId="77777777">
            <w:pPr>
              <w:tabs>
                <w:tab w:val="center" w:pos="4680"/>
              </w:tabs>
              <w:suppressAutoHyphens/>
              <w:rPr>
                <w:spacing w:val="-2"/>
              </w:rPr>
            </w:pPr>
          </w:p>
          <w:p w:rsidR="00CF69E8" w:rsidP="00E0766C" w14:paraId="3FAE1561" w14:textId="77777777">
            <w:pPr>
              <w:pStyle w:val="TOAHeading"/>
              <w:tabs>
                <w:tab w:val="center" w:pos="4680"/>
                <w:tab w:val="clear" w:pos="9360"/>
              </w:tabs>
              <w:rPr>
                <w:spacing w:val="-2"/>
              </w:rPr>
            </w:pPr>
          </w:p>
          <w:p w:rsidR="00CF69E8" w:rsidP="00E0766C" w14:paraId="147707AD" w14:textId="77777777">
            <w:pPr>
              <w:tabs>
                <w:tab w:val="center" w:pos="4680"/>
              </w:tabs>
              <w:suppressAutoHyphens/>
              <w:rPr>
                <w:spacing w:val="-2"/>
              </w:rPr>
            </w:pPr>
          </w:p>
          <w:p w:rsidR="00CF69E8" w:rsidP="00E0766C" w14:paraId="356E3EBB" w14:textId="77777777">
            <w:pPr>
              <w:tabs>
                <w:tab w:val="center" w:pos="4680"/>
              </w:tabs>
              <w:suppressAutoHyphens/>
              <w:rPr>
                <w:spacing w:val="-2"/>
              </w:rPr>
            </w:pPr>
            <w:r>
              <w:rPr>
                <w:spacing w:val="-2"/>
              </w:rPr>
              <w:t>WC Docket No. 02-60</w:t>
            </w:r>
          </w:p>
        </w:tc>
      </w:tr>
    </w:tbl>
    <w:p w:rsidR="00CF69E8" w:rsidP="00CF69E8" w14:paraId="227AF9BA" w14:textId="77777777"/>
    <w:p w:rsidR="00CF69E8" w:rsidP="00CF69E8" w14:paraId="62CB10BC" w14:textId="77777777">
      <w:pPr>
        <w:pStyle w:val="StyleBoldCentered"/>
      </w:pPr>
      <w:r>
        <w:t>Order</w:t>
      </w:r>
    </w:p>
    <w:p w:rsidR="00CF69E8" w:rsidP="00CF69E8" w14:paraId="234DF708" w14:textId="77777777">
      <w:pPr>
        <w:tabs>
          <w:tab w:val="left" w:pos="-720"/>
        </w:tabs>
        <w:suppressAutoHyphens/>
        <w:spacing w:line="227" w:lineRule="auto"/>
        <w:rPr>
          <w:spacing w:val="-2"/>
        </w:rPr>
      </w:pPr>
    </w:p>
    <w:p w:rsidR="00CF69E8" w:rsidP="00CF69E8" w14:paraId="010AB59E" w14:textId="77777777">
      <w:pPr>
        <w:tabs>
          <w:tab w:val="left" w:pos="720"/>
          <w:tab w:val="right" w:pos="9360"/>
        </w:tabs>
        <w:suppressAutoHyphens/>
        <w:spacing w:line="227" w:lineRule="auto"/>
        <w:rPr>
          <w:spacing w:val="-2"/>
        </w:rPr>
      </w:pPr>
      <w:r>
        <w:rPr>
          <w:b/>
          <w:spacing w:val="-2"/>
        </w:rPr>
        <w:t>Adopted:  May 22, 2020</w:t>
      </w:r>
      <w:r>
        <w:rPr>
          <w:b/>
          <w:spacing w:val="-2"/>
        </w:rPr>
        <w:tab/>
        <w:t>Released:  May 22, 2020</w:t>
      </w:r>
    </w:p>
    <w:p w:rsidR="00CF69E8" w:rsidP="00CF69E8" w14:paraId="12E61B5C" w14:textId="77777777"/>
    <w:p w:rsidR="00CF69E8" w:rsidP="00CF69E8" w14:paraId="20B44B4D" w14:textId="77777777">
      <w:pPr>
        <w:rPr>
          <w:spacing w:val="-2"/>
        </w:rPr>
      </w:pPr>
      <w:r>
        <w:t xml:space="preserve">By the </w:t>
      </w:r>
      <w:r>
        <w:rPr>
          <w:spacing w:val="-2"/>
        </w:rPr>
        <w:t>Chief, Wireline Competition Bureau:</w:t>
      </w:r>
    </w:p>
    <w:p w:rsidR="00CF69E8" w:rsidP="00CF69E8" w14:paraId="3FB994C3" w14:textId="77777777">
      <w:pPr>
        <w:rPr>
          <w:spacing w:val="-2"/>
        </w:rPr>
      </w:pPr>
    </w:p>
    <w:p w:rsidR="00CF69E8" w:rsidP="00CF69E8" w14:paraId="4D8CDF7C" w14:textId="77777777">
      <w:pPr>
        <w:pStyle w:val="Heading1"/>
      </w:pPr>
      <w:r>
        <w:t>Introduction</w:t>
      </w:r>
    </w:p>
    <w:p w:rsidR="00CF69E8" w:rsidP="00CF69E8" w14:paraId="306663BA" w14:textId="77777777">
      <w:pPr>
        <w:pStyle w:val="ParaNum"/>
      </w:pPr>
      <w:r>
        <w:t>In this Order, the Wireline Competition Bureau (Bureau) addresses the request by</w:t>
      </w:r>
      <w:r w:rsidRPr="00C9054E">
        <w:t xml:space="preserve"> </w:t>
      </w:r>
      <w:r>
        <w:t>seven health care providers in Oklahoma (“Oklahoma Providers”)</w:t>
      </w:r>
      <w:r>
        <w:rPr>
          <w:rStyle w:val="FootnoteReference"/>
        </w:rPr>
        <w:footnoteReference w:id="3"/>
      </w:r>
      <w:r>
        <w:t xml:space="preserve"> for a waiver of the Rural Health Care (</w:t>
      </w:r>
      <w:r>
        <w:t>RHC</w:t>
      </w:r>
      <w:r>
        <w:t>) Universal Service Support Mechanism’s rules to permit these providers to file funding year 2019 funding requests after the close of the funding year 2019 application window.</w:t>
      </w:r>
      <w:r>
        <w:rPr>
          <w:rStyle w:val="FootnoteReference"/>
        </w:rPr>
        <w:footnoteReference w:id="4"/>
      </w:r>
      <w:r>
        <w:t xml:space="preserve">  Due to federally-declared disasters resulting from severe weather conditions that struck Oklahoma during May 2019, the Oklahoma Providers were unable to submit 11 Healthcare Connect Fund funding requests by the application deadline of May 31, 2019.  They request that the Bureau waive sections 54.675(c)(2) and (c)(4) of the Commission’s rules to permit them to file late applications and to treat those late applications as </w:t>
      </w:r>
      <w:r>
        <w:t>timely-filed</w:t>
      </w:r>
      <w:r>
        <w:t xml:space="preserve"> in light of special circumstances that prevented the timely submission of the funding requests.  Based on the record before us and consistent with precedent, we find good cause to grant this waiver.</w:t>
      </w:r>
    </w:p>
    <w:p w:rsidR="00CF69E8" w:rsidP="00CF69E8" w14:paraId="630C9B94" w14:textId="77777777">
      <w:pPr>
        <w:pStyle w:val="Heading1"/>
      </w:pPr>
      <w:r>
        <w:t>Background</w:t>
      </w:r>
    </w:p>
    <w:p w:rsidR="00CF69E8" w:rsidRPr="00303B80" w:rsidP="00CF69E8" w14:paraId="75B961C4" w14:textId="77777777">
      <w:pPr>
        <w:pStyle w:val="ParaNum"/>
        <w:widowControl/>
      </w:pPr>
      <w:r>
        <w:t>Health care providers seeking Healthcare Connect Fund Program support are required to request funding using an FCC Form 462.</w:t>
      </w:r>
      <w:r>
        <w:rPr>
          <w:rStyle w:val="FootnoteReference"/>
        </w:rPr>
        <w:footnoteReference w:id="5"/>
      </w:r>
      <w:r>
        <w:t xml:space="preserve">  The Universal Service Administrative Company (</w:t>
      </w:r>
      <w:r w:rsidRPr="00303B80">
        <w:t>USAC</w:t>
      </w:r>
      <w:r>
        <w:t>)</w:t>
      </w:r>
      <w:r w:rsidRPr="00303B80">
        <w:t xml:space="preserve"> implement</w:t>
      </w:r>
      <w:r>
        <w:t>s</w:t>
      </w:r>
      <w:r w:rsidRPr="00303B80">
        <w:t xml:space="preserve"> a filing window </w:t>
      </w:r>
      <w:r>
        <w:t xml:space="preserve">each funding year </w:t>
      </w:r>
      <w:r w:rsidRPr="00303B80">
        <w:t xml:space="preserve">that treats all eligible health care providers </w:t>
      </w:r>
      <w:r>
        <w:t xml:space="preserve">submitting FCC Form </w:t>
      </w:r>
      <w:r>
        <w:t>462s</w:t>
      </w:r>
      <w:r>
        <w:t xml:space="preserve"> </w:t>
      </w:r>
      <w:r w:rsidRPr="00303B80">
        <w:t>within the filing window as if their application</w:t>
      </w:r>
      <w:r>
        <w:t>s were received simultaneously.</w:t>
      </w:r>
      <w:r>
        <w:rPr>
          <w:rStyle w:val="FootnoteReference"/>
        </w:rPr>
        <w:footnoteReference w:id="6"/>
      </w:r>
      <w:r>
        <w:t xml:space="preserve">  Applicants that fail to file by the filing deadline are automatically precluded from submitting their funding requests by USAC’s Rural Health Care online application system, My Portal.</w:t>
      </w:r>
      <w:r>
        <w:rPr>
          <w:rStyle w:val="FootnoteReference"/>
        </w:rPr>
        <w:footnoteReference w:id="7"/>
      </w:r>
      <w:r>
        <w:t xml:space="preserve">  For funding year </w:t>
      </w:r>
      <w:r>
        <w:t>2019, USAC implemented a filing window for the FCC Forms 462 from February 1, 2019 to May 31, 2019.</w:t>
      </w:r>
      <w:r>
        <w:rPr>
          <w:rStyle w:val="FootnoteReference"/>
        </w:rPr>
        <w:footnoteReference w:id="8"/>
      </w:r>
    </w:p>
    <w:p w:rsidR="00CF69E8" w:rsidP="00CF69E8" w14:paraId="63E896B6" w14:textId="77777777">
      <w:pPr>
        <w:pStyle w:val="ParaNum"/>
      </w:pPr>
      <w:r>
        <w:t>During the month of May 2019, Oklahoma experienced a series of disastrous weather events, including tornados, damaging winds, hail, and flooding.</w:t>
      </w:r>
      <w:r>
        <w:rPr>
          <w:rStyle w:val="FootnoteReference"/>
        </w:rPr>
        <w:footnoteReference w:id="9"/>
      </w:r>
      <w:r>
        <w:t xml:space="preserve">  On May 28, 2019, just three days prior to the funding year 2019 application deadline, the Governor of Oklahoma declared that Oklahoma’s 77 counties were in a state of emergency and, shortly thereafter, on June 2, 2019, the Federal Emergency Management Agency (FEMA) approved disaster relief assistance for 17 counties in Oklahoma.</w:t>
      </w:r>
      <w:r>
        <w:rPr>
          <w:rStyle w:val="FootnoteReference"/>
        </w:rPr>
        <w:footnoteReference w:id="10"/>
      </w:r>
      <w:r>
        <w:t xml:space="preserve">  According to the Oklahoma Providers, disruptions resulting from the weather events in May made the timely submission of the 11 Healthcare Connect Fund funding requests at issue impossible, thereby prompting the instant request for waiver of the filing deadline.</w:t>
      </w:r>
      <w:r>
        <w:rPr>
          <w:rStyle w:val="FootnoteReference"/>
        </w:rPr>
        <w:footnoteReference w:id="11"/>
      </w:r>
      <w:r>
        <w:t xml:space="preserve">  For support, the Oklahoma Providers cite prior decisions by the Commission granting waivers of deadlines in the universal service fund where natural disasters affected the ability to comply with those deadlines.</w:t>
      </w:r>
      <w:r>
        <w:rPr>
          <w:rStyle w:val="FootnoteReference"/>
        </w:rPr>
        <w:footnoteReference w:id="12"/>
      </w:r>
    </w:p>
    <w:p w:rsidR="00CF69E8" w:rsidP="00CF69E8" w14:paraId="6CEA9D5B" w14:textId="77777777">
      <w:pPr>
        <w:pStyle w:val="ParaNum"/>
        <w:widowControl/>
      </w:pPr>
      <w:r>
        <w:t>On July 24, 2019, the Bureau released a Public Notice seeking comment on the request for waiver.</w:t>
      </w:r>
      <w:r>
        <w:rPr>
          <w:rStyle w:val="FootnoteReference"/>
        </w:rPr>
        <w:footnoteReference w:id="13"/>
      </w:r>
      <w:r>
        <w:t xml:space="preserve">  Three parties filed comments in response.</w:t>
      </w:r>
      <w:r>
        <w:rPr>
          <w:rStyle w:val="FootnoteReference"/>
        </w:rPr>
        <w:footnoteReference w:id="14"/>
      </w:r>
      <w:r>
        <w:t xml:space="preserve">  The Oklahoma Hospital Association (</w:t>
      </w:r>
      <w:r>
        <w:t>OHA</w:t>
      </w:r>
      <w:r>
        <w:t>) and the Schools, Health and Libraries Broadband Coalition (</w:t>
      </w:r>
      <w:r>
        <w:t>SHLB</w:t>
      </w:r>
      <w:r>
        <w:t>) support the request for waiver, and consistent with the position of the Oklahoma Providers,</w:t>
      </w:r>
      <w:r>
        <w:rPr>
          <w:rStyle w:val="FootnoteReference"/>
        </w:rPr>
        <w:footnoteReference w:id="15"/>
      </w:r>
      <w:r>
        <w:t xml:space="preserve"> also encourage the </w:t>
      </w:r>
      <w:r>
        <w:t>RHC</w:t>
      </w:r>
      <w:r>
        <w:t xml:space="preserve"> Program to adopt the E-Rate Program’s 14-day grace period for late-filed applications, noting that their applications could have been filed within 14 days of the application filing deadline.</w:t>
      </w:r>
      <w:r>
        <w:rPr>
          <w:rStyle w:val="FootnoteReference"/>
        </w:rPr>
        <w:footnoteReference w:id="16"/>
      </w:r>
      <w:r>
        <w:t xml:space="preserve">  The Oklahoma Universal Service Fund </w:t>
      </w:r>
      <w:r>
        <w:t>(</w:t>
      </w:r>
      <w:r>
        <w:t>OUSF</w:t>
      </w:r>
      <w:r>
        <w:t>) Administrator likewise supports the request for waiver, and explains that denial of the request would have devastating results to the areas that the Oklahoma Providers serve.</w:t>
      </w:r>
      <w:r>
        <w:rPr>
          <w:rStyle w:val="FootnoteReference"/>
        </w:rPr>
        <w:footnoteReference w:id="17"/>
      </w:r>
    </w:p>
    <w:p w:rsidR="00CF69E8" w:rsidP="00CF69E8" w14:paraId="7FA392B5" w14:textId="77777777">
      <w:pPr>
        <w:pStyle w:val="Heading1"/>
      </w:pPr>
      <w:r>
        <w:t>discussion</w:t>
      </w:r>
    </w:p>
    <w:p w:rsidR="00CF69E8" w:rsidP="00CF69E8" w14:paraId="41402443" w14:textId="77777777">
      <w:pPr>
        <w:pStyle w:val="ParaNum"/>
      </w:pPr>
      <w:r>
        <w:t>Based on the facts and circumstances presented here, and consistent with our precedent, we find good cause exists to waive the funding year 2019 application filing deadline for the 11 funding requests listed in the Appendix.</w:t>
      </w:r>
      <w:r>
        <w:rPr>
          <w:rStyle w:val="FootnoteReference"/>
        </w:rPr>
        <w:t xml:space="preserve"> </w:t>
      </w:r>
      <w:r>
        <w:t xml:space="preserve"> Generally, the Commission’s rules may be waived for good cause shown.</w:t>
      </w:r>
      <w:r>
        <w:rPr>
          <w:rStyle w:val="FootnoteReference"/>
        </w:rPr>
        <w:footnoteReference w:id="18"/>
      </w:r>
      <w:r>
        <w:t xml:space="preserve">  Waiver of the Commission’s rules is appropriate</w:t>
      </w:r>
      <w:r w:rsidRPr="00AD10ED">
        <w:t xml:space="preserve"> </w:t>
      </w:r>
      <w:r w:rsidRPr="00FE7E5C">
        <w:t>only</w:t>
      </w:r>
      <w:r>
        <w:t xml:space="preserve"> if both (1) special circumstances warrant a deviation from the general rule, and (2) such deviation will serve the public interest.</w:t>
      </w:r>
      <w:r>
        <w:rPr>
          <w:rStyle w:val="FootnoteReference"/>
        </w:rPr>
        <w:footnoteReference w:id="19"/>
      </w:r>
      <w:r>
        <w:t xml:space="preserve">  In exercising its discretion, the Commission may consider hardship, equity, or more effective implementation of policy on an overall basis.</w:t>
      </w:r>
      <w:r>
        <w:rPr>
          <w:rStyle w:val="FootnoteReference"/>
        </w:rPr>
        <w:footnoteReference w:id="20"/>
      </w:r>
      <w:r>
        <w:t xml:space="preserve">  As discussed in further detail below, we find that the damage and disruption caused by the extreme weather events that occurred in Oklahoma and the close proximity of these events to the May 31, 2019 application filing deadline merit a waiver of the filing deadline.</w:t>
      </w:r>
      <w:r>
        <w:rPr>
          <w:rStyle w:val="FootnoteReference"/>
        </w:rPr>
        <w:footnoteReference w:id="21"/>
      </w:r>
    </w:p>
    <w:p w:rsidR="00CF69E8" w:rsidP="00CF69E8" w14:paraId="54BBF794" w14:textId="77777777">
      <w:pPr>
        <w:pStyle w:val="ParaNum"/>
      </w:pPr>
      <w:r>
        <w:t>We find that the Oklahoma Providers have demonstrated special circumstances that warrant a deviation from the general rule.</w:t>
      </w:r>
      <w:r>
        <w:rPr>
          <w:rStyle w:val="FootnoteReference"/>
        </w:rPr>
        <w:footnoteReference w:id="22"/>
      </w:r>
      <w:r>
        <w:t xml:space="preserve">  Throughout May 2019, extensive flooding and tornadoes struck Oklahoma, which caused their consultant, Kellogg &amp; Sovereign Consulting, LLC to close its offices and impeded the firm’s ability to obtain information that was required to complete the FCC Form </w:t>
      </w:r>
      <w:r>
        <w:t>462s</w:t>
      </w:r>
      <w:r>
        <w:t xml:space="preserve"> from the Oklahoma Providers.</w:t>
      </w:r>
      <w:r>
        <w:rPr>
          <w:rStyle w:val="FootnoteReference"/>
        </w:rPr>
        <w:footnoteReference w:id="23"/>
      </w:r>
      <w:r>
        <w:t xml:space="preserve">  Health care providers, their employees, and key contacts necessary to complete the Oklahoma Providers’ funding requests were unavailable because of road closures and because the continuing need to seek shelter impacted their ability to work and communicate.</w:t>
      </w:r>
      <w:r>
        <w:rPr>
          <w:rStyle w:val="FootnoteReference"/>
        </w:rPr>
        <w:footnoteReference w:id="24"/>
      </w:r>
      <w:r>
        <w:t xml:space="preserve">  The weather effects were so severe that, three days before the May 31, 2019 deadline, all 77 counties in Oklahoma were declared in a state of emergency by the Governor of Oklahoma and, just days later, FEMA issued major disaster declarations for 17 Oklahoma counties.</w:t>
      </w:r>
      <w:r>
        <w:rPr>
          <w:rStyle w:val="FootnoteReference"/>
        </w:rPr>
        <w:footnoteReference w:id="25"/>
      </w:r>
      <w:r>
        <w:t xml:space="preserve">  We have previously waived </w:t>
      </w:r>
      <w:r>
        <w:t>disaster-related deadlines that occurred simultaneously with the disaster</w:t>
      </w:r>
      <w:r>
        <w:rPr>
          <w:rStyle w:val="FootnoteReference"/>
        </w:rPr>
        <w:footnoteReference w:id="26"/>
      </w:r>
      <w:r>
        <w:t xml:space="preserve"> and, here, the May 31, 2019 application filing deadline was impacted directly by the extensive flooding and disruption in communications and transportation that occurred immediately before the deadline.</w:t>
      </w:r>
      <w:r>
        <w:rPr>
          <w:rStyle w:val="FootnoteReference"/>
        </w:rPr>
        <w:footnoteReference w:id="27"/>
      </w:r>
      <w:r>
        <w:t xml:space="preserve">  Therefore, we find, consistent with past precedent,</w:t>
      </w:r>
      <w:r>
        <w:rPr>
          <w:rStyle w:val="FootnoteReference"/>
        </w:rPr>
        <w:footnoteReference w:id="28"/>
      </w:r>
      <w:r>
        <w:t xml:space="preserve"> that the Oklahoma Providers have demonstrated special circumstances meriting a waiver.</w:t>
      </w:r>
    </w:p>
    <w:p w:rsidR="00CF69E8" w:rsidP="00CF69E8" w14:paraId="4A15CF6B" w14:textId="77777777">
      <w:pPr>
        <w:pStyle w:val="ParaNum"/>
      </w:pPr>
      <w:r>
        <w:t xml:space="preserve">We also find that granting this request for waiver will serve the public interest.  Denial of relief would have severe negative impacts on the areas that the Oklahoma Providers serve.  The </w:t>
      </w:r>
      <w:r>
        <w:t>OUSF</w:t>
      </w:r>
      <w:r>
        <w:t xml:space="preserve"> Administrator notes that rural health care providers in Oklahoma are at risk of closing; loss of </w:t>
      </w:r>
      <w:r>
        <w:t>RHC</w:t>
      </w:r>
      <w:r>
        <w:t xml:space="preserve"> Program funding may expedite closures, which could further limit access to healthcare in Oklahoma.</w:t>
      </w:r>
      <w:r>
        <w:rPr>
          <w:rStyle w:val="FootnoteReference"/>
        </w:rPr>
        <w:footnoteReference w:id="29"/>
      </w:r>
      <w:r>
        <w:t xml:space="preserve">  Moreover, if the 11 funding year 2019 requests cannot be filed, the Oklahoma Providers also will be ineligible for Oklahoma state universal service funding because application for alternative funding, such as </w:t>
      </w:r>
      <w:r>
        <w:t>RHC</w:t>
      </w:r>
      <w:r>
        <w:t xml:space="preserve"> Program funding, is a necessary prerequisite to Oklahoma state universal service funding eligibility.</w:t>
      </w:r>
      <w:r>
        <w:rPr>
          <w:rStyle w:val="FootnoteReference"/>
        </w:rPr>
        <w:footnoteReference w:id="30"/>
      </w:r>
      <w:r>
        <w:t xml:space="preserve">  We therefore find that it is in the public interest to provide the Oklahoma Providers a waiver of the funding year 2019 application filing deadline.</w:t>
      </w:r>
    </w:p>
    <w:p w:rsidR="00CF69E8" w:rsidP="006141F0" w14:paraId="41C30FDE" w14:textId="77777777">
      <w:pPr>
        <w:pStyle w:val="ParaNum"/>
        <w:widowControl/>
      </w:pPr>
      <w:r>
        <w:t xml:space="preserve">To ensure that this waiver is available only to health care providers that were unable to file their FCC Form </w:t>
      </w:r>
      <w:r>
        <w:t>462s</w:t>
      </w:r>
      <w:r>
        <w:t xml:space="preserve"> by the deadline due to the natural disasters, we require that each petitioner and its consultant affirm that, to the best of their knowledge, the applications would have been timely but for </w:t>
      </w:r>
      <w:r>
        <w:t>the natural disaster in Oklahoma.</w:t>
      </w:r>
      <w:r>
        <w:rPr>
          <w:rStyle w:val="FootnoteReference"/>
        </w:rPr>
        <w:footnoteReference w:id="31"/>
      </w:r>
      <w:r>
        <w:t xml:space="preserve">  We direct USAC to contact the petitioners with instructions for how to submit their FCC Form </w:t>
      </w:r>
      <w:r>
        <w:t>462s</w:t>
      </w:r>
      <w:r>
        <w:t xml:space="preserve"> and affirmations within 15 days of the relea</w:t>
      </w:r>
      <w:bookmarkStart w:id="0" w:name="_GoBack"/>
      <w:bookmarkEnd w:id="0"/>
      <w:r>
        <w:t>se of this order.</w:t>
      </w:r>
    </w:p>
    <w:p w:rsidR="00CF69E8" w:rsidP="00CF69E8" w14:paraId="734482E0" w14:textId="77777777">
      <w:pPr>
        <w:pStyle w:val="ParaNum"/>
      </w:pPr>
      <w:r w:rsidRPr="0039427F">
        <w:t>We emphasize that the Commission is committed to guarding against waste, fraud</w:t>
      </w:r>
      <w:r>
        <w:t>,</w:t>
      </w:r>
      <w:r w:rsidRPr="0039427F">
        <w:t xml:space="preserve"> and abuse and ensuring that funds disbursed through the Rural Health Care Program are used for appropriate purposes</w:t>
      </w:r>
      <w:r>
        <w:t>.  W</w:t>
      </w:r>
      <w:r w:rsidRPr="0039427F">
        <w:t xml:space="preserve">e find no evidence of waste, fraud or abuse will result from </w:t>
      </w:r>
      <w:r>
        <w:t>this waiver</w:t>
      </w:r>
      <w:r w:rsidRPr="0039427F">
        <w:t xml:space="preserve">.  </w:t>
      </w:r>
      <w:r>
        <w:t>T</w:t>
      </w:r>
      <w:r w:rsidRPr="0039427F">
        <w:t xml:space="preserve">his action does not affect the authority of the Commission or USAC to conduct audits or investigations </w:t>
      </w:r>
      <w:r>
        <w:t xml:space="preserve">to </w:t>
      </w:r>
      <w:r w:rsidRPr="0039427F">
        <w:t>determine</w:t>
      </w:r>
      <w:r>
        <w:t xml:space="preserve"> </w:t>
      </w:r>
      <w:r w:rsidRPr="0039427F">
        <w:t xml:space="preserve">compliance with Rural Health Care Program rules and requirements with respect to the funding requests </w:t>
      </w:r>
      <w:r>
        <w:t>filed as a result of this waiver</w:t>
      </w:r>
      <w:r w:rsidRPr="0039427F">
        <w:t xml:space="preserve">.  Because audits or investigations may provide information showing that a Rural Health Care Program participant failed to comply with the statute or the Commission’s rules, such proceedings can reveal instances in which universal service funds were disbursed improperly, or in a manner inconsistent with the statute or the Commission’s rules.  To the extent that the Commission finds that funds were not used properly, the Commission will require USAC to recover such funds through its normal processes.  The Commission retains the discretion to evaluate the use of funds disbursed through the Rural Health Care Program and to determine on a case-by-case basis whether waste, fraud, or abuse of program funds occurred, or recovery is warranted.  The Commission will continue to aggressively pursue instances of waste, fraud, or abuse under the Commission’s procedures and in cooperation with law enforcement agencies. </w:t>
      </w:r>
    </w:p>
    <w:p w:rsidR="00CF69E8" w:rsidP="00CF69E8" w14:paraId="265DB34D" w14:textId="77777777">
      <w:pPr>
        <w:pStyle w:val="Heading1"/>
      </w:pPr>
      <w:r>
        <w:t>Ordering clauses</w:t>
      </w:r>
    </w:p>
    <w:p w:rsidR="00CF69E8" w:rsidP="00CF69E8" w14:paraId="73B46869" w14:textId="77777777">
      <w:pPr>
        <w:pStyle w:val="ParaNum"/>
      </w:pPr>
      <w:r>
        <w:t xml:space="preserve">ACCORDINGLY, IT IS ORDERED, pursuant to the authority contained in sections 1-4 and 254 of the Communications Act of 1934, as amended, 47 </w:t>
      </w:r>
      <w:r w:rsidRPr="00676AD4">
        <w:rPr>
          <w:rStyle w:val="StyleNumberedparagraphs11ptChar"/>
          <w:szCs w:val="22"/>
        </w:rPr>
        <w:t>U.S.C. §§ 151-154 and 254</w:t>
      </w:r>
      <w:r>
        <w:rPr>
          <w:rStyle w:val="StyleNumberedparagraphs11ptChar"/>
          <w:szCs w:val="22"/>
        </w:rPr>
        <w:t xml:space="preserve">, and sections 0.91, 0.291, 1.106, 54.675(c)(2) of the Commission’s rules, </w:t>
      </w:r>
      <w:r w:rsidRPr="00676AD4">
        <w:t>47 CFR §§ 0.91, 0.291, 1.106</w:t>
      </w:r>
      <w:r>
        <w:t>, 54.675(c)(2), (c)(4) that the Request for Waiver filed by Kellogg &amp; Sovereign Consulting, LLC on behalf of the Oklahoma Providers IS GRANTED to the extent provided herein.</w:t>
      </w:r>
    </w:p>
    <w:p w:rsidR="00CF69E8" w:rsidRPr="00B73747" w:rsidP="00CF69E8" w14:paraId="6B16835F" w14:textId="77777777">
      <w:pPr>
        <w:pStyle w:val="ParaNum"/>
        <w:rPr>
          <w:rStyle w:val="StyleNumberedparagraphs11ptChar"/>
        </w:rPr>
      </w:pPr>
      <w:r>
        <w:t>IT IS FURTHER ORDERED that, pursuant to the authority delegated in section 1.102(b)(1) of the Commission’s rules, 47 C.F.R.</w:t>
      </w:r>
      <w:r w:rsidRPr="00B73747">
        <w:rPr>
          <w:rStyle w:val="StyleNumberedparagraphs11ptChar"/>
          <w:szCs w:val="22"/>
        </w:rPr>
        <w:t xml:space="preserve"> § 1.102(b)(1), this order SHALL BE EFFECTIVE upon release.</w:t>
      </w:r>
    </w:p>
    <w:p w:rsidR="00CF69E8" w:rsidRPr="00395EE0" w:rsidP="00CF69E8" w14:paraId="59BABDD5" w14:textId="77777777">
      <w:pPr>
        <w:keepNext/>
        <w:tabs>
          <w:tab w:val="left" w:pos="-720"/>
        </w:tabs>
        <w:suppressAutoHyphens/>
        <w:ind w:left="4320"/>
        <w:outlineLvl w:val="0"/>
        <w:rPr>
          <w:szCs w:val="22"/>
        </w:rPr>
      </w:pPr>
      <w:r w:rsidRPr="00395EE0">
        <w:rPr>
          <w:szCs w:val="22"/>
        </w:rPr>
        <w:t>FEDERAL COMMUNICATIONS COMMISSION</w:t>
      </w:r>
    </w:p>
    <w:p w:rsidR="00CF69E8" w:rsidRPr="00395EE0" w:rsidP="00CF69E8" w14:paraId="6C118AFD" w14:textId="77777777">
      <w:pPr>
        <w:keepNext/>
        <w:tabs>
          <w:tab w:val="left" w:pos="-720"/>
        </w:tabs>
        <w:suppressAutoHyphens/>
        <w:ind w:left="4320"/>
        <w:rPr>
          <w:szCs w:val="22"/>
        </w:rPr>
      </w:pPr>
    </w:p>
    <w:p w:rsidR="00CF69E8" w:rsidRPr="00395EE0" w:rsidP="00CF69E8" w14:paraId="780DFA5A" w14:textId="77777777">
      <w:pPr>
        <w:keepNext/>
        <w:tabs>
          <w:tab w:val="left" w:pos="-720"/>
        </w:tabs>
        <w:suppressAutoHyphens/>
        <w:ind w:left="4320"/>
        <w:rPr>
          <w:szCs w:val="22"/>
        </w:rPr>
      </w:pPr>
    </w:p>
    <w:p w:rsidR="00CF69E8" w:rsidRPr="00395EE0" w:rsidP="00CF69E8" w14:paraId="4B4A4502" w14:textId="77777777">
      <w:pPr>
        <w:keepNext/>
        <w:keepLines/>
        <w:ind w:left="4320"/>
        <w:outlineLvl w:val="0"/>
        <w:rPr>
          <w:szCs w:val="22"/>
        </w:rPr>
      </w:pPr>
    </w:p>
    <w:p w:rsidR="00CF69E8" w:rsidRPr="00395EE0" w:rsidP="00CF69E8" w14:paraId="7B46305F" w14:textId="77777777">
      <w:pPr>
        <w:keepNext/>
        <w:keepLines/>
        <w:ind w:left="3600" w:firstLine="720"/>
        <w:outlineLvl w:val="0"/>
        <w:rPr>
          <w:szCs w:val="22"/>
        </w:rPr>
      </w:pPr>
    </w:p>
    <w:p w:rsidR="00CF69E8" w:rsidRPr="00395EE0" w:rsidP="00CF69E8" w14:paraId="4EBA93C3" w14:textId="77777777">
      <w:pPr>
        <w:keepNext/>
        <w:keepLines/>
        <w:ind w:left="3600" w:firstLine="720"/>
        <w:outlineLvl w:val="0"/>
        <w:rPr>
          <w:szCs w:val="22"/>
        </w:rPr>
      </w:pPr>
      <w:r w:rsidRPr="00395EE0">
        <w:rPr>
          <w:szCs w:val="22"/>
        </w:rPr>
        <w:t>Kris Anne Monteith</w:t>
      </w:r>
    </w:p>
    <w:p w:rsidR="00CF69E8" w:rsidRPr="00395EE0" w:rsidP="00CF69E8" w14:paraId="66C3855E" w14:textId="77777777">
      <w:pPr>
        <w:keepNext/>
        <w:keepLines/>
        <w:ind w:left="3600" w:firstLine="720"/>
        <w:outlineLvl w:val="0"/>
        <w:rPr>
          <w:szCs w:val="22"/>
        </w:rPr>
      </w:pPr>
      <w:r w:rsidRPr="00395EE0">
        <w:rPr>
          <w:szCs w:val="22"/>
        </w:rPr>
        <w:t>Chief</w:t>
      </w:r>
    </w:p>
    <w:p w:rsidR="00CF69E8" w:rsidRPr="00395EE0" w:rsidP="00CF69E8" w14:paraId="75E045B4" w14:textId="77777777">
      <w:pPr>
        <w:keepNext/>
        <w:keepLines/>
        <w:ind w:left="4320"/>
        <w:outlineLvl w:val="0"/>
        <w:rPr>
          <w:szCs w:val="22"/>
        </w:rPr>
      </w:pPr>
      <w:r w:rsidRPr="00395EE0">
        <w:rPr>
          <w:szCs w:val="22"/>
        </w:rPr>
        <w:t>Wireline Competition Bureau</w:t>
      </w:r>
    </w:p>
    <w:p w:rsidR="00CF69E8" w:rsidRPr="00B73747" w:rsidP="00CF69E8" w14:paraId="37DF136F" w14:textId="77777777">
      <w:pPr>
        <w:pStyle w:val="ParaNum"/>
        <w:numPr>
          <w:ilvl w:val="0"/>
          <w:numId w:val="0"/>
        </w:numPr>
        <w:rPr>
          <w:rStyle w:val="StyleNumberedparagraphs11ptChar"/>
        </w:rPr>
      </w:pPr>
    </w:p>
    <w:p w:rsidR="00CF69E8" w:rsidP="00CF69E8" w14:paraId="03F96BB6" w14:textId="77777777">
      <w:pPr>
        <w:rPr>
          <w:rStyle w:val="StyleNumberedparagraphs11ptChar"/>
          <w:szCs w:val="22"/>
        </w:rPr>
      </w:pPr>
    </w:p>
    <w:p w:rsidR="00CF69E8" w:rsidP="00CF69E8" w14:paraId="12A5C531" w14:textId="77777777"/>
    <w:p w:rsidR="00CF69E8" w:rsidRPr="00B73747" w:rsidP="00CF69E8" w14:paraId="7C8A9262" w14:textId="77777777"/>
    <w:p w:rsidR="00CF69E8" w:rsidP="00CF69E8" w14:paraId="6B1EB289" w14:textId="77777777">
      <w:pPr>
        <w:jc w:val="center"/>
      </w:pPr>
    </w:p>
    <w:p w:rsidR="00CF69E8" w:rsidP="00CF69E8" w14:paraId="13B41235" w14:textId="77777777">
      <w:pPr>
        <w:jc w:val="center"/>
      </w:pPr>
    </w:p>
    <w:p w:rsidR="00CF69E8" w:rsidP="00CF69E8" w14:paraId="7E2B2609" w14:textId="77777777">
      <w:pPr>
        <w:jc w:val="center"/>
      </w:pPr>
    </w:p>
    <w:p w:rsidR="00CF69E8" w:rsidP="00CF69E8" w14:paraId="585F1C9B" w14:textId="77777777"/>
    <w:p w:rsidR="00CF69E8" w:rsidP="00CF69E8" w14:paraId="53D95188" w14:textId="77777777"/>
    <w:p w:rsidR="00CF69E8" w:rsidRPr="00B73747" w:rsidP="00CF69E8" w14:paraId="5319A579" w14:textId="77777777">
      <w:pPr>
        <w:spacing w:line="276" w:lineRule="auto"/>
        <w:jc w:val="center"/>
        <w:rPr>
          <w:b/>
          <w:bCs/>
        </w:rPr>
      </w:pPr>
      <w:r w:rsidRPr="00B73747">
        <w:rPr>
          <w:b/>
          <w:bCs/>
        </w:rPr>
        <w:t>Appendix</w:t>
      </w:r>
    </w:p>
    <w:p w:rsidR="00CF69E8" w:rsidRPr="00B73747" w:rsidP="00CF69E8" w14:paraId="19EDEF59" w14:textId="77777777">
      <w:pPr>
        <w:spacing w:line="276" w:lineRule="auto"/>
        <w:jc w:val="center"/>
        <w:rPr>
          <w:b/>
          <w:bCs/>
        </w:rPr>
      </w:pPr>
      <w:r w:rsidRPr="00B73747">
        <w:rPr>
          <w:b/>
          <w:bCs/>
        </w:rPr>
        <w:t>Funding Requests Included in Request for Waiver</w:t>
      </w:r>
    </w:p>
    <w:p w:rsidR="00CF69E8" w:rsidRPr="00B73747" w:rsidP="00CF69E8" w14:paraId="5803DB62"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5310"/>
        <w:gridCol w:w="1440"/>
        <w:gridCol w:w="1638"/>
      </w:tblGrid>
      <w:tr w14:paraId="441D4F3C" w14:textId="77777777" w:rsidTr="00E0766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88" w:type="dxa"/>
            <w:shd w:val="clear" w:color="auto" w:fill="auto"/>
          </w:tcPr>
          <w:p w:rsidR="00CF69E8" w:rsidRPr="00001C79" w:rsidP="00E0766C" w14:paraId="27042555" w14:textId="77777777">
            <w:pPr>
              <w:jc w:val="center"/>
              <w:rPr>
                <w:b/>
                <w:bCs/>
              </w:rPr>
            </w:pPr>
          </w:p>
          <w:p w:rsidR="00CF69E8" w:rsidRPr="00001C79" w:rsidP="00E0766C" w14:paraId="6518E27A" w14:textId="77777777">
            <w:pPr>
              <w:jc w:val="center"/>
              <w:rPr>
                <w:b/>
                <w:bCs/>
              </w:rPr>
            </w:pPr>
            <w:r w:rsidRPr="00001C79">
              <w:rPr>
                <w:b/>
                <w:bCs/>
              </w:rPr>
              <w:t xml:space="preserve">HCP </w:t>
            </w:r>
            <w:r>
              <w:rPr>
                <w:b/>
                <w:bCs/>
              </w:rPr>
              <w:t xml:space="preserve">No. </w:t>
            </w:r>
          </w:p>
          <w:p w:rsidR="00CF69E8" w:rsidRPr="00001C79" w:rsidP="00E0766C" w14:paraId="06B54FCB" w14:textId="77777777">
            <w:pPr>
              <w:jc w:val="center"/>
              <w:rPr>
                <w:b/>
                <w:bCs/>
              </w:rPr>
            </w:pPr>
          </w:p>
        </w:tc>
        <w:tc>
          <w:tcPr>
            <w:tcW w:w="5310" w:type="dxa"/>
            <w:shd w:val="clear" w:color="auto" w:fill="auto"/>
          </w:tcPr>
          <w:p w:rsidR="00CF69E8" w:rsidRPr="00001C79" w:rsidP="00E0766C" w14:paraId="74C2E0AE" w14:textId="77777777">
            <w:pPr>
              <w:jc w:val="center"/>
              <w:rPr>
                <w:b/>
                <w:bCs/>
              </w:rPr>
            </w:pPr>
          </w:p>
          <w:p w:rsidR="00CF69E8" w:rsidRPr="00001C79" w:rsidP="00E0766C" w14:paraId="73326D6B" w14:textId="77777777">
            <w:pPr>
              <w:jc w:val="center"/>
              <w:rPr>
                <w:b/>
                <w:bCs/>
              </w:rPr>
            </w:pPr>
            <w:r w:rsidRPr="00001C79">
              <w:rPr>
                <w:b/>
                <w:bCs/>
              </w:rPr>
              <w:t>HCP Name</w:t>
            </w:r>
          </w:p>
        </w:tc>
        <w:tc>
          <w:tcPr>
            <w:tcW w:w="1440" w:type="dxa"/>
            <w:shd w:val="clear" w:color="auto" w:fill="auto"/>
          </w:tcPr>
          <w:p w:rsidR="00CF69E8" w:rsidRPr="00001C79" w:rsidP="00E0766C" w14:paraId="709C8599" w14:textId="77777777">
            <w:pPr>
              <w:jc w:val="center"/>
              <w:rPr>
                <w:b/>
                <w:bCs/>
              </w:rPr>
            </w:pPr>
          </w:p>
          <w:p w:rsidR="00CF69E8" w:rsidRPr="00001C79" w:rsidP="00E0766C" w14:paraId="3FBE35CB" w14:textId="77777777">
            <w:pPr>
              <w:jc w:val="center"/>
              <w:rPr>
                <w:b/>
                <w:bCs/>
              </w:rPr>
            </w:pPr>
            <w:r w:rsidRPr="00001C79">
              <w:rPr>
                <w:b/>
                <w:bCs/>
              </w:rPr>
              <w:t>FRN</w:t>
            </w:r>
          </w:p>
        </w:tc>
        <w:tc>
          <w:tcPr>
            <w:tcW w:w="1638" w:type="dxa"/>
            <w:shd w:val="clear" w:color="auto" w:fill="auto"/>
          </w:tcPr>
          <w:p w:rsidR="00CF69E8" w:rsidRPr="00001C79" w:rsidP="00E0766C" w14:paraId="7F228648" w14:textId="77777777">
            <w:pPr>
              <w:jc w:val="center"/>
              <w:rPr>
                <w:b/>
                <w:bCs/>
              </w:rPr>
            </w:pPr>
          </w:p>
          <w:p w:rsidR="00CF69E8" w:rsidRPr="00001C79" w:rsidP="00E0766C" w14:paraId="6A867AAE" w14:textId="77777777">
            <w:pPr>
              <w:jc w:val="center"/>
              <w:rPr>
                <w:b/>
                <w:bCs/>
              </w:rPr>
            </w:pPr>
            <w:r w:rsidRPr="00001C79">
              <w:rPr>
                <w:b/>
                <w:bCs/>
              </w:rPr>
              <w:t>Funding Year</w:t>
            </w:r>
          </w:p>
        </w:tc>
      </w:tr>
      <w:tr w14:paraId="24DB53D5" w14:textId="77777777" w:rsidTr="00E0766C">
        <w:tblPrEx>
          <w:tblW w:w="0" w:type="auto"/>
          <w:tblLook w:val="04A0"/>
        </w:tblPrEx>
        <w:tc>
          <w:tcPr>
            <w:tcW w:w="1188" w:type="dxa"/>
            <w:shd w:val="clear" w:color="auto" w:fill="auto"/>
          </w:tcPr>
          <w:p w:rsidR="00CF69E8" w:rsidP="00E0766C" w14:paraId="33758B76" w14:textId="77777777">
            <w:pPr>
              <w:spacing w:line="360" w:lineRule="auto"/>
              <w:jc w:val="center"/>
            </w:pPr>
            <w:r>
              <w:t>10202</w:t>
            </w:r>
          </w:p>
        </w:tc>
        <w:tc>
          <w:tcPr>
            <w:tcW w:w="5310" w:type="dxa"/>
            <w:shd w:val="clear" w:color="auto" w:fill="auto"/>
          </w:tcPr>
          <w:p w:rsidR="00CF69E8" w:rsidP="00E0766C" w14:paraId="3F73FF77" w14:textId="77777777">
            <w:pPr>
              <w:spacing w:line="360" w:lineRule="auto"/>
            </w:pPr>
            <w:r>
              <w:t>Jackson County Memorial Hospital</w:t>
            </w:r>
          </w:p>
        </w:tc>
        <w:tc>
          <w:tcPr>
            <w:tcW w:w="1440" w:type="dxa"/>
            <w:shd w:val="clear" w:color="auto" w:fill="auto"/>
          </w:tcPr>
          <w:p w:rsidR="00CF69E8" w:rsidP="00E0766C" w14:paraId="601C4AA6" w14:textId="77777777">
            <w:pPr>
              <w:spacing w:line="360" w:lineRule="auto"/>
              <w:jc w:val="center"/>
            </w:pPr>
            <w:r>
              <w:t>19668531</w:t>
            </w:r>
          </w:p>
        </w:tc>
        <w:tc>
          <w:tcPr>
            <w:tcW w:w="1638" w:type="dxa"/>
            <w:shd w:val="clear" w:color="auto" w:fill="auto"/>
          </w:tcPr>
          <w:p w:rsidR="00CF69E8" w:rsidP="00E0766C" w14:paraId="3868BB04" w14:textId="77777777">
            <w:pPr>
              <w:spacing w:line="360" w:lineRule="auto"/>
              <w:jc w:val="center"/>
            </w:pPr>
            <w:r>
              <w:t>2019</w:t>
            </w:r>
          </w:p>
        </w:tc>
      </w:tr>
      <w:tr w14:paraId="5D8697A5" w14:textId="77777777" w:rsidTr="00E0766C">
        <w:tblPrEx>
          <w:tblW w:w="0" w:type="auto"/>
          <w:tblLook w:val="04A0"/>
        </w:tblPrEx>
        <w:tc>
          <w:tcPr>
            <w:tcW w:w="1188" w:type="dxa"/>
            <w:shd w:val="clear" w:color="auto" w:fill="auto"/>
          </w:tcPr>
          <w:p w:rsidR="00CF69E8" w:rsidP="00E0766C" w14:paraId="0D2BE1E2" w14:textId="77777777">
            <w:pPr>
              <w:spacing w:line="360" w:lineRule="auto"/>
              <w:jc w:val="center"/>
            </w:pPr>
            <w:r>
              <w:t>10202</w:t>
            </w:r>
          </w:p>
        </w:tc>
        <w:tc>
          <w:tcPr>
            <w:tcW w:w="5310" w:type="dxa"/>
            <w:shd w:val="clear" w:color="auto" w:fill="auto"/>
          </w:tcPr>
          <w:p w:rsidR="00CF69E8" w:rsidP="00E0766C" w14:paraId="678543DC" w14:textId="77777777">
            <w:pPr>
              <w:spacing w:line="360" w:lineRule="auto"/>
            </w:pPr>
            <w:r>
              <w:t>Jackson County Memorial Hospital</w:t>
            </w:r>
          </w:p>
        </w:tc>
        <w:tc>
          <w:tcPr>
            <w:tcW w:w="1440" w:type="dxa"/>
            <w:shd w:val="clear" w:color="auto" w:fill="auto"/>
          </w:tcPr>
          <w:p w:rsidR="00CF69E8" w:rsidP="00E0766C" w14:paraId="7E8947ED" w14:textId="77777777">
            <w:pPr>
              <w:spacing w:line="360" w:lineRule="auto"/>
              <w:jc w:val="center"/>
            </w:pPr>
            <w:r>
              <w:t>19668571</w:t>
            </w:r>
          </w:p>
        </w:tc>
        <w:tc>
          <w:tcPr>
            <w:tcW w:w="1638" w:type="dxa"/>
            <w:shd w:val="clear" w:color="auto" w:fill="auto"/>
          </w:tcPr>
          <w:p w:rsidR="00CF69E8" w:rsidP="00E0766C" w14:paraId="73995CB6" w14:textId="77777777">
            <w:pPr>
              <w:spacing w:line="360" w:lineRule="auto"/>
              <w:jc w:val="center"/>
            </w:pPr>
            <w:r>
              <w:t>2019</w:t>
            </w:r>
          </w:p>
        </w:tc>
      </w:tr>
      <w:tr w14:paraId="3C2B1B19" w14:textId="77777777" w:rsidTr="00E0766C">
        <w:tblPrEx>
          <w:tblW w:w="0" w:type="auto"/>
          <w:tblLook w:val="04A0"/>
        </w:tblPrEx>
        <w:tc>
          <w:tcPr>
            <w:tcW w:w="1188" w:type="dxa"/>
            <w:shd w:val="clear" w:color="auto" w:fill="auto"/>
          </w:tcPr>
          <w:p w:rsidR="00CF69E8" w:rsidP="00E0766C" w14:paraId="0F747394" w14:textId="77777777">
            <w:pPr>
              <w:spacing w:line="360" w:lineRule="auto"/>
              <w:jc w:val="center"/>
            </w:pPr>
            <w:r>
              <w:t>10202</w:t>
            </w:r>
          </w:p>
        </w:tc>
        <w:tc>
          <w:tcPr>
            <w:tcW w:w="5310" w:type="dxa"/>
            <w:shd w:val="clear" w:color="auto" w:fill="auto"/>
          </w:tcPr>
          <w:p w:rsidR="00CF69E8" w:rsidP="00E0766C" w14:paraId="0182B80E" w14:textId="77777777">
            <w:pPr>
              <w:spacing w:line="360" w:lineRule="auto"/>
            </w:pPr>
            <w:r>
              <w:t>Jackson County Memorial Hospital</w:t>
            </w:r>
          </w:p>
        </w:tc>
        <w:tc>
          <w:tcPr>
            <w:tcW w:w="1440" w:type="dxa"/>
            <w:shd w:val="clear" w:color="auto" w:fill="auto"/>
          </w:tcPr>
          <w:p w:rsidR="00CF69E8" w:rsidP="00E0766C" w14:paraId="0EDBA8E9" w14:textId="77777777">
            <w:pPr>
              <w:spacing w:line="360" w:lineRule="auto"/>
              <w:jc w:val="center"/>
            </w:pPr>
            <w:r>
              <w:t>19668561</w:t>
            </w:r>
          </w:p>
        </w:tc>
        <w:tc>
          <w:tcPr>
            <w:tcW w:w="1638" w:type="dxa"/>
            <w:shd w:val="clear" w:color="auto" w:fill="auto"/>
          </w:tcPr>
          <w:p w:rsidR="00CF69E8" w:rsidP="00E0766C" w14:paraId="1BEBB27D" w14:textId="77777777">
            <w:pPr>
              <w:spacing w:line="360" w:lineRule="auto"/>
              <w:jc w:val="center"/>
            </w:pPr>
            <w:r>
              <w:t>2019</w:t>
            </w:r>
          </w:p>
        </w:tc>
      </w:tr>
      <w:tr w14:paraId="5AF540CB" w14:textId="77777777" w:rsidTr="00E0766C">
        <w:tblPrEx>
          <w:tblW w:w="0" w:type="auto"/>
          <w:tblLook w:val="04A0"/>
        </w:tblPrEx>
        <w:tc>
          <w:tcPr>
            <w:tcW w:w="1188" w:type="dxa"/>
            <w:shd w:val="clear" w:color="auto" w:fill="auto"/>
          </w:tcPr>
          <w:p w:rsidR="00CF69E8" w:rsidP="00E0766C" w14:paraId="5CBB5A52" w14:textId="77777777">
            <w:pPr>
              <w:spacing w:line="360" w:lineRule="auto"/>
              <w:jc w:val="center"/>
            </w:pPr>
            <w:r>
              <w:t>15217</w:t>
            </w:r>
          </w:p>
        </w:tc>
        <w:tc>
          <w:tcPr>
            <w:tcW w:w="5310" w:type="dxa"/>
            <w:shd w:val="clear" w:color="auto" w:fill="auto"/>
          </w:tcPr>
          <w:p w:rsidR="00CF69E8" w:rsidP="00E0766C" w14:paraId="1A84E1D8" w14:textId="77777777">
            <w:pPr>
              <w:spacing w:line="360" w:lineRule="auto"/>
            </w:pPr>
            <w:r>
              <w:t>Memorial Hospital of Stilwell</w:t>
            </w:r>
          </w:p>
        </w:tc>
        <w:tc>
          <w:tcPr>
            <w:tcW w:w="1440" w:type="dxa"/>
            <w:shd w:val="clear" w:color="auto" w:fill="auto"/>
          </w:tcPr>
          <w:p w:rsidR="00CF69E8" w:rsidP="00E0766C" w14:paraId="76D8DE14" w14:textId="77777777">
            <w:pPr>
              <w:spacing w:line="360" w:lineRule="auto"/>
              <w:jc w:val="center"/>
            </w:pPr>
            <w:r>
              <w:t>19668121</w:t>
            </w:r>
          </w:p>
        </w:tc>
        <w:tc>
          <w:tcPr>
            <w:tcW w:w="1638" w:type="dxa"/>
            <w:shd w:val="clear" w:color="auto" w:fill="auto"/>
          </w:tcPr>
          <w:p w:rsidR="00CF69E8" w:rsidP="00E0766C" w14:paraId="78CC9175" w14:textId="77777777">
            <w:pPr>
              <w:spacing w:line="360" w:lineRule="auto"/>
              <w:jc w:val="center"/>
            </w:pPr>
            <w:r>
              <w:t>2019</w:t>
            </w:r>
          </w:p>
        </w:tc>
      </w:tr>
      <w:tr w14:paraId="7D951F17" w14:textId="77777777" w:rsidTr="00E0766C">
        <w:tblPrEx>
          <w:tblW w:w="0" w:type="auto"/>
          <w:tblLook w:val="04A0"/>
        </w:tblPrEx>
        <w:tc>
          <w:tcPr>
            <w:tcW w:w="1188" w:type="dxa"/>
            <w:shd w:val="clear" w:color="auto" w:fill="auto"/>
          </w:tcPr>
          <w:p w:rsidR="00CF69E8" w:rsidP="00E0766C" w14:paraId="0DC39F5D" w14:textId="77777777">
            <w:pPr>
              <w:spacing w:line="360" w:lineRule="auto"/>
              <w:jc w:val="center"/>
            </w:pPr>
            <w:r>
              <w:t>15217</w:t>
            </w:r>
          </w:p>
        </w:tc>
        <w:tc>
          <w:tcPr>
            <w:tcW w:w="5310" w:type="dxa"/>
            <w:shd w:val="clear" w:color="auto" w:fill="auto"/>
          </w:tcPr>
          <w:p w:rsidR="00CF69E8" w:rsidP="00E0766C" w14:paraId="24C570AE" w14:textId="77777777">
            <w:pPr>
              <w:spacing w:line="360" w:lineRule="auto"/>
            </w:pPr>
            <w:r>
              <w:t>Memorial Hospital of Stilwell</w:t>
            </w:r>
          </w:p>
        </w:tc>
        <w:tc>
          <w:tcPr>
            <w:tcW w:w="1440" w:type="dxa"/>
            <w:shd w:val="clear" w:color="auto" w:fill="auto"/>
          </w:tcPr>
          <w:p w:rsidR="00CF69E8" w:rsidP="00E0766C" w14:paraId="45807809" w14:textId="77777777">
            <w:pPr>
              <w:spacing w:line="360" w:lineRule="auto"/>
              <w:jc w:val="center"/>
            </w:pPr>
            <w:r>
              <w:t>19668131</w:t>
            </w:r>
          </w:p>
        </w:tc>
        <w:tc>
          <w:tcPr>
            <w:tcW w:w="1638" w:type="dxa"/>
            <w:shd w:val="clear" w:color="auto" w:fill="auto"/>
          </w:tcPr>
          <w:p w:rsidR="00CF69E8" w:rsidP="00E0766C" w14:paraId="6C89CD47" w14:textId="77777777">
            <w:pPr>
              <w:spacing w:line="360" w:lineRule="auto"/>
              <w:jc w:val="center"/>
            </w:pPr>
            <w:r>
              <w:t>2019</w:t>
            </w:r>
          </w:p>
        </w:tc>
      </w:tr>
      <w:tr w14:paraId="0B218A1C" w14:textId="77777777" w:rsidTr="00E0766C">
        <w:tblPrEx>
          <w:tblW w:w="0" w:type="auto"/>
          <w:tblLook w:val="04A0"/>
        </w:tblPrEx>
        <w:tc>
          <w:tcPr>
            <w:tcW w:w="1188" w:type="dxa"/>
            <w:shd w:val="clear" w:color="auto" w:fill="auto"/>
          </w:tcPr>
          <w:p w:rsidR="00CF69E8" w:rsidP="00E0766C" w14:paraId="5CD6B0C3" w14:textId="77777777">
            <w:pPr>
              <w:spacing w:line="360" w:lineRule="auto"/>
              <w:jc w:val="center"/>
            </w:pPr>
            <w:r>
              <w:t>15862</w:t>
            </w:r>
          </w:p>
        </w:tc>
        <w:tc>
          <w:tcPr>
            <w:tcW w:w="5310" w:type="dxa"/>
            <w:shd w:val="clear" w:color="auto" w:fill="auto"/>
          </w:tcPr>
          <w:p w:rsidR="00CF69E8" w:rsidP="00E0766C" w14:paraId="334808F9" w14:textId="77777777">
            <w:pPr>
              <w:spacing w:line="360" w:lineRule="auto"/>
            </w:pPr>
            <w:r>
              <w:t>JCMH</w:t>
            </w:r>
            <w:r>
              <w:t xml:space="preserve"> – Family Care Clinic of Mangum </w:t>
            </w:r>
          </w:p>
        </w:tc>
        <w:tc>
          <w:tcPr>
            <w:tcW w:w="1440" w:type="dxa"/>
            <w:shd w:val="clear" w:color="auto" w:fill="auto"/>
          </w:tcPr>
          <w:p w:rsidR="00CF69E8" w:rsidP="00E0766C" w14:paraId="6D8D1404" w14:textId="77777777">
            <w:pPr>
              <w:spacing w:line="360" w:lineRule="auto"/>
              <w:jc w:val="center"/>
            </w:pPr>
            <w:r>
              <w:t>19668551</w:t>
            </w:r>
          </w:p>
        </w:tc>
        <w:tc>
          <w:tcPr>
            <w:tcW w:w="1638" w:type="dxa"/>
            <w:shd w:val="clear" w:color="auto" w:fill="auto"/>
          </w:tcPr>
          <w:p w:rsidR="00CF69E8" w:rsidP="00E0766C" w14:paraId="5845DC4E" w14:textId="77777777">
            <w:pPr>
              <w:spacing w:line="360" w:lineRule="auto"/>
              <w:jc w:val="center"/>
            </w:pPr>
            <w:r>
              <w:t>2019</w:t>
            </w:r>
          </w:p>
        </w:tc>
      </w:tr>
      <w:tr w14:paraId="37F6EDC7" w14:textId="77777777" w:rsidTr="00E0766C">
        <w:tblPrEx>
          <w:tblW w:w="0" w:type="auto"/>
          <w:tblLook w:val="04A0"/>
        </w:tblPrEx>
        <w:tc>
          <w:tcPr>
            <w:tcW w:w="1188" w:type="dxa"/>
            <w:shd w:val="clear" w:color="auto" w:fill="auto"/>
          </w:tcPr>
          <w:p w:rsidR="00CF69E8" w:rsidP="00E0766C" w14:paraId="20BC0B9F" w14:textId="77777777">
            <w:pPr>
              <w:spacing w:line="360" w:lineRule="auto"/>
              <w:jc w:val="center"/>
            </w:pPr>
            <w:r>
              <w:t>16560</w:t>
            </w:r>
          </w:p>
        </w:tc>
        <w:tc>
          <w:tcPr>
            <w:tcW w:w="5310" w:type="dxa"/>
            <w:shd w:val="clear" w:color="auto" w:fill="auto"/>
          </w:tcPr>
          <w:p w:rsidR="00CF69E8" w:rsidP="00E0766C" w14:paraId="6916961F" w14:textId="77777777">
            <w:pPr>
              <w:spacing w:line="360" w:lineRule="auto"/>
            </w:pPr>
            <w:r>
              <w:t>Jackson County Memorial Hospital – Counseling Center</w:t>
            </w:r>
          </w:p>
        </w:tc>
        <w:tc>
          <w:tcPr>
            <w:tcW w:w="1440" w:type="dxa"/>
            <w:shd w:val="clear" w:color="auto" w:fill="auto"/>
          </w:tcPr>
          <w:p w:rsidR="00CF69E8" w:rsidP="00E0766C" w14:paraId="228A086B" w14:textId="77777777">
            <w:pPr>
              <w:spacing w:line="360" w:lineRule="auto"/>
              <w:jc w:val="center"/>
            </w:pPr>
            <w:r>
              <w:t>19668541</w:t>
            </w:r>
          </w:p>
        </w:tc>
        <w:tc>
          <w:tcPr>
            <w:tcW w:w="1638" w:type="dxa"/>
            <w:shd w:val="clear" w:color="auto" w:fill="auto"/>
          </w:tcPr>
          <w:p w:rsidR="00CF69E8" w:rsidP="00E0766C" w14:paraId="2471AC97" w14:textId="77777777">
            <w:pPr>
              <w:spacing w:line="360" w:lineRule="auto"/>
              <w:jc w:val="center"/>
            </w:pPr>
            <w:r>
              <w:t>2019</w:t>
            </w:r>
          </w:p>
        </w:tc>
      </w:tr>
      <w:tr w14:paraId="419BF5EE" w14:textId="77777777" w:rsidTr="00E0766C">
        <w:tblPrEx>
          <w:tblW w:w="0" w:type="auto"/>
          <w:tblLook w:val="04A0"/>
        </w:tblPrEx>
        <w:tc>
          <w:tcPr>
            <w:tcW w:w="1188" w:type="dxa"/>
            <w:shd w:val="clear" w:color="auto" w:fill="auto"/>
          </w:tcPr>
          <w:p w:rsidR="00CF69E8" w:rsidP="00E0766C" w14:paraId="170CCBBA" w14:textId="77777777">
            <w:pPr>
              <w:spacing w:line="360" w:lineRule="auto"/>
              <w:jc w:val="center"/>
            </w:pPr>
            <w:r>
              <w:t>46665</w:t>
            </w:r>
          </w:p>
        </w:tc>
        <w:tc>
          <w:tcPr>
            <w:tcW w:w="5310" w:type="dxa"/>
            <w:shd w:val="clear" w:color="auto" w:fill="auto"/>
          </w:tcPr>
          <w:p w:rsidR="00CF69E8" w:rsidP="00E0766C" w14:paraId="60F06FA4" w14:textId="77777777">
            <w:pPr>
              <w:spacing w:line="360" w:lineRule="auto"/>
            </w:pPr>
            <w:r>
              <w:t>Variety Care, Inc.</w:t>
            </w:r>
          </w:p>
        </w:tc>
        <w:tc>
          <w:tcPr>
            <w:tcW w:w="1440" w:type="dxa"/>
            <w:shd w:val="clear" w:color="auto" w:fill="auto"/>
          </w:tcPr>
          <w:p w:rsidR="00CF69E8" w:rsidP="00E0766C" w14:paraId="02F7D4F4" w14:textId="77777777">
            <w:pPr>
              <w:spacing w:line="360" w:lineRule="auto"/>
              <w:jc w:val="center"/>
            </w:pPr>
            <w:r>
              <w:t>19666881</w:t>
            </w:r>
          </w:p>
        </w:tc>
        <w:tc>
          <w:tcPr>
            <w:tcW w:w="1638" w:type="dxa"/>
            <w:shd w:val="clear" w:color="auto" w:fill="auto"/>
          </w:tcPr>
          <w:p w:rsidR="00CF69E8" w:rsidP="00E0766C" w14:paraId="78B1371B" w14:textId="77777777">
            <w:pPr>
              <w:spacing w:line="360" w:lineRule="auto"/>
              <w:jc w:val="center"/>
            </w:pPr>
            <w:r>
              <w:t>2019</w:t>
            </w:r>
          </w:p>
        </w:tc>
      </w:tr>
      <w:tr w14:paraId="2ECD5666" w14:textId="77777777" w:rsidTr="00E0766C">
        <w:tblPrEx>
          <w:tblW w:w="0" w:type="auto"/>
          <w:tblLook w:val="04A0"/>
        </w:tblPrEx>
        <w:tc>
          <w:tcPr>
            <w:tcW w:w="1188" w:type="dxa"/>
            <w:shd w:val="clear" w:color="auto" w:fill="auto"/>
          </w:tcPr>
          <w:p w:rsidR="00CF69E8" w:rsidP="00E0766C" w14:paraId="17368441" w14:textId="77777777">
            <w:pPr>
              <w:spacing w:line="360" w:lineRule="auto"/>
              <w:jc w:val="center"/>
            </w:pPr>
            <w:r>
              <w:t>46665</w:t>
            </w:r>
          </w:p>
        </w:tc>
        <w:tc>
          <w:tcPr>
            <w:tcW w:w="5310" w:type="dxa"/>
            <w:shd w:val="clear" w:color="auto" w:fill="auto"/>
          </w:tcPr>
          <w:p w:rsidR="00CF69E8" w:rsidP="00E0766C" w14:paraId="217C6E75" w14:textId="77777777">
            <w:pPr>
              <w:spacing w:line="360" w:lineRule="auto"/>
            </w:pPr>
            <w:r>
              <w:t>Variety Care, Inc.</w:t>
            </w:r>
          </w:p>
        </w:tc>
        <w:tc>
          <w:tcPr>
            <w:tcW w:w="1440" w:type="dxa"/>
            <w:shd w:val="clear" w:color="auto" w:fill="auto"/>
          </w:tcPr>
          <w:p w:rsidR="00CF69E8" w:rsidP="00E0766C" w14:paraId="3DA644DD" w14:textId="77777777">
            <w:pPr>
              <w:spacing w:line="360" w:lineRule="auto"/>
              <w:jc w:val="center"/>
            </w:pPr>
            <w:r>
              <w:t>19668331</w:t>
            </w:r>
          </w:p>
        </w:tc>
        <w:tc>
          <w:tcPr>
            <w:tcW w:w="1638" w:type="dxa"/>
            <w:shd w:val="clear" w:color="auto" w:fill="auto"/>
          </w:tcPr>
          <w:p w:rsidR="00CF69E8" w:rsidP="00E0766C" w14:paraId="2EAC9B44" w14:textId="77777777">
            <w:pPr>
              <w:spacing w:line="360" w:lineRule="auto"/>
              <w:jc w:val="center"/>
            </w:pPr>
            <w:r>
              <w:t>2019</w:t>
            </w:r>
          </w:p>
        </w:tc>
      </w:tr>
      <w:tr w14:paraId="45ECF4B1" w14:textId="77777777" w:rsidTr="00E0766C">
        <w:tblPrEx>
          <w:tblW w:w="0" w:type="auto"/>
          <w:tblLook w:val="04A0"/>
        </w:tblPrEx>
        <w:tc>
          <w:tcPr>
            <w:tcW w:w="1188" w:type="dxa"/>
            <w:shd w:val="clear" w:color="auto" w:fill="auto"/>
          </w:tcPr>
          <w:p w:rsidR="00CF69E8" w:rsidP="00E0766C" w14:paraId="1678409A" w14:textId="77777777">
            <w:pPr>
              <w:spacing w:line="360" w:lineRule="auto"/>
              <w:jc w:val="center"/>
            </w:pPr>
            <w:r>
              <w:t>51747</w:t>
            </w:r>
          </w:p>
        </w:tc>
        <w:tc>
          <w:tcPr>
            <w:tcW w:w="5310" w:type="dxa"/>
            <w:shd w:val="clear" w:color="auto" w:fill="auto"/>
          </w:tcPr>
          <w:p w:rsidR="00CF69E8" w:rsidP="00E0766C" w14:paraId="1E531A9B" w14:textId="77777777">
            <w:pPr>
              <w:spacing w:line="360" w:lineRule="auto"/>
            </w:pPr>
            <w:r>
              <w:t>Caring Hands Healthcare Network</w:t>
            </w:r>
          </w:p>
        </w:tc>
        <w:tc>
          <w:tcPr>
            <w:tcW w:w="1440" w:type="dxa"/>
            <w:shd w:val="clear" w:color="auto" w:fill="auto"/>
          </w:tcPr>
          <w:p w:rsidR="00CF69E8" w:rsidP="00E0766C" w14:paraId="75306ACC" w14:textId="77777777">
            <w:pPr>
              <w:spacing w:line="360" w:lineRule="auto"/>
              <w:jc w:val="center"/>
            </w:pPr>
            <w:r>
              <w:t>19667981</w:t>
            </w:r>
          </w:p>
        </w:tc>
        <w:tc>
          <w:tcPr>
            <w:tcW w:w="1638" w:type="dxa"/>
            <w:shd w:val="clear" w:color="auto" w:fill="auto"/>
          </w:tcPr>
          <w:p w:rsidR="00CF69E8" w:rsidP="00E0766C" w14:paraId="5D7E00AE" w14:textId="77777777">
            <w:pPr>
              <w:spacing w:line="360" w:lineRule="auto"/>
              <w:jc w:val="center"/>
            </w:pPr>
            <w:r>
              <w:t>2019</w:t>
            </w:r>
          </w:p>
        </w:tc>
      </w:tr>
      <w:tr w14:paraId="5C5D9E7F" w14:textId="77777777" w:rsidTr="00E0766C">
        <w:tblPrEx>
          <w:tblW w:w="0" w:type="auto"/>
          <w:tblLook w:val="04A0"/>
        </w:tblPrEx>
        <w:tc>
          <w:tcPr>
            <w:tcW w:w="1188" w:type="dxa"/>
            <w:shd w:val="clear" w:color="auto" w:fill="auto"/>
          </w:tcPr>
          <w:p w:rsidR="00CF69E8" w:rsidP="00E0766C" w14:paraId="2E741034" w14:textId="77777777">
            <w:pPr>
              <w:spacing w:line="360" w:lineRule="auto"/>
              <w:jc w:val="center"/>
            </w:pPr>
            <w:r>
              <w:t>52411</w:t>
            </w:r>
          </w:p>
        </w:tc>
        <w:tc>
          <w:tcPr>
            <w:tcW w:w="5310" w:type="dxa"/>
            <w:shd w:val="clear" w:color="auto" w:fill="auto"/>
          </w:tcPr>
          <w:p w:rsidR="00CF69E8" w:rsidP="00E0766C" w14:paraId="359E75EE" w14:textId="77777777">
            <w:pPr>
              <w:spacing w:line="360" w:lineRule="auto"/>
            </w:pPr>
            <w:r>
              <w:t xml:space="preserve">Kiamichi Family Medical Center Consortium </w:t>
            </w:r>
          </w:p>
        </w:tc>
        <w:tc>
          <w:tcPr>
            <w:tcW w:w="1440" w:type="dxa"/>
            <w:shd w:val="clear" w:color="auto" w:fill="auto"/>
          </w:tcPr>
          <w:p w:rsidR="00CF69E8" w:rsidP="00E0766C" w14:paraId="1B1EF98A" w14:textId="77777777">
            <w:pPr>
              <w:spacing w:line="360" w:lineRule="auto"/>
              <w:jc w:val="center"/>
            </w:pPr>
            <w:r>
              <w:t>19667941</w:t>
            </w:r>
          </w:p>
        </w:tc>
        <w:tc>
          <w:tcPr>
            <w:tcW w:w="1638" w:type="dxa"/>
            <w:shd w:val="clear" w:color="auto" w:fill="auto"/>
          </w:tcPr>
          <w:p w:rsidR="00CF69E8" w:rsidP="00E0766C" w14:paraId="0E57E0F4" w14:textId="77777777">
            <w:pPr>
              <w:spacing w:line="360" w:lineRule="auto"/>
              <w:jc w:val="center"/>
            </w:pPr>
            <w:r>
              <w:t>2019</w:t>
            </w:r>
          </w:p>
        </w:tc>
      </w:tr>
    </w:tbl>
    <w:p w:rsidR="00CF69E8" w:rsidRPr="00B73747" w:rsidP="00CF69E8" w14:paraId="0E964E46" w14:textId="77777777"/>
    <w:p w:rsidR="00CF69E8" w:rsidRPr="00B73747" w:rsidP="00CF69E8" w14:paraId="374588A1" w14:textId="77777777"/>
    <w:p w:rsidR="00CF69E8" w:rsidRPr="00B73747" w:rsidP="00CF69E8" w14:paraId="019760FC" w14:textId="77777777"/>
    <w:p w:rsidR="00CF69E8" w:rsidP="00CF69E8" w14:paraId="27704484" w14:textId="77777777"/>
    <w:p w:rsidR="00CF69E8" w:rsidP="00CF69E8" w14:paraId="190152CD" w14:textId="77777777"/>
    <w:p w:rsidR="00CF69E8" w:rsidP="00CF69E8" w14:paraId="62D22F17" w14:textId="77777777">
      <w:pPr>
        <w:tabs>
          <w:tab w:val="left" w:pos="3915"/>
        </w:tabs>
      </w:pPr>
      <w:r>
        <w:tab/>
      </w:r>
    </w:p>
    <w:p w:rsidR="00CF69E8" w:rsidRPr="00B73747" w:rsidP="00CF69E8" w14:paraId="346578C9" w14:textId="77777777">
      <w:pPr>
        <w:tabs>
          <w:tab w:val="left" w:pos="3915"/>
        </w:tabs>
        <w:jc w:val="center"/>
      </w:pPr>
    </w:p>
    <w:p w:rsidR="00412FC5" w:rsidP="00CF69E8" w14:paraId="6A0B7528" w14:textId="77777777">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5F412C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F8207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F69E8" w14:paraId="117FD134" w14:textId="3B85A89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7880F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69E8" w14:paraId="549A5D1E" w14:textId="77777777">
      <w:r>
        <w:separator/>
      </w:r>
    </w:p>
  </w:footnote>
  <w:footnote w:type="continuationSeparator" w:id="1">
    <w:p w:rsidR="00CF69E8" w:rsidP="00C721AC" w14:paraId="4D14024B" w14:textId="77777777">
      <w:pPr>
        <w:spacing w:before="120"/>
        <w:rPr>
          <w:sz w:val="20"/>
        </w:rPr>
      </w:pPr>
      <w:r>
        <w:rPr>
          <w:sz w:val="20"/>
        </w:rPr>
        <w:t xml:space="preserve">(Continued from previous page)  </w:t>
      </w:r>
      <w:r>
        <w:rPr>
          <w:sz w:val="20"/>
        </w:rPr>
        <w:separator/>
      </w:r>
    </w:p>
  </w:footnote>
  <w:footnote w:type="continuationNotice" w:id="2">
    <w:p w:rsidR="00CF69E8" w:rsidP="00C721AC" w14:paraId="4F9ABCF4" w14:textId="77777777">
      <w:pPr>
        <w:jc w:val="right"/>
        <w:rPr>
          <w:sz w:val="20"/>
        </w:rPr>
      </w:pPr>
      <w:r>
        <w:rPr>
          <w:sz w:val="20"/>
        </w:rPr>
        <w:t>(continued….)</w:t>
      </w:r>
    </w:p>
  </w:footnote>
  <w:footnote w:id="3">
    <w:p w:rsidR="00CF69E8" w:rsidP="00CF69E8" w14:paraId="33D776B6" w14:textId="77777777">
      <w:pPr>
        <w:pStyle w:val="FootnoteText"/>
      </w:pPr>
      <w:r>
        <w:rPr>
          <w:rStyle w:val="FootnoteReference"/>
        </w:rPr>
        <w:footnoteRef/>
      </w:r>
      <w:r>
        <w:t xml:space="preserve"> Kellogg and Sovereign Consulting, LLC requested waiver of the application filing deadline on behalf of the following Oklahoma health care providers: Jackson County Memorial Hospital, Memorial Hospital of Stilwell, </w:t>
      </w:r>
      <w:r>
        <w:t>JCMH</w:t>
      </w:r>
      <w:r>
        <w:t xml:space="preserve"> – Family Care Clinic of Mangum, Jackson County Memorial Hospital – Counseling Center, Variety Care, Inc., </w:t>
      </w:r>
      <w:r w:rsidRPr="003F2DF8">
        <w:t>Caring Hands Healthcare Network</w:t>
      </w:r>
      <w:r>
        <w:t>, and Kiamichi Family Medical Center Consortium.</w:t>
      </w:r>
    </w:p>
  </w:footnote>
  <w:footnote w:id="4">
    <w:p w:rsidR="00CF69E8" w:rsidP="00CF69E8" w14:paraId="6BF1E6BA" w14:textId="77777777">
      <w:pPr>
        <w:pStyle w:val="FootnoteText"/>
      </w:pPr>
      <w:r>
        <w:rPr>
          <w:rStyle w:val="FootnoteReference"/>
        </w:rPr>
        <w:footnoteRef/>
      </w:r>
      <w:r>
        <w:t xml:space="preserve"> Request for Waiver of Funding Year 2019 Rural Health Care Program Filing Deadline, WC Docket No. 02-60 (filed June 19, 2019) (</w:t>
      </w:r>
      <w:r>
        <w:rPr>
          <w:i/>
          <w:iCs/>
        </w:rPr>
        <w:t>Request</w:t>
      </w:r>
      <w:r w:rsidRPr="00AF7702">
        <w:rPr>
          <w:i/>
          <w:iCs/>
        </w:rPr>
        <w:t xml:space="preserve"> </w:t>
      </w:r>
      <w:r>
        <w:rPr>
          <w:i/>
          <w:iCs/>
        </w:rPr>
        <w:t>for Waiver</w:t>
      </w:r>
      <w:r>
        <w:t>).  The health care providers and their 11 funding requests at issue are listed in the attached Appendix.</w:t>
      </w:r>
    </w:p>
  </w:footnote>
  <w:footnote w:id="5">
    <w:p w:rsidR="00CF69E8" w:rsidP="00CF69E8" w14:paraId="3A2D59C4" w14:textId="77777777">
      <w:pPr>
        <w:pStyle w:val="FootnoteText"/>
      </w:pPr>
      <w:r>
        <w:rPr>
          <w:rStyle w:val="FootnoteReference"/>
        </w:rPr>
        <w:footnoteRef/>
      </w:r>
      <w:r>
        <w:t xml:space="preserve"> Universal Service Administrative Company, </w:t>
      </w:r>
      <w:r w:rsidRPr="00950542">
        <w:rPr>
          <w:i/>
          <w:iCs/>
        </w:rPr>
        <w:t>Step 4: Submit Funding Requests,</w:t>
      </w:r>
      <w:r>
        <w:t xml:space="preserve"> </w:t>
      </w:r>
      <w:hyperlink r:id="rId1" w:history="1">
        <w:r>
          <w:rPr>
            <w:rStyle w:val="Hyperlink"/>
          </w:rPr>
          <w:t>https://www.usac.org/rural-health-care/healthcare-connect-fund-program/step-4-submit-funding-requests/</w:t>
        </w:r>
      </w:hyperlink>
      <w:r>
        <w:t xml:space="preserve"> (last visited May 22, 2020).</w:t>
      </w:r>
    </w:p>
  </w:footnote>
  <w:footnote w:id="6">
    <w:p w:rsidR="00CF69E8" w:rsidP="00CF69E8" w14:paraId="78D99921" w14:textId="77777777">
      <w:pPr>
        <w:pStyle w:val="FootnoteText"/>
      </w:pPr>
      <w:r>
        <w:rPr>
          <w:rStyle w:val="FootnoteReference"/>
        </w:rPr>
        <w:footnoteRef/>
      </w:r>
      <w:r>
        <w:t xml:space="preserve"> 47 </w:t>
      </w:r>
      <w:r w:rsidRPr="00303B80">
        <w:t xml:space="preserve">CFR </w:t>
      </w:r>
      <w:r w:rsidRPr="00303B80">
        <w:rPr>
          <w:color w:val="222222"/>
          <w:shd w:val="clear" w:color="auto" w:fill="FFFFFF"/>
        </w:rPr>
        <w:t>§</w:t>
      </w:r>
      <w:r>
        <w:rPr>
          <w:color w:val="222222"/>
          <w:shd w:val="clear" w:color="auto" w:fill="FFFFFF"/>
        </w:rPr>
        <w:t xml:space="preserve">§ </w:t>
      </w:r>
      <w:r w:rsidRPr="00303B80">
        <w:rPr>
          <w:color w:val="222222"/>
          <w:shd w:val="clear" w:color="auto" w:fill="FFFFFF"/>
        </w:rPr>
        <w:t>54.675(c)(2)</w:t>
      </w:r>
      <w:r>
        <w:rPr>
          <w:color w:val="222222"/>
          <w:shd w:val="clear" w:color="auto" w:fill="FFFFFF"/>
        </w:rPr>
        <w:t>, (c)(4)</w:t>
      </w:r>
      <w:r w:rsidRPr="00303B80">
        <w:rPr>
          <w:color w:val="222222"/>
          <w:shd w:val="clear" w:color="auto" w:fill="FFFFFF"/>
        </w:rPr>
        <w:t>.</w:t>
      </w:r>
    </w:p>
  </w:footnote>
  <w:footnote w:id="7">
    <w:p w:rsidR="00CF69E8" w:rsidRPr="006903A6" w:rsidP="00CF69E8" w14:paraId="4ED47A87" w14:textId="77777777">
      <w:pPr>
        <w:pStyle w:val="FootnoteText"/>
      </w:pPr>
      <w:r>
        <w:rPr>
          <w:rStyle w:val="FootnoteReference"/>
        </w:rPr>
        <w:footnoteRef/>
      </w:r>
      <w:r>
        <w:t xml:space="preserve"> </w:t>
      </w:r>
      <w:r>
        <w:rPr>
          <w:i/>
          <w:iCs/>
        </w:rPr>
        <w:t>See Request for Waiver</w:t>
      </w:r>
      <w:r>
        <w:t xml:space="preserve"> at 2.</w:t>
      </w:r>
    </w:p>
  </w:footnote>
  <w:footnote w:id="8">
    <w:p w:rsidR="00CF69E8" w:rsidP="00CF69E8" w14:paraId="486D6A7A" w14:textId="77777777">
      <w:pPr>
        <w:pStyle w:val="FootnoteText"/>
      </w:pPr>
      <w:r>
        <w:rPr>
          <w:rStyle w:val="FootnoteReference"/>
        </w:rPr>
        <w:footnoteRef/>
      </w:r>
      <w:r>
        <w:t xml:space="preserve"> When to Submit Your </w:t>
      </w:r>
      <w:r>
        <w:t>FY2019</w:t>
      </w:r>
      <w:r>
        <w:t xml:space="preserve"> </w:t>
      </w:r>
      <w:r>
        <w:t>RHC</w:t>
      </w:r>
      <w:r>
        <w:t xml:space="preserve"> Program Forms, USAC, available at </w:t>
      </w:r>
      <w:hyperlink r:id="rId2" w:history="1">
        <w:r>
          <w:rPr>
            <w:rStyle w:val="Hyperlink"/>
          </w:rPr>
          <w:t>https://www.usac.org/wp-content/uploads/rural-health-care/documents/handouts/Recommended-Form-Submission-Dates-FY2019.pdf</w:t>
        </w:r>
      </w:hyperlink>
      <w:r>
        <w:t xml:space="preserve"> (setting the filing window as February 1, 2019 to May 31, 2019).</w:t>
      </w:r>
    </w:p>
  </w:footnote>
  <w:footnote w:id="9">
    <w:p w:rsidR="00CF69E8" w:rsidRPr="00483F90" w:rsidP="00CF69E8" w14:paraId="289AB791" w14:textId="77777777">
      <w:pPr>
        <w:pStyle w:val="FootnoteText"/>
      </w:pPr>
      <w:r>
        <w:rPr>
          <w:rStyle w:val="FootnoteReference"/>
        </w:rPr>
        <w:footnoteRef/>
      </w:r>
      <w:r>
        <w:t xml:space="preserve"> </w:t>
      </w:r>
      <w:r>
        <w:rPr>
          <w:i/>
          <w:iCs/>
        </w:rPr>
        <w:t>Request for Wavier</w:t>
      </w:r>
      <w:r>
        <w:t xml:space="preserve"> at 2-3.</w:t>
      </w:r>
    </w:p>
  </w:footnote>
  <w:footnote w:id="10">
    <w:p w:rsidR="00CF69E8" w:rsidP="00CF69E8" w14:paraId="52810912" w14:textId="77777777">
      <w:pPr>
        <w:pStyle w:val="FootnoteText"/>
      </w:pPr>
      <w:r>
        <w:rPr>
          <w:rStyle w:val="FootnoteReference"/>
        </w:rPr>
        <w:footnoteRef/>
      </w:r>
      <w:r>
        <w:t xml:space="preserve"> </w:t>
      </w:r>
      <w:r w:rsidRPr="001522BF">
        <w:t>F</w:t>
      </w:r>
      <w:r>
        <w:t>EMA</w:t>
      </w:r>
      <w:r w:rsidRPr="001522BF">
        <w:t xml:space="preserve">, </w:t>
      </w:r>
      <w:r w:rsidRPr="00E77DA6">
        <w:rPr>
          <w:iCs/>
        </w:rPr>
        <w:t>Oklahoma Severe Storms, Straight-line Winds, Tornadoes, And Flooding (DR-4438)</w:t>
      </w:r>
      <w:r w:rsidRPr="00442A0C">
        <w:rPr>
          <w:iCs/>
        </w:rPr>
        <w:t>,</w:t>
      </w:r>
      <w:r w:rsidRPr="001522BF">
        <w:t xml:space="preserve"> </w:t>
      </w:r>
      <w:hyperlink r:id="rId3" w:history="1">
        <w:r w:rsidRPr="001522BF">
          <w:rPr>
            <w:rStyle w:val="Hyperlink"/>
          </w:rPr>
          <w:t>https://www.fema.gov/disaster/4438</w:t>
        </w:r>
      </w:hyperlink>
      <w:r>
        <w:t xml:space="preserve"> (last </w:t>
      </w:r>
      <w:r w:rsidRPr="00442A0C">
        <w:t xml:space="preserve">visited </w:t>
      </w:r>
      <w:r>
        <w:t>May 22, 2020) (declaring counties eligible for federal disaster relief on June 1, 2019 for the incident period occurring from May 7, 2019 through June 9, 2019).</w:t>
      </w:r>
    </w:p>
  </w:footnote>
  <w:footnote w:id="11">
    <w:p w:rsidR="00CF69E8" w:rsidRPr="00085B20" w:rsidP="00CF69E8" w14:paraId="3B45D7BF" w14:textId="77777777">
      <w:pPr>
        <w:pStyle w:val="FootnoteText"/>
      </w:pPr>
      <w:r>
        <w:rPr>
          <w:rStyle w:val="FootnoteReference"/>
        </w:rPr>
        <w:footnoteRef/>
      </w:r>
      <w:r>
        <w:t xml:space="preserve">  </w:t>
      </w:r>
      <w:r>
        <w:rPr>
          <w:i/>
          <w:iCs/>
        </w:rPr>
        <w:t>Request for Waiver</w:t>
      </w:r>
      <w:r>
        <w:t xml:space="preserve"> at 4 (explaining that “vital staff and businesses necessary to complete the funding request process, including service providers in the Tulsa and Oklahoma City area, were not able to come to work or perform business duties,” including “performing circuit and data relocation and providing documents and information for participating healthcare providers to file their FCC </w:t>
      </w:r>
      <w:r>
        <w:t>RHC</w:t>
      </w:r>
      <w:r>
        <w:t xml:space="preserve"> Program documents by the May 31 deadline.”).</w:t>
      </w:r>
    </w:p>
  </w:footnote>
  <w:footnote w:id="12">
    <w:p w:rsidR="00CF69E8" w:rsidRPr="00CF6A8D" w:rsidP="00CF69E8" w14:paraId="01729CEC" w14:textId="77777777">
      <w:pPr>
        <w:pStyle w:val="FootnoteText"/>
      </w:pPr>
      <w:r>
        <w:rPr>
          <w:rStyle w:val="FootnoteReference"/>
        </w:rPr>
        <w:footnoteRef/>
      </w:r>
      <w:r>
        <w:t xml:space="preserve"> </w:t>
      </w:r>
      <w:r>
        <w:rPr>
          <w:i/>
          <w:iCs/>
        </w:rPr>
        <w:t>Id</w:t>
      </w:r>
      <w:r>
        <w:rPr>
          <w:iCs/>
        </w:rPr>
        <w:t xml:space="preserve">. at 6 (citing </w:t>
      </w:r>
      <w:r>
        <w:rPr>
          <w:i/>
        </w:rPr>
        <w:t>Schools and Libraries Universal Service Support Mechanism</w:t>
      </w:r>
      <w:r>
        <w:rPr>
          <w:iCs/>
        </w:rPr>
        <w:t>, WC Docket 02-6, 34 FCC Rcd 56 (WCB 2019) (waiving certain rules and deadlines applicable to schools and libraries in areas affected by California wildfires) (</w:t>
      </w:r>
      <w:r w:rsidRPr="00903556">
        <w:rPr>
          <w:i/>
        </w:rPr>
        <w:t>California Wildfire</w:t>
      </w:r>
      <w:r>
        <w:rPr>
          <w:i/>
        </w:rPr>
        <w:t>s</w:t>
      </w:r>
      <w:r w:rsidRPr="00903556">
        <w:rPr>
          <w:i/>
        </w:rPr>
        <w:t xml:space="preserve"> Order</w:t>
      </w:r>
      <w:r>
        <w:rPr>
          <w:iCs/>
        </w:rPr>
        <w:t xml:space="preserve">)); </w:t>
      </w:r>
      <w:r>
        <w:rPr>
          <w:i/>
        </w:rPr>
        <w:t>Schools and Libraries Universal Service Support Mechanism</w:t>
      </w:r>
      <w:r>
        <w:rPr>
          <w:iCs/>
        </w:rPr>
        <w:t>, CC Docket No. 02-6, Order, 33 FCC Rcd 10186 (WCB 2018) (granting waiver of the invoice filing deadline in the wake of Hurricane Michael) (</w:t>
      </w:r>
      <w:r>
        <w:rPr>
          <w:i/>
        </w:rPr>
        <w:t>Florida Hurricane Order);</w:t>
      </w:r>
      <w:r w:rsidRPr="00B24356">
        <w:rPr>
          <w:i/>
        </w:rPr>
        <w:t xml:space="preserve"> </w:t>
      </w:r>
      <w:r w:rsidRPr="00674A0D">
        <w:rPr>
          <w:i/>
        </w:rPr>
        <w:t>Schools and Libraries Universal Service Support Mechanism</w:t>
      </w:r>
      <w:r w:rsidRPr="00A27829">
        <w:rPr>
          <w:iCs/>
        </w:rPr>
        <w:t>,</w:t>
      </w:r>
      <w:r w:rsidRPr="00674A0D">
        <w:t xml:space="preserve"> WC Docket No. 02-6, Order, 32 FCC Rcd 7456</w:t>
      </w:r>
      <w:r>
        <w:t xml:space="preserve"> </w:t>
      </w:r>
      <w:r w:rsidRPr="00674A0D">
        <w:t>(</w:t>
      </w:r>
      <w:r>
        <w:t xml:space="preserve">WCB </w:t>
      </w:r>
      <w:r w:rsidRPr="00674A0D">
        <w:t>201</w:t>
      </w:r>
      <w:r>
        <w:t>7</w:t>
      </w:r>
      <w:r w:rsidRPr="00674A0D">
        <w:t>)</w:t>
      </w:r>
      <w:r>
        <w:t xml:space="preserve"> (waiving certain E-Rate and contribution rules applicable to universal service fund participants in areas affected by Hurricanes Harvey, Irma, and Maria) </w:t>
      </w:r>
      <w:r w:rsidRPr="00A27829">
        <w:rPr>
          <w:iCs/>
        </w:rPr>
        <w:t>(</w:t>
      </w:r>
      <w:r>
        <w:rPr>
          <w:i/>
        </w:rPr>
        <w:t>Hurricanes Harvey, Irma, and Maria Order</w:t>
      </w:r>
      <w:r>
        <w:rPr>
          <w:iCs/>
        </w:rPr>
        <w:t>).</w:t>
      </w:r>
    </w:p>
  </w:footnote>
  <w:footnote w:id="13">
    <w:p w:rsidR="00CF69E8" w:rsidP="00CF69E8" w14:paraId="24FAB7BE" w14:textId="77777777">
      <w:pPr>
        <w:pStyle w:val="FootnoteText"/>
      </w:pPr>
      <w:r>
        <w:rPr>
          <w:rStyle w:val="FootnoteReference"/>
        </w:rPr>
        <w:footnoteRef/>
      </w:r>
      <w:r>
        <w:t xml:space="preserve"> </w:t>
      </w:r>
      <w:r w:rsidRPr="00784E54">
        <w:rPr>
          <w:i/>
          <w:iCs/>
        </w:rPr>
        <w:t>Wireline Competition Bureau Seeks Comment on Kellogg &amp; Sovereign Consulting, LLC Request for Waiver</w:t>
      </w:r>
      <w:r>
        <w:t>, WC Docket No. 02-60, Public Notice, 34 FCC Rcd 6324 (2019).</w:t>
      </w:r>
    </w:p>
  </w:footnote>
  <w:footnote w:id="14">
    <w:p w:rsidR="00CF69E8" w:rsidP="00CF69E8" w14:paraId="4167BBBB" w14:textId="77777777">
      <w:pPr>
        <w:pStyle w:val="FootnoteText"/>
      </w:pPr>
      <w:r>
        <w:rPr>
          <w:rStyle w:val="FootnoteReference"/>
        </w:rPr>
        <w:footnoteRef/>
      </w:r>
      <w:r>
        <w:t xml:space="preserve"> </w:t>
      </w:r>
      <w:r w:rsidRPr="00C74D0C">
        <w:rPr>
          <w:i/>
          <w:iCs/>
        </w:rPr>
        <w:t>See</w:t>
      </w:r>
      <w:r>
        <w:t xml:space="preserve"> </w:t>
      </w:r>
      <w:r w:rsidRPr="001522BF">
        <w:rPr>
          <w:i/>
          <w:iCs/>
        </w:rPr>
        <w:t xml:space="preserve">generally </w:t>
      </w:r>
      <w:r w:rsidRPr="001522BF">
        <w:t>O</w:t>
      </w:r>
      <w:r>
        <w:t xml:space="preserve">klahoma </w:t>
      </w:r>
      <w:r w:rsidRPr="001522BF">
        <w:t>U</w:t>
      </w:r>
      <w:r>
        <w:t xml:space="preserve">niversal </w:t>
      </w:r>
      <w:r w:rsidRPr="001522BF">
        <w:t>S</w:t>
      </w:r>
      <w:r>
        <w:t xml:space="preserve">ervice </w:t>
      </w:r>
      <w:r w:rsidRPr="001522BF">
        <w:t>F</w:t>
      </w:r>
      <w:r>
        <w:t>und</w:t>
      </w:r>
      <w:r w:rsidRPr="001522BF">
        <w:t xml:space="preserve"> </w:t>
      </w:r>
      <w:r>
        <w:t xml:space="preserve">Administrator </w:t>
      </w:r>
      <w:r w:rsidRPr="001522BF">
        <w:t>Comments</w:t>
      </w:r>
      <w:r>
        <w:t xml:space="preserve"> (rec. Aug. 23, 2019)</w:t>
      </w:r>
      <w:r w:rsidRPr="00782714">
        <w:t xml:space="preserve"> </w:t>
      </w:r>
      <w:r>
        <w:t>(</w:t>
      </w:r>
      <w:r>
        <w:t>OUSF</w:t>
      </w:r>
      <w:r>
        <w:t xml:space="preserve"> Administrator Comments)</w:t>
      </w:r>
      <w:r w:rsidRPr="001522BF">
        <w:t xml:space="preserve">; </w:t>
      </w:r>
      <w:r>
        <w:t>Sandra B. Harrison Comments (rec. Sept. 9, 2019) (filed on Behalf of The Oklahoma Hospital Association) (</w:t>
      </w:r>
      <w:r>
        <w:t>OHA</w:t>
      </w:r>
      <w:r>
        <w:t xml:space="preserve"> Comments)</w:t>
      </w:r>
      <w:r w:rsidRPr="001522BF">
        <w:t>; Schools, Health &amp; Libraries Broadband Coalition Comments</w:t>
      </w:r>
      <w:r>
        <w:t xml:space="preserve"> (rec. Aug. 23, 2019) (</w:t>
      </w:r>
      <w:r>
        <w:t>SHLB</w:t>
      </w:r>
      <w:r>
        <w:t xml:space="preserve"> Comments).</w:t>
      </w:r>
    </w:p>
  </w:footnote>
  <w:footnote w:id="15">
    <w:p w:rsidR="00CF69E8" w:rsidP="00CF69E8" w14:paraId="4399D3C1" w14:textId="77777777">
      <w:pPr>
        <w:pStyle w:val="FootnoteText"/>
      </w:pPr>
      <w:r>
        <w:rPr>
          <w:rStyle w:val="FootnoteReference"/>
        </w:rPr>
        <w:footnoteRef/>
      </w:r>
      <w:r>
        <w:t xml:space="preserve"> </w:t>
      </w:r>
      <w:r w:rsidRPr="00EF66F6">
        <w:rPr>
          <w:i/>
          <w:iCs/>
        </w:rPr>
        <w:t>Request for Waiver</w:t>
      </w:r>
      <w:r>
        <w:t xml:space="preserve"> at 7.</w:t>
      </w:r>
    </w:p>
  </w:footnote>
  <w:footnote w:id="16">
    <w:p w:rsidR="00CF69E8" w:rsidP="00CF69E8" w14:paraId="7F5D7AF6" w14:textId="77777777">
      <w:pPr>
        <w:pStyle w:val="FootnoteText"/>
      </w:pPr>
      <w:r>
        <w:rPr>
          <w:rStyle w:val="FootnoteReference"/>
        </w:rPr>
        <w:footnoteRef/>
      </w:r>
      <w:r>
        <w:t xml:space="preserve"> </w:t>
      </w:r>
      <w:r w:rsidRPr="2FB9B78C">
        <w:rPr>
          <w:i/>
          <w:iCs/>
        </w:rPr>
        <w:t>See</w:t>
      </w:r>
      <w:r>
        <w:t xml:space="preserve"> </w:t>
      </w:r>
      <w:r>
        <w:t>OHA</w:t>
      </w:r>
      <w:r>
        <w:t xml:space="preserve"> Comments at 2; </w:t>
      </w:r>
      <w:r>
        <w:t>SHLB</w:t>
      </w:r>
      <w:r>
        <w:t xml:space="preserve"> Comments at 3.</w:t>
      </w:r>
    </w:p>
  </w:footnote>
  <w:footnote w:id="17">
    <w:p w:rsidR="00CF69E8" w:rsidP="00CF69E8" w14:paraId="40432621" w14:textId="77777777">
      <w:pPr>
        <w:pStyle w:val="FootnoteText"/>
      </w:pPr>
      <w:r>
        <w:rPr>
          <w:rStyle w:val="FootnoteReference"/>
        </w:rPr>
        <w:footnoteRef/>
      </w:r>
      <w:r>
        <w:t xml:space="preserve"> </w:t>
      </w:r>
      <w:r>
        <w:t>OUSF</w:t>
      </w:r>
      <w:r>
        <w:t xml:space="preserve"> Administrator Comments at 1-2; </w:t>
      </w:r>
      <w:r>
        <w:rPr>
          <w:i/>
          <w:iCs/>
        </w:rPr>
        <w:t xml:space="preserve">see also </w:t>
      </w:r>
      <w:r>
        <w:t>OHA</w:t>
      </w:r>
      <w:r>
        <w:t xml:space="preserve"> Comments at 4.</w:t>
      </w:r>
    </w:p>
  </w:footnote>
  <w:footnote w:id="18">
    <w:p w:rsidR="00CF69E8" w:rsidP="00CF69E8" w14:paraId="6B1A9614" w14:textId="77777777">
      <w:pPr>
        <w:pStyle w:val="FootnoteText"/>
      </w:pPr>
      <w:r>
        <w:rPr>
          <w:rStyle w:val="FootnoteReference"/>
        </w:rPr>
        <w:footnoteRef/>
      </w:r>
      <w:r>
        <w:t xml:space="preserve"> 47 CFR</w:t>
      </w:r>
      <w:r w:rsidRPr="00D203F9">
        <w:t xml:space="preserve"> </w:t>
      </w:r>
      <w:r w:rsidRPr="00D203F9">
        <w:rPr>
          <w:color w:val="222222"/>
          <w:shd w:val="clear" w:color="auto" w:fill="FFFFFF"/>
        </w:rPr>
        <w:t>§</w:t>
      </w:r>
      <w:r>
        <w:rPr>
          <w:rFonts w:ascii="Arial" w:hAnsi="Arial" w:cs="Arial"/>
          <w:color w:val="222222"/>
          <w:shd w:val="clear" w:color="auto" w:fill="FFFFFF"/>
        </w:rPr>
        <w:t xml:space="preserve"> </w:t>
      </w:r>
      <w:r>
        <w:t>1.3.</w:t>
      </w:r>
    </w:p>
  </w:footnote>
  <w:footnote w:id="19">
    <w:p w:rsidR="00CF69E8" w:rsidP="00CF69E8" w14:paraId="75FC7227" w14:textId="77777777">
      <w:pPr>
        <w:pStyle w:val="FootnoteText"/>
      </w:pPr>
      <w:r>
        <w:rPr>
          <w:rStyle w:val="FootnoteReference"/>
        </w:rPr>
        <w:footnoteRef/>
      </w:r>
      <w:r>
        <w:t xml:space="preserve"> </w:t>
      </w:r>
      <w:r w:rsidRPr="00D203F9">
        <w:rPr>
          <w:i/>
          <w:iCs/>
        </w:rPr>
        <w:t>See Northeast Cellular Telephone Co. v. FCC</w:t>
      </w:r>
      <w:r>
        <w:t xml:space="preserve">, 897 </w:t>
      </w:r>
      <w:r>
        <w:t>F.2d</w:t>
      </w:r>
      <w:r>
        <w:t xml:space="preserve"> 1164, 1166 (D.C. Cir. 1990).</w:t>
      </w:r>
    </w:p>
  </w:footnote>
  <w:footnote w:id="20">
    <w:p w:rsidR="00CF69E8" w:rsidP="00CF69E8" w14:paraId="70B429CB" w14:textId="77777777">
      <w:pPr>
        <w:pStyle w:val="FootnoteText"/>
      </w:pPr>
      <w:r>
        <w:rPr>
          <w:rStyle w:val="FootnoteReference"/>
        </w:rPr>
        <w:footnoteRef/>
      </w:r>
      <w:r>
        <w:t xml:space="preserve"> </w:t>
      </w:r>
      <w:r w:rsidRPr="00D203F9">
        <w:rPr>
          <w:i/>
          <w:iCs/>
        </w:rPr>
        <w:t>WAIT Radio v. FCC</w:t>
      </w:r>
      <w:r>
        <w:t xml:space="preserve">, 418 </w:t>
      </w:r>
      <w:r>
        <w:t>F.2d</w:t>
      </w:r>
      <w:r>
        <w:t xml:space="preserve"> 1153, 1159 (D.C. Cir. 1969); </w:t>
      </w:r>
      <w:r w:rsidRPr="00D203F9">
        <w:rPr>
          <w:i/>
          <w:iCs/>
        </w:rPr>
        <w:t>Northeast Cellular</w:t>
      </w:r>
      <w:r>
        <w:t xml:space="preserve">, 897 </w:t>
      </w:r>
      <w:r>
        <w:t>F.2d</w:t>
      </w:r>
      <w:r>
        <w:t xml:space="preserve"> at 1166.</w:t>
      </w:r>
    </w:p>
  </w:footnote>
  <w:footnote w:id="21">
    <w:p w:rsidR="00CF69E8" w:rsidP="00CF69E8" w14:paraId="4AB432AD" w14:textId="77777777">
      <w:pPr>
        <w:pStyle w:val="FootnoteText"/>
      </w:pPr>
      <w:r>
        <w:rPr>
          <w:rStyle w:val="FootnoteReference"/>
        </w:rPr>
        <w:footnoteRef/>
      </w:r>
      <w:r>
        <w:t xml:space="preserve"> </w:t>
      </w:r>
      <w:r>
        <w:rPr>
          <w:i/>
          <w:iCs/>
        </w:rPr>
        <w:t xml:space="preserve">See </w:t>
      </w:r>
      <w:r w:rsidRPr="000B2971">
        <w:rPr>
          <w:i/>
          <w:iCs/>
        </w:rPr>
        <w:t>Florida Hurricane Order</w:t>
      </w:r>
      <w:r>
        <w:t xml:space="preserve">, 33 FCC Rcd at 10188 (citing the </w:t>
      </w:r>
      <w:r>
        <w:t>close proximity</w:t>
      </w:r>
      <w:r>
        <w:t xml:space="preserve"> to the invoice deadline for recurring services as an extraordinary circumstance meriting a deviation from the general rule).</w:t>
      </w:r>
      <w:r w:rsidRPr="00F843EE">
        <w:rPr>
          <w:iCs/>
        </w:rPr>
        <w:t xml:space="preserve"> </w:t>
      </w:r>
      <w:r>
        <w:rPr>
          <w:iCs/>
        </w:rPr>
        <w:t xml:space="preserve"> The petitioners maintain that, notwithstanding the weather disruptions, they were in a position to submit the funding requests within 14 days of the deadline had that option been available to it, and that permitting late filings within a 14-day period is consistent with Commission precedent approving requests for waiver of deadlines for universal service applicants even where no special circumstances exist. </w:t>
      </w:r>
      <w:r>
        <w:rPr>
          <w:i/>
          <w:iCs/>
        </w:rPr>
        <w:t>Request for Waiver</w:t>
      </w:r>
      <w:r>
        <w:t xml:space="preserve"> at 7 (citing </w:t>
      </w:r>
      <w:r>
        <w:rPr>
          <w:i/>
          <w:iCs/>
        </w:rPr>
        <w:t>Requests for Waiver and Review of Decisions of the Universal Service Administrator by Academy of Math and Science et al., Schools and Libraries Universal Service Support Mechanism</w:t>
      </w:r>
      <w:r>
        <w:t xml:space="preserve">, CC Docket No. 02-6, Order, 25 FCC Rcd 9256, 9259, para. 8 (2010) (granting requests for waiver where applicants filed their FCC Forms 471 within 14 days of the filing window deadline)).  </w:t>
      </w:r>
      <w:r w:rsidRPr="00C825B4">
        <w:t>We</w:t>
      </w:r>
      <w:r>
        <w:t xml:space="preserve"> dismiss this Request for Waiver to the extent it seeks a 14-day grace period for filing applications.</w:t>
      </w:r>
    </w:p>
  </w:footnote>
  <w:footnote w:id="22">
    <w:p w:rsidR="00CF69E8" w:rsidP="00CF69E8" w14:paraId="7E090045" w14:textId="77777777">
      <w:pPr>
        <w:pStyle w:val="FootnoteText"/>
      </w:pPr>
      <w:r>
        <w:rPr>
          <w:rStyle w:val="FootnoteReference"/>
        </w:rPr>
        <w:footnoteRef/>
      </w:r>
      <w:r>
        <w:t xml:space="preserve"> </w:t>
      </w:r>
      <w:r>
        <w:rPr>
          <w:i/>
          <w:iCs/>
        </w:rPr>
        <w:t xml:space="preserve">But see Request for Review and Waiver by the Tanana Chiefs </w:t>
      </w:r>
      <w:r w:rsidRPr="00C825B4">
        <w:rPr>
          <w:i/>
          <w:iCs/>
        </w:rPr>
        <w:t>Conference</w:t>
      </w:r>
      <w:r>
        <w:t xml:space="preserve">, WC Docket No. 02-60, Order, DA 20-64 (WCB rel. Jan. 15, 2020) (denying a request to file applications after the deadline for filing applications when the applications were not filed due to a lack of awareness of deadlines and an oversight—the petitioner did not discover the need to file the applications until three months after the deadline, and no additional funding was available in the relevant funding year as it had been subject to proration).  </w:t>
      </w:r>
    </w:p>
  </w:footnote>
  <w:footnote w:id="23">
    <w:p w:rsidR="00CF69E8" w:rsidP="00CF69E8" w14:paraId="3A5C46B6" w14:textId="77777777">
      <w:pPr>
        <w:pStyle w:val="FootnoteText"/>
      </w:pPr>
      <w:r>
        <w:rPr>
          <w:rStyle w:val="FootnoteReference"/>
        </w:rPr>
        <w:footnoteRef/>
      </w:r>
      <w:r>
        <w:t xml:space="preserve"> </w:t>
      </w:r>
      <w:r w:rsidRPr="00B27A21">
        <w:rPr>
          <w:i/>
          <w:iCs/>
        </w:rPr>
        <w:t>Request</w:t>
      </w:r>
      <w:r>
        <w:rPr>
          <w:i/>
          <w:iCs/>
        </w:rPr>
        <w:t xml:space="preserve"> for Waiver</w:t>
      </w:r>
      <w:r>
        <w:t xml:space="preserve"> at 3-4.</w:t>
      </w:r>
    </w:p>
  </w:footnote>
  <w:footnote w:id="24">
    <w:p w:rsidR="00CF69E8" w:rsidP="00CF69E8" w14:paraId="01118079" w14:textId="77777777">
      <w:pPr>
        <w:pStyle w:val="FootnoteText"/>
      </w:pPr>
      <w:r>
        <w:rPr>
          <w:rStyle w:val="FootnoteReference"/>
        </w:rPr>
        <w:footnoteRef/>
      </w:r>
      <w:r>
        <w:t xml:space="preserve"> </w:t>
      </w:r>
      <w:r>
        <w:rPr>
          <w:i/>
          <w:iCs/>
        </w:rPr>
        <w:t>Id</w:t>
      </w:r>
      <w:r>
        <w:t>.</w:t>
      </w:r>
    </w:p>
  </w:footnote>
  <w:footnote w:id="25">
    <w:p w:rsidR="00CF69E8" w:rsidP="00CF69E8" w14:paraId="177A58F5" w14:textId="77777777">
      <w:pPr>
        <w:pStyle w:val="FootnoteText"/>
      </w:pPr>
      <w:r>
        <w:rPr>
          <w:rStyle w:val="FootnoteReference"/>
        </w:rPr>
        <w:footnoteRef/>
      </w:r>
      <w:r>
        <w:t xml:space="preserve"> </w:t>
      </w:r>
      <w:r w:rsidRPr="00DA4354">
        <w:rPr>
          <w:i/>
          <w:iCs/>
        </w:rPr>
        <w:t>See</w:t>
      </w:r>
      <w:r>
        <w:t xml:space="preserve"> </w:t>
      </w:r>
      <w:r w:rsidRPr="001522BF">
        <w:t>F</w:t>
      </w:r>
      <w:r>
        <w:t>EMA</w:t>
      </w:r>
      <w:r w:rsidRPr="001522BF">
        <w:t xml:space="preserve">, </w:t>
      </w:r>
      <w:r w:rsidRPr="001158A3">
        <w:rPr>
          <w:iCs/>
        </w:rPr>
        <w:t>Oklahoma Severe Storms, Straight-line Winds, Tornadoes, And Flooding (DR-4438)</w:t>
      </w:r>
      <w:r w:rsidRPr="00442A0C">
        <w:rPr>
          <w:iCs/>
        </w:rPr>
        <w:t>,</w:t>
      </w:r>
      <w:r w:rsidRPr="001522BF">
        <w:t xml:space="preserve"> </w:t>
      </w:r>
      <w:hyperlink r:id="rId3" w:history="1">
        <w:r w:rsidRPr="001522BF">
          <w:rPr>
            <w:rStyle w:val="Hyperlink"/>
          </w:rPr>
          <w:t>https://www.fema.gov/disaster/4438</w:t>
        </w:r>
      </w:hyperlink>
      <w:r>
        <w:t xml:space="preserve"> (last </w:t>
      </w:r>
      <w:r w:rsidRPr="00442A0C">
        <w:t xml:space="preserve">visited </w:t>
      </w:r>
      <w:r>
        <w:t xml:space="preserve">May 22, 2020); </w:t>
      </w:r>
      <w:r w:rsidRPr="00EC1B85">
        <w:rPr>
          <w:i/>
          <w:iCs/>
        </w:rPr>
        <w:t>Request</w:t>
      </w:r>
      <w:r>
        <w:rPr>
          <w:i/>
          <w:iCs/>
        </w:rPr>
        <w:t xml:space="preserve"> for Waiver</w:t>
      </w:r>
      <w:r>
        <w:t xml:space="preserve"> at 3.</w:t>
      </w:r>
    </w:p>
  </w:footnote>
  <w:footnote w:id="26">
    <w:p w:rsidR="00CF69E8" w:rsidP="00CF69E8" w14:paraId="4BB36EEB" w14:textId="77777777">
      <w:pPr>
        <w:pStyle w:val="FootnoteText"/>
      </w:pPr>
      <w:r>
        <w:rPr>
          <w:rStyle w:val="FootnoteReference"/>
        </w:rPr>
        <w:footnoteRef/>
      </w:r>
      <w:r>
        <w:t xml:space="preserve"> </w:t>
      </w:r>
      <w:r w:rsidRPr="000E70A2">
        <w:rPr>
          <w:i/>
          <w:iCs/>
        </w:rPr>
        <w:t>See, e.g.</w:t>
      </w:r>
      <w:r>
        <w:t xml:space="preserve">, </w:t>
      </w:r>
      <w:r w:rsidRPr="00903556">
        <w:rPr>
          <w:i/>
        </w:rPr>
        <w:t>California Wildfire</w:t>
      </w:r>
      <w:r>
        <w:rPr>
          <w:i/>
        </w:rPr>
        <w:t>s</w:t>
      </w:r>
      <w:r w:rsidRPr="00903556">
        <w:rPr>
          <w:i/>
        </w:rPr>
        <w:t xml:space="preserve"> Order</w:t>
      </w:r>
      <w:r>
        <w:rPr>
          <w:iCs/>
        </w:rPr>
        <w:t>, 34 FCC Rcd 56;</w:t>
      </w:r>
      <w:r w:rsidRPr="000E70A2">
        <w:rPr>
          <w:i/>
        </w:rPr>
        <w:t xml:space="preserve"> </w:t>
      </w:r>
      <w:r w:rsidRPr="000B2971">
        <w:rPr>
          <w:i/>
          <w:iCs/>
        </w:rPr>
        <w:t>Florida Hurricane Order</w:t>
      </w:r>
      <w:r w:rsidRPr="00C93078">
        <w:t>,</w:t>
      </w:r>
      <w:r>
        <w:rPr>
          <w:i/>
          <w:iCs/>
        </w:rPr>
        <w:t xml:space="preserve"> </w:t>
      </w:r>
      <w:r>
        <w:rPr>
          <w:iCs/>
        </w:rPr>
        <w:t>33 FCC Rcd 10186</w:t>
      </w:r>
      <w:r>
        <w:t xml:space="preserve">; </w:t>
      </w:r>
      <w:r w:rsidRPr="00674A0D">
        <w:rPr>
          <w:i/>
        </w:rPr>
        <w:t>Schools and Libraries Universal Service Support Mechanism</w:t>
      </w:r>
      <w:r w:rsidRPr="00674A0D">
        <w:t>, CC Docket 02-6, Order, 32 FCC Rcd 9538 (2017)</w:t>
      </w:r>
      <w:r>
        <w:t xml:space="preserve"> (</w:t>
      </w:r>
      <w:r>
        <w:rPr>
          <w:i/>
          <w:iCs/>
        </w:rPr>
        <w:t>FCC</w:t>
      </w:r>
      <w:r w:rsidRPr="00DD1075">
        <w:rPr>
          <w:i/>
          <w:iCs/>
        </w:rPr>
        <w:t xml:space="preserve"> Hurricane</w:t>
      </w:r>
      <w:r>
        <w:rPr>
          <w:i/>
          <w:iCs/>
        </w:rPr>
        <w:t>s</w:t>
      </w:r>
      <w:r w:rsidRPr="00DD1075">
        <w:rPr>
          <w:i/>
          <w:iCs/>
        </w:rPr>
        <w:t xml:space="preserve"> Harvey, Irma, and Maria Order</w:t>
      </w:r>
      <w:r>
        <w:t xml:space="preserve">); </w:t>
      </w:r>
      <w:r>
        <w:rPr>
          <w:i/>
        </w:rPr>
        <w:t>Hurricanes Harvey, Irma, and Maria Order</w:t>
      </w:r>
      <w:r>
        <w:rPr>
          <w:iCs/>
        </w:rPr>
        <w:t xml:space="preserve">, </w:t>
      </w:r>
      <w:r w:rsidRPr="00674A0D">
        <w:t>32 FCC Rcd 7456</w:t>
      </w:r>
      <w:r>
        <w:t>;</w:t>
      </w:r>
      <w:r w:rsidRPr="000E70A2">
        <w:rPr>
          <w:i/>
        </w:rPr>
        <w:t xml:space="preserve"> </w:t>
      </w:r>
      <w:r w:rsidRPr="00674A0D">
        <w:rPr>
          <w:i/>
        </w:rPr>
        <w:t>Federal-State Joint Board on Universal Service</w:t>
      </w:r>
      <w:r w:rsidRPr="00674A0D">
        <w:t>, CC Docket Nos. 96-45 and 02-6; WC Docket Nos. 02-60 and 03-109, Order, 20 FCC Rcd 16883 (2005)</w:t>
      </w:r>
      <w:r>
        <w:t xml:space="preserve"> (</w:t>
      </w:r>
      <w:r w:rsidRPr="00F6123B">
        <w:rPr>
          <w:i/>
          <w:iCs/>
        </w:rPr>
        <w:t>Hurricane Katrina Order</w:t>
      </w:r>
      <w:r>
        <w:t xml:space="preserve">).  </w:t>
      </w:r>
      <w:r w:rsidRPr="00D549CF">
        <w:t>By contrast, deadlines outside the scope of the disaster were not waived.</w:t>
      </w:r>
      <w:r w:rsidRPr="00D549CF">
        <w:rPr>
          <w:i/>
          <w:iCs/>
        </w:rPr>
        <w:t xml:space="preserve"> </w:t>
      </w:r>
      <w:r>
        <w:rPr>
          <w:i/>
          <w:iCs/>
        </w:rPr>
        <w:t xml:space="preserve"> </w:t>
      </w:r>
      <w:r w:rsidRPr="00D7203C">
        <w:rPr>
          <w:i/>
          <w:iCs/>
        </w:rPr>
        <w:t>See</w:t>
      </w:r>
      <w:r>
        <w:t xml:space="preserve"> </w:t>
      </w:r>
      <w:r w:rsidRPr="00EB5FC0">
        <w:rPr>
          <w:i/>
          <w:iCs/>
        </w:rPr>
        <w:t>California Wildfire Order</w:t>
      </w:r>
      <w:r>
        <w:t>, 34 FCC Rcd at 59-60, para. 8 (denying a request to waive the service implementation deadline for non-recurring services because the deadline was prior to the time period during which the wildfires were reported by FEMA as having occurred).</w:t>
      </w:r>
    </w:p>
  </w:footnote>
  <w:footnote w:id="27">
    <w:p w:rsidR="00CF69E8" w:rsidP="00CF69E8" w14:paraId="3DB31064" w14:textId="77777777">
      <w:pPr>
        <w:pStyle w:val="FootnoteText"/>
      </w:pPr>
      <w:r>
        <w:rPr>
          <w:rStyle w:val="FootnoteReference"/>
        </w:rPr>
        <w:footnoteRef/>
      </w:r>
      <w:r>
        <w:t xml:space="preserve"> </w:t>
      </w:r>
      <w:r w:rsidRPr="00B27A21">
        <w:rPr>
          <w:i/>
          <w:iCs/>
        </w:rPr>
        <w:t>Request</w:t>
      </w:r>
      <w:r>
        <w:rPr>
          <w:i/>
          <w:iCs/>
        </w:rPr>
        <w:t xml:space="preserve"> for Waiver</w:t>
      </w:r>
      <w:r>
        <w:t xml:space="preserve"> at 4.</w:t>
      </w:r>
    </w:p>
  </w:footnote>
  <w:footnote w:id="28">
    <w:p w:rsidR="00CF69E8" w:rsidP="00CF69E8" w14:paraId="19889469" w14:textId="77777777">
      <w:pPr>
        <w:pStyle w:val="FootnoteText"/>
      </w:pPr>
      <w:r>
        <w:rPr>
          <w:rStyle w:val="FootnoteReference"/>
        </w:rPr>
        <w:footnoteRef/>
      </w:r>
      <w:r>
        <w:t xml:space="preserve"> </w:t>
      </w:r>
      <w:r w:rsidRPr="00614911">
        <w:t xml:space="preserve">In past orders, we granted waivers of certain deadlines for areas affected by natural disasters.  </w:t>
      </w:r>
      <w:r w:rsidRPr="00614911">
        <w:rPr>
          <w:i/>
          <w:iCs/>
        </w:rPr>
        <w:t>See, e.g.</w:t>
      </w:r>
      <w:r w:rsidRPr="00614911">
        <w:t xml:space="preserve">, </w:t>
      </w:r>
      <w:r w:rsidRPr="00E81146">
        <w:rPr>
          <w:i/>
        </w:rPr>
        <w:t>Hurricanes Harvey, Irma, and Maria Order</w:t>
      </w:r>
      <w:r w:rsidRPr="00E81146">
        <w:rPr>
          <w:iCs/>
        </w:rPr>
        <w:t>,</w:t>
      </w:r>
      <w:r w:rsidRPr="00E81146">
        <w:t xml:space="preserve"> 32 FCC Rcd at 7457, para. 2;</w:t>
      </w:r>
      <w:r w:rsidRPr="00E81146">
        <w:rPr>
          <w:i/>
        </w:rPr>
        <w:t xml:space="preserve"> California Wildfires Order</w:t>
      </w:r>
      <w:r w:rsidRPr="00E81146">
        <w:rPr>
          <w:iCs/>
        </w:rPr>
        <w:t>, 34 FCC Rcd at 57, para. 2;</w:t>
      </w:r>
      <w:r w:rsidRPr="00E81146">
        <w:rPr>
          <w:i/>
        </w:rPr>
        <w:t xml:space="preserve"> </w:t>
      </w:r>
      <w:r w:rsidRPr="00E81146">
        <w:rPr>
          <w:i/>
          <w:iCs/>
        </w:rPr>
        <w:t>Florida Hurricane Order</w:t>
      </w:r>
      <w:r w:rsidRPr="00E81146">
        <w:t xml:space="preserve">, 33 FCC Rcd at 10188, para. 5; </w:t>
      </w:r>
      <w:r w:rsidRPr="00E81146">
        <w:rPr>
          <w:i/>
          <w:iCs/>
        </w:rPr>
        <w:t>FCC Hurricanes Harvey, Irma, and Maria Order</w:t>
      </w:r>
      <w:r w:rsidRPr="00614911">
        <w:t xml:space="preserve">, 32 FCC Rcd </w:t>
      </w:r>
      <w:r>
        <w:t>at</w:t>
      </w:r>
      <w:r w:rsidRPr="00614911">
        <w:t xml:space="preserve"> 9540, para. 4; </w:t>
      </w:r>
      <w:r w:rsidRPr="00614911">
        <w:rPr>
          <w:i/>
          <w:iCs/>
        </w:rPr>
        <w:t>Hurricane Katrina Order</w:t>
      </w:r>
      <w:r w:rsidRPr="00614911">
        <w:t xml:space="preserve">, 20 FCC Rcd </w:t>
      </w:r>
      <w:r>
        <w:t>at</w:t>
      </w:r>
      <w:r w:rsidRPr="00614911">
        <w:t xml:space="preserve"> 16885, para. 4.  Historically, we defined “affected areas” as counties that FEMA designated as Major Disaster Areas eligible for Individual Assistance for the purposes of federal disaster relief.  </w:t>
      </w:r>
      <w:r w:rsidRPr="00614911">
        <w:rPr>
          <w:i/>
          <w:iCs/>
        </w:rPr>
        <w:t>See California Wildfires Order</w:t>
      </w:r>
      <w:r w:rsidRPr="00614911">
        <w:t xml:space="preserve">, 34 FCC Rcd at 57, n. 6 (defining “affected areas” as the counties located in California that have been designated as Major Disaster Areas eligible for Individual Assistance for purposes of federal disaster relief by FEMA).  We have not necessarily limited relief to areas that meet this definition, however, provided circumstances made granting relief consistent with the public interest.  </w:t>
      </w:r>
      <w:r w:rsidRPr="00881E7C">
        <w:rPr>
          <w:i/>
          <w:iCs/>
        </w:rPr>
        <w:t>See id.</w:t>
      </w:r>
      <w:r w:rsidRPr="00614911">
        <w:t xml:space="preserve"> at n. 4 (listing counties that were included in the Request for Waiver but fell outside of the major disaster declaration areas)</w:t>
      </w:r>
      <w:r w:rsidRPr="00E81146">
        <w:t xml:space="preserve">.  In this regard, grant of relief here comports with waivers that the Bureau granted previously under similar circumstances.  </w:t>
      </w:r>
      <w:r w:rsidRPr="00E81146">
        <w:rPr>
          <w:i/>
          <w:iCs/>
        </w:rPr>
        <w:t>Florida Hurricane Order</w:t>
      </w:r>
      <w:r w:rsidRPr="00E81146">
        <w:t xml:space="preserve">, 33 FCC Rcd at 10188, para. 5.  While the </w:t>
      </w:r>
      <w:r w:rsidRPr="00614911">
        <w:t xml:space="preserve">Oklahoma Providers were not eligible for Individual Assistance, the widespread disruption that occurred </w:t>
      </w:r>
      <w:r w:rsidRPr="00614911">
        <w:t>in close proximity to</w:t>
      </w:r>
      <w:r w:rsidRPr="00614911">
        <w:t xml:space="preserve"> the filing deadline impeded the health care providers’ ability to</w:t>
      </w:r>
      <w:r>
        <w:t xml:space="preserve"> timely</w:t>
      </w:r>
      <w:r w:rsidRPr="00614911">
        <w:t xml:space="preserve"> file their FCC Form </w:t>
      </w:r>
      <w:r w:rsidRPr="00614911">
        <w:t>462</w:t>
      </w:r>
      <w:r>
        <w:t>s</w:t>
      </w:r>
      <w:r w:rsidRPr="00614911">
        <w:t>.</w:t>
      </w:r>
    </w:p>
  </w:footnote>
  <w:footnote w:id="29">
    <w:p w:rsidR="00CF69E8" w:rsidP="00CF69E8" w14:paraId="27B24FF2" w14:textId="77777777">
      <w:pPr>
        <w:pStyle w:val="FootnoteText"/>
      </w:pPr>
      <w:r>
        <w:rPr>
          <w:rStyle w:val="FootnoteReference"/>
        </w:rPr>
        <w:footnoteRef/>
      </w:r>
      <w:r>
        <w:t xml:space="preserve"> </w:t>
      </w:r>
      <w:r>
        <w:t>OUSF</w:t>
      </w:r>
      <w:r>
        <w:t xml:space="preserve"> Administrator Comments at 3 (citing US News World Report, </w:t>
      </w:r>
      <w:hyperlink r:id="rId4" w:history="1">
        <w:r w:rsidRPr="002E03D1">
          <w:rPr>
            <w:rStyle w:val="Hyperlink"/>
          </w:rPr>
          <w:t>https://www.usnews.com/news/best-states/oklahoma</w:t>
        </w:r>
      </w:hyperlink>
      <w:r>
        <w:t xml:space="preserve"> (ranking Oklahoma as 47th out of 50 states concerning healthcare access and quality); US News and World Report, Feb. 22, 2019, </w:t>
      </w:r>
      <w:hyperlink r:id="rId5" w:history="1">
        <w:r>
          <w:rPr>
            <w:rStyle w:val="Hyperlink"/>
          </w:rPr>
          <w:t>https://www.usnews.com/news/healthiest-communities/slideshows/top-10-states-in-danger-of-rural-hospital-closures?onepage.&amp;slide=4</w:t>
        </w:r>
      </w:hyperlink>
      <w:r>
        <w:t xml:space="preserve"> (listing Oklahoma as one of the top ten states most in danger of rural hospital closures)).</w:t>
      </w:r>
    </w:p>
  </w:footnote>
  <w:footnote w:id="30">
    <w:p w:rsidR="00CF69E8" w:rsidP="00CF69E8" w14:paraId="7EB1BB8B" w14:textId="77777777">
      <w:pPr>
        <w:pStyle w:val="FootnoteText"/>
      </w:pPr>
      <w:r>
        <w:rPr>
          <w:rStyle w:val="FootnoteReference"/>
        </w:rPr>
        <w:footnoteRef/>
      </w:r>
      <w:r>
        <w:t xml:space="preserve"> </w:t>
      </w:r>
      <w:r w:rsidRPr="00264778">
        <w:rPr>
          <w:i/>
          <w:iCs/>
        </w:rPr>
        <w:t>I</w:t>
      </w:r>
      <w:r w:rsidRPr="005425E1">
        <w:rPr>
          <w:i/>
          <w:iCs/>
        </w:rPr>
        <w:t xml:space="preserve">d. </w:t>
      </w:r>
      <w:r>
        <w:t>at 1-2</w:t>
      </w:r>
      <w:r w:rsidRPr="005425E1">
        <w:t>;</w:t>
      </w:r>
      <w:r>
        <w:rPr>
          <w:i/>
          <w:iCs/>
        </w:rPr>
        <w:t xml:space="preserve"> see also </w:t>
      </w:r>
      <w:r>
        <w:t>OHA</w:t>
      </w:r>
      <w:r>
        <w:t xml:space="preserve"> Comments at 4 (arguing that denying the request for waiver would thwart the public interest).</w:t>
      </w:r>
    </w:p>
  </w:footnote>
  <w:footnote w:id="31">
    <w:p w:rsidR="00CF69E8" w:rsidRPr="00C51A0E" w:rsidP="00CF69E8" w14:paraId="0374D263" w14:textId="77777777">
      <w:pPr>
        <w:pStyle w:val="FootnoteText"/>
      </w:pPr>
      <w:r>
        <w:rPr>
          <w:rStyle w:val="FootnoteReference"/>
        </w:rPr>
        <w:footnoteRef/>
      </w:r>
      <w:r>
        <w:t xml:space="preserve"> Although the </w:t>
      </w:r>
      <w:r w:rsidRPr="00D83E46">
        <w:rPr>
          <w:i/>
          <w:iCs/>
        </w:rPr>
        <w:t>Request for Waiver</w:t>
      </w:r>
      <w:r>
        <w:t xml:space="preserve"> affirmed the petitioners’ readiness to file their applications shortly after the application filing deadline, it did not state that the applications would have been timely filed but for the natural disasters.  </w:t>
      </w:r>
      <w:r>
        <w:rPr>
          <w:i/>
          <w:iCs/>
        </w:rPr>
        <w:t>See Request for Waiver</w:t>
      </w:r>
      <w:r>
        <w:t xml:space="preserve"> at 4-5 (“Within a week of the deadline, Kellogg and Sovereign had obtained the necessary documentation from applicants and service providers and was prepared to file these additional funding requests. Most could have been submitted even earlier.”).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F2ACA0" w14:textId="34FF7FF0">
    <w:pPr>
      <w:pStyle w:val="Header"/>
      <w:rPr>
        <w:b w:val="0"/>
      </w:rPr>
    </w:pPr>
    <w:r>
      <w:tab/>
      <w:t>Federal Communications Commission</w:t>
    </w:r>
    <w:r>
      <w:tab/>
    </w:r>
    <w:r w:rsidR="006141F0">
      <w:t>DA 20-551</w:t>
    </w:r>
  </w:p>
  <w:p w:rsidR="00D25FB5" w14:paraId="3BD549D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07DD30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BAC8E5" w14:textId="3C6DA4F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69E8">
      <w:rPr>
        <w:spacing w:val="-2"/>
      </w:rPr>
      <w:t>DA 20-551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E8"/>
    <w:rsid w:val="00001C79"/>
    <w:rsid w:val="00036039"/>
    <w:rsid w:val="00037F90"/>
    <w:rsid w:val="00085B20"/>
    <w:rsid w:val="000875BF"/>
    <w:rsid w:val="00096D8C"/>
    <w:rsid w:val="000B2971"/>
    <w:rsid w:val="000C0B65"/>
    <w:rsid w:val="000E05FE"/>
    <w:rsid w:val="000E3D42"/>
    <w:rsid w:val="000E70A2"/>
    <w:rsid w:val="001158A3"/>
    <w:rsid w:val="00122BD5"/>
    <w:rsid w:val="00133F79"/>
    <w:rsid w:val="001522BF"/>
    <w:rsid w:val="00194A66"/>
    <w:rsid w:val="001D6BCF"/>
    <w:rsid w:val="001E01CA"/>
    <w:rsid w:val="00264778"/>
    <w:rsid w:val="00275CF5"/>
    <w:rsid w:val="0028301F"/>
    <w:rsid w:val="00285017"/>
    <w:rsid w:val="002A2D2E"/>
    <w:rsid w:val="002C00E8"/>
    <w:rsid w:val="002E03D1"/>
    <w:rsid w:val="00303B80"/>
    <w:rsid w:val="00343749"/>
    <w:rsid w:val="003660ED"/>
    <w:rsid w:val="0039427F"/>
    <w:rsid w:val="00395EE0"/>
    <w:rsid w:val="003B0550"/>
    <w:rsid w:val="003B694F"/>
    <w:rsid w:val="003F171C"/>
    <w:rsid w:val="003F2DF8"/>
    <w:rsid w:val="00412FC5"/>
    <w:rsid w:val="00422276"/>
    <w:rsid w:val="004242F1"/>
    <w:rsid w:val="00442A0C"/>
    <w:rsid w:val="00445A00"/>
    <w:rsid w:val="00451B0F"/>
    <w:rsid w:val="00483F90"/>
    <w:rsid w:val="004C2EE3"/>
    <w:rsid w:val="004E4A22"/>
    <w:rsid w:val="00511968"/>
    <w:rsid w:val="005425E1"/>
    <w:rsid w:val="0055614C"/>
    <w:rsid w:val="00566D06"/>
    <w:rsid w:val="005E14C2"/>
    <w:rsid w:val="00607BA5"/>
    <w:rsid w:val="0061180A"/>
    <w:rsid w:val="006141F0"/>
    <w:rsid w:val="00614911"/>
    <w:rsid w:val="00626EB6"/>
    <w:rsid w:val="00655D03"/>
    <w:rsid w:val="00674A0D"/>
    <w:rsid w:val="00676AD4"/>
    <w:rsid w:val="00683388"/>
    <w:rsid w:val="00683F84"/>
    <w:rsid w:val="006903A6"/>
    <w:rsid w:val="006A6A81"/>
    <w:rsid w:val="006F7393"/>
    <w:rsid w:val="0070224F"/>
    <w:rsid w:val="007115F7"/>
    <w:rsid w:val="00782714"/>
    <w:rsid w:val="00784E54"/>
    <w:rsid w:val="00785689"/>
    <w:rsid w:val="0079754B"/>
    <w:rsid w:val="007A1E6D"/>
    <w:rsid w:val="007B0EB2"/>
    <w:rsid w:val="00810B6F"/>
    <w:rsid w:val="00822CE0"/>
    <w:rsid w:val="00841AB1"/>
    <w:rsid w:val="00881E7C"/>
    <w:rsid w:val="008C68F1"/>
    <w:rsid w:val="00903556"/>
    <w:rsid w:val="00921803"/>
    <w:rsid w:val="00926503"/>
    <w:rsid w:val="00950542"/>
    <w:rsid w:val="009726D8"/>
    <w:rsid w:val="009D7308"/>
    <w:rsid w:val="009F76DB"/>
    <w:rsid w:val="00A27829"/>
    <w:rsid w:val="00A32C3B"/>
    <w:rsid w:val="00A45F4F"/>
    <w:rsid w:val="00A600A9"/>
    <w:rsid w:val="00AA55B7"/>
    <w:rsid w:val="00AA5B9E"/>
    <w:rsid w:val="00AB2407"/>
    <w:rsid w:val="00AB53DF"/>
    <w:rsid w:val="00AD10ED"/>
    <w:rsid w:val="00AF7702"/>
    <w:rsid w:val="00B07E5C"/>
    <w:rsid w:val="00B24356"/>
    <w:rsid w:val="00B27A21"/>
    <w:rsid w:val="00B73747"/>
    <w:rsid w:val="00B811F7"/>
    <w:rsid w:val="00BA5DC6"/>
    <w:rsid w:val="00BA6196"/>
    <w:rsid w:val="00BC6D8C"/>
    <w:rsid w:val="00C34006"/>
    <w:rsid w:val="00C36B4C"/>
    <w:rsid w:val="00C426B1"/>
    <w:rsid w:val="00C51A0E"/>
    <w:rsid w:val="00C66160"/>
    <w:rsid w:val="00C721AC"/>
    <w:rsid w:val="00C74D0C"/>
    <w:rsid w:val="00C825B4"/>
    <w:rsid w:val="00C9054E"/>
    <w:rsid w:val="00C90D6A"/>
    <w:rsid w:val="00C93078"/>
    <w:rsid w:val="00CA247E"/>
    <w:rsid w:val="00CA6D21"/>
    <w:rsid w:val="00CC72B6"/>
    <w:rsid w:val="00CF69E8"/>
    <w:rsid w:val="00CF6A8D"/>
    <w:rsid w:val="00D0218D"/>
    <w:rsid w:val="00D203F9"/>
    <w:rsid w:val="00D25FB5"/>
    <w:rsid w:val="00D44223"/>
    <w:rsid w:val="00D549CF"/>
    <w:rsid w:val="00D7203C"/>
    <w:rsid w:val="00D83E46"/>
    <w:rsid w:val="00DA2529"/>
    <w:rsid w:val="00DA4354"/>
    <w:rsid w:val="00DB130A"/>
    <w:rsid w:val="00DB2EBB"/>
    <w:rsid w:val="00DC10A1"/>
    <w:rsid w:val="00DC655F"/>
    <w:rsid w:val="00DD0B59"/>
    <w:rsid w:val="00DD1075"/>
    <w:rsid w:val="00DD7EBD"/>
    <w:rsid w:val="00DF62B6"/>
    <w:rsid w:val="00E07225"/>
    <w:rsid w:val="00E0766C"/>
    <w:rsid w:val="00E5409F"/>
    <w:rsid w:val="00E77DA6"/>
    <w:rsid w:val="00E81146"/>
    <w:rsid w:val="00EB5FC0"/>
    <w:rsid w:val="00EC1B85"/>
    <w:rsid w:val="00EE6488"/>
    <w:rsid w:val="00EF66F6"/>
    <w:rsid w:val="00F021FA"/>
    <w:rsid w:val="00F6123B"/>
    <w:rsid w:val="00F62E97"/>
    <w:rsid w:val="00F64209"/>
    <w:rsid w:val="00F843EE"/>
    <w:rsid w:val="00F93BF5"/>
    <w:rsid w:val="00FE7E5C"/>
    <w:rsid w:val="2FB9B7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226767-06B7-4063-B9B1-221A4CBE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F0"/>
    <w:pPr>
      <w:widowControl w:val="0"/>
    </w:pPr>
    <w:rPr>
      <w:snapToGrid w:val="0"/>
      <w:kern w:val="28"/>
      <w:sz w:val="22"/>
    </w:rPr>
  </w:style>
  <w:style w:type="paragraph" w:styleId="Heading1">
    <w:name w:val="heading 1"/>
    <w:basedOn w:val="Normal"/>
    <w:next w:val="ParaNum"/>
    <w:qFormat/>
    <w:rsid w:val="006141F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141F0"/>
    <w:pPr>
      <w:keepNext/>
      <w:numPr>
        <w:ilvl w:val="1"/>
        <w:numId w:val="3"/>
      </w:numPr>
      <w:spacing w:after="120"/>
      <w:outlineLvl w:val="1"/>
    </w:pPr>
    <w:rPr>
      <w:b/>
    </w:rPr>
  </w:style>
  <w:style w:type="paragraph" w:styleId="Heading3">
    <w:name w:val="heading 3"/>
    <w:basedOn w:val="Normal"/>
    <w:next w:val="ParaNum"/>
    <w:qFormat/>
    <w:rsid w:val="006141F0"/>
    <w:pPr>
      <w:keepNext/>
      <w:numPr>
        <w:ilvl w:val="2"/>
        <w:numId w:val="3"/>
      </w:numPr>
      <w:tabs>
        <w:tab w:val="left" w:pos="2160"/>
      </w:tabs>
      <w:spacing w:after="120"/>
      <w:outlineLvl w:val="2"/>
    </w:pPr>
    <w:rPr>
      <w:b/>
    </w:rPr>
  </w:style>
  <w:style w:type="paragraph" w:styleId="Heading4">
    <w:name w:val="heading 4"/>
    <w:basedOn w:val="Normal"/>
    <w:next w:val="ParaNum"/>
    <w:qFormat/>
    <w:rsid w:val="006141F0"/>
    <w:pPr>
      <w:keepNext/>
      <w:numPr>
        <w:ilvl w:val="3"/>
        <w:numId w:val="3"/>
      </w:numPr>
      <w:tabs>
        <w:tab w:val="left" w:pos="2880"/>
      </w:tabs>
      <w:spacing w:after="120"/>
      <w:outlineLvl w:val="3"/>
    </w:pPr>
    <w:rPr>
      <w:b/>
    </w:rPr>
  </w:style>
  <w:style w:type="paragraph" w:styleId="Heading5">
    <w:name w:val="heading 5"/>
    <w:basedOn w:val="Normal"/>
    <w:next w:val="ParaNum"/>
    <w:qFormat/>
    <w:rsid w:val="006141F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141F0"/>
    <w:pPr>
      <w:numPr>
        <w:ilvl w:val="5"/>
        <w:numId w:val="3"/>
      </w:numPr>
      <w:tabs>
        <w:tab w:val="left" w:pos="4320"/>
      </w:tabs>
      <w:spacing w:after="120"/>
      <w:outlineLvl w:val="5"/>
    </w:pPr>
    <w:rPr>
      <w:b/>
    </w:rPr>
  </w:style>
  <w:style w:type="paragraph" w:styleId="Heading7">
    <w:name w:val="heading 7"/>
    <w:basedOn w:val="Normal"/>
    <w:next w:val="ParaNum"/>
    <w:qFormat/>
    <w:rsid w:val="006141F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141F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141F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141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41F0"/>
  </w:style>
  <w:style w:type="paragraph" w:customStyle="1" w:styleId="ParaNum">
    <w:name w:val="ParaNum"/>
    <w:basedOn w:val="Normal"/>
    <w:link w:val="ParaNumChar"/>
    <w:rsid w:val="006141F0"/>
    <w:pPr>
      <w:numPr>
        <w:numId w:val="2"/>
      </w:numPr>
      <w:tabs>
        <w:tab w:val="clear" w:pos="1080"/>
        <w:tab w:val="num" w:pos="1440"/>
      </w:tabs>
      <w:spacing w:after="120"/>
    </w:pPr>
  </w:style>
  <w:style w:type="paragraph" w:styleId="EndnoteText">
    <w:name w:val="endnote text"/>
    <w:basedOn w:val="Normal"/>
    <w:semiHidden/>
    <w:rsid w:val="006141F0"/>
    <w:rPr>
      <w:sz w:val="20"/>
    </w:rPr>
  </w:style>
  <w:style w:type="character" w:styleId="EndnoteReference">
    <w:name w:val="endnote reference"/>
    <w:semiHidden/>
    <w:rsid w:val="006141F0"/>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6141F0"/>
    <w:pPr>
      <w:spacing w:after="120"/>
    </w:pPr>
  </w:style>
  <w:style w:type="character" w:styleId="FootnoteReference">
    <w:name w:val="footnote reference"/>
    <w:rsid w:val="006141F0"/>
    <w:rPr>
      <w:rFonts w:ascii="Times New Roman" w:hAnsi="Times New Roman"/>
      <w:dstrike w:val="0"/>
      <w:color w:val="auto"/>
      <w:sz w:val="20"/>
      <w:vertAlign w:val="superscript"/>
    </w:rPr>
  </w:style>
  <w:style w:type="paragraph" w:styleId="TOC1">
    <w:name w:val="toc 1"/>
    <w:basedOn w:val="Normal"/>
    <w:next w:val="Normal"/>
    <w:semiHidden/>
    <w:rsid w:val="006141F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141F0"/>
    <w:pPr>
      <w:tabs>
        <w:tab w:val="left" w:pos="720"/>
        <w:tab w:val="right" w:leader="dot" w:pos="9360"/>
      </w:tabs>
      <w:suppressAutoHyphens/>
      <w:ind w:left="720" w:right="720" w:hanging="360"/>
    </w:pPr>
    <w:rPr>
      <w:noProof/>
    </w:rPr>
  </w:style>
  <w:style w:type="paragraph" w:styleId="TOC3">
    <w:name w:val="toc 3"/>
    <w:basedOn w:val="Normal"/>
    <w:next w:val="Normal"/>
    <w:semiHidden/>
    <w:rsid w:val="006141F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141F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141F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141F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141F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141F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141F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141F0"/>
    <w:pPr>
      <w:tabs>
        <w:tab w:val="right" w:pos="9360"/>
      </w:tabs>
      <w:suppressAutoHyphens/>
    </w:pPr>
  </w:style>
  <w:style w:type="character" w:customStyle="1" w:styleId="EquationCaption">
    <w:name w:val="_Equation Caption"/>
    <w:rsid w:val="006141F0"/>
  </w:style>
  <w:style w:type="paragraph" w:styleId="Header">
    <w:name w:val="header"/>
    <w:basedOn w:val="Normal"/>
    <w:autoRedefine/>
    <w:rsid w:val="006141F0"/>
    <w:pPr>
      <w:tabs>
        <w:tab w:val="center" w:pos="4680"/>
        <w:tab w:val="right" w:pos="9360"/>
      </w:tabs>
    </w:pPr>
    <w:rPr>
      <w:b/>
    </w:rPr>
  </w:style>
  <w:style w:type="paragraph" w:styleId="Footer">
    <w:name w:val="footer"/>
    <w:basedOn w:val="Normal"/>
    <w:link w:val="FooterChar"/>
    <w:uiPriority w:val="99"/>
    <w:rsid w:val="006141F0"/>
    <w:pPr>
      <w:tabs>
        <w:tab w:val="center" w:pos="4320"/>
        <w:tab w:val="right" w:pos="8640"/>
      </w:tabs>
    </w:pPr>
  </w:style>
  <w:style w:type="character" w:styleId="PageNumber">
    <w:name w:val="page number"/>
    <w:basedOn w:val="DefaultParagraphFont"/>
    <w:rsid w:val="006141F0"/>
  </w:style>
  <w:style w:type="paragraph" w:styleId="BlockText">
    <w:name w:val="Block Text"/>
    <w:basedOn w:val="Normal"/>
    <w:rsid w:val="006141F0"/>
    <w:pPr>
      <w:spacing w:after="240"/>
      <w:ind w:left="1440" w:right="1440"/>
    </w:pPr>
  </w:style>
  <w:style w:type="paragraph" w:customStyle="1" w:styleId="Paratitle">
    <w:name w:val="Para title"/>
    <w:basedOn w:val="Normal"/>
    <w:rsid w:val="006141F0"/>
    <w:pPr>
      <w:tabs>
        <w:tab w:val="center" w:pos="9270"/>
      </w:tabs>
      <w:spacing w:after="240"/>
    </w:pPr>
    <w:rPr>
      <w:spacing w:val="-2"/>
    </w:rPr>
  </w:style>
  <w:style w:type="paragraph" w:customStyle="1" w:styleId="Bullet">
    <w:name w:val="Bullet"/>
    <w:basedOn w:val="Normal"/>
    <w:rsid w:val="006141F0"/>
    <w:pPr>
      <w:tabs>
        <w:tab w:val="left" w:pos="2160"/>
      </w:tabs>
      <w:spacing w:after="220"/>
      <w:ind w:left="2160" w:hanging="720"/>
    </w:pPr>
  </w:style>
  <w:style w:type="paragraph" w:customStyle="1" w:styleId="TableFormat">
    <w:name w:val="TableFormat"/>
    <w:basedOn w:val="Bullet"/>
    <w:rsid w:val="006141F0"/>
    <w:pPr>
      <w:tabs>
        <w:tab w:val="clear" w:pos="2160"/>
        <w:tab w:val="left" w:pos="5040"/>
      </w:tabs>
      <w:ind w:left="5040" w:hanging="3600"/>
    </w:pPr>
  </w:style>
  <w:style w:type="paragraph" w:customStyle="1" w:styleId="TOCTitle">
    <w:name w:val="TOC Title"/>
    <w:basedOn w:val="Normal"/>
    <w:rsid w:val="006141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141F0"/>
    <w:pPr>
      <w:jc w:val="center"/>
    </w:pPr>
    <w:rPr>
      <w:rFonts w:ascii="Times New Roman Bold" w:hAnsi="Times New Roman Bold"/>
      <w:b/>
      <w:bCs/>
      <w:caps/>
      <w:szCs w:val="22"/>
    </w:rPr>
  </w:style>
  <w:style w:type="character" w:styleId="Hyperlink">
    <w:name w:val="Hyperlink"/>
    <w:rsid w:val="006141F0"/>
    <w:rPr>
      <w:color w:val="0000FF"/>
      <w:u w:val="single"/>
    </w:rPr>
  </w:style>
  <w:style w:type="character" w:customStyle="1" w:styleId="FooterChar">
    <w:name w:val="Footer Char"/>
    <w:link w:val="Footer"/>
    <w:uiPriority w:val="99"/>
    <w:rsid w:val="006141F0"/>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CF69E8"/>
  </w:style>
  <w:style w:type="character" w:customStyle="1" w:styleId="StyleNumberedparagraphs11ptChar">
    <w:name w:val="Style Numbered paragraphs + 11 pt Char"/>
    <w:rsid w:val="00CF69E8"/>
    <w:rPr>
      <w:noProof w:val="0"/>
      <w:sz w:val="22"/>
      <w:lang w:val="en-US" w:eastAsia="en-US" w:bidi="ar-SA"/>
    </w:rPr>
  </w:style>
  <w:style w:type="character" w:customStyle="1" w:styleId="ParaNumChar">
    <w:name w:val="ParaNum Char"/>
    <w:link w:val="ParaNum"/>
    <w:locked/>
    <w:rsid w:val="00CF69E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rural-health-care/healthcare-connect-fund-program/step-4-submit-funding-requests/" TargetMode="External" /><Relationship Id="rId2" Type="http://schemas.openxmlformats.org/officeDocument/2006/relationships/hyperlink" Target="https://www.usac.org/wp-content/uploads/rural-health-care/documents/handouts/Recommended-Form-Submission-Dates-FY2019.pdf" TargetMode="External" /><Relationship Id="rId3" Type="http://schemas.openxmlformats.org/officeDocument/2006/relationships/hyperlink" Target="https://www.fema.gov/disaster/4438" TargetMode="External" /><Relationship Id="rId4" Type="http://schemas.openxmlformats.org/officeDocument/2006/relationships/hyperlink" Target="https://www.usnews.com/news/best-states/oklahoma" TargetMode="External" /><Relationship Id="rId5" Type="http://schemas.openxmlformats.org/officeDocument/2006/relationships/hyperlink" Target="https://www.usnews.com/news/healthiest-communities/slideshows/top-10-states-in-danger-of-rural-hospital-closures?onepage.&amp;slide=4"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