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61278" w:rsidRPr="00606F45" w:rsidP="009421E1" w14:paraId="22D159BA" w14:textId="29631A40">
      <w:pPr>
        <w:jc w:val="right"/>
        <w:rPr>
          <w:sz w:val="22"/>
          <w:szCs w:val="22"/>
        </w:rPr>
      </w:pPr>
      <w:bookmarkStart w:id="0" w:name="_GoBack"/>
      <w:bookmarkEnd w:id="0"/>
      <w:r>
        <w:rPr>
          <w:sz w:val="22"/>
          <w:szCs w:val="22"/>
        </w:rPr>
        <w:t>DA 20-</w:t>
      </w:r>
      <w:r w:rsidR="00FF0B12">
        <w:rPr>
          <w:sz w:val="22"/>
          <w:szCs w:val="22"/>
        </w:rPr>
        <w:t>552</w:t>
      </w:r>
    </w:p>
    <w:p w:rsidR="002D676B" w:rsidRPr="00606F45" w:rsidP="00361278" w14:paraId="27AD468D" w14:textId="4C3FAC5F">
      <w:pPr>
        <w:rPr>
          <w:sz w:val="22"/>
          <w:szCs w:val="22"/>
        </w:rPr>
      </w:pPr>
    </w:p>
    <w:p w:rsidR="008159AD" w:rsidRPr="00606F45" w:rsidP="00361278" w14:paraId="41C48E01" w14:textId="36F88340">
      <w:pPr>
        <w:rPr>
          <w:sz w:val="22"/>
          <w:szCs w:val="22"/>
        </w:rPr>
      </w:pPr>
      <w:r w:rsidRPr="00606F45">
        <w:rPr>
          <w:sz w:val="22"/>
          <w:szCs w:val="22"/>
        </w:rPr>
        <w:t xml:space="preserve">Via email: </w:t>
      </w:r>
      <w:hyperlink r:id="rId5" w:history="1">
        <w:r w:rsidRPr="00606F45">
          <w:rPr>
            <w:rStyle w:val="Hyperlink"/>
            <w:sz w:val="22"/>
            <w:szCs w:val="22"/>
          </w:rPr>
          <w:t>lsachs@fcclaw.com</w:t>
        </w:r>
      </w:hyperlink>
    </w:p>
    <w:p w:rsidR="008159AD" w:rsidRPr="00606F45" w:rsidP="00361278" w14:paraId="600E36CA" w14:textId="77777777">
      <w:pPr>
        <w:rPr>
          <w:sz w:val="22"/>
          <w:szCs w:val="22"/>
        </w:rPr>
      </w:pPr>
    </w:p>
    <w:p w:rsidR="002D676B" w:rsidRPr="00606F45" w:rsidP="00361278" w14:paraId="28C75FAD" w14:textId="46C96E0A">
      <w:pPr>
        <w:rPr>
          <w:sz w:val="22"/>
          <w:szCs w:val="22"/>
        </w:rPr>
      </w:pPr>
      <w:r w:rsidRPr="00606F45">
        <w:rPr>
          <w:sz w:val="22"/>
          <w:szCs w:val="22"/>
        </w:rPr>
        <w:t>Elizabeth R. Sachs</w:t>
      </w:r>
    </w:p>
    <w:p w:rsidR="002D676B" w:rsidRPr="00606F45" w:rsidP="00361278" w14:paraId="388F5FF5" w14:textId="602BEA23">
      <w:pPr>
        <w:rPr>
          <w:sz w:val="22"/>
          <w:szCs w:val="22"/>
        </w:rPr>
      </w:pPr>
      <w:r w:rsidRPr="00606F45">
        <w:rPr>
          <w:sz w:val="22"/>
          <w:szCs w:val="22"/>
        </w:rPr>
        <w:t>Lukas, LaFuria Gutierrez &amp; Sachs, LLP</w:t>
      </w:r>
    </w:p>
    <w:p w:rsidR="002D676B" w:rsidRPr="00606F45" w:rsidP="00361278" w14:paraId="0FC219CF" w14:textId="149A53DC">
      <w:pPr>
        <w:rPr>
          <w:sz w:val="22"/>
          <w:szCs w:val="22"/>
        </w:rPr>
      </w:pPr>
      <w:r w:rsidRPr="00606F45">
        <w:rPr>
          <w:sz w:val="22"/>
          <w:szCs w:val="22"/>
        </w:rPr>
        <w:t>8300 Greensboro Drive, Suite 1200</w:t>
      </w:r>
    </w:p>
    <w:p w:rsidR="002D676B" w:rsidRPr="00606F45" w:rsidP="00361278" w14:paraId="7F8FD7A4" w14:textId="76D00DB5">
      <w:pPr>
        <w:rPr>
          <w:sz w:val="22"/>
          <w:szCs w:val="22"/>
        </w:rPr>
      </w:pPr>
      <w:r w:rsidRPr="00606F45">
        <w:rPr>
          <w:sz w:val="22"/>
          <w:szCs w:val="22"/>
        </w:rPr>
        <w:t>Tysons, VA  22102</w:t>
      </w:r>
    </w:p>
    <w:p w:rsidR="008159AD" w:rsidRPr="00606F45" w:rsidP="00361278" w14:paraId="26AAC254" w14:textId="7FEDE7CE">
      <w:pPr>
        <w:rPr>
          <w:sz w:val="22"/>
          <w:szCs w:val="22"/>
        </w:rPr>
      </w:pPr>
    </w:p>
    <w:p w:rsidR="00E078CD" w:rsidRPr="00606F45" w:rsidP="00361278" w14:paraId="3A592542" w14:textId="77777777">
      <w:pPr>
        <w:rPr>
          <w:sz w:val="22"/>
          <w:szCs w:val="22"/>
        </w:rPr>
      </w:pPr>
      <w:r w:rsidRPr="00606F45">
        <w:rPr>
          <w:sz w:val="22"/>
          <w:szCs w:val="22"/>
        </w:rPr>
        <w:t>Re:</w:t>
      </w:r>
      <w:r w:rsidRPr="00606F45">
        <w:rPr>
          <w:sz w:val="22"/>
          <w:szCs w:val="22"/>
        </w:rPr>
        <w:tab/>
      </w:r>
      <w:r w:rsidRPr="00606F45" w:rsidR="004F40EC">
        <w:rPr>
          <w:sz w:val="22"/>
          <w:szCs w:val="22"/>
        </w:rPr>
        <w:t xml:space="preserve">Long Island Power Authority – </w:t>
      </w:r>
      <w:r w:rsidRPr="00606F45">
        <w:rPr>
          <w:sz w:val="22"/>
          <w:szCs w:val="22"/>
        </w:rPr>
        <w:t>Request for Waiver</w:t>
      </w:r>
    </w:p>
    <w:p w:rsidR="008159AD" w:rsidRPr="00606F45" w:rsidP="00CF61D5" w14:paraId="64E2BB20" w14:textId="592D4FBF">
      <w:pPr>
        <w:ind w:firstLine="720"/>
        <w:rPr>
          <w:sz w:val="22"/>
          <w:szCs w:val="22"/>
        </w:rPr>
      </w:pPr>
      <w:r w:rsidRPr="00606F45">
        <w:rPr>
          <w:sz w:val="22"/>
          <w:szCs w:val="22"/>
        </w:rPr>
        <w:t xml:space="preserve">ULS </w:t>
      </w:r>
      <w:r w:rsidRPr="00606F45">
        <w:rPr>
          <w:sz w:val="22"/>
          <w:szCs w:val="22"/>
        </w:rPr>
        <w:t>File Nos. 0008855861, 0008855985, 0008855993</w:t>
      </w:r>
    </w:p>
    <w:p w:rsidR="00361278" w:rsidRPr="00606F45" w:rsidP="00361278" w14:paraId="0372084A" w14:textId="77777777">
      <w:pPr>
        <w:rPr>
          <w:sz w:val="22"/>
          <w:szCs w:val="22"/>
        </w:rPr>
      </w:pPr>
    </w:p>
    <w:p w:rsidR="00361278" w:rsidRPr="00606F45" w:rsidP="00361278" w14:paraId="48B4A1CD" w14:textId="6A464855">
      <w:pPr>
        <w:rPr>
          <w:sz w:val="22"/>
          <w:szCs w:val="22"/>
        </w:rPr>
      </w:pPr>
      <w:r w:rsidRPr="00606F45">
        <w:rPr>
          <w:sz w:val="22"/>
          <w:szCs w:val="22"/>
        </w:rPr>
        <w:t>Dear</w:t>
      </w:r>
      <w:r w:rsidRPr="00606F45" w:rsidR="002D676B">
        <w:rPr>
          <w:sz w:val="22"/>
          <w:szCs w:val="22"/>
        </w:rPr>
        <w:t xml:space="preserve"> Ms. Sachs</w:t>
      </w:r>
      <w:r w:rsidRPr="00606F45">
        <w:rPr>
          <w:sz w:val="22"/>
          <w:szCs w:val="22"/>
        </w:rPr>
        <w:t>:</w:t>
      </w:r>
    </w:p>
    <w:p w:rsidR="002D676B" w:rsidRPr="00606F45" w:rsidP="00361278" w14:paraId="2551E77B" w14:textId="522A2429">
      <w:pPr>
        <w:rPr>
          <w:sz w:val="22"/>
          <w:szCs w:val="22"/>
        </w:rPr>
      </w:pPr>
    </w:p>
    <w:p w:rsidR="00BE7630" w:rsidP="00361278" w14:paraId="0FD65A4B" w14:textId="03A72198">
      <w:pPr>
        <w:rPr>
          <w:sz w:val="22"/>
          <w:szCs w:val="22"/>
        </w:rPr>
      </w:pPr>
      <w:r w:rsidRPr="00606F45">
        <w:rPr>
          <w:sz w:val="22"/>
          <w:szCs w:val="22"/>
        </w:rPr>
        <w:tab/>
        <w:t xml:space="preserve">This letter addresses the request filed on behalf of </w:t>
      </w:r>
      <w:r w:rsidRPr="00606F45" w:rsidR="00E078CD">
        <w:rPr>
          <w:sz w:val="22"/>
          <w:szCs w:val="22"/>
        </w:rPr>
        <w:t xml:space="preserve">the </w:t>
      </w:r>
      <w:r w:rsidRPr="00606F45">
        <w:rPr>
          <w:sz w:val="22"/>
          <w:szCs w:val="22"/>
        </w:rPr>
        <w:t xml:space="preserve">Long Island </w:t>
      </w:r>
      <w:r w:rsidRPr="00606F45" w:rsidR="00E078CD">
        <w:rPr>
          <w:sz w:val="22"/>
          <w:szCs w:val="22"/>
        </w:rPr>
        <w:t xml:space="preserve">Lighting Company d/b/a Long Island </w:t>
      </w:r>
      <w:r w:rsidRPr="00606F45">
        <w:rPr>
          <w:sz w:val="22"/>
          <w:szCs w:val="22"/>
        </w:rPr>
        <w:t>Power Authority (LIPA) seeking a waiver of the 900 MHz application freeze.</w:t>
      </w:r>
      <w:r>
        <w:rPr>
          <w:rStyle w:val="FootnoteReference"/>
          <w:sz w:val="22"/>
          <w:szCs w:val="22"/>
        </w:rPr>
        <w:footnoteReference w:id="2"/>
      </w:r>
      <w:r w:rsidRPr="00606F45">
        <w:rPr>
          <w:sz w:val="22"/>
          <w:szCs w:val="22"/>
        </w:rPr>
        <w:t xml:space="preserve">  </w:t>
      </w:r>
      <w:r w:rsidRPr="00606F45" w:rsidR="00F641D6">
        <w:rPr>
          <w:sz w:val="22"/>
          <w:szCs w:val="22"/>
        </w:rPr>
        <w:t xml:space="preserve">LIPA is a </w:t>
      </w:r>
      <w:r w:rsidR="00F641D6">
        <w:rPr>
          <w:sz w:val="22"/>
          <w:szCs w:val="22"/>
        </w:rPr>
        <w:t xml:space="preserve">New York State </w:t>
      </w:r>
      <w:r w:rsidRPr="00606F45" w:rsidR="00F641D6">
        <w:rPr>
          <w:sz w:val="22"/>
          <w:szCs w:val="22"/>
        </w:rPr>
        <w:t xml:space="preserve">governmental entity </w:t>
      </w:r>
      <w:r w:rsidR="00F641D6">
        <w:rPr>
          <w:sz w:val="22"/>
          <w:szCs w:val="22"/>
        </w:rPr>
        <w:t>and is</w:t>
      </w:r>
      <w:r w:rsidRPr="00606F45" w:rsidR="00F641D6">
        <w:rPr>
          <w:sz w:val="22"/>
          <w:szCs w:val="22"/>
        </w:rPr>
        <w:t xml:space="preserve"> the sole provider of electric utility transmission and distribution service to 1.1 million customers in Nassau County, Suffolk County</w:t>
      </w:r>
      <w:r w:rsidR="00F641D6">
        <w:rPr>
          <w:sz w:val="22"/>
          <w:szCs w:val="22"/>
        </w:rPr>
        <w:t>,</w:t>
      </w:r>
      <w:r w:rsidRPr="00606F45" w:rsidR="00F641D6">
        <w:rPr>
          <w:sz w:val="22"/>
          <w:szCs w:val="22"/>
        </w:rPr>
        <w:t xml:space="preserve"> and the Rockaway Peninsula in Queens County.</w:t>
      </w:r>
      <w:r>
        <w:rPr>
          <w:rStyle w:val="FootnoteReference"/>
          <w:sz w:val="22"/>
          <w:szCs w:val="22"/>
        </w:rPr>
        <w:footnoteReference w:id="3"/>
      </w:r>
      <w:r w:rsidR="00F641D6">
        <w:rPr>
          <w:sz w:val="22"/>
          <w:szCs w:val="22"/>
        </w:rPr>
        <w:t xml:space="preserve">  </w:t>
      </w:r>
      <w:r w:rsidRPr="00606F45">
        <w:rPr>
          <w:sz w:val="22"/>
          <w:szCs w:val="22"/>
        </w:rPr>
        <w:t>For the reasons set forth below, we grant LIPA’s request.</w:t>
      </w:r>
    </w:p>
    <w:p w:rsidR="00104BD2" w:rsidP="00361278" w14:paraId="3DC0748C" w14:textId="77777777">
      <w:pPr>
        <w:rPr>
          <w:sz w:val="22"/>
          <w:szCs w:val="22"/>
        </w:rPr>
      </w:pPr>
    </w:p>
    <w:p w:rsidR="00AA50BE" w:rsidRPr="00AA4EAC" w:rsidP="00AA50BE" w14:paraId="02C2175B" w14:textId="72A93EC5">
      <w:pPr>
        <w:ind w:firstLine="720"/>
      </w:pPr>
      <w:r w:rsidRPr="00606F45">
        <w:rPr>
          <w:sz w:val="22"/>
          <w:szCs w:val="22"/>
        </w:rPr>
        <w:t xml:space="preserve">In </w:t>
      </w:r>
      <w:r w:rsidRPr="00606F45" w:rsidR="00803D23">
        <w:rPr>
          <w:sz w:val="22"/>
          <w:szCs w:val="22"/>
        </w:rPr>
        <w:t xml:space="preserve">September </w:t>
      </w:r>
      <w:r w:rsidRPr="00606F45">
        <w:rPr>
          <w:sz w:val="22"/>
          <w:szCs w:val="22"/>
        </w:rPr>
        <w:t>2018, the Wireless Telecommunications Bureau (WTB) suspended the acceptance of applications for new or expanded 900 MHz operations to maintain a stable spectral landscape while the Commission determined how to proceed with respect to that spectrum.</w:t>
      </w:r>
      <w:r>
        <w:rPr>
          <w:rStyle w:val="FootnoteReference"/>
          <w:sz w:val="22"/>
          <w:szCs w:val="22"/>
        </w:rPr>
        <w:footnoteReference w:id="4"/>
      </w:r>
      <w:r w:rsidRPr="00606F45" w:rsidR="00803D23">
        <w:rPr>
          <w:sz w:val="22"/>
          <w:szCs w:val="22"/>
        </w:rPr>
        <w:t xml:space="preserve">  </w:t>
      </w:r>
      <w:r w:rsidR="00890D68">
        <w:rPr>
          <w:sz w:val="22"/>
          <w:szCs w:val="22"/>
        </w:rPr>
        <w:t>The</w:t>
      </w:r>
      <w:r w:rsidRPr="00F06F84" w:rsidR="00F06F84">
        <w:rPr>
          <w:sz w:val="22"/>
          <w:szCs w:val="22"/>
        </w:rPr>
        <w:t xml:space="preserve"> </w:t>
      </w:r>
      <w:r w:rsidRPr="00F06F84" w:rsidR="00F06F84">
        <w:rPr>
          <w:i/>
          <w:sz w:val="22"/>
          <w:szCs w:val="22"/>
        </w:rPr>
        <w:t xml:space="preserve">Public Notice </w:t>
      </w:r>
      <w:r w:rsidRPr="00F06F84" w:rsidR="00F06F84">
        <w:rPr>
          <w:sz w:val="22"/>
          <w:szCs w:val="22"/>
        </w:rPr>
        <w:t>noted that licensees have recourse via the Commission's waiver provisions to request an exception to the freeze.</w:t>
      </w:r>
      <w:r>
        <w:rPr>
          <w:sz w:val="22"/>
          <w:szCs w:val="22"/>
          <w:vertAlign w:val="superscript"/>
        </w:rPr>
        <w:footnoteReference w:id="5"/>
      </w:r>
      <w:r w:rsidRPr="00AA50BE">
        <w:rPr>
          <w:sz w:val="22"/>
          <w:szCs w:val="22"/>
        </w:rPr>
        <w:t xml:space="preserve"> </w:t>
      </w:r>
      <w:r>
        <w:rPr>
          <w:sz w:val="22"/>
          <w:szCs w:val="22"/>
        </w:rPr>
        <w:t xml:space="preserve"> </w:t>
      </w:r>
      <w:r w:rsidR="00AA4EAC">
        <w:rPr>
          <w:sz w:val="22"/>
          <w:szCs w:val="22"/>
        </w:rPr>
        <w:t xml:space="preserve">In March 2019, the Commission released a </w:t>
      </w:r>
      <w:r w:rsidR="00AA4EAC">
        <w:rPr>
          <w:i/>
          <w:sz w:val="22"/>
          <w:szCs w:val="22"/>
        </w:rPr>
        <w:t xml:space="preserve">Notice of Proposed Rulemaking </w:t>
      </w:r>
      <w:r w:rsidR="00AA4EAC">
        <w:rPr>
          <w:sz w:val="22"/>
          <w:szCs w:val="22"/>
        </w:rPr>
        <w:t xml:space="preserve">proposing to realign the 900 </w:t>
      </w:r>
      <w:r w:rsidR="00AA4EAC">
        <w:rPr>
          <w:sz w:val="22"/>
          <w:szCs w:val="22"/>
        </w:rPr>
        <w:t>MHz band to create a 3/3 megahertz broadband segment, while reserving the remaining 2/2 megahertz of spectrum for narrowband operations.</w:t>
      </w:r>
      <w:r>
        <w:rPr>
          <w:rStyle w:val="FootnoteReference"/>
          <w:sz w:val="22"/>
          <w:szCs w:val="22"/>
        </w:rPr>
        <w:footnoteReference w:id="6"/>
      </w:r>
    </w:p>
    <w:p w:rsidR="006225F7" w:rsidRPr="00606F45" w:rsidP="003A7C3A" w14:paraId="0285C929" w14:textId="1E4BF144">
      <w:pPr>
        <w:tabs>
          <w:tab w:val="left" w:pos="6620"/>
        </w:tabs>
        <w:ind w:firstLine="720"/>
        <w:rPr>
          <w:sz w:val="22"/>
          <w:szCs w:val="22"/>
        </w:rPr>
      </w:pPr>
    </w:p>
    <w:p w:rsidR="00D74FCD" w:rsidP="00FB79E6" w14:paraId="00DAE1EC" w14:textId="733A32E2">
      <w:pPr>
        <w:ind w:firstLine="720"/>
        <w:rPr>
          <w:sz w:val="22"/>
          <w:szCs w:val="22"/>
        </w:rPr>
      </w:pPr>
      <w:r>
        <w:rPr>
          <w:sz w:val="22"/>
          <w:szCs w:val="22"/>
        </w:rPr>
        <w:t xml:space="preserve">In October 2019, LIPA filed a request to waive the 900 MHz application freeze in order to </w:t>
      </w:r>
      <w:r w:rsidR="00D36753">
        <w:rPr>
          <w:sz w:val="22"/>
          <w:szCs w:val="22"/>
        </w:rPr>
        <w:t xml:space="preserve">facilitate an </w:t>
      </w:r>
      <w:r>
        <w:rPr>
          <w:sz w:val="22"/>
          <w:szCs w:val="22"/>
        </w:rPr>
        <w:t xml:space="preserve">upgrade </w:t>
      </w:r>
      <w:r w:rsidR="00D36753">
        <w:rPr>
          <w:sz w:val="22"/>
          <w:szCs w:val="22"/>
        </w:rPr>
        <w:t xml:space="preserve">to </w:t>
      </w:r>
      <w:r>
        <w:rPr>
          <w:sz w:val="22"/>
          <w:szCs w:val="22"/>
        </w:rPr>
        <w:t>its legacy system</w:t>
      </w:r>
      <w:r w:rsidR="00FE6511">
        <w:rPr>
          <w:sz w:val="22"/>
          <w:szCs w:val="22"/>
        </w:rPr>
        <w:t>.</w:t>
      </w:r>
      <w:r>
        <w:rPr>
          <w:rStyle w:val="FootnoteReference"/>
          <w:sz w:val="22"/>
          <w:szCs w:val="22"/>
        </w:rPr>
        <w:footnoteReference w:id="7"/>
      </w:r>
      <w:r w:rsidR="00FE6511">
        <w:rPr>
          <w:sz w:val="22"/>
          <w:szCs w:val="22"/>
        </w:rPr>
        <w:t xml:space="preserve">  LIPA states that</w:t>
      </w:r>
      <w:r>
        <w:rPr>
          <w:sz w:val="22"/>
          <w:szCs w:val="22"/>
        </w:rPr>
        <w:t xml:space="preserve"> it has operated throughout</w:t>
      </w:r>
      <w:r w:rsidRPr="00606F45" w:rsidR="003B0076">
        <w:rPr>
          <w:sz w:val="22"/>
          <w:szCs w:val="22"/>
        </w:rPr>
        <w:t xml:space="preserve"> Long Island since the 1970s</w:t>
      </w:r>
      <w:r>
        <w:rPr>
          <w:sz w:val="22"/>
          <w:szCs w:val="22"/>
        </w:rPr>
        <w:t xml:space="preserve"> and </w:t>
      </w:r>
      <w:r w:rsidR="00FE6511">
        <w:rPr>
          <w:sz w:val="22"/>
          <w:szCs w:val="22"/>
        </w:rPr>
        <w:t xml:space="preserve">that the system is no longer supported by </w:t>
      </w:r>
      <w:r w:rsidR="00240FA0">
        <w:rPr>
          <w:sz w:val="22"/>
          <w:szCs w:val="22"/>
        </w:rPr>
        <w:t>its</w:t>
      </w:r>
      <w:r w:rsidR="00FE6511">
        <w:rPr>
          <w:sz w:val="22"/>
          <w:szCs w:val="22"/>
        </w:rPr>
        <w:t xml:space="preserve"> vendors</w:t>
      </w:r>
      <w:r w:rsidRPr="00606F45" w:rsidR="003B0076">
        <w:rPr>
          <w:sz w:val="22"/>
          <w:szCs w:val="22"/>
        </w:rPr>
        <w:t>.</w:t>
      </w:r>
      <w:r>
        <w:rPr>
          <w:rStyle w:val="FootnoteReference"/>
          <w:sz w:val="22"/>
          <w:szCs w:val="22"/>
        </w:rPr>
        <w:footnoteReference w:id="8"/>
      </w:r>
      <w:r w:rsidRPr="00606F45" w:rsidR="003B0076">
        <w:rPr>
          <w:sz w:val="22"/>
          <w:szCs w:val="22"/>
        </w:rPr>
        <w:t xml:space="preserve">  LIPA </w:t>
      </w:r>
      <w:r w:rsidR="005769F1">
        <w:rPr>
          <w:sz w:val="22"/>
          <w:szCs w:val="22"/>
        </w:rPr>
        <w:t>explains that it is in the process of</w:t>
      </w:r>
      <w:r w:rsidRPr="00606F45" w:rsidR="003B0076">
        <w:rPr>
          <w:sz w:val="22"/>
          <w:szCs w:val="22"/>
        </w:rPr>
        <w:t xml:space="preserve"> upgrading to a P-25 Phase II digital, trunked, simulcast system, </w:t>
      </w:r>
      <w:r w:rsidR="003B0076">
        <w:rPr>
          <w:sz w:val="22"/>
          <w:szCs w:val="22"/>
        </w:rPr>
        <w:t xml:space="preserve">which </w:t>
      </w:r>
      <w:r w:rsidRPr="00606F45" w:rsidR="003B0076">
        <w:rPr>
          <w:sz w:val="22"/>
          <w:szCs w:val="22"/>
        </w:rPr>
        <w:t>will provide enhanced capacity and facilitate interoperability during mutual aid operations and power restoration work</w:t>
      </w:r>
      <w:r w:rsidR="003B0076">
        <w:rPr>
          <w:sz w:val="22"/>
          <w:szCs w:val="22"/>
        </w:rPr>
        <w:t xml:space="preserve"> </w:t>
      </w:r>
      <w:r w:rsidR="00845D0F">
        <w:rPr>
          <w:sz w:val="22"/>
          <w:szCs w:val="22"/>
        </w:rPr>
        <w:t xml:space="preserve">in coordination </w:t>
      </w:r>
      <w:r w:rsidR="003B0076">
        <w:rPr>
          <w:sz w:val="22"/>
          <w:szCs w:val="22"/>
        </w:rPr>
        <w:t>with the Public Service Electric &amp; Gas Company in New Jersey</w:t>
      </w:r>
      <w:r w:rsidRPr="00606F45" w:rsidR="003B0076">
        <w:rPr>
          <w:sz w:val="22"/>
          <w:szCs w:val="22"/>
        </w:rPr>
        <w:t>.</w:t>
      </w:r>
      <w:r>
        <w:rPr>
          <w:rStyle w:val="FootnoteReference"/>
          <w:sz w:val="22"/>
          <w:szCs w:val="22"/>
        </w:rPr>
        <w:footnoteReference w:id="9"/>
      </w:r>
    </w:p>
    <w:p w:rsidR="00D74FCD" w:rsidP="00FB79E6" w14:paraId="3DE103A2" w14:textId="77777777">
      <w:pPr>
        <w:ind w:firstLine="720"/>
        <w:rPr>
          <w:sz w:val="22"/>
          <w:szCs w:val="22"/>
        </w:rPr>
      </w:pPr>
    </w:p>
    <w:p w:rsidR="00BE121D" w:rsidP="00FB79E6" w14:paraId="078DD3A0" w14:textId="2E9C2CA0">
      <w:pPr>
        <w:ind w:firstLine="720"/>
        <w:rPr>
          <w:sz w:val="22"/>
          <w:szCs w:val="22"/>
        </w:rPr>
      </w:pPr>
      <w:r>
        <w:rPr>
          <w:sz w:val="22"/>
          <w:szCs w:val="22"/>
        </w:rPr>
        <w:t xml:space="preserve">LIPA </w:t>
      </w:r>
      <w:r w:rsidR="00017269">
        <w:rPr>
          <w:sz w:val="22"/>
          <w:szCs w:val="22"/>
        </w:rPr>
        <w:t>indicates</w:t>
      </w:r>
      <w:r w:rsidR="00274615">
        <w:rPr>
          <w:sz w:val="22"/>
          <w:szCs w:val="22"/>
        </w:rPr>
        <w:t xml:space="preserve"> that it began discussing the frequency plan for its proposed system with Anterix</w:t>
      </w:r>
      <w:r w:rsidR="00EF4C87">
        <w:rPr>
          <w:sz w:val="22"/>
          <w:szCs w:val="22"/>
        </w:rPr>
        <w:t>, a proponent of 900 MHz realignment to transition to broadband,</w:t>
      </w:r>
      <w:r w:rsidR="00274615">
        <w:rPr>
          <w:sz w:val="22"/>
          <w:szCs w:val="22"/>
        </w:rPr>
        <w:t xml:space="preserve"> as early as 2017</w:t>
      </w:r>
      <w:r w:rsidR="006E3B81">
        <w:rPr>
          <w:sz w:val="22"/>
          <w:szCs w:val="22"/>
        </w:rPr>
        <w:t xml:space="preserve">, </w:t>
      </w:r>
      <w:r w:rsidR="00017269">
        <w:rPr>
          <w:sz w:val="22"/>
          <w:szCs w:val="22"/>
        </w:rPr>
        <w:t>because</w:t>
      </w:r>
      <w:r w:rsidR="00196BD8">
        <w:rPr>
          <w:sz w:val="22"/>
          <w:szCs w:val="22"/>
        </w:rPr>
        <w:t xml:space="preserve"> </w:t>
      </w:r>
      <w:r w:rsidR="00864C7E">
        <w:rPr>
          <w:sz w:val="22"/>
          <w:szCs w:val="22"/>
        </w:rPr>
        <w:t xml:space="preserve">it </w:t>
      </w:r>
      <w:r w:rsidR="00357075">
        <w:rPr>
          <w:sz w:val="22"/>
          <w:szCs w:val="22"/>
        </w:rPr>
        <w:t>“</w:t>
      </w:r>
      <w:r w:rsidR="00864C7E">
        <w:rPr>
          <w:sz w:val="22"/>
          <w:szCs w:val="22"/>
        </w:rPr>
        <w:t>wished</w:t>
      </w:r>
      <w:r>
        <w:rPr>
          <w:sz w:val="22"/>
          <w:szCs w:val="22"/>
        </w:rPr>
        <w:t xml:space="preserve"> to</w:t>
      </w:r>
      <w:r w:rsidR="00E42BCA">
        <w:rPr>
          <w:sz w:val="22"/>
          <w:szCs w:val="22"/>
        </w:rPr>
        <w:t xml:space="preserve"> </w:t>
      </w:r>
      <w:r w:rsidR="00AA50BE">
        <w:rPr>
          <w:sz w:val="22"/>
          <w:szCs w:val="22"/>
        </w:rPr>
        <w:t xml:space="preserve">avoid </w:t>
      </w:r>
      <w:r w:rsidRPr="00606F45" w:rsidR="0060758F">
        <w:rPr>
          <w:sz w:val="22"/>
          <w:szCs w:val="22"/>
        </w:rPr>
        <w:t>future frequency changes and the associated system reprogramming should the FCC proceed with a realignment of the 900 MHz band to create a broadband segment.</w:t>
      </w:r>
      <w:r w:rsidR="00357075">
        <w:rPr>
          <w:sz w:val="22"/>
          <w:szCs w:val="22"/>
        </w:rPr>
        <w:t>”</w:t>
      </w:r>
      <w:r>
        <w:rPr>
          <w:rStyle w:val="FootnoteReference"/>
          <w:sz w:val="22"/>
          <w:szCs w:val="22"/>
        </w:rPr>
        <w:footnoteReference w:id="10"/>
      </w:r>
      <w:r w:rsidRPr="00606F45" w:rsidR="0060758F">
        <w:rPr>
          <w:sz w:val="22"/>
          <w:szCs w:val="22"/>
        </w:rPr>
        <w:t xml:space="preserve">  </w:t>
      </w:r>
      <w:r w:rsidR="00357075">
        <w:rPr>
          <w:sz w:val="22"/>
          <w:szCs w:val="22"/>
        </w:rPr>
        <w:t>LIPA</w:t>
      </w:r>
      <w:r w:rsidRPr="00606F45" w:rsidR="0060758F">
        <w:rPr>
          <w:sz w:val="22"/>
          <w:szCs w:val="22"/>
        </w:rPr>
        <w:t xml:space="preserve"> entered into an agreement with Anterix to exchange five 900 MHz channels so </w:t>
      </w:r>
      <w:r w:rsidRPr="00606F45" w:rsidR="008759D9">
        <w:rPr>
          <w:sz w:val="22"/>
          <w:szCs w:val="22"/>
        </w:rPr>
        <w:t xml:space="preserve">that </w:t>
      </w:r>
      <w:r w:rsidRPr="00606F45" w:rsidR="0060758F">
        <w:rPr>
          <w:sz w:val="22"/>
          <w:szCs w:val="22"/>
        </w:rPr>
        <w:t xml:space="preserve">LIPA’s system could be deployed from the outset </w:t>
      </w:r>
      <w:bookmarkStart w:id="1" w:name="_Hlk40906562"/>
      <w:r w:rsidRPr="00606F45" w:rsidR="0060758F">
        <w:rPr>
          <w:sz w:val="22"/>
          <w:szCs w:val="22"/>
        </w:rPr>
        <w:t>on channels outside the then-proposed broadband segment</w:t>
      </w:r>
      <w:bookmarkEnd w:id="1"/>
      <w:r w:rsidR="00EF4C87">
        <w:rPr>
          <w:sz w:val="22"/>
          <w:szCs w:val="22"/>
        </w:rPr>
        <w:t xml:space="preserve">, thus </w:t>
      </w:r>
      <w:r w:rsidRPr="00606F45" w:rsidR="00EF4C87">
        <w:rPr>
          <w:sz w:val="22"/>
          <w:szCs w:val="22"/>
        </w:rPr>
        <w:t>ensur</w:t>
      </w:r>
      <w:r w:rsidR="00EF4C87">
        <w:rPr>
          <w:sz w:val="22"/>
          <w:szCs w:val="22"/>
        </w:rPr>
        <w:t>ing that</w:t>
      </w:r>
      <w:r w:rsidRPr="00606F45" w:rsidR="00EF4C87">
        <w:rPr>
          <w:sz w:val="22"/>
          <w:szCs w:val="22"/>
        </w:rPr>
        <w:t xml:space="preserve"> LIPA’s frequency plan would not disrupt the Commission’s proposed realignment of the 900 MHz band</w:t>
      </w:r>
      <w:r w:rsidRPr="00606F45" w:rsidR="0060758F">
        <w:rPr>
          <w:sz w:val="22"/>
          <w:szCs w:val="22"/>
        </w:rPr>
        <w:t>.</w:t>
      </w:r>
      <w:r>
        <w:rPr>
          <w:rStyle w:val="FootnoteReference"/>
          <w:sz w:val="22"/>
          <w:szCs w:val="22"/>
        </w:rPr>
        <w:footnoteReference w:id="11"/>
      </w:r>
      <w:r w:rsidRPr="00606F45" w:rsidR="00020A52">
        <w:rPr>
          <w:sz w:val="22"/>
          <w:szCs w:val="22"/>
        </w:rPr>
        <w:t xml:space="preserve">  </w:t>
      </w:r>
    </w:p>
    <w:p w:rsidR="001044A3" w:rsidP="00FB79E6" w14:paraId="3868CA1F" w14:textId="271ED27E">
      <w:pPr>
        <w:ind w:firstLine="720"/>
        <w:rPr>
          <w:sz w:val="22"/>
          <w:szCs w:val="22"/>
        </w:rPr>
      </w:pPr>
    </w:p>
    <w:p w:rsidR="001044A3" w:rsidRPr="006C6BD3" w:rsidP="00FB79E6" w14:paraId="647DED55" w14:textId="54B88802">
      <w:pPr>
        <w:ind w:firstLine="720"/>
        <w:rPr>
          <w:sz w:val="22"/>
          <w:szCs w:val="22"/>
        </w:rPr>
      </w:pPr>
      <w:r w:rsidRPr="00104BD2">
        <w:rPr>
          <w:sz w:val="22"/>
          <w:szCs w:val="22"/>
        </w:rPr>
        <w:t xml:space="preserve">On May 14, 2020, the Commission released </w:t>
      </w:r>
      <w:r>
        <w:rPr>
          <w:sz w:val="22"/>
          <w:szCs w:val="22"/>
        </w:rPr>
        <w:t>a</w:t>
      </w:r>
      <w:r w:rsidRPr="00104BD2">
        <w:rPr>
          <w:sz w:val="22"/>
          <w:szCs w:val="22"/>
        </w:rPr>
        <w:t xml:space="preserve"> Report and Order in the 900 MHz proceeding </w:t>
      </w:r>
      <w:r>
        <w:rPr>
          <w:sz w:val="22"/>
          <w:szCs w:val="22"/>
        </w:rPr>
        <w:t xml:space="preserve">that </w:t>
      </w:r>
      <w:r w:rsidRPr="001044A3">
        <w:rPr>
          <w:sz w:val="22"/>
          <w:szCs w:val="22"/>
        </w:rPr>
        <w:t>create</w:t>
      </w:r>
      <w:r>
        <w:rPr>
          <w:sz w:val="22"/>
          <w:szCs w:val="22"/>
        </w:rPr>
        <w:t>d</w:t>
      </w:r>
      <w:r w:rsidRPr="001044A3">
        <w:rPr>
          <w:sz w:val="22"/>
          <w:szCs w:val="22"/>
        </w:rPr>
        <w:t xml:space="preserve"> a 3/3 megahertz broadband segment</w:t>
      </w:r>
      <w:r>
        <w:rPr>
          <w:sz w:val="22"/>
          <w:szCs w:val="22"/>
        </w:rPr>
        <w:t xml:space="preserve"> and</w:t>
      </w:r>
      <w:r w:rsidRPr="001044A3">
        <w:t xml:space="preserve"> </w:t>
      </w:r>
      <w:r>
        <w:t xml:space="preserve">adopted </w:t>
      </w:r>
      <w:r w:rsidRPr="001044A3">
        <w:rPr>
          <w:sz w:val="22"/>
          <w:szCs w:val="22"/>
        </w:rPr>
        <w:t>a transition mechanism based primarily on negotiations between prospective broadband licensees and existing narrowband incumbent licensees</w:t>
      </w:r>
      <w:r w:rsidRPr="00104BD2">
        <w:rPr>
          <w:sz w:val="22"/>
          <w:szCs w:val="22"/>
        </w:rPr>
        <w:t>.</w:t>
      </w:r>
      <w:r>
        <w:rPr>
          <w:rStyle w:val="FootnoteReference"/>
          <w:sz w:val="22"/>
          <w:szCs w:val="22"/>
        </w:rPr>
        <w:footnoteReference w:id="12"/>
      </w:r>
      <w:r w:rsidRPr="00104BD2">
        <w:rPr>
          <w:sz w:val="22"/>
          <w:szCs w:val="22"/>
        </w:rPr>
        <w:t xml:space="preserve">  The Commission partially lifted the 900 MHz freeze for relocation of incumbents as part of a Transition Plan, but </w:t>
      </w:r>
      <w:r>
        <w:rPr>
          <w:sz w:val="22"/>
          <w:szCs w:val="22"/>
        </w:rPr>
        <w:t xml:space="preserve">the Commission </w:t>
      </w:r>
      <w:r w:rsidRPr="00104BD2">
        <w:rPr>
          <w:sz w:val="22"/>
          <w:szCs w:val="22"/>
        </w:rPr>
        <w:t>clarified that the current freeze</w:t>
      </w:r>
      <w:r>
        <w:rPr>
          <w:sz w:val="22"/>
          <w:szCs w:val="22"/>
        </w:rPr>
        <w:t xml:space="preserve"> </w:t>
      </w:r>
      <w:r w:rsidR="00B63F12">
        <w:rPr>
          <w:sz w:val="22"/>
          <w:szCs w:val="22"/>
        </w:rPr>
        <w:t>remains</w:t>
      </w:r>
      <w:r>
        <w:rPr>
          <w:sz w:val="22"/>
          <w:szCs w:val="22"/>
        </w:rPr>
        <w:t xml:space="preserve"> in place and</w:t>
      </w:r>
      <w:r w:rsidRPr="00104BD2">
        <w:rPr>
          <w:sz w:val="22"/>
          <w:szCs w:val="22"/>
        </w:rPr>
        <w:t xml:space="preserve"> continues to prohibit contour extensions.  </w:t>
      </w:r>
      <w:r w:rsidR="00FF3597">
        <w:rPr>
          <w:sz w:val="22"/>
          <w:szCs w:val="22"/>
        </w:rPr>
        <w:t>The</w:t>
      </w:r>
      <w:r w:rsidRPr="001044A3">
        <w:rPr>
          <w:sz w:val="22"/>
          <w:szCs w:val="22"/>
        </w:rPr>
        <w:t xml:space="preserve"> channels </w:t>
      </w:r>
      <w:r w:rsidR="00FF3597">
        <w:rPr>
          <w:sz w:val="22"/>
          <w:szCs w:val="22"/>
        </w:rPr>
        <w:t xml:space="preserve">that LIPA seeks to acquire for the upgrade to its system are </w:t>
      </w:r>
      <w:r w:rsidRPr="001044A3">
        <w:rPr>
          <w:sz w:val="22"/>
          <w:szCs w:val="22"/>
        </w:rPr>
        <w:t>outside the broadband segment</w:t>
      </w:r>
      <w:r w:rsidR="00FF3597">
        <w:rPr>
          <w:sz w:val="22"/>
          <w:szCs w:val="22"/>
        </w:rPr>
        <w:t xml:space="preserve"> created by the Commission in the </w:t>
      </w:r>
      <w:r w:rsidRPr="006A5402" w:rsidR="00FF3597">
        <w:rPr>
          <w:i/>
          <w:iCs/>
        </w:rPr>
        <w:t>900 MHz R&amp;O</w:t>
      </w:r>
      <w:r w:rsidRPr="00104BD2" w:rsidR="00FF3597">
        <w:t>.</w:t>
      </w:r>
    </w:p>
    <w:p w:rsidR="006E508B" w:rsidRPr="00606F45" w:rsidP="00A07364" w14:paraId="0B8C38E0" w14:textId="1D6EA0E6">
      <w:pPr>
        <w:ind w:firstLine="720"/>
        <w:rPr>
          <w:sz w:val="22"/>
          <w:szCs w:val="22"/>
        </w:rPr>
      </w:pPr>
    </w:p>
    <w:p w:rsidR="0077782E" w:rsidP="008B6F6D" w14:paraId="0B71D76D" w14:textId="77777777">
      <w:pPr>
        <w:ind w:firstLine="720"/>
        <w:rPr>
          <w:sz w:val="22"/>
          <w:szCs w:val="22"/>
        </w:rPr>
      </w:pPr>
      <w:r>
        <w:rPr>
          <w:i/>
          <w:sz w:val="22"/>
          <w:szCs w:val="22"/>
        </w:rPr>
        <w:t xml:space="preserve">Discussion.  </w:t>
      </w:r>
      <w:r w:rsidRPr="008B6F6D" w:rsidR="008B6F6D">
        <w:rPr>
          <w:sz w:val="22"/>
          <w:szCs w:val="22"/>
        </w:rPr>
        <w:t xml:space="preserve">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w:t>
      </w:r>
      <w:r w:rsidRPr="008B6F6D" w:rsidR="008B6F6D">
        <w:rPr>
          <w:sz w:val="22"/>
          <w:szCs w:val="22"/>
        </w:rPr>
        <w:t>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13"/>
      </w:r>
    </w:p>
    <w:p w:rsidR="0077782E" w:rsidP="008B6F6D" w14:paraId="343CE804" w14:textId="77777777">
      <w:pPr>
        <w:ind w:firstLine="720"/>
        <w:rPr>
          <w:sz w:val="22"/>
          <w:szCs w:val="22"/>
        </w:rPr>
      </w:pPr>
    </w:p>
    <w:p w:rsidR="002759F1" w:rsidP="00017269" w14:paraId="1E59C6BA" w14:textId="3D7AC687">
      <w:pPr>
        <w:ind w:firstLine="720"/>
        <w:rPr>
          <w:sz w:val="22"/>
          <w:szCs w:val="22"/>
        </w:rPr>
      </w:pPr>
      <w:r>
        <w:rPr>
          <w:sz w:val="22"/>
          <w:szCs w:val="22"/>
        </w:rPr>
        <w:t>LIPA</w:t>
      </w:r>
      <w:r w:rsidRPr="008B6F6D">
        <w:rPr>
          <w:sz w:val="22"/>
          <w:szCs w:val="22"/>
        </w:rPr>
        <w:t xml:space="preserve"> asserts that it meets </w:t>
      </w:r>
      <w:r>
        <w:rPr>
          <w:sz w:val="22"/>
          <w:szCs w:val="22"/>
        </w:rPr>
        <w:t>both</w:t>
      </w:r>
      <w:r w:rsidRPr="008B6F6D">
        <w:rPr>
          <w:sz w:val="22"/>
          <w:szCs w:val="22"/>
        </w:rPr>
        <w:t xml:space="preserve"> prong</w:t>
      </w:r>
      <w:r>
        <w:rPr>
          <w:sz w:val="22"/>
          <w:szCs w:val="22"/>
        </w:rPr>
        <w:t>s</w:t>
      </w:r>
      <w:r w:rsidRPr="008B6F6D">
        <w:rPr>
          <w:sz w:val="22"/>
          <w:szCs w:val="22"/>
        </w:rPr>
        <w:t xml:space="preserve"> of the waiver standard</w:t>
      </w:r>
      <w:r w:rsidR="000F4667">
        <w:rPr>
          <w:sz w:val="22"/>
          <w:szCs w:val="22"/>
        </w:rPr>
        <w:t xml:space="preserve">, arguing </w:t>
      </w:r>
      <w:r w:rsidR="00D36753">
        <w:rPr>
          <w:sz w:val="22"/>
          <w:szCs w:val="22"/>
        </w:rPr>
        <w:t xml:space="preserve">that the purpose of the freeze </w:t>
      </w:r>
      <w:r w:rsidR="000F4667">
        <w:rPr>
          <w:sz w:val="22"/>
          <w:szCs w:val="22"/>
        </w:rPr>
        <w:t>would not be frustrated by a grant in this case, and that application of the freeze here would not be in the public interest</w:t>
      </w:r>
      <w:r w:rsidRPr="008B6F6D">
        <w:rPr>
          <w:sz w:val="22"/>
          <w:szCs w:val="22"/>
        </w:rPr>
        <w:t>.</w:t>
      </w:r>
      <w:r>
        <w:rPr>
          <w:rStyle w:val="FootnoteReference"/>
          <w:sz w:val="22"/>
          <w:szCs w:val="22"/>
        </w:rPr>
        <w:footnoteReference w:id="14"/>
      </w:r>
      <w:r w:rsidR="0077782E">
        <w:rPr>
          <w:sz w:val="22"/>
          <w:szCs w:val="22"/>
        </w:rPr>
        <w:t xml:space="preserve">  </w:t>
      </w:r>
      <w:r w:rsidR="00D36753">
        <w:rPr>
          <w:sz w:val="22"/>
          <w:szCs w:val="22"/>
        </w:rPr>
        <w:t xml:space="preserve">Specifically, </w:t>
      </w:r>
      <w:r w:rsidR="0027441F">
        <w:rPr>
          <w:sz w:val="22"/>
          <w:szCs w:val="22"/>
        </w:rPr>
        <w:t xml:space="preserve">LIPA </w:t>
      </w:r>
      <w:r w:rsidR="000A43DE">
        <w:rPr>
          <w:sz w:val="22"/>
          <w:szCs w:val="22"/>
        </w:rPr>
        <w:t xml:space="preserve">explains </w:t>
      </w:r>
      <w:r w:rsidR="007A65D3">
        <w:rPr>
          <w:sz w:val="22"/>
          <w:szCs w:val="22"/>
        </w:rPr>
        <w:t xml:space="preserve">that application of the </w:t>
      </w:r>
      <w:r w:rsidR="00D36753">
        <w:rPr>
          <w:sz w:val="22"/>
          <w:szCs w:val="22"/>
        </w:rPr>
        <w:t xml:space="preserve">freeze </w:t>
      </w:r>
      <w:r w:rsidR="007A65D3">
        <w:rPr>
          <w:sz w:val="22"/>
          <w:szCs w:val="22"/>
        </w:rPr>
        <w:t xml:space="preserve">would be contrary to the public interest because, absent a waiver, </w:t>
      </w:r>
      <w:r w:rsidR="001D2232">
        <w:rPr>
          <w:sz w:val="22"/>
          <w:szCs w:val="22"/>
        </w:rPr>
        <w:t>it</w:t>
      </w:r>
      <w:r w:rsidR="007A65D3">
        <w:rPr>
          <w:sz w:val="22"/>
          <w:szCs w:val="22"/>
        </w:rPr>
        <w:t xml:space="preserve"> would </w:t>
      </w:r>
      <w:r w:rsidR="00E525BB">
        <w:rPr>
          <w:sz w:val="22"/>
          <w:szCs w:val="22"/>
        </w:rPr>
        <w:t xml:space="preserve">be required </w:t>
      </w:r>
      <w:r w:rsidR="007A65D3">
        <w:rPr>
          <w:sz w:val="22"/>
          <w:szCs w:val="22"/>
        </w:rPr>
        <w:t xml:space="preserve">to </w:t>
      </w:r>
      <w:r w:rsidR="00E525BB">
        <w:rPr>
          <w:sz w:val="22"/>
          <w:szCs w:val="22"/>
        </w:rPr>
        <w:t xml:space="preserve">retrieve and </w:t>
      </w:r>
      <w:r w:rsidR="007A65D3">
        <w:rPr>
          <w:sz w:val="22"/>
          <w:szCs w:val="22"/>
        </w:rPr>
        <w:t xml:space="preserve">reprogram </w:t>
      </w:r>
      <w:r w:rsidR="00E525BB">
        <w:rPr>
          <w:sz w:val="22"/>
          <w:szCs w:val="22"/>
        </w:rPr>
        <w:t>several hundred units that have already been distributed to its workforce</w:t>
      </w:r>
      <w:r w:rsidR="007A65D3">
        <w:rPr>
          <w:sz w:val="22"/>
          <w:szCs w:val="22"/>
        </w:rPr>
        <w:t xml:space="preserve">, </w:t>
      </w:r>
      <w:r w:rsidR="00E525BB">
        <w:rPr>
          <w:sz w:val="22"/>
          <w:szCs w:val="22"/>
        </w:rPr>
        <w:t xml:space="preserve">a time-consuming and costly undertaking </w:t>
      </w:r>
      <w:r w:rsidR="00402F80">
        <w:rPr>
          <w:sz w:val="22"/>
          <w:szCs w:val="22"/>
        </w:rPr>
        <w:t xml:space="preserve">that would </w:t>
      </w:r>
      <w:r w:rsidR="007A65D3">
        <w:rPr>
          <w:sz w:val="22"/>
          <w:szCs w:val="22"/>
        </w:rPr>
        <w:t>delay deployment</w:t>
      </w:r>
      <w:r w:rsidR="00F95832">
        <w:rPr>
          <w:sz w:val="22"/>
          <w:szCs w:val="22"/>
        </w:rPr>
        <w:t xml:space="preserve"> of an essential system upgrade</w:t>
      </w:r>
      <w:r w:rsidR="007A65D3">
        <w:rPr>
          <w:sz w:val="22"/>
          <w:szCs w:val="22"/>
        </w:rPr>
        <w:t xml:space="preserve"> </w:t>
      </w:r>
      <w:r w:rsidR="00CC5E57">
        <w:rPr>
          <w:sz w:val="22"/>
          <w:szCs w:val="22"/>
        </w:rPr>
        <w:t xml:space="preserve">and contravene </w:t>
      </w:r>
      <w:r w:rsidR="009657F6">
        <w:rPr>
          <w:sz w:val="22"/>
          <w:szCs w:val="22"/>
        </w:rPr>
        <w:t>efforts</w:t>
      </w:r>
      <w:r w:rsidR="00CC5E57">
        <w:rPr>
          <w:sz w:val="22"/>
          <w:szCs w:val="22"/>
        </w:rPr>
        <w:t xml:space="preserve"> to avoid future system disruptions</w:t>
      </w:r>
      <w:r w:rsidR="007A65D3">
        <w:rPr>
          <w:sz w:val="22"/>
          <w:szCs w:val="22"/>
        </w:rPr>
        <w:t>.</w:t>
      </w:r>
      <w:r>
        <w:rPr>
          <w:rStyle w:val="FootnoteReference"/>
          <w:sz w:val="22"/>
          <w:szCs w:val="22"/>
        </w:rPr>
        <w:footnoteReference w:id="15"/>
      </w:r>
      <w:r w:rsidR="007A65D3">
        <w:rPr>
          <w:sz w:val="22"/>
          <w:szCs w:val="22"/>
        </w:rPr>
        <w:t xml:space="preserve">  </w:t>
      </w:r>
      <w:r w:rsidR="00FE24F7">
        <w:rPr>
          <w:sz w:val="22"/>
          <w:szCs w:val="22"/>
        </w:rPr>
        <w:t>LIPA argues that application of the 900 MHz Freeze would be contrary to the public interest because the company is “a state-created electric utility providing an essential service to more than a million customers” and waiver is necessary to</w:t>
      </w:r>
      <w:r w:rsidR="007576C9">
        <w:rPr>
          <w:sz w:val="22"/>
          <w:szCs w:val="22"/>
        </w:rPr>
        <w:t xml:space="preserve"> benefit its many customers and </w:t>
      </w:r>
      <w:r w:rsidR="00FE24F7">
        <w:rPr>
          <w:sz w:val="22"/>
          <w:szCs w:val="22"/>
        </w:rPr>
        <w:t>avoid disruption, delay, and expense</w:t>
      </w:r>
      <w:r w:rsidR="007576C9">
        <w:rPr>
          <w:sz w:val="22"/>
          <w:szCs w:val="22"/>
        </w:rPr>
        <w:t>.</w:t>
      </w:r>
      <w:r>
        <w:rPr>
          <w:rStyle w:val="FootnoteReference"/>
          <w:sz w:val="22"/>
          <w:szCs w:val="22"/>
        </w:rPr>
        <w:footnoteReference w:id="16"/>
      </w:r>
      <w:r w:rsidR="00C72C1E">
        <w:rPr>
          <w:sz w:val="22"/>
          <w:szCs w:val="22"/>
        </w:rPr>
        <w:t xml:space="preserve">  </w:t>
      </w:r>
      <w:r w:rsidR="00402F80">
        <w:rPr>
          <w:sz w:val="22"/>
          <w:szCs w:val="22"/>
        </w:rPr>
        <w:t>LIPA also states that it was working through “the myriad details involved in a project of this size, including equipment procurement, site acquisition, lease negotiations, FCC licensing, and other activities when the 900 MHz Freeze was announced.”</w:t>
      </w:r>
      <w:r>
        <w:rPr>
          <w:rStyle w:val="FootnoteReference"/>
          <w:sz w:val="22"/>
          <w:szCs w:val="22"/>
        </w:rPr>
        <w:footnoteReference w:id="17"/>
      </w:r>
      <w:r w:rsidR="00D54D14">
        <w:rPr>
          <w:sz w:val="22"/>
          <w:szCs w:val="22"/>
        </w:rPr>
        <w:t xml:space="preserve">  </w:t>
      </w:r>
    </w:p>
    <w:p w:rsidR="00017269" w:rsidP="00017269" w14:paraId="684C6D24" w14:textId="77777777">
      <w:pPr>
        <w:ind w:firstLine="720"/>
        <w:rPr>
          <w:sz w:val="22"/>
          <w:szCs w:val="22"/>
        </w:rPr>
      </w:pPr>
    </w:p>
    <w:p w:rsidR="00AC601F" w:rsidP="00DE660A" w14:paraId="1BD6EEBC" w14:textId="380C719D">
      <w:pPr>
        <w:ind w:firstLine="720"/>
        <w:rPr>
          <w:sz w:val="22"/>
          <w:szCs w:val="22"/>
        </w:rPr>
      </w:pPr>
      <w:r>
        <w:rPr>
          <w:sz w:val="22"/>
          <w:szCs w:val="22"/>
        </w:rPr>
        <w:t>We conclude that</w:t>
      </w:r>
      <w:r w:rsidR="00CA009F">
        <w:rPr>
          <w:sz w:val="22"/>
          <w:szCs w:val="22"/>
        </w:rPr>
        <w:t xml:space="preserve"> LIPA has satisfied the </w:t>
      </w:r>
      <w:r w:rsidR="00481065">
        <w:rPr>
          <w:sz w:val="22"/>
          <w:szCs w:val="22"/>
        </w:rPr>
        <w:t xml:space="preserve">first prong of the </w:t>
      </w:r>
      <w:r w:rsidR="00CA009F">
        <w:rPr>
          <w:sz w:val="22"/>
          <w:szCs w:val="22"/>
        </w:rPr>
        <w:t xml:space="preserve">waiver standard and </w:t>
      </w:r>
      <w:r w:rsidR="00481065">
        <w:rPr>
          <w:sz w:val="22"/>
          <w:szCs w:val="22"/>
        </w:rPr>
        <w:t xml:space="preserve">therefore </w:t>
      </w:r>
      <w:r w:rsidR="00481983">
        <w:rPr>
          <w:sz w:val="22"/>
          <w:szCs w:val="22"/>
        </w:rPr>
        <w:t xml:space="preserve">we </w:t>
      </w:r>
      <w:r w:rsidR="007160FE">
        <w:rPr>
          <w:sz w:val="22"/>
          <w:szCs w:val="22"/>
        </w:rPr>
        <w:t xml:space="preserve">grant </w:t>
      </w:r>
      <w:r w:rsidR="00CA009F">
        <w:rPr>
          <w:sz w:val="22"/>
          <w:szCs w:val="22"/>
        </w:rPr>
        <w:t xml:space="preserve">its request.  </w:t>
      </w:r>
      <w:r w:rsidR="006C6BD3">
        <w:rPr>
          <w:sz w:val="22"/>
          <w:szCs w:val="22"/>
        </w:rPr>
        <w:t xml:space="preserve">In the </w:t>
      </w:r>
      <w:r w:rsidRPr="00104BD2" w:rsidR="006C6BD3">
        <w:rPr>
          <w:i/>
          <w:iCs/>
        </w:rPr>
        <w:t>900 MHz R&amp;O</w:t>
      </w:r>
      <w:r w:rsidR="006C6BD3">
        <w:rPr>
          <w:sz w:val="22"/>
          <w:szCs w:val="22"/>
        </w:rPr>
        <w:t xml:space="preserve">, the Commission </w:t>
      </w:r>
      <w:r w:rsidRPr="00481983" w:rsidR="00481983">
        <w:rPr>
          <w:sz w:val="22"/>
          <w:szCs w:val="22"/>
        </w:rPr>
        <w:t>maintain</w:t>
      </w:r>
      <w:r w:rsidR="00387766">
        <w:rPr>
          <w:sz w:val="22"/>
          <w:szCs w:val="22"/>
        </w:rPr>
        <w:t>ed</w:t>
      </w:r>
      <w:r w:rsidRPr="00481983" w:rsidR="00481983">
        <w:rPr>
          <w:sz w:val="22"/>
          <w:szCs w:val="22"/>
        </w:rPr>
        <w:t xml:space="preserve"> the current freeze</w:t>
      </w:r>
      <w:r w:rsidR="006C6BD3">
        <w:rPr>
          <w:sz w:val="22"/>
          <w:szCs w:val="22"/>
        </w:rPr>
        <w:t xml:space="preserve">, </w:t>
      </w:r>
      <w:r w:rsidRPr="00481983" w:rsidR="00481983">
        <w:rPr>
          <w:sz w:val="22"/>
          <w:szCs w:val="22"/>
        </w:rPr>
        <w:t>except for relocation purposes tied to prospective broadband licensees’ transition plans because doing so enables a more efficient transition to the provision of broadband through a realigned 900 MHz band.</w:t>
      </w:r>
      <w:r>
        <w:rPr>
          <w:rStyle w:val="FootnoteReference"/>
          <w:sz w:val="22"/>
          <w:szCs w:val="22"/>
        </w:rPr>
        <w:footnoteReference w:id="18"/>
      </w:r>
      <w:r w:rsidR="00CF154A">
        <w:rPr>
          <w:sz w:val="22"/>
          <w:szCs w:val="22"/>
        </w:rPr>
        <w:t xml:space="preserve"> </w:t>
      </w:r>
      <w:r w:rsidR="007160FE">
        <w:rPr>
          <w:sz w:val="22"/>
          <w:szCs w:val="22"/>
        </w:rPr>
        <w:t xml:space="preserve"> </w:t>
      </w:r>
      <w:r w:rsidR="00CF154A">
        <w:rPr>
          <w:sz w:val="22"/>
          <w:szCs w:val="22"/>
        </w:rPr>
        <w:t xml:space="preserve">We find that grant of </w:t>
      </w:r>
      <w:r w:rsidR="001959E8">
        <w:rPr>
          <w:sz w:val="22"/>
          <w:szCs w:val="22"/>
        </w:rPr>
        <w:t xml:space="preserve">LIPA’s </w:t>
      </w:r>
      <w:r w:rsidR="00F95832">
        <w:rPr>
          <w:sz w:val="22"/>
          <w:szCs w:val="22"/>
        </w:rPr>
        <w:t>request for waiver</w:t>
      </w:r>
      <w:r w:rsidR="006C6BD3">
        <w:rPr>
          <w:sz w:val="22"/>
          <w:szCs w:val="22"/>
        </w:rPr>
        <w:t>, however,</w:t>
      </w:r>
      <w:r w:rsidR="00F95832">
        <w:rPr>
          <w:sz w:val="22"/>
          <w:szCs w:val="22"/>
        </w:rPr>
        <w:t xml:space="preserve"> </w:t>
      </w:r>
      <w:r w:rsidR="00387766">
        <w:rPr>
          <w:sz w:val="22"/>
          <w:szCs w:val="22"/>
        </w:rPr>
        <w:t xml:space="preserve">would not undermine the purpose of the freeze.  </w:t>
      </w:r>
      <w:r w:rsidR="009249BE">
        <w:rPr>
          <w:sz w:val="22"/>
          <w:szCs w:val="22"/>
        </w:rPr>
        <w:t>Grant of LIPA’s request</w:t>
      </w:r>
      <w:r w:rsidR="00387766">
        <w:rPr>
          <w:sz w:val="22"/>
          <w:szCs w:val="22"/>
        </w:rPr>
        <w:t xml:space="preserve"> </w:t>
      </w:r>
      <w:r w:rsidR="00F95832">
        <w:rPr>
          <w:sz w:val="22"/>
          <w:szCs w:val="22"/>
        </w:rPr>
        <w:t xml:space="preserve">ultimately </w:t>
      </w:r>
      <w:r w:rsidR="006C6BD3">
        <w:rPr>
          <w:sz w:val="22"/>
          <w:szCs w:val="22"/>
        </w:rPr>
        <w:t xml:space="preserve">will </w:t>
      </w:r>
      <w:r w:rsidR="00CF154A">
        <w:rPr>
          <w:sz w:val="22"/>
          <w:szCs w:val="22"/>
        </w:rPr>
        <w:t xml:space="preserve">result </w:t>
      </w:r>
      <w:r w:rsidR="001959E8">
        <w:rPr>
          <w:sz w:val="22"/>
          <w:szCs w:val="22"/>
        </w:rPr>
        <w:t>in a</w:t>
      </w:r>
      <w:r w:rsidRPr="00606F45" w:rsidR="001959E8">
        <w:rPr>
          <w:sz w:val="22"/>
          <w:szCs w:val="22"/>
        </w:rPr>
        <w:t xml:space="preserve"> </w:t>
      </w:r>
      <w:r w:rsidRPr="00606F45" w:rsidR="001959E8">
        <w:rPr>
          <w:i/>
          <w:sz w:val="22"/>
          <w:szCs w:val="22"/>
        </w:rPr>
        <w:t>de minimis</w:t>
      </w:r>
      <w:r w:rsidRPr="00606F45" w:rsidR="001959E8">
        <w:rPr>
          <w:sz w:val="22"/>
          <w:szCs w:val="22"/>
        </w:rPr>
        <w:t xml:space="preserve"> net change to the </w:t>
      </w:r>
      <w:r w:rsidR="007160FE">
        <w:rPr>
          <w:sz w:val="22"/>
          <w:szCs w:val="22"/>
        </w:rPr>
        <w:t>geographic</w:t>
      </w:r>
      <w:r w:rsidRPr="00606F45" w:rsidR="007160FE">
        <w:rPr>
          <w:sz w:val="22"/>
          <w:szCs w:val="22"/>
        </w:rPr>
        <w:t xml:space="preserve"> </w:t>
      </w:r>
      <w:r w:rsidR="008D0005">
        <w:rPr>
          <w:sz w:val="22"/>
          <w:szCs w:val="22"/>
        </w:rPr>
        <w:t>landscape</w:t>
      </w:r>
      <w:r w:rsidR="00CF154A">
        <w:rPr>
          <w:sz w:val="22"/>
          <w:szCs w:val="22"/>
        </w:rPr>
        <w:t>, given the</w:t>
      </w:r>
      <w:r w:rsidR="00A9638A">
        <w:rPr>
          <w:sz w:val="22"/>
          <w:szCs w:val="22"/>
        </w:rPr>
        <w:t xml:space="preserve"> </w:t>
      </w:r>
      <w:r w:rsidRPr="00606F45" w:rsidR="009C6533">
        <w:rPr>
          <w:sz w:val="22"/>
          <w:szCs w:val="22"/>
        </w:rPr>
        <w:t>relocati</w:t>
      </w:r>
      <w:r w:rsidR="00CF154A">
        <w:rPr>
          <w:sz w:val="22"/>
          <w:szCs w:val="22"/>
        </w:rPr>
        <w:t>on</w:t>
      </w:r>
      <w:r w:rsidRPr="00606F45" w:rsidR="009C6533">
        <w:rPr>
          <w:sz w:val="22"/>
          <w:szCs w:val="22"/>
        </w:rPr>
        <w:t xml:space="preserve"> </w:t>
      </w:r>
      <w:r w:rsidR="00CF154A">
        <w:rPr>
          <w:sz w:val="22"/>
          <w:szCs w:val="22"/>
        </w:rPr>
        <w:t xml:space="preserve">of </w:t>
      </w:r>
      <w:r w:rsidRPr="00606F45" w:rsidR="009C6533">
        <w:rPr>
          <w:sz w:val="22"/>
          <w:szCs w:val="22"/>
        </w:rPr>
        <w:t>channels from Anterix’s sites cover</w:t>
      </w:r>
      <w:r w:rsidR="00CF154A">
        <w:rPr>
          <w:sz w:val="22"/>
          <w:szCs w:val="22"/>
        </w:rPr>
        <w:t>ing</w:t>
      </w:r>
      <w:r w:rsidRPr="00606F45" w:rsidR="009C6533">
        <w:rPr>
          <w:sz w:val="22"/>
          <w:szCs w:val="22"/>
        </w:rPr>
        <w:t xml:space="preserve"> all of Manhattan and parts of Long Island and New Jersey, to LIPA’s sites covering</w:t>
      </w:r>
      <w:r w:rsidR="007160FE">
        <w:rPr>
          <w:sz w:val="22"/>
          <w:szCs w:val="22"/>
        </w:rPr>
        <w:t xml:space="preserve"> virtually all of</w:t>
      </w:r>
      <w:r w:rsidRPr="00606F45" w:rsidR="009C6533">
        <w:rPr>
          <w:sz w:val="22"/>
          <w:szCs w:val="22"/>
        </w:rPr>
        <w:t xml:space="preserve"> Long Island and larger water areas.</w:t>
      </w:r>
      <w:r w:rsidRPr="00686926" w:rsidR="00686926">
        <w:rPr>
          <w:rStyle w:val="FootnoteReference"/>
          <w:sz w:val="22"/>
          <w:szCs w:val="22"/>
        </w:rPr>
        <w:t xml:space="preserve"> </w:t>
      </w:r>
      <w:r>
        <w:rPr>
          <w:rStyle w:val="FootnoteReference"/>
          <w:sz w:val="22"/>
          <w:szCs w:val="22"/>
        </w:rPr>
        <w:footnoteReference w:id="19"/>
      </w:r>
      <w:r w:rsidRPr="00606F45" w:rsidR="009C6533">
        <w:rPr>
          <w:sz w:val="22"/>
          <w:szCs w:val="22"/>
        </w:rPr>
        <w:t xml:space="preserve">  </w:t>
      </w:r>
      <w:r w:rsidR="00CF154A">
        <w:rPr>
          <w:sz w:val="22"/>
          <w:szCs w:val="22"/>
        </w:rPr>
        <w:t xml:space="preserve">Further, grant of LIPA’s </w:t>
      </w:r>
      <w:r w:rsidR="00F95832">
        <w:rPr>
          <w:sz w:val="22"/>
          <w:szCs w:val="22"/>
        </w:rPr>
        <w:t>waiver request</w:t>
      </w:r>
      <w:r w:rsidRPr="00606F45" w:rsidR="00CF154A">
        <w:rPr>
          <w:sz w:val="22"/>
          <w:szCs w:val="22"/>
        </w:rPr>
        <w:t xml:space="preserve"> </w:t>
      </w:r>
      <w:r w:rsidR="00F95832">
        <w:rPr>
          <w:sz w:val="22"/>
          <w:szCs w:val="22"/>
        </w:rPr>
        <w:t xml:space="preserve">ultimately </w:t>
      </w:r>
      <w:r w:rsidR="006C6BD3">
        <w:rPr>
          <w:sz w:val="22"/>
          <w:szCs w:val="22"/>
        </w:rPr>
        <w:t xml:space="preserve">will </w:t>
      </w:r>
      <w:r w:rsidRPr="00606F45" w:rsidR="009C6533">
        <w:rPr>
          <w:sz w:val="22"/>
          <w:szCs w:val="22"/>
        </w:rPr>
        <w:t>result in a substantial net decrease of population cover</w:t>
      </w:r>
      <w:r w:rsidR="007160FE">
        <w:rPr>
          <w:sz w:val="22"/>
          <w:szCs w:val="22"/>
        </w:rPr>
        <w:t xml:space="preserve">age by relocating </w:t>
      </w:r>
      <w:r w:rsidR="00B66704">
        <w:rPr>
          <w:sz w:val="22"/>
          <w:szCs w:val="22"/>
        </w:rPr>
        <w:t xml:space="preserve">channels </w:t>
      </w:r>
      <w:r w:rsidR="00430B68">
        <w:rPr>
          <w:sz w:val="22"/>
          <w:szCs w:val="22"/>
        </w:rPr>
        <w:t>from facilities currently covering Manhattan to facilities in a network tailored to covering</w:t>
      </w:r>
      <w:r w:rsidRPr="00606F45" w:rsidR="00DB30F4">
        <w:rPr>
          <w:sz w:val="22"/>
          <w:szCs w:val="22"/>
        </w:rPr>
        <w:t xml:space="preserve"> Long Island.  </w:t>
      </w:r>
      <w:r w:rsidR="00D26574">
        <w:rPr>
          <w:sz w:val="22"/>
          <w:szCs w:val="22"/>
        </w:rPr>
        <w:t xml:space="preserve">We find this </w:t>
      </w:r>
      <w:r w:rsidR="009249BE">
        <w:rPr>
          <w:sz w:val="22"/>
          <w:szCs w:val="22"/>
        </w:rPr>
        <w:t xml:space="preserve">situation </w:t>
      </w:r>
      <w:r w:rsidR="008D0005">
        <w:rPr>
          <w:sz w:val="22"/>
          <w:szCs w:val="22"/>
        </w:rPr>
        <w:t xml:space="preserve">distinguishable from </w:t>
      </w:r>
      <w:r w:rsidR="005C0E91">
        <w:rPr>
          <w:sz w:val="22"/>
          <w:szCs w:val="22"/>
        </w:rPr>
        <w:t>our</w:t>
      </w:r>
      <w:r w:rsidR="008D0005">
        <w:rPr>
          <w:sz w:val="22"/>
          <w:szCs w:val="22"/>
        </w:rPr>
        <w:t xml:space="preserve"> </w:t>
      </w:r>
      <w:r w:rsidR="00D80C3D">
        <w:rPr>
          <w:sz w:val="22"/>
          <w:szCs w:val="22"/>
        </w:rPr>
        <w:t xml:space="preserve">denial of a </w:t>
      </w:r>
      <w:r w:rsidR="005C0E91">
        <w:rPr>
          <w:sz w:val="22"/>
          <w:szCs w:val="22"/>
        </w:rPr>
        <w:t xml:space="preserve">900 MHz freeze </w:t>
      </w:r>
      <w:r w:rsidR="008D0005">
        <w:rPr>
          <w:sz w:val="22"/>
          <w:szCs w:val="22"/>
        </w:rPr>
        <w:t xml:space="preserve">waiver request in </w:t>
      </w:r>
      <w:r w:rsidR="008D0005">
        <w:rPr>
          <w:i/>
          <w:sz w:val="22"/>
          <w:szCs w:val="22"/>
        </w:rPr>
        <w:t>Rohm and Haas Texas Inc.</w:t>
      </w:r>
      <w:r w:rsidR="008D0005">
        <w:rPr>
          <w:sz w:val="22"/>
          <w:szCs w:val="22"/>
        </w:rPr>
        <w:t>,</w:t>
      </w:r>
      <w:r>
        <w:rPr>
          <w:rStyle w:val="FootnoteReference"/>
          <w:sz w:val="22"/>
          <w:szCs w:val="22"/>
        </w:rPr>
        <w:footnoteReference w:id="20"/>
      </w:r>
      <w:r w:rsidR="00131A55">
        <w:rPr>
          <w:sz w:val="22"/>
          <w:szCs w:val="22"/>
        </w:rPr>
        <w:t xml:space="preserve"> </w:t>
      </w:r>
      <w:r w:rsidR="00D80C3D">
        <w:rPr>
          <w:sz w:val="22"/>
          <w:szCs w:val="22"/>
        </w:rPr>
        <w:t>where the narrowband incumben</w:t>
      </w:r>
      <w:r w:rsidR="00864821">
        <w:rPr>
          <w:sz w:val="22"/>
          <w:szCs w:val="22"/>
        </w:rPr>
        <w:t>t</w:t>
      </w:r>
      <w:r w:rsidR="00D80C3D">
        <w:rPr>
          <w:sz w:val="22"/>
          <w:szCs w:val="22"/>
        </w:rPr>
        <w:t xml:space="preserve"> </w:t>
      </w:r>
      <w:r w:rsidR="005C0E91">
        <w:rPr>
          <w:sz w:val="22"/>
          <w:szCs w:val="22"/>
        </w:rPr>
        <w:t xml:space="preserve">sought to </w:t>
      </w:r>
      <w:r w:rsidR="002F19B5">
        <w:rPr>
          <w:sz w:val="22"/>
          <w:szCs w:val="22"/>
        </w:rPr>
        <w:t xml:space="preserve">expand </w:t>
      </w:r>
      <w:r w:rsidR="00D80C3D">
        <w:rPr>
          <w:sz w:val="22"/>
          <w:szCs w:val="22"/>
        </w:rPr>
        <w:t xml:space="preserve">its </w:t>
      </w:r>
      <w:r w:rsidR="002F19B5">
        <w:rPr>
          <w:sz w:val="22"/>
          <w:szCs w:val="22"/>
        </w:rPr>
        <w:t>use of 900 MHz frequencies</w:t>
      </w:r>
      <w:r w:rsidR="005C0E91">
        <w:rPr>
          <w:sz w:val="22"/>
          <w:szCs w:val="22"/>
        </w:rPr>
        <w:t xml:space="preserve"> by adding capacity and relocating operations substantially closer to a major market</w:t>
      </w:r>
      <w:r w:rsidR="002F19B5">
        <w:rPr>
          <w:sz w:val="22"/>
          <w:szCs w:val="22"/>
        </w:rPr>
        <w:t>.</w:t>
      </w:r>
      <w:r>
        <w:rPr>
          <w:rStyle w:val="FootnoteReference"/>
          <w:sz w:val="22"/>
          <w:szCs w:val="22"/>
        </w:rPr>
        <w:footnoteReference w:id="21"/>
      </w:r>
    </w:p>
    <w:p w:rsidR="001959E8" w:rsidP="00C43179" w14:paraId="22BCE1EA" w14:textId="77777777">
      <w:pPr>
        <w:rPr>
          <w:sz w:val="22"/>
          <w:szCs w:val="22"/>
        </w:rPr>
      </w:pPr>
    </w:p>
    <w:p w:rsidR="009B0E70" w:rsidRPr="00606F45" w:rsidP="00ED5056" w14:paraId="5913CB6B" w14:textId="6DE9CFCF">
      <w:pPr>
        <w:ind w:firstLine="720"/>
        <w:rPr>
          <w:sz w:val="22"/>
          <w:szCs w:val="22"/>
        </w:rPr>
      </w:pPr>
      <w:r>
        <w:rPr>
          <w:sz w:val="22"/>
          <w:szCs w:val="22"/>
        </w:rPr>
        <w:t>In addition, we find</w:t>
      </w:r>
      <w:r w:rsidR="00C2409E">
        <w:rPr>
          <w:sz w:val="22"/>
          <w:szCs w:val="22"/>
        </w:rPr>
        <w:t xml:space="preserve"> that </w:t>
      </w:r>
      <w:r w:rsidR="00C66566">
        <w:rPr>
          <w:sz w:val="22"/>
          <w:szCs w:val="22"/>
        </w:rPr>
        <w:t xml:space="preserve">a grant of </w:t>
      </w:r>
      <w:r w:rsidR="002759F1">
        <w:rPr>
          <w:sz w:val="22"/>
          <w:szCs w:val="22"/>
        </w:rPr>
        <w:t>LIPA</w:t>
      </w:r>
      <w:r w:rsidR="00F95832">
        <w:rPr>
          <w:sz w:val="22"/>
          <w:szCs w:val="22"/>
        </w:rPr>
        <w:t>’s</w:t>
      </w:r>
      <w:r w:rsidR="002759F1">
        <w:rPr>
          <w:sz w:val="22"/>
          <w:szCs w:val="22"/>
        </w:rPr>
        <w:t xml:space="preserve"> waiver </w:t>
      </w:r>
      <w:r w:rsidR="00C66566">
        <w:rPr>
          <w:sz w:val="22"/>
          <w:szCs w:val="22"/>
        </w:rPr>
        <w:t>request</w:t>
      </w:r>
      <w:r w:rsidR="0027441F">
        <w:rPr>
          <w:sz w:val="22"/>
          <w:szCs w:val="22"/>
        </w:rPr>
        <w:t xml:space="preserve"> </w:t>
      </w:r>
      <w:r w:rsidR="00E3503E">
        <w:rPr>
          <w:sz w:val="22"/>
          <w:szCs w:val="22"/>
        </w:rPr>
        <w:t>would be in the public interest</w:t>
      </w:r>
      <w:r w:rsidR="002D5983">
        <w:rPr>
          <w:sz w:val="22"/>
          <w:szCs w:val="22"/>
        </w:rPr>
        <w:t>.</w:t>
      </w:r>
      <w:r w:rsidR="001A007F">
        <w:rPr>
          <w:sz w:val="22"/>
          <w:szCs w:val="22"/>
        </w:rPr>
        <w:t xml:space="preserve"> </w:t>
      </w:r>
      <w:r w:rsidR="002759F1">
        <w:rPr>
          <w:sz w:val="22"/>
          <w:szCs w:val="22"/>
        </w:rPr>
        <w:t xml:space="preserve"> </w:t>
      </w:r>
      <w:r w:rsidR="009C3E87">
        <w:rPr>
          <w:sz w:val="22"/>
          <w:szCs w:val="22"/>
        </w:rPr>
        <w:t xml:space="preserve">LIPA is the </w:t>
      </w:r>
      <w:r w:rsidR="009C3E87">
        <w:rPr>
          <w:i/>
          <w:sz w:val="22"/>
          <w:szCs w:val="22"/>
        </w:rPr>
        <w:t>sole</w:t>
      </w:r>
      <w:r w:rsidR="009C3E87">
        <w:rPr>
          <w:sz w:val="22"/>
          <w:szCs w:val="22"/>
        </w:rPr>
        <w:t xml:space="preserve"> provider of electric utility transmission and distribution to more than a million customers</w:t>
      </w:r>
      <w:r w:rsidR="00393171">
        <w:rPr>
          <w:sz w:val="22"/>
          <w:szCs w:val="22"/>
        </w:rPr>
        <w:t xml:space="preserve">, and </w:t>
      </w:r>
      <w:r w:rsidR="00393171">
        <w:rPr>
          <w:sz w:val="22"/>
          <w:szCs w:val="22"/>
        </w:rPr>
        <w:t>it</w:t>
      </w:r>
      <w:r w:rsidR="0036756F">
        <w:rPr>
          <w:sz w:val="22"/>
          <w:szCs w:val="22"/>
        </w:rPr>
        <w:t>s</w:t>
      </w:r>
      <w:r w:rsidR="009C3E87">
        <w:rPr>
          <w:sz w:val="22"/>
          <w:szCs w:val="22"/>
        </w:rPr>
        <w:t xml:space="preserve"> system upgrade is </w:t>
      </w:r>
      <w:r w:rsidR="00AF3E64">
        <w:rPr>
          <w:sz w:val="22"/>
          <w:szCs w:val="22"/>
        </w:rPr>
        <w:t>critical</w:t>
      </w:r>
      <w:r w:rsidR="009C3E87">
        <w:rPr>
          <w:sz w:val="22"/>
          <w:szCs w:val="22"/>
        </w:rPr>
        <w:t xml:space="preserve"> </w:t>
      </w:r>
      <w:r w:rsidR="00481512">
        <w:rPr>
          <w:sz w:val="22"/>
          <w:szCs w:val="22"/>
        </w:rPr>
        <w:t>to</w:t>
      </w:r>
      <w:r w:rsidR="009C3E87">
        <w:rPr>
          <w:sz w:val="22"/>
          <w:szCs w:val="22"/>
        </w:rPr>
        <w:t xml:space="preserve"> </w:t>
      </w:r>
      <w:r w:rsidR="00481512">
        <w:rPr>
          <w:sz w:val="22"/>
          <w:szCs w:val="22"/>
        </w:rPr>
        <w:t>ensure</w:t>
      </w:r>
      <w:r w:rsidR="009C3E87">
        <w:rPr>
          <w:sz w:val="22"/>
          <w:szCs w:val="22"/>
        </w:rPr>
        <w:t xml:space="preserve"> that LIPA can continue to provide safe and reliable communications for its electric utility system that serves these customers</w:t>
      </w:r>
      <w:r w:rsidR="00906DEF">
        <w:rPr>
          <w:sz w:val="22"/>
          <w:szCs w:val="22"/>
        </w:rPr>
        <w:t xml:space="preserve">.  </w:t>
      </w:r>
      <w:r w:rsidR="009F0E10">
        <w:rPr>
          <w:sz w:val="22"/>
          <w:szCs w:val="22"/>
        </w:rPr>
        <w:t xml:space="preserve">Additionally, the upgrade would </w:t>
      </w:r>
      <w:r w:rsidRPr="00606F45" w:rsidR="009F0E10">
        <w:rPr>
          <w:sz w:val="22"/>
          <w:szCs w:val="22"/>
        </w:rPr>
        <w:t>provide enhanced capacity and facilitate interoperability during mutual aid operations and power restoration work</w:t>
      </w:r>
      <w:r w:rsidR="009F0E10">
        <w:rPr>
          <w:sz w:val="22"/>
          <w:szCs w:val="22"/>
        </w:rPr>
        <w:t xml:space="preserve">.  </w:t>
      </w:r>
      <w:r w:rsidR="001C3168">
        <w:rPr>
          <w:sz w:val="22"/>
          <w:szCs w:val="22"/>
        </w:rPr>
        <w:t xml:space="preserve">Granting a waiver under these circumstances </w:t>
      </w:r>
      <w:r w:rsidR="00F95832">
        <w:rPr>
          <w:sz w:val="22"/>
          <w:szCs w:val="22"/>
        </w:rPr>
        <w:t xml:space="preserve">is consistent with our action in </w:t>
      </w:r>
      <w:r w:rsidR="00F11E76">
        <w:rPr>
          <w:i/>
          <w:sz w:val="22"/>
          <w:szCs w:val="22"/>
        </w:rPr>
        <w:t>Flint Hills</w:t>
      </w:r>
      <w:r w:rsidR="00633AF1">
        <w:rPr>
          <w:i/>
          <w:sz w:val="22"/>
          <w:szCs w:val="22"/>
        </w:rPr>
        <w:t xml:space="preserve"> Resources Corpus Christi, LLC</w:t>
      </w:r>
      <w:r w:rsidR="006414C0">
        <w:rPr>
          <w:sz w:val="22"/>
          <w:szCs w:val="22"/>
        </w:rPr>
        <w:t xml:space="preserve">, </w:t>
      </w:r>
      <w:r w:rsidR="00405738">
        <w:rPr>
          <w:sz w:val="22"/>
          <w:szCs w:val="22"/>
        </w:rPr>
        <w:t xml:space="preserve">where </w:t>
      </w:r>
      <w:r w:rsidR="004031BB">
        <w:rPr>
          <w:sz w:val="22"/>
          <w:szCs w:val="22"/>
        </w:rPr>
        <w:t xml:space="preserve">we determined that </w:t>
      </w:r>
      <w:r w:rsidR="00405738">
        <w:rPr>
          <w:sz w:val="22"/>
          <w:szCs w:val="22"/>
        </w:rPr>
        <w:t>a</w:t>
      </w:r>
      <w:r w:rsidR="006414C0">
        <w:rPr>
          <w:sz w:val="22"/>
          <w:szCs w:val="22"/>
        </w:rPr>
        <w:t xml:space="preserve"> </w:t>
      </w:r>
      <w:r w:rsidRPr="00405738" w:rsidR="00405738">
        <w:rPr>
          <w:sz w:val="22"/>
          <w:szCs w:val="22"/>
        </w:rPr>
        <w:t xml:space="preserve">waiver </w:t>
      </w:r>
      <w:r w:rsidR="00405738">
        <w:rPr>
          <w:sz w:val="22"/>
          <w:szCs w:val="22"/>
        </w:rPr>
        <w:t xml:space="preserve">of the 900 MHz freeze </w:t>
      </w:r>
      <w:r w:rsidR="004031BB">
        <w:rPr>
          <w:sz w:val="22"/>
          <w:szCs w:val="22"/>
        </w:rPr>
        <w:t>to upgrade</w:t>
      </w:r>
      <w:r w:rsidR="00864821">
        <w:rPr>
          <w:sz w:val="22"/>
          <w:szCs w:val="22"/>
        </w:rPr>
        <w:t xml:space="preserve"> obsolete equipment in</w:t>
      </w:r>
      <w:r w:rsidR="00810B51">
        <w:rPr>
          <w:sz w:val="22"/>
          <w:szCs w:val="22"/>
        </w:rPr>
        <w:t xml:space="preserve"> </w:t>
      </w:r>
      <w:r w:rsidR="007576C9">
        <w:rPr>
          <w:sz w:val="22"/>
          <w:szCs w:val="22"/>
        </w:rPr>
        <w:t>a</w:t>
      </w:r>
      <w:r w:rsidR="006414C0">
        <w:rPr>
          <w:sz w:val="22"/>
          <w:szCs w:val="22"/>
        </w:rPr>
        <w:t xml:space="preserve"> legacy narrowband system </w:t>
      </w:r>
      <w:r w:rsidR="00CB5102">
        <w:rPr>
          <w:sz w:val="22"/>
          <w:szCs w:val="22"/>
        </w:rPr>
        <w:t>was</w:t>
      </w:r>
      <w:r w:rsidR="00332236">
        <w:rPr>
          <w:sz w:val="22"/>
          <w:szCs w:val="22"/>
        </w:rPr>
        <w:t xml:space="preserve"> in the public interest to ensure safe, reliable communications</w:t>
      </w:r>
      <w:r w:rsidR="00CB5102">
        <w:rPr>
          <w:sz w:val="22"/>
          <w:szCs w:val="22"/>
        </w:rPr>
        <w:t>,</w:t>
      </w:r>
      <w:r w:rsidRPr="00CB5102" w:rsidR="00CB5102">
        <w:rPr>
          <w:sz w:val="22"/>
          <w:szCs w:val="22"/>
        </w:rPr>
        <w:t xml:space="preserve"> including emergency communications for fire protection services</w:t>
      </w:r>
      <w:r w:rsidR="00332236">
        <w:rPr>
          <w:sz w:val="22"/>
          <w:szCs w:val="22"/>
        </w:rPr>
        <w:t>.</w:t>
      </w:r>
      <w:r>
        <w:rPr>
          <w:rStyle w:val="FootnoteReference"/>
          <w:sz w:val="22"/>
          <w:szCs w:val="22"/>
        </w:rPr>
        <w:footnoteReference w:id="22"/>
      </w:r>
      <w:r w:rsidR="009F0E10">
        <w:rPr>
          <w:sz w:val="22"/>
          <w:szCs w:val="22"/>
        </w:rPr>
        <w:t xml:space="preserve">  </w:t>
      </w:r>
      <w:r w:rsidR="00703E8E">
        <w:rPr>
          <w:sz w:val="22"/>
          <w:szCs w:val="22"/>
        </w:rPr>
        <w:t xml:space="preserve">We </w:t>
      </w:r>
      <w:r w:rsidR="005E3B3B">
        <w:rPr>
          <w:sz w:val="22"/>
          <w:szCs w:val="22"/>
        </w:rPr>
        <w:t xml:space="preserve">also </w:t>
      </w:r>
      <w:r w:rsidR="00703E8E">
        <w:rPr>
          <w:sz w:val="22"/>
          <w:szCs w:val="22"/>
        </w:rPr>
        <w:t xml:space="preserve">find that </w:t>
      </w:r>
      <w:r w:rsidR="00405738">
        <w:rPr>
          <w:sz w:val="22"/>
          <w:szCs w:val="22"/>
        </w:rPr>
        <w:t xml:space="preserve">granting </w:t>
      </w:r>
      <w:r w:rsidR="000F3B76">
        <w:rPr>
          <w:sz w:val="22"/>
          <w:szCs w:val="22"/>
        </w:rPr>
        <w:t>LIPA’s request</w:t>
      </w:r>
      <w:r w:rsidR="009F0E10">
        <w:rPr>
          <w:sz w:val="22"/>
          <w:szCs w:val="22"/>
        </w:rPr>
        <w:t xml:space="preserve"> is </w:t>
      </w:r>
      <w:r w:rsidR="00992226">
        <w:rPr>
          <w:sz w:val="22"/>
          <w:szCs w:val="22"/>
        </w:rPr>
        <w:t xml:space="preserve">distinguishable from </w:t>
      </w:r>
      <w:r w:rsidR="005E3B3B">
        <w:rPr>
          <w:sz w:val="22"/>
          <w:szCs w:val="22"/>
        </w:rPr>
        <w:t xml:space="preserve">our </w:t>
      </w:r>
      <w:r w:rsidR="00405738">
        <w:rPr>
          <w:sz w:val="22"/>
          <w:szCs w:val="22"/>
        </w:rPr>
        <w:t>deni</w:t>
      </w:r>
      <w:r w:rsidR="00FD778E">
        <w:rPr>
          <w:sz w:val="22"/>
          <w:szCs w:val="22"/>
        </w:rPr>
        <w:t>a</w:t>
      </w:r>
      <w:r w:rsidR="00405738">
        <w:rPr>
          <w:sz w:val="22"/>
          <w:szCs w:val="22"/>
        </w:rPr>
        <w:t>l</w:t>
      </w:r>
      <w:r w:rsidR="00864821">
        <w:rPr>
          <w:sz w:val="22"/>
          <w:szCs w:val="22"/>
        </w:rPr>
        <w:t xml:space="preserve"> of a 900 MHz waiver request</w:t>
      </w:r>
      <w:r w:rsidR="00405738">
        <w:rPr>
          <w:sz w:val="22"/>
          <w:szCs w:val="22"/>
        </w:rPr>
        <w:t xml:space="preserve"> </w:t>
      </w:r>
      <w:r w:rsidR="00992226">
        <w:rPr>
          <w:sz w:val="22"/>
          <w:szCs w:val="22"/>
        </w:rPr>
        <w:t xml:space="preserve">in </w:t>
      </w:r>
      <w:r w:rsidR="00992226">
        <w:rPr>
          <w:i/>
          <w:sz w:val="22"/>
          <w:szCs w:val="22"/>
        </w:rPr>
        <w:t>Eversource Energy Service Company</w:t>
      </w:r>
      <w:r w:rsidR="00992226">
        <w:rPr>
          <w:sz w:val="22"/>
          <w:szCs w:val="22"/>
        </w:rPr>
        <w:t xml:space="preserve">, </w:t>
      </w:r>
      <w:r w:rsidR="005E3B3B">
        <w:rPr>
          <w:sz w:val="22"/>
          <w:szCs w:val="22"/>
        </w:rPr>
        <w:t>where we</w:t>
      </w:r>
      <w:r w:rsidR="00BC4682">
        <w:rPr>
          <w:sz w:val="22"/>
          <w:szCs w:val="22"/>
        </w:rPr>
        <w:t xml:space="preserve"> concluded</w:t>
      </w:r>
      <w:r w:rsidR="005E3B3B">
        <w:rPr>
          <w:sz w:val="22"/>
          <w:szCs w:val="22"/>
        </w:rPr>
        <w:t xml:space="preserve"> that </w:t>
      </w:r>
      <w:r w:rsidR="00492CB1">
        <w:rPr>
          <w:sz w:val="22"/>
          <w:szCs w:val="22"/>
        </w:rPr>
        <w:t xml:space="preserve">neither the proximity of WTB’s imposition of the freeze to </w:t>
      </w:r>
      <w:r w:rsidR="005E3B3B">
        <w:rPr>
          <w:sz w:val="22"/>
          <w:szCs w:val="22"/>
        </w:rPr>
        <w:t>Eversource</w:t>
      </w:r>
      <w:r w:rsidR="00492CB1">
        <w:rPr>
          <w:sz w:val="22"/>
          <w:szCs w:val="22"/>
        </w:rPr>
        <w:t>’s anticipated filing of its application</w:t>
      </w:r>
      <w:r w:rsidR="00BC4682">
        <w:rPr>
          <w:sz w:val="22"/>
          <w:szCs w:val="22"/>
        </w:rPr>
        <w:t>,</w:t>
      </w:r>
      <w:r w:rsidR="005E3B3B">
        <w:rPr>
          <w:sz w:val="22"/>
          <w:szCs w:val="22"/>
        </w:rPr>
        <w:t xml:space="preserve"> nor </w:t>
      </w:r>
      <w:r w:rsidR="00BC4682">
        <w:rPr>
          <w:sz w:val="22"/>
          <w:szCs w:val="22"/>
        </w:rPr>
        <w:t xml:space="preserve">Eversource’s stated </w:t>
      </w:r>
      <w:r w:rsidR="005E3B3B">
        <w:rPr>
          <w:sz w:val="22"/>
          <w:szCs w:val="22"/>
        </w:rPr>
        <w:t>need for more capacity in an existing service area</w:t>
      </w:r>
      <w:r w:rsidR="00BC4682">
        <w:rPr>
          <w:sz w:val="22"/>
          <w:szCs w:val="22"/>
        </w:rPr>
        <w:t>,</w:t>
      </w:r>
      <w:r w:rsidR="005E3B3B">
        <w:rPr>
          <w:sz w:val="22"/>
          <w:szCs w:val="22"/>
        </w:rPr>
        <w:t xml:space="preserve"> was sufficient to justify </w:t>
      </w:r>
      <w:r w:rsidR="007576C9">
        <w:rPr>
          <w:sz w:val="22"/>
          <w:szCs w:val="22"/>
        </w:rPr>
        <w:t xml:space="preserve">a </w:t>
      </w:r>
      <w:r w:rsidR="005E3B3B">
        <w:rPr>
          <w:sz w:val="22"/>
          <w:szCs w:val="22"/>
        </w:rPr>
        <w:t>waiver</w:t>
      </w:r>
      <w:r w:rsidR="00992226">
        <w:rPr>
          <w:sz w:val="22"/>
          <w:szCs w:val="22"/>
        </w:rPr>
        <w:t>.</w:t>
      </w:r>
      <w:r>
        <w:rPr>
          <w:rStyle w:val="FootnoteReference"/>
          <w:sz w:val="22"/>
          <w:szCs w:val="22"/>
        </w:rPr>
        <w:footnoteReference w:id="23"/>
      </w:r>
      <w:r w:rsidR="00C806CE">
        <w:rPr>
          <w:sz w:val="22"/>
          <w:szCs w:val="22"/>
        </w:rPr>
        <w:t xml:space="preserve">  </w:t>
      </w:r>
      <w:r w:rsidR="0060023C">
        <w:rPr>
          <w:sz w:val="22"/>
          <w:szCs w:val="22"/>
        </w:rPr>
        <w:t>Here,</w:t>
      </w:r>
      <w:r w:rsidR="0089146F">
        <w:rPr>
          <w:sz w:val="22"/>
          <w:szCs w:val="22"/>
        </w:rPr>
        <w:t xml:space="preserve"> we find that</w:t>
      </w:r>
      <w:r w:rsidR="0060023C">
        <w:rPr>
          <w:sz w:val="22"/>
          <w:szCs w:val="22"/>
        </w:rPr>
        <w:t xml:space="preserve"> the </w:t>
      </w:r>
      <w:r w:rsidRPr="0060023C" w:rsidR="0060023C">
        <w:rPr>
          <w:i/>
          <w:sz w:val="22"/>
          <w:szCs w:val="22"/>
        </w:rPr>
        <w:t>de minimis</w:t>
      </w:r>
      <w:r w:rsidR="0060023C">
        <w:rPr>
          <w:sz w:val="22"/>
          <w:szCs w:val="22"/>
        </w:rPr>
        <w:t xml:space="preserve"> </w:t>
      </w:r>
      <w:r w:rsidR="005E3B3B">
        <w:rPr>
          <w:sz w:val="22"/>
          <w:szCs w:val="22"/>
        </w:rPr>
        <w:t xml:space="preserve">net </w:t>
      </w:r>
      <w:r w:rsidR="0060023C">
        <w:rPr>
          <w:sz w:val="22"/>
          <w:szCs w:val="22"/>
        </w:rPr>
        <w:t xml:space="preserve">change </w:t>
      </w:r>
      <w:r w:rsidR="00322F39">
        <w:rPr>
          <w:sz w:val="22"/>
          <w:szCs w:val="22"/>
        </w:rPr>
        <w:t xml:space="preserve">resulting from LIPA’s transaction with Anterix </w:t>
      </w:r>
      <w:r w:rsidR="0060023C">
        <w:rPr>
          <w:sz w:val="22"/>
          <w:szCs w:val="22"/>
        </w:rPr>
        <w:t>and significant public interest benefit</w:t>
      </w:r>
      <w:r w:rsidR="007576C9">
        <w:rPr>
          <w:sz w:val="22"/>
          <w:szCs w:val="22"/>
        </w:rPr>
        <w:t>s</w:t>
      </w:r>
      <w:r w:rsidR="00033751">
        <w:rPr>
          <w:sz w:val="22"/>
          <w:szCs w:val="22"/>
        </w:rPr>
        <w:t xml:space="preserve"> of LIPA’s </w:t>
      </w:r>
      <w:r w:rsidR="005E3B3B">
        <w:rPr>
          <w:sz w:val="22"/>
          <w:szCs w:val="22"/>
        </w:rPr>
        <w:t xml:space="preserve">proposed system upgrade </w:t>
      </w:r>
      <w:r w:rsidR="0060023C">
        <w:rPr>
          <w:sz w:val="22"/>
          <w:szCs w:val="22"/>
        </w:rPr>
        <w:t xml:space="preserve">warrant </w:t>
      </w:r>
      <w:r w:rsidR="00FA14B0">
        <w:rPr>
          <w:sz w:val="22"/>
          <w:szCs w:val="22"/>
        </w:rPr>
        <w:t xml:space="preserve">a </w:t>
      </w:r>
      <w:r w:rsidR="0060023C">
        <w:rPr>
          <w:sz w:val="22"/>
          <w:szCs w:val="22"/>
        </w:rPr>
        <w:t>waiver of the freeze</w:t>
      </w:r>
      <w:r w:rsidR="00944F64">
        <w:rPr>
          <w:sz w:val="22"/>
          <w:szCs w:val="22"/>
        </w:rPr>
        <w:t>.</w:t>
      </w:r>
    </w:p>
    <w:p w:rsidR="006225F7" w:rsidRPr="00606F45" w:rsidP="00EB2A55" w14:paraId="34A4B703" w14:textId="2E0DACE2">
      <w:pPr>
        <w:rPr>
          <w:sz w:val="22"/>
          <w:szCs w:val="22"/>
        </w:rPr>
      </w:pPr>
    </w:p>
    <w:p w:rsidR="006225F7" w:rsidRPr="00606F45" w:rsidP="006225F7" w14:paraId="01EDA0E7" w14:textId="62E45430">
      <w:pPr>
        <w:ind w:firstLine="720"/>
        <w:rPr>
          <w:sz w:val="22"/>
          <w:szCs w:val="22"/>
        </w:rPr>
      </w:pPr>
      <w:r w:rsidRPr="00606F45">
        <w:rPr>
          <w:sz w:val="22"/>
          <w:szCs w:val="22"/>
        </w:rPr>
        <w:t xml:space="preserve">Accordingly, IT IS ORDERED, pursuant to section 4(i) of the Communications Act of 1934, as amended, 47 U.S.C. § 154(i), and section 1.925 of the Commission’s rules, 47 CFR § 1.925, that the Request for Waiver of the </w:t>
      </w:r>
      <w:r w:rsidR="00C778AA">
        <w:rPr>
          <w:sz w:val="22"/>
          <w:szCs w:val="22"/>
        </w:rPr>
        <w:t xml:space="preserve">900 MHz </w:t>
      </w:r>
      <w:r w:rsidRPr="00606F45">
        <w:rPr>
          <w:sz w:val="22"/>
          <w:szCs w:val="22"/>
        </w:rPr>
        <w:t xml:space="preserve">Application Freeze filed on October 30, 2019 by </w:t>
      </w:r>
      <w:r w:rsidRPr="00606F45" w:rsidR="00C778AA">
        <w:rPr>
          <w:sz w:val="22"/>
          <w:szCs w:val="22"/>
        </w:rPr>
        <w:t xml:space="preserve">Long Island Lighting Company d/b/a </w:t>
      </w:r>
      <w:r w:rsidRPr="00606F45">
        <w:rPr>
          <w:sz w:val="22"/>
          <w:szCs w:val="22"/>
        </w:rPr>
        <w:t>Long Island Power Authority, IS GRANTED</w:t>
      </w:r>
      <w:r w:rsidR="005E3B3B">
        <w:rPr>
          <w:sz w:val="22"/>
          <w:szCs w:val="22"/>
        </w:rPr>
        <w:t xml:space="preserve"> and the Mobility Division licensing staff is directed to process</w:t>
      </w:r>
      <w:r w:rsidR="007A27E1">
        <w:rPr>
          <w:sz w:val="22"/>
          <w:szCs w:val="22"/>
        </w:rPr>
        <w:t>, consistent with Commission rules,</w:t>
      </w:r>
      <w:r w:rsidR="005E3B3B">
        <w:rPr>
          <w:sz w:val="22"/>
          <w:szCs w:val="22"/>
        </w:rPr>
        <w:t xml:space="preserve"> FCC File Nos. </w:t>
      </w:r>
      <w:r w:rsidRPr="00606F45" w:rsidR="005E3B3B">
        <w:rPr>
          <w:sz w:val="22"/>
          <w:szCs w:val="22"/>
        </w:rPr>
        <w:t>0008855861, 0008855985,  0008855993</w:t>
      </w:r>
      <w:r w:rsidR="00017269">
        <w:rPr>
          <w:sz w:val="22"/>
          <w:szCs w:val="22"/>
        </w:rPr>
        <w:t>,</w:t>
      </w:r>
      <w:r w:rsidRPr="00017269" w:rsidR="00017269">
        <w:t xml:space="preserve"> </w:t>
      </w:r>
      <w:r w:rsidRPr="00017269" w:rsidR="00017269">
        <w:rPr>
          <w:sz w:val="22"/>
          <w:szCs w:val="22"/>
        </w:rPr>
        <w:t xml:space="preserve">0009069293, 0009069139, 0009069147, 0009069153, 0009069168, </w:t>
      </w:r>
      <w:r w:rsidR="00017269">
        <w:rPr>
          <w:sz w:val="22"/>
          <w:szCs w:val="22"/>
        </w:rPr>
        <w:t xml:space="preserve">and </w:t>
      </w:r>
      <w:r w:rsidRPr="00017269" w:rsidR="00017269">
        <w:rPr>
          <w:sz w:val="22"/>
          <w:szCs w:val="22"/>
        </w:rPr>
        <w:t>0009069238</w:t>
      </w:r>
      <w:r w:rsidR="007576C9">
        <w:rPr>
          <w:sz w:val="22"/>
          <w:szCs w:val="22"/>
        </w:rPr>
        <w:t>.</w:t>
      </w:r>
    </w:p>
    <w:p w:rsidR="006225F7" w:rsidRPr="00606F45" w:rsidP="006225F7" w14:paraId="14427EBC" w14:textId="77777777">
      <w:pPr>
        <w:rPr>
          <w:sz w:val="22"/>
          <w:szCs w:val="22"/>
        </w:rPr>
      </w:pPr>
    </w:p>
    <w:p w:rsidR="006225F7" w:rsidRPr="00606F45" w:rsidP="006225F7" w14:paraId="5604AA58" w14:textId="7E4B5730">
      <w:pPr>
        <w:ind w:firstLine="720"/>
        <w:rPr>
          <w:sz w:val="22"/>
          <w:szCs w:val="22"/>
        </w:rPr>
      </w:pPr>
      <w:r w:rsidRPr="00606F45">
        <w:rPr>
          <w:sz w:val="22"/>
          <w:szCs w:val="22"/>
        </w:rPr>
        <w:t>This action is taken under delegated authority pursuant to Sections 0.131 and 0.331 of the Commission’s Rules, 47 CFR</w:t>
      </w:r>
      <w:r w:rsidR="007A27E1">
        <w:rPr>
          <w:sz w:val="22"/>
          <w:szCs w:val="22"/>
        </w:rPr>
        <w:t xml:space="preserve"> </w:t>
      </w:r>
      <w:r w:rsidRPr="00606F45">
        <w:rPr>
          <w:sz w:val="22"/>
          <w:szCs w:val="22"/>
        </w:rPr>
        <w:t>§§ 0.131, 0.331.</w:t>
      </w:r>
    </w:p>
    <w:p w:rsidR="006225F7" w:rsidRPr="00606F45" w:rsidP="00361278" w14:paraId="3E2A9046" w14:textId="77777777">
      <w:pPr>
        <w:rPr>
          <w:sz w:val="22"/>
          <w:szCs w:val="22"/>
        </w:rPr>
      </w:pPr>
    </w:p>
    <w:p w:rsidR="00D641D3" w:rsidRPr="00606F45" w:rsidP="00FB34D6" w14:paraId="33DEA852" w14:textId="1892DA12">
      <w:pPr>
        <w:ind w:left="4320" w:firstLine="720"/>
        <w:rPr>
          <w:sz w:val="22"/>
          <w:szCs w:val="22"/>
        </w:rPr>
      </w:pPr>
      <w:r w:rsidRPr="00606F45">
        <w:rPr>
          <w:sz w:val="22"/>
          <w:szCs w:val="22"/>
        </w:rPr>
        <w:t>Sincerely,</w:t>
      </w:r>
    </w:p>
    <w:p w:rsidR="002D676B" w:rsidRPr="00606F45" w:rsidP="00FB34D6" w14:paraId="54C4A2F4" w14:textId="16AC503F">
      <w:pPr>
        <w:ind w:left="4320" w:firstLine="720"/>
        <w:rPr>
          <w:sz w:val="22"/>
          <w:szCs w:val="22"/>
        </w:rPr>
      </w:pPr>
    </w:p>
    <w:p w:rsidR="002D676B" w:rsidRPr="00606F45" w:rsidP="00FB34D6" w14:paraId="6B8F400D" w14:textId="71991148">
      <w:pPr>
        <w:ind w:left="4320" w:firstLine="720"/>
        <w:rPr>
          <w:sz w:val="22"/>
          <w:szCs w:val="22"/>
        </w:rPr>
      </w:pPr>
    </w:p>
    <w:p w:rsidR="002D676B" w:rsidRPr="00606F45" w:rsidP="00FB34D6" w14:paraId="1838D9FD" w14:textId="580F88DD">
      <w:pPr>
        <w:ind w:left="4320" w:firstLine="720"/>
        <w:rPr>
          <w:sz w:val="22"/>
          <w:szCs w:val="22"/>
        </w:rPr>
      </w:pPr>
    </w:p>
    <w:p w:rsidR="002D676B" w:rsidRPr="00606F45" w:rsidP="00FB34D6" w14:paraId="67026AD6" w14:textId="7E65C2CB">
      <w:pPr>
        <w:ind w:left="4320" w:firstLine="720"/>
        <w:rPr>
          <w:sz w:val="22"/>
          <w:szCs w:val="22"/>
        </w:rPr>
      </w:pPr>
      <w:r w:rsidRPr="00606F45">
        <w:rPr>
          <w:sz w:val="22"/>
          <w:szCs w:val="22"/>
        </w:rPr>
        <w:t>Roger S. Noel</w:t>
      </w:r>
    </w:p>
    <w:p w:rsidR="002D676B" w:rsidRPr="00606F45" w:rsidP="00FB34D6" w14:paraId="20EEF3F6" w14:textId="5FCE45F8">
      <w:pPr>
        <w:ind w:left="4320" w:firstLine="720"/>
        <w:rPr>
          <w:sz w:val="22"/>
          <w:szCs w:val="22"/>
        </w:rPr>
      </w:pPr>
      <w:r w:rsidRPr="00606F45">
        <w:rPr>
          <w:sz w:val="22"/>
          <w:szCs w:val="22"/>
        </w:rPr>
        <w:t>Chief, Mobility Division</w:t>
      </w:r>
    </w:p>
    <w:p w:rsidR="002D676B" w:rsidRPr="00606F45" w:rsidP="00FB34D6" w14:paraId="075F245F" w14:textId="6BE9253B">
      <w:pPr>
        <w:ind w:left="4320" w:firstLine="720"/>
        <w:rPr>
          <w:sz w:val="22"/>
          <w:szCs w:val="22"/>
        </w:rPr>
      </w:pPr>
      <w:r w:rsidRPr="00606F45">
        <w:rPr>
          <w:sz w:val="22"/>
          <w:szCs w:val="22"/>
        </w:rPr>
        <w:t>Wireless Telecommunications Bureau</w:t>
      </w:r>
    </w:p>
    <w:sectPr>
      <w:footerReference w:type="even" r:id="rId6"/>
      <w:footerReference w:type="default" r:id="rId7"/>
      <w:headerReference w:type="first" r:id="rId8"/>
      <w:foot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F82" w:rsidP="00573F82" w14:paraId="5DE079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3F82" w14:paraId="07A079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F82" w14:paraId="3C635EA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573F82" w14:paraId="4B33CD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F82" w14:paraId="681FE4F5"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573F82" w14:paraId="2A9F70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E9E" w:rsidP="00361278" w14:paraId="66344E5F" w14:textId="77777777">
      <w:r>
        <w:separator/>
      </w:r>
    </w:p>
  </w:footnote>
  <w:footnote w:type="continuationSeparator" w:id="1">
    <w:p w:rsidR="00B26E9E" w:rsidP="00361278" w14:paraId="258255DB" w14:textId="77777777">
      <w:r>
        <w:continuationSeparator/>
      </w:r>
    </w:p>
  </w:footnote>
  <w:footnote w:id="2">
    <w:p w:rsidR="002D676B" w:rsidRPr="002D676B" w:rsidP="006A5DB3" w14:paraId="2EC80893" w14:textId="4DE9B2C1">
      <w:pPr>
        <w:pStyle w:val="FootnoteText"/>
        <w:spacing w:after="120"/>
      </w:pPr>
      <w:r>
        <w:rPr>
          <w:rStyle w:val="FootnoteReference"/>
        </w:rPr>
        <w:footnoteRef/>
      </w:r>
      <w:r>
        <w:t xml:space="preserve"> Request for Waiver of </w:t>
      </w:r>
      <w:r w:rsidR="006225F7">
        <w:t xml:space="preserve">the </w:t>
      </w:r>
      <w:r>
        <w:t xml:space="preserve">900 MHz Application Freeze, </w:t>
      </w:r>
      <w:r w:rsidRPr="00CF695B">
        <w:t>File No</w:t>
      </w:r>
      <w:r w:rsidR="00CF695B">
        <w:t>s</w:t>
      </w:r>
      <w:r w:rsidRPr="00CF695B">
        <w:t xml:space="preserve">. </w:t>
      </w:r>
      <w:r w:rsidR="00CF695B">
        <w:t>0008855861, 0008855985,</w:t>
      </w:r>
      <w:r w:rsidR="00EB2A55">
        <w:t xml:space="preserve"> and</w:t>
      </w:r>
      <w:r w:rsidR="00CF695B">
        <w:t xml:space="preserve"> 0008855993</w:t>
      </w:r>
      <w:r>
        <w:t xml:space="preserve"> (filed Oct. 30, 2019)</w:t>
      </w:r>
      <w:r w:rsidR="002F758E">
        <w:t xml:space="preserve">, </w:t>
      </w:r>
      <w:hyperlink r:id="rId1" w:history="1">
        <w:r w:rsidR="002F758E">
          <w:rPr>
            <w:rStyle w:val="Hyperlink"/>
          </w:rPr>
          <w:t>https://wireless2.fcc.gov/UlsApp/ApplicationSearch/applMain.jsp?applID=11789916</w:t>
        </w:r>
      </w:hyperlink>
      <w:r>
        <w:t xml:space="preserve"> (</w:t>
      </w:r>
      <w:r w:rsidRPr="002F758E">
        <w:t>LIPA Waiver Request</w:t>
      </w:r>
      <w:r>
        <w:t>).</w:t>
      </w:r>
    </w:p>
  </w:footnote>
  <w:footnote w:id="3">
    <w:p w:rsidR="00F641D6" w:rsidP="00F641D6" w14:paraId="1EC71543" w14:textId="77777777">
      <w:pPr>
        <w:pStyle w:val="FootnoteText"/>
        <w:spacing w:after="120"/>
      </w:pPr>
      <w:r>
        <w:rPr>
          <w:rStyle w:val="FootnoteReference"/>
        </w:rPr>
        <w:footnoteRef/>
      </w:r>
      <w:r>
        <w:t xml:space="preserve"> LIPA Waiver Request at 1. </w:t>
      </w:r>
    </w:p>
  </w:footnote>
  <w:footnote w:id="4">
    <w:p w:rsidR="006225F7" w:rsidP="006A5DB3" w14:paraId="560BB79B" w14:textId="7CB11DE9">
      <w:pPr>
        <w:pStyle w:val="FootnoteText"/>
        <w:spacing w:after="120"/>
      </w:pPr>
      <w:r>
        <w:rPr>
          <w:rStyle w:val="FootnoteReference"/>
        </w:rPr>
        <w:footnoteRef/>
      </w:r>
      <w:r>
        <w:t xml:space="preserve"> </w:t>
      </w:r>
      <w:r w:rsidRPr="006225F7">
        <w:rPr>
          <w:i/>
        </w:rPr>
        <w:t>See Wireless Telecommunications Bureau Announces Temporary Filing Freeze on the Acceptance of Certain Part 90 Applications for 896-901/935-940 MHz (900 MHz Band) Spectrum</w:t>
      </w:r>
      <w:r w:rsidRPr="006225F7">
        <w:t>, WT Docket No. 17-200, Public Notice, 33 FCC Rcd 8735 (2018) (</w:t>
      </w:r>
      <w:r w:rsidRPr="006225F7">
        <w:rPr>
          <w:i/>
        </w:rPr>
        <w:t>900 MHz Freeze Public Notice</w:t>
      </w:r>
      <w:r w:rsidRPr="006225F7">
        <w:t>).</w:t>
      </w:r>
    </w:p>
  </w:footnote>
  <w:footnote w:id="5">
    <w:p w:rsidR="00F06F84" w:rsidRPr="000A5C45" w:rsidP="006A5DB3" w14:paraId="6EF6FB89" w14:textId="74FB74EE">
      <w:pPr>
        <w:pStyle w:val="FootnoteText"/>
        <w:spacing w:after="120"/>
      </w:pPr>
      <w:r>
        <w:rPr>
          <w:rStyle w:val="FootnoteReference"/>
        </w:rPr>
        <w:footnoteRef/>
      </w:r>
      <w:r>
        <w:t xml:space="preserve"> </w:t>
      </w:r>
      <w:r>
        <w:rPr>
          <w:i/>
        </w:rPr>
        <w:t>See id.</w:t>
      </w:r>
      <w:r>
        <w:t xml:space="preserve"> at</w:t>
      </w:r>
      <w:r w:rsidRPr="003427EB">
        <w:t xml:space="preserve"> </w:t>
      </w:r>
      <w:r>
        <w:t>8736, n.4.</w:t>
      </w:r>
      <w:r w:rsidR="00980098">
        <w:t xml:space="preserve">  </w:t>
      </w:r>
      <w:r w:rsidR="003E4ACB">
        <w:t xml:space="preserve">In October 2019, the </w:t>
      </w:r>
      <w:r w:rsidR="00707C51">
        <w:t xml:space="preserve">Wireless Telecommunications </w:t>
      </w:r>
      <w:r w:rsidR="003E4ACB">
        <w:t xml:space="preserve">Bureau modified the freeze to provide greater flexibility for 900 MHz band incumbents to relocate out of the broadband segment.  </w:t>
      </w:r>
      <w:r w:rsidR="00707C51">
        <w:t xml:space="preserve">Specifically, the modification permits incumbents to exchange frequencies in a manner that does not increase that incumbent’s net number of licensed frequencies and is consistent with the Commission’s proposed band realignment.  </w:t>
      </w:r>
      <w:r w:rsidR="00707C51">
        <w:rPr>
          <w:i/>
        </w:rPr>
        <w:t>Review of the Commission’s Rules Governing the 896-901/935-940 MHz Band; pdv</w:t>
      </w:r>
      <w:r w:rsidR="0066080C">
        <w:rPr>
          <w:i/>
        </w:rPr>
        <w:t xml:space="preserve"> </w:t>
      </w:r>
      <w:r w:rsidR="00707C51">
        <w:rPr>
          <w:i/>
        </w:rPr>
        <w:t>Wireless, Inc. d/b/a Anterix, Request for Modification of 900 MHz Temporary Filing Freeze</w:t>
      </w:r>
      <w:r w:rsidR="00707C51">
        <w:t>, WT Docket No. 17-200, Order, 34 FCC Rcd 9369, 9370, para. 5 (2019) (</w:t>
      </w:r>
      <w:r w:rsidR="00707C51">
        <w:rPr>
          <w:i/>
        </w:rPr>
        <w:t>900 MHz Freeze Modification</w:t>
      </w:r>
      <w:r w:rsidR="00707C51">
        <w:t>).</w:t>
      </w:r>
    </w:p>
  </w:footnote>
  <w:footnote w:id="6">
    <w:p w:rsidR="00E376D1" w:rsidRPr="00E376D1" w:rsidP="006A5DB3" w14:paraId="61DA0DB7" w14:textId="3A1772F0">
      <w:pPr>
        <w:pStyle w:val="FootnoteText"/>
        <w:spacing w:after="120"/>
      </w:pPr>
      <w:r>
        <w:rPr>
          <w:rStyle w:val="FootnoteReference"/>
        </w:rPr>
        <w:footnoteRef/>
      </w:r>
      <w:r>
        <w:t xml:space="preserve"> </w:t>
      </w:r>
      <w:r>
        <w:rPr>
          <w:i/>
        </w:rPr>
        <w:t>See Review of the Commission’s Rules Governing the 896-901/935-940 MHz Band</w:t>
      </w:r>
      <w:r>
        <w:t>, Notice of Proposed Rulemaking, 34 FCC Rcd 1550, 1555, para. 15 (2019) (</w:t>
      </w:r>
      <w:r>
        <w:rPr>
          <w:i/>
        </w:rPr>
        <w:t>900 MHz NPRM</w:t>
      </w:r>
      <w:r>
        <w:t>).</w:t>
      </w:r>
    </w:p>
  </w:footnote>
  <w:footnote w:id="7">
    <w:p w:rsidR="00E73265" w:rsidRPr="00B66704" w:rsidP="006A5DB3" w14:paraId="38A7D9E0" w14:textId="0FBCA49A">
      <w:pPr>
        <w:pStyle w:val="FootnoteText"/>
        <w:spacing w:after="120"/>
      </w:pPr>
      <w:r>
        <w:rPr>
          <w:rStyle w:val="FootnoteReference"/>
        </w:rPr>
        <w:footnoteRef/>
      </w:r>
      <w:r>
        <w:t xml:space="preserve"> LIPA Waiver Request at 1.</w:t>
      </w:r>
      <w:r w:rsidR="001F49E2">
        <w:t xml:space="preserve">  The Waiver Request accompani</w:t>
      </w:r>
      <w:r w:rsidR="004B5B73">
        <w:t>ed</w:t>
      </w:r>
      <w:r w:rsidR="001F49E2">
        <w:t xml:space="preserve"> </w:t>
      </w:r>
      <w:r w:rsidR="004B5B73">
        <w:t xml:space="preserve">LIPA’s </w:t>
      </w:r>
      <w:r w:rsidR="001F49E2">
        <w:t xml:space="preserve">modification applications </w:t>
      </w:r>
      <w:r w:rsidRPr="008C32A3" w:rsidR="001F49E2">
        <w:t>filed on October 30, 2019.</w:t>
      </w:r>
    </w:p>
  </w:footnote>
  <w:footnote w:id="8">
    <w:p w:rsidR="003B0076" w:rsidRPr="00B66704" w:rsidP="006A5DB3" w14:paraId="46FA5626" w14:textId="77777777">
      <w:pPr>
        <w:pStyle w:val="FootnoteText"/>
        <w:spacing w:after="120"/>
      </w:pPr>
      <w:r w:rsidRPr="00B66704">
        <w:rPr>
          <w:rStyle w:val="FootnoteReference"/>
        </w:rPr>
        <w:footnoteRef/>
      </w:r>
      <w:r w:rsidRPr="00B66704">
        <w:t xml:space="preserve"> LIPA Waiver Request at 1.</w:t>
      </w:r>
    </w:p>
  </w:footnote>
  <w:footnote w:id="9">
    <w:p w:rsidR="003B0076" w:rsidP="006A5DB3" w14:paraId="0CC7C5D3" w14:textId="21C89EFF">
      <w:pPr>
        <w:pStyle w:val="FootnoteText"/>
        <w:spacing w:after="120"/>
      </w:pPr>
      <w:r>
        <w:rPr>
          <w:rStyle w:val="FootnoteReference"/>
        </w:rPr>
        <w:footnoteRef/>
      </w:r>
      <w:r>
        <w:t xml:space="preserve"> </w:t>
      </w:r>
      <w:r w:rsidRPr="00962FD2" w:rsidR="00962FD2">
        <w:rPr>
          <w:i/>
          <w:iCs/>
        </w:rPr>
        <w:t>Id</w:t>
      </w:r>
      <w:r w:rsidR="00962FD2">
        <w:t>.</w:t>
      </w:r>
    </w:p>
  </w:footnote>
  <w:footnote w:id="10">
    <w:p w:rsidR="00BC1499" w:rsidRPr="0066080C" w:rsidP="006A5DB3" w14:paraId="50AB48C9" w14:textId="1A23BFA4">
      <w:pPr>
        <w:pStyle w:val="FootnoteText"/>
        <w:spacing w:after="120"/>
      </w:pPr>
      <w:r w:rsidRPr="0066080C">
        <w:rPr>
          <w:rStyle w:val="FootnoteReference"/>
        </w:rPr>
        <w:footnoteRef/>
      </w:r>
      <w:r w:rsidRPr="0066080C" w:rsidR="0066080C">
        <w:t xml:space="preserve"> </w:t>
      </w:r>
      <w:r w:rsidRPr="0066080C" w:rsidR="00962FD2">
        <w:rPr>
          <w:i/>
          <w:iCs/>
        </w:rPr>
        <w:t>Id</w:t>
      </w:r>
      <w:r w:rsidRPr="0066080C">
        <w:t>.</w:t>
      </w:r>
    </w:p>
  </w:footnote>
  <w:footnote w:id="11">
    <w:p w:rsidR="0060758F" w:rsidRPr="00B6701F" w:rsidP="006A5DB3" w14:paraId="274FA062" w14:textId="5ABB5540">
      <w:pPr>
        <w:pStyle w:val="FootnoteText"/>
        <w:spacing w:after="120"/>
      </w:pPr>
      <w:r w:rsidRPr="0094035E">
        <w:rPr>
          <w:rStyle w:val="FootnoteReference"/>
        </w:rPr>
        <w:footnoteRef/>
      </w:r>
      <w:r w:rsidRPr="0094035E">
        <w:t xml:space="preserve"> </w:t>
      </w:r>
      <w:r w:rsidRPr="0094035E">
        <w:rPr>
          <w:i/>
          <w:iCs/>
        </w:rPr>
        <w:t>See id.</w:t>
      </w:r>
      <w:r w:rsidR="004374D5">
        <w:t xml:space="preserve">  </w:t>
      </w:r>
      <w:r w:rsidRPr="0094035E" w:rsidR="00962FD2">
        <w:t>The five frequency pairs are 896/935.9760 MHz, 896/935.9000 MHz, 896/935.1875 MHz, 896/935.4375 MHz, and 897/936.1750 MHz</w:t>
      </w:r>
      <w:r w:rsidR="00962FD2">
        <w:t>.</w:t>
      </w:r>
      <w:r w:rsidRPr="0094035E" w:rsidR="00962FD2">
        <w:t xml:space="preserve"> </w:t>
      </w:r>
      <w:r w:rsidR="00962FD2">
        <w:t xml:space="preserve"> </w:t>
      </w:r>
      <w:r w:rsidRPr="0094035E" w:rsidR="00962FD2">
        <w:t xml:space="preserve">Two of the five paired channels—896/935.9000 MHz and 896/935.4375 MHz—are control channels.  </w:t>
      </w:r>
      <w:r w:rsidRPr="0094035E" w:rsidR="00962FD2">
        <w:rPr>
          <w:i/>
          <w:iCs/>
        </w:rPr>
        <w:t xml:space="preserve">Id. </w:t>
      </w:r>
      <w:r w:rsidRPr="0094035E" w:rsidR="00962FD2">
        <w:t>at 2.</w:t>
      </w:r>
      <w:r w:rsidR="00962FD2">
        <w:t xml:space="preserve">  </w:t>
      </w:r>
      <w:r w:rsidR="00017269">
        <w:t>In implementing its</w:t>
      </w:r>
      <w:r w:rsidR="00962FD2">
        <w:t xml:space="preserve"> agreement with LIPA, Anterix filed modification applications </w:t>
      </w:r>
      <w:r w:rsidR="00017269">
        <w:t xml:space="preserve">on May 6, 2020 </w:t>
      </w:r>
      <w:r w:rsidR="00962FD2">
        <w:t xml:space="preserve">requesting deletion of relevant frequencies </w:t>
      </w:r>
      <w:r w:rsidR="007576C9">
        <w:t>(</w:t>
      </w:r>
      <w:r w:rsidRPr="007576C9" w:rsidR="007576C9">
        <w:t>935.1875 MHz; 935.4375 MHz; 935.9000 MHz; 935.9750 MHz; 936.1750 MHz; and 897.1750 MHz</w:t>
      </w:r>
      <w:r w:rsidR="007576C9">
        <w:t xml:space="preserve">) </w:t>
      </w:r>
      <w:r w:rsidR="00962FD2">
        <w:t>under the following call signs/file numbers: WQCS342</w:t>
      </w:r>
      <w:r w:rsidR="007576C9">
        <w:t>-</w:t>
      </w:r>
      <w:r w:rsidR="00962FD2">
        <w:t>0009069293; WQCS343</w:t>
      </w:r>
      <w:r w:rsidR="007576C9">
        <w:t>-</w:t>
      </w:r>
      <w:r w:rsidR="00962FD2">
        <w:t>0009069139</w:t>
      </w:r>
      <w:r w:rsidR="007576C9">
        <w:t>;</w:t>
      </w:r>
      <w:r w:rsidR="00962FD2">
        <w:t xml:space="preserve"> WQSY922</w:t>
      </w:r>
      <w:r w:rsidR="007576C9">
        <w:t>-</w:t>
      </w:r>
      <w:r w:rsidR="00962FD2">
        <w:t>0009069147; WQSU788</w:t>
      </w:r>
      <w:r w:rsidR="007576C9">
        <w:t>-</w:t>
      </w:r>
      <w:r w:rsidR="00962FD2">
        <w:t>0009069153; WPZT878</w:t>
      </w:r>
      <w:r w:rsidR="007576C9">
        <w:t>-</w:t>
      </w:r>
      <w:r w:rsidR="00962FD2">
        <w:t xml:space="preserve">0009069168; </w:t>
      </w:r>
      <w:r w:rsidR="007576C9">
        <w:t xml:space="preserve">and </w:t>
      </w:r>
      <w:r w:rsidR="00962FD2">
        <w:t>WPHY777</w:t>
      </w:r>
      <w:r w:rsidR="007576C9">
        <w:t>-</w:t>
      </w:r>
      <w:r w:rsidR="00962FD2">
        <w:t>0009069238.</w:t>
      </w:r>
      <w:r w:rsidR="007576C9">
        <w:t xml:space="preserve"> </w:t>
      </w:r>
    </w:p>
  </w:footnote>
  <w:footnote w:id="12">
    <w:p w:rsidR="00317DA9" w:rsidRPr="0096258B" w:rsidP="00317DA9" w14:paraId="698B27B3" w14:textId="47B2B1ED">
      <w:pPr>
        <w:pStyle w:val="FootnoteText"/>
        <w:rPr>
          <w:i/>
          <w:iCs/>
        </w:rPr>
      </w:pPr>
      <w:r>
        <w:rPr>
          <w:rStyle w:val="FootnoteReference"/>
        </w:rPr>
        <w:footnoteRef/>
      </w:r>
      <w:r>
        <w:t xml:space="preserve"> </w:t>
      </w:r>
      <w:r w:rsidRPr="002158F2">
        <w:rPr>
          <w:i/>
          <w:iCs/>
        </w:rPr>
        <w:t>See</w:t>
      </w:r>
      <w:r>
        <w:rPr>
          <w:i/>
          <w:iCs/>
        </w:rPr>
        <w:t xml:space="preserve"> </w:t>
      </w:r>
      <w:r w:rsidRPr="002158F2">
        <w:rPr>
          <w:i/>
          <w:iCs/>
        </w:rPr>
        <w:t>Review of the Commission’s Rules Governing the</w:t>
      </w:r>
      <w:r>
        <w:rPr>
          <w:i/>
          <w:iCs/>
        </w:rPr>
        <w:t xml:space="preserve"> </w:t>
      </w:r>
      <w:r w:rsidRPr="002158F2">
        <w:rPr>
          <w:i/>
          <w:iCs/>
        </w:rPr>
        <w:t>896-901/935-940 MHz Band</w:t>
      </w:r>
      <w:r>
        <w:t xml:space="preserve">, </w:t>
      </w:r>
      <w:r w:rsidRPr="002158F2">
        <w:t>R</w:t>
      </w:r>
      <w:r>
        <w:t>eport and Order, Order of Proposed Modification, and Orders,</w:t>
      </w:r>
      <w:r w:rsidRPr="008C32A3" w:rsidR="008C32A3">
        <w:t xml:space="preserve"> </w:t>
      </w:r>
      <w:r w:rsidR="008C32A3">
        <w:t>WT Docket 17-200,</w:t>
      </w:r>
      <w:r>
        <w:t xml:space="preserve"> FCC 20-67, (</w:t>
      </w:r>
      <w:r w:rsidR="008C32A3">
        <w:t xml:space="preserve">May 13, </w:t>
      </w:r>
      <w:r>
        <w:t>2020) (</w:t>
      </w:r>
      <w:r w:rsidRPr="006A5402">
        <w:rPr>
          <w:i/>
          <w:iCs/>
        </w:rPr>
        <w:t>900 MHz R&amp;O</w:t>
      </w:r>
      <w:r>
        <w:t>).</w:t>
      </w:r>
      <w:r w:rsidRPr="002158F2">
        <w:t xml:space="preserve"> </w:t>
      </w:r>
    </w:p>
    <w:p w:rsidR="00317DA9" w:rsidP="00317DA9" w14:paraId="1A7EEF3F" w14:textId="77777777">
      <w:pPr>
        <w:pStyle w:val="FootnoteText"/>
      </w:pPr>
    </w:p>
  </w:footnote>
  <w:footnote w:id="13">
    <w:p w:rsidR="008B6F6D" w:rsidP="006A5DB3" w14:paraId="085957F9" w14:textId="77777777">
      <w:pPr>
        <w:pStyle w:val="FootnoteText"/>
        <w:spacing w:after="120"/>
        <w:rPr>
          <w:sz w:val="22"/>
          <w:szCs w:val="22"/>
        </w:rPr>
      </w:pPr>
      <w:r>
        <w:rPr>
          <w:rStyle w:val="FootnoteReference"/>
        </w:rPr>
        <w:footnoteRef/>
      </w:r>
      <w:r>
        <w:t xml:space="preserve"> 47 CFR § 1.925(b)(3).</w:t>
      </w:r>
    </w:p>
  </w:footnote>
  <w:footnote w:id="14">
    <w:p w:rsidR="008B6F6D" w:rsidP="006A5DB3" w14:paraId="669095A4" w14:textId="432FBFBC">
      <w:pPr>
        <w:pStyle w:val="FootnoteText"/>
        <w:spacing w:after="120"/>
      </w:pPr>
      <w:r>
        <w:rPr>
          <w:rStyle w:val="FootnoteReference"/>
        </w:rPr>
        <w:footnoteRef/>
      </w:r>
      <w:r>
        <w:t xml:space="preserve"> </w:t>
      </w:r>
      <w:r>
        <w:rPr>
          <w:i/>
        </w:rPr>
        <w:t xml:space="preserve">See </w:t>
      </w:r>
      <w:r w:rsidRPr="000855B5" w:rsidR="000855B5">
        <w:t xml:space="preserve">LIPA </w:t>
      </w:r>
      <w:r>
        <w:t>Waiver Request at 3</w:t>
      </w:r>
      <w:r w:rsidR="000F4667">
        <w:t>-4</w:t>
      </w:r>
      <w:r>
        <w:t>.</w:t>
      </w:r>
    </w:p>
  </w:footnote>
  <w:footnote w:id="15">
    <w:p w:rsidR="007A65D3" w:rsidRPr="00C853A8" w:rsidP="00117C37" w14:paraId="765FAD7F" w14:textId="0D694547">
      <w:pPr>
        <w:pStyle w:val="FootnoteText"/>
        <w:spacing w:after="120"/>
      </w:pPr>
      <w:r w:rsidRPr="008B7267">
        <w:rPr>
          <w:rStyle w:val="FootnoteReference"/>
        </w:rPr>
        <w:footnoteRef/>
      </w:r>
      <w:r w:rsidRPr="008B7267">
        <w:t xml:space="preserve"> </w:t>
      </w:r>
      <w:r w:rsidRPr="0081670D">
        <w:rPr>
          <w:i/>
        </w:rPr>
        <w:t xml:space="preserve">See </w:t>
      </w:r>
      <w:r w:rsidRPr="0081670D">
        <w:t>LIPA Waiver Request at 3.</w:t>
      </w:r>
      <w:r w:rsidR="000D3962">
        <w:t xml:space="preserve">  </w:t>
      </w:r>
      <w:r w:rsidRPr="00072B02" w:rsidR="000D3962">
        <w:t xml:space="preserve">LIPA </w:t>
      </w:r>
      <w:r w:rsidR="000D3962">
        <w:t>explains</w:t>
      </w:r>
      <w:r w:rsidRPr="00072B02" w:rsidR="000D3962">
        <w:t xml:space="preserve"> that if a waiver is not granted, it would need to reprogram the equipment it just received to replace these five channels with five of its existing channels in the proposed broadband segment, and then reprogram the equipment again if the Commission adopts rules consistent with the NPRM.  </w:t>
      </w:r>
      <w:r w:rsidR="00402F80">
        <w:t>Further</w:t>
      </w:r>
      <w:r w:rsidRPr="00072B02" w:rsidR="00402F80">
        <w:t xml:space="preserve">, because </w:t>
      </w:r>
      <w:r w:rsidR="00F95832">
        <w:t xml:space="preserve">only </w:t>
      </w:r>
      <w:r w:rsidRPr="00072B02" w:rsidR="00402F80">
        <w:t xml:space="preserve">two of these channels are control channels, </w:t>
      </w:r>
      <w:r w:rsidR="00F95832">
        <w:t xml:space="preserve">physical </w:t>
      </w:r>
      <w:r w:rsidRPr="00072B02" w:rsidR="00402F80">
        <w:t xml:space="preserve">reprogramming </w:t>
      </w:r>
      <w:r w:rsidR="00F95832">
        <w:t xml:space="preserve">of </w:t>
      </w:r>
      <w:r w:rsidRPr="00072B02" w:rsidR="00402F80">
        <w:t xml:space="preserve">each subscriber unit </w:t>
      </w:r>
      <w:r w:rsidR="00F95832">
        <w:t xml:space="preserve">is required, </w:t>
      </w:r>
      <w:r w:rsidRPr="00072B02" w:rsidR="00402F80">
        <w:t xml:space="preserve">since over-the-air programing is not possible except through a control channel.  </w:t>
      </w:r>
      <w:r w:rsidRPr="00072B02" w:rsidR="00402F80">
        <w:rPr>
          <w:i/>
        </w:rPr>
        <w:t>See id</w:t>
      </w:r>
      <w:r w:rsidR="000D3962">
        <w:rPr>
          <w:i/>
        </w:rPr>
        <w:t>.</w:t>
      </w:r>
    </w:p>
  </w:footnote>
  <w:footnote w:id="16">
    <w:p w:rsidR="00E329C9" w:rsidRPr="00E329C9" w:rsidP="00117C37" w14:paraId="487547D0" w14:textId="18F6FD29">
      <w:pPr>
        <w:pStyle w:val="FootnoteText"/>
        <w:spacing w:after="120"/>
      </w:pPr>
      <w:r>
        <w:rPr>
          <w:rStyle w:val="FootnoteReference"/>
        </w:rPr>
        <w:footnoteRef/>
      </w:r>
      <w:r>
        <w:t xml:space="preserve"> </w:t>
      </w:r>
      <w:r>
        <w:rPr>
          <w:i/>
        </w:rPr>
        <w:t xml:space="preserve">See </w:t>
      </w:r>
      <w:r>
        <w:t>LIPA Waiver Request at 3-4.</w:t>
      </w:r>
    </w:p>
  </w:footnote>
  <w:footnote w:id="17">
    <w:p w:rsidR="00402F80" w:rsidP="00117C37" w14:paraId="5FB10D1E" w14:textId="1915160B">
      <w:pPr>
        <w:pStyle w:val="FootnoteText"/>
        <w:spacing w:after="120"/>
      </w:pPr>
      <w:r>
        <w:rPr>
          <w:rStyle w:val="FootnoteReference"/>
        </w:rPr>
        <w:footnoteRef/>
      </w:r>
      <w:r>
        <w:t xml:space="preserve"> </w:t>
      </w:r>
      <w:r w:rsidRPr="000728D1">
        <w:rPr>
          <w:i/>
          <w:iCs/>
        </w:rPr>
        <w:t>Id</w:t>
      </w:r>
      <w:r>
        <w:t xml:space="preserve">. at 3. </w:t>
      </w:r>
    </w:p>
  </w:footnote>
  <w:footnote w:id="18">
    <w:p w:rsidR="00481065" w:rsidP="008C32A3" w14:paraId="7DE493A7" w14:textId="2059C7D9">
      <w:pPr>
        <w:pStyle w:val="FootnoteText"/>
        <w:spacing w:after="120"/>
      </w:pPr>
      <w:r>
        <w:rPr>
          <w:rStyle w:val="FootnoteReference"/>
        </w:rPr>
        <w:footnoteRef/>
      </w:r>
      <w:r>
        <w:t xml:space="preserve"> </w:t>
      </w:r>
      <w:r w:rsidRPr="00481065">
        <w:rPr>
          <w:i/>
          <w:iCs/>
        </w:rPr>
        <w:t>See</w:t>
      </w:r>
      <w:r w:rsidRPr="00481065" w:rsidR="00B03E8F">
        <w:t xml:space="preserve"> </w:t>
      </w:r>
      <w:r w:rsidRPr="00481065" w:rsidR="00B03E8F">
        <w:rPr>
          <w:i/>
          <w:iCs/>
        </w:rPr>
        <w:t>900 MHz R</w:t>
      </w:r>
      <w:r w:rsidRPr="008C32A3" w:rsidR="00B03E8F">
        <w:rPr>
          <w:i/>
          <w:iCs/>
        </w:rPr>
        <w:t>&amp;O</w:t>
      </w:r>
      <w:r w:rsidRPr="00481065">
        <w:t xml:space="preserve">, FCC 20-67 </w:t>
      </w:r>
      <w:r w:rsidRPr="00481065" w:rsidR="00B03E8F">
        <w:t>at para. 176</w:t>
      </w:r>
      <w:r w:rsidRPr="00481065">
        <w:t>.</w:t>
      </w:r>
    </w:p>
  </w:footnote>
  <w:footnote w:id="19">
    <w:p w:rsidR="00686926" w:rsidRPr="0094035E" w:rsidP="00117C37" w14:paraId="7A3724F6" w14:textId="2077A9FE">
      <w:pPr>
        <w:spacing w:after="120"/>
        <w:rPr>
          <w:sz w:val="22"/>
          <w:szCs w:val="22"/>
        </w:rPr>
      </w:pPr>
      <w:r w:rsidRPr="0094035E">
        <w:rPr>
          <w:rStyle w:val="FootnoteReference"/>
        </w:rPr>
        <w:footnoteRef/>
      </w:r>
      <w:r w:rsidRPr="0094035E">
        <w:t xml:space="preserve"> </w:t>
      </w:r>
      <w:r w:rsidRPr="0094035E">
        <w:rPr>
          <w:i/>
        </w:rPr>
        <w:t>See</w:t>
      </w:r>
      <w:r w:rsidR="00390619">
        <w:rPr>
          <w:i/>
        </w:rPr>
        <w:t xml:space="preserve"> generally</w:t>
      </w:r>
      <w:r w:rsidRPr="0094035E">
        <w:rPr>
          <w:i/>
        </w:rPr>
        <w:t xml:space="preserve"> </w:t>
      </w:r>
      <w:r w:rsidRPr="00410091">
        <w:t xml:space="preserve">LIPA </w:t>
      </w:r>
      <w:r w:rsidRPr="00410091" w:rsidR="00243825">
        <w:t>Contour Exhibit</w:t>
      </w:r>
      <w:r w:rsidRPr="00410091" w:rsidR="00390619">
        <w:t>s</w:t>
      </w:r>
      <w:r w:rsidRPr="0094035E">
        <w:t xml:space="preserve">.  </w:t>
      </w:r>
    </w:p>
  </w:footnote>
  <w:footnote w:id="20">
    <w:p w:rsidR="008D0005" w:rsidRPr="002E4E96" w:rsidP="00117C37" w14:paraId="16C0394D" w14:textId="1B4071F1">
      <w:pPr>
        <w:pStyle w:val="FootnoteText"/>
        <w:spacing w:after="120"/>
      </w:pPr>
      <w:r>
        <w:rPr>
          <w:rStyle w:val="FootnoteReference"/>
        </w:rPr>
        <w:footnoteRef/>
      </w:r>
      <w:r>
        <w:t xml:space="preserve"> </w:t>
      </w:r>
      <w:r>
        <w:rPr>
          <w:i/>
        </w:rPr>
        <w:t>Rohm and Haas Texas Inc.</w:t>
      </w:r>
      <w:r>
        <w:t>, Order, 34 FCC Rcd 10436</w:t>
      </w:r>
      <w:r w:rsidR="00992226">
        <w:t>, DA 19-1167</w:t>
      </w:r>
      <w:r>
        <w:t xml:space="preserve"> (WTB Nov. 13, 2019).</w:t>
      </w:r>
    </w:p>
  </w:footnote>
  <w:footnote w:id="21">
    <w:p w:rsidR="002F19B5" w:rsidRPr="002F19B5" w:rsidP="006A5DB3" w14:paraId="17004D67" w14:textId="50E16C9A">
      <w:pPr>
        <w:pStyle w:val="FootnoteText"/>
        <w:spacing w:after="120"/>
      </w:pPr>
      <w:r>
        <w:rPr>
          <w:rStyle w:val="FootnoteReference"/>
        </w:rPr>
        <w:footnoteRef/>
      </w:r>
      <w:r w:rsidR="000C5944">
        <w:rPr>
          <w:i/>
          <w:iCs/>
        </w:rPr>
        <w:t xml:space="preserve"> </w:t>
      </w:r>
      <w:r w:rsidRPr="00481065" w:rsidR="00481065">
        <w:rPr>
          <w:i/>
          <w:iCs/>
        </w:rPr>
        <w:t>Id</w:t>
      </w:r>
      <w:r w:rsidR="00AE45F5">
        <w:t>.</w:t>
      </w:r>
    </w:p>
  </w:footnote>
  <w:footnote w:id="22">
    <w:p w:rsidR="00163BC3" w:rsidP="006A5DB3" w14:paraId="30F4AF5A" w14:textId="67BAD18E">
      <w:pPr>
        <w:pStyle w:val="FootnoteText"/>
        <w:spacing w:after="120"/>
      </w:pPr>
      <w:r>
        <w:rPr>
          <w:rStyle w:val="FootnoteReference"/>
        </w:rPr>
        <w:footnoteRef/>
      </w:r>
      <w:r>
        <w:t xml:space="preserve"> </w:t>
      </w:r>
      <w:r>
        <w:rPr>
          <w:i/>
        </w:rPr>
        <w:t>Flint Hills Resources Corpus Christi, LLC</w:t>
      </w:r>
      <w:r>
        <w:t>, Order, 34 FCC Rcd 8071</w:t>
      </w:r>
      <w:r w:rsidR="003C29EA">
        <w:t>, DA 19-908</w:t>
      </w:r>
      <w:r>
        <w:t xml:space="preserve"> (WTB Sept. 12, 2019).</w:t>
      </w:r>
    </w:p>
  </w:footnote>
  <w:footnote w:id="23">
    <w:p w:rsidR="00992226" w:rsidP="006A5DB3" w14:paraId="746A1558" w14:textId="749FBF5B">
      <w:pPr>
        <w:pStyle w:val="FootnoteText"/>
        <w:spacing w:after="120"/>
      </w:pPr>
      <w:r>
        <w:rPr>
          <w:rStyle w:val="FootnoteReference"/>
        </w:rPr>
        <w:footnoteRef/>
      </w:r>
      <w:r>
        <w:t xml:space="preserve"> </w:t>
      </w:r>
      <w:r>
        <w:rPr>
          <w:i/>
        </w:rPr>
        <w:t xml:space="preserve">Eversource Energy Service Company, </w:t>
      </w:r>
      <w:r>
        <w:t xml:space="preserve">Order, </w:t>
      </w:r>
      <w:r w:rsidR="00025694">
        <w:t xml:space="preserve">34 FCC Rcd 8074, </w:t>
      </w:r>
      <w:r>
        <w:t>DA 19-909 (WTB Sept. 12,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F82" w:rsidP="009421E1" w14:paraId="7A81AA6F" w14:textId="30FBFB8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filled="t" fillcolor="#3cc">
          <v:imagedata r:id="rId1" o:title="" gain="69719f"/>
          <w10:wrap type="topAndBottom"/>
        </v:shape>
        <o:OLEObject Type="Embed" ProgID="Word.Picture.8" ShapeID="_x0000_s2049" DrawAspect="Content" ObjectID="_1651654578" r:id="rId2"/>
      </w:pict>
    </w:r>
    <w:r w:rsidR="00361278">
      <w:rPr>
        <w:rFonts w:ascii="CG Times (W1)" w:hAnsi="CG Times (W1)"/>
        <w:sz w:val="28"/>
      </w:rPr>
      <w:t>Federal Communications Commission</w:t>
    </w:r>
  </w:p>
  <w:p w:rsidR="00573F82" w:rsidP="009421E1" w14:paraId="5B7456E3" w14:textId="77777777">
    <w:pPr>
      <w:jc w:val="center"/>
      <w:rPr>
        <w:rFonts w:ascii="CG Times (W1)" w:hAnsi="CG Times (W1)"/>
        <w:sz w:val="28"/>
      </w:rPr>
    </w:pPr>
    <w:r>
      <w:rPr>
        <w:rFonts w:ascii="CG Times (W1)" w:hAnsi="CG Times (W1)"/>
        <w:sz w:val="28"/>
      </w:rPr>
      <w:t>Washington, D.C. 20554</w:t>
    </w:r>
  </w:p>
  <w:p w:rsidR="00573F82" w14:paraId="19363854" w14:textId="77777777">
    <w:pPr>
      <w:jc w:val="center"/>
    </w:pPr>
  </w:p>
  <w:p w:rsidR="00573F82" w:rsidRPr="000F0E19" w14:paraId="501BBDA4" w14:textId="47DD54C7">
    <w:pPr>
      <w:pStyle w:val="Header"/>
      <w:tabs>
        <w:tab w:val="clear" w:pos="4320"/>
      </w:tabs>
      <w:jc w:val="center"/>
      <w:rPr>
        <w:sz w:val="22"/>
        <w:szCs w:val="22"/>
      </w:rPr>
    </w:pPr>
    <w:r>
      <w:rPr>
        <w:sz w:val="22"/>
        <w:szCs w:val="22"/>
      </w:rPr>
      <w:t>May</w:t>
    </w:r>
    <w:r w:rsidR="009421E1">
      <w:rPr>
        <w:sz w:val="22"/>
        <w:szCs w:val="22"/>
      </w:rPr>
      <w:t xml:space="preserve"> 22</w:t>
    </w:r>
    <w:r w:rsidR="00361278">
      <w:rPr>
        <w:sz w:val="22"/>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1E1152"/>
    <w:multiLevelType w:val="hybridMultilevel"/>
    <w:tmpl w:val="ABC4F3C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78"/>
    <w:rsid w:val="000072BB"/>
    <w:rsid w:val="00010B02"/>
    <w:rsid w:val="00011435"/>
    <w:rsid w:val="00012DFE"/>
    <w:rsid w:val="00017269"/>
    <w:rsid w:val="00020A52"/>
    <w:rsid w:val="00021488"/>
    <w:rsid w:val="00025694"/>
    <w:rsid w:val="00026339"/>
    <w:rsid w:val="00031D97"/>
    <w:rsid w:val="00033751"/>
    <w:rsid w:val="0005175A"/>
    <w:rsid w:val="00052112"/>
    <w:rsid w:val="00054B92"/>
    <w:rsid w:val="00060C53"/>
    <w:rsid w:val="00061321"/>
    <w:rsid w:val="000651B4"/>
    <w:rsid w:val="00066C90"/>
    <w:rsid w:val="00067A01"/>
    <w:rsid w:val="00070759"/>
    <w:rsid w:val="000728D1"/>
    <w:rsid w:val="00072B02"/>
    <w:rsid w:val="00074C3F"/>
    <w:rsid w:val="000855B5"/>
    <w:rsid w:val="000876E6"/>
    <w:rsid w:val="0009181F"/>
    <w:rsid w:val="000A0491"/>
    <w:rsid w:val="000A43DE"/>
    <w:rsid w:val="000A5C45"/>
    <w:rsid w:val="000B0CA6"/>
    <w:rsid w:val="000B4666"/>
    <w:rsid w:val="000B5525"/>
    <w:rsid w:val="000C4A37"/>
    <w:rsid w:val="000C50F1"/>
    <w:rsid w:val="000C5944"/>
    <w:rsid w:val="000D1F7E"/>
    <w:rsid w:val="000D3962"/>
    <w:rsid w:val="000E343F"/>
    <w:rsid w:val="000E4194"/>
    <w:rsid w:val="000E52CC"/>
    <w:rsid w:val="000E6FB6"/>
    <w:rsid w:val="000E79F9"/>
    <w:rsid w:val="000F0E19"/>
    <w:rsid w:val="000F0F58"/>
    <w:rsid w:val="000F2972"/>
    <w:rsid w:val="000F2AF8"/>
    <w:rsid w:val="000F2D62"/>
    <w:rsid w:val="000F3B76"/>
    <w:rsid w:val="000F4667"/>
    <w:rsid w:val="000F4BB3"/>
    <w:rsid w:val="00100728"/>
    <w:rsid w:val="00103C8B"/>
    <w:rsid w:val="001044A3"/>
    <w:rsid w:val="00104BD2"/>
    <w:rsid w:val="00105677"/>
    <w:rsid w:val="001078B6"/>
    <w:rsid w:val="0011209A"/>
    <w:rsid w:val="001146FB"/>
    <w:rsid w:val="00115AE5"/>
    <w:rsid w:val="00116DD6"/>
    <w:rsid w:val="00117C37"/>
    <w:rsid w:val="001214A3"/>
    <w:rsid w:val="00121F2A"/>
    <w:rsid w:val="00131A55"/>
    <w:rsid w:val="00131D50"/>
    <w:rsid w:val="00132E46"/>
    <w:rsid w:val="00135087"/>
    <w:rsid w:val="001402C7"/>
    <w:rsid w:val="00145051"/>
    <w:rsid w:val="00146D4A"/>
    <w:rsid w:val="00150E8F"/>
    <w:rsid w:val="00157E12"/>
    <w:rsid w:val="00162330"/>
    <w:rsid w:val="00163BC3"/>
    <w:rsid w:val="001726A1"/>
    <w:rsid w:val="0017290F"/>
    <w:rsid w:val="001751F3"/>
    <w:rsid w:val="00175EE4"/>
    <w:rsid w:val="001777EF"/>
    <w:rsid w:val="00180BDF"/>
    <w:rsid w:val="001813A1"/>
    <w:rsid w:val="00182788"/>
    <w:rsid w:val="00182E4C"/>
    <w:rsid w:val="0018552D"/>
    <w:rsid w:val="00191C52"/>
    <w:rsid w:val="001959E8"/>
    <w:rsid w:val="00196BD8"/>
    <w:rsid w:val="001A007F"/>
    <w:rsid w:val="001A14AC"/>
    <w:rsid w:val="001A18CF"/>
    <w:rsid w:val="001B16F7"/>
    <w:rsid w:val="001B36D5"/>
    <w:rsid w:val="001C1163"/>
    <w:rsid w:val="001C3168"/>
    <w:rsid w:val="001C59E3"/>
    <w:rsid w:val="001D0558"/>
    <w:rsid w:val="001D2232"/>
    <w:rsid w:val="001D2537"/>
    <w:rsid w:val="001D3336"/>
    <w:rsid w:val="001D6CC9"/>
    <w:rsid w:val="001E1293"/>
    <w:rsid w:val="001E2DB2"/>
    <w:rsid w:val="001E387C"/>
    <w:rsid w:val="001E3BE7"/>
    <w:rsid w:val="001E4E5C"/>
    <w:rsid w:val="001F1D49"/>
    <w:rsid w:val="001F49E2"/>
    <w:rsid w:val="001F6ADD"/>
    <w:rsid w:val="00203ABD"/>
    <w:rsid w:val="00211D63"/>
    <w:rsid w:val="0021478A"/>
    <w:rsid w:val="002156A3"/>
    <w:rsid w:val="002158F2"/>
    <w:rsid w:val="00225599"/>
    <w:rsid w:val="00225A76"/>
    <w:rsid w:val="0022680D"/>
    <w:rsid w:val="00226BA9"/>
    <w:rsid w:val="00235200"/>
    <w:rsid w:val="00236461"/>
    <w:rsid w:val="002366F3"/>
    <w:rsid w:val="00240FA0"/>
    <w:rsid w:val="00243825"/>
    <w:rsid w:val="00260D4B"/>
    <w:rsid w:val="002702B0"/>
    <w:rsid w:val="0027203C"/>
    <w:rsid w:val="00272FE9"/>
    <w:rsid w:val="0027441F"/>
    <w:rsid w:val="00274615"/>
    <w:rsid w:val="0027475E"/>
    <w:rsid w:val="002759F1"/>
    <w:rsid w:val="002833F5"/>
    <w:rsid w:val="00286C2C"/>
    <w:rsid w:val="00295A99"/>
    <w:rsid w:val="002A0442"/>
    <w:rsid w:val="002A1E83"/>
    <w:rsid w:val="002A3A12"/>
    <w:rsid w:val="002D08ED"/>
    <w:rsid w:val="002D47F1"/>
    <w:rsid w:val="002D5983"/>
    <w:rsid w:val="002D676B"/>
    <w:rsid w:val="002E021A"/>
    <w:rsid w:val="002E4E96"/>
    <w:rsid w:val="002E5D2B"/>
    <w:rsid w:val="002F19B5"/>
    <w:rsid w:val="002F758E"/>
    <w:rsid w:val="00302A9F"/>
    <w:rsid w:val="00302CC9"/>
    <w:rsid w:val="00305147"/>
    <w:rsid w:val="0030663C"/>
    <w:rsid w:val="00314BF8"/>
    <w:rsid w:val="00317DA9"/>
    <w:rsid w:val="00322F39"/>
    <w:rsid w:val="00325020"/>
    <w:rsid w:val="00332236"/>
    <w:rsid w:val="003335F3"/>
    <w:rsid w:val="0033417A"/>
    <w:rsid w:val="0033728D"/>
    <w:rsid w:val="003417F8"/>
    <w:rsid w:val="003427EB"/>
    <w:rsid w:val="00343BFF"/>
    <w:rsid w:val="0034553B"/>
    <w:rsid w:val="00357075"/>
    <w:rsid w:val="003575D5"/>
    <w:rsid w:val="0036045C"/>
    <w:rsid w:val="0036111B"/>
    <w:rsid w:val="00361278"/>
    <w:rsid w:val="003661A3"/>
    <w:rsid w:val="00366835"/>
    <w:rsid w:val="00366D43"/>
    <w:rsid w:val="0036756F"/>
    <w:rsid w:val="00387766"/>
    <w:rsid w:val="00390619"/>
    <w:rsid w:val="00390E10"/>
    <w:rsid w:val="00391B83"/>
    <w:rsid w:val="00393171"/>
    <w:rsid w:val="003A5B4F"/>
    <w:rsid w:val="003A7C3A"/>
    <w:rsid w:val="003B0076"/>
    <w:rsid w:val="003B3124"/>
    <w:rsid w:val="003C29EA"/>
    <w:rsid w:val="003C3743"/>
    <w:rsid w:val="003C3B73"/>
    <w:rsid w:val="003C7057"/>
    <w:rsid w:val="003D69FE"/>
    <w:rsid w:val="003E4ACB"/>
    <w:rsid w:val="003E4FFD"/>
    <w:rsid w:val="003E646D"/>
    <w:rsid w:val="003F239C"/>
    <w:rsid w:val="003F353A"/>
    <w:rsid w:val="003F39F5"/>
    <w:rsid w:val="003F7DBE"/>
    <w:rsid w:val="00401F6F"/>
    <w:rsid w:val="00402F80"/>
    <w:rsid w:val="004031BB"/>
    <w:rsid w:val="004052C9"/>
    <w:rsid w:val="00405738"/>
    <w:rsid w:val="00407F60"/>
    <w:rsid w:val="00410091"/>
    <w:rsid w:val="00415F82"/>
    <w:rsid w:val="00420022"/>
    <w:rsid w:val="0042639B"/>
    <w:rsid w:val="004270C9"/>
    <w:rsid w:val="00430B68"/>
    <w:rsid w:val="004374D5"/>
    <w:rsid w:val="004434F8"/>
    <w:rsid w:val="0044374D"/>
    <w:rsid w:val="00446D36"/>
    <w:rsid w:val="00447265"/>
    <w:rsid w:val="004555D1"/>
    <w:rsid w:val="00456D5C"/>
    <w:rsid w:val="0046492F"/>
    <w:rsid w:val="004719C1"/>
    <w:rsid w:val="00480535"/>
    <w:rsid w:val="00481065"/>
    <w:rsid w:val="00481512"/>
    <w:rsid w:val="00481983"/>
    <w:rsid w:val="0048356F"/>
    <w:rsid w:val="004920EA"/>
    <w:rsid w:val="00492CB1"/>
    <w:rsid w:val="00495402"/>
    <w:rsid w:val="004A143E"/>
    <w:rsid w:val="004B240B"/>
    <w:rsid w:val="004B2A03"/>
    <w:rsid w:val="004B5B73"/>
    <w:rsid w:val="004C0C82"/>
    <w:rsid w:val="004C3985"/>
    <w:rsid w:val="004F1E03"/>
    <w:rsid w:val="004F40EC"/>
    <w:rsid w:val="0053083E"/>
    <w:rsid w:val="00540657"/>
    <w:rsid w:val="00542FA1"/>
    <w:rsid w:val="005517F7"/>
    <w:rsid w:val="00555645"/>
    <w:rsid w:val="005571F3"/>
    <w:rsid w:val="00557C53"/>
    <w:rsid w:val="00567EC1"/>
    <w:rsid w:val="00570E8E"/>
    <w:rsid w:val="00573DA7"/>
    <w:rsid w:val="00573F82"/>
    <w:rsid w:val="005769F1"/>
    <w:rsid w:val="00583188"/>
    <w:rsid w:val="00583E21"/>
    <w:rsid w:val="005874B9"/>
    <w:rsid w:val="0059071A"/>
    <w:rsid w:val="00597F90"/>
    <w:rsid w:val="005A1B01"/>
    <w:rsid w:val="005A3AB7"/>
    <w:rsid w:val="005B5012"/>
    <w:rsid w:val="005C0E91"/>
    <w:rsid w:val="005C2F1B"/>
    <w:rsid w:val="005D3B84"/>
    <w:rsid w:val="005D461A"/>
    <w:rsid w:val="005E3B3B"/>
    <w:rsid w:val="0060023C"/>
    <w:rsid w:val="0060644F"/>
    <w:rsid w:val="00606F45"/>
    <w:rsid w:val="0060758F"/>
    <w:rsid w:val="00622403"/>
    <w:rsid w:val="006225F7"/>
    <w:rsid w:val="00627A47"/>
    <w:rsid w:val="00630114"/>
    <w:rsid w:val="006315FF"/>
    <w:rsid w:val="00633AF1"/>
    <w:rsid w:val="0063778E"/>
    <w:rsid w:val="006414C0"/>
    <w:rsid w:val="00645CAE"/>
    <w:rsid w:val="00645FEA"/>
    <w:rsid w:val="00654675"/>
    <w:rsid w:val="0066080C"/>
    <w:rsid w:val="00670B0E"/>
    <w:rsid w:val="00677E95"/>
    <w:rsid w:val="0068593B"/>
    <w:rsid w:val="00686926"/>
    <w:rsid w:val="00692738"/>
    <w:rsid w:val="00692A27"/>
    <w:rsid w:val="00693D09"/>
    <w:rsid w:val="00696031"/>
    <w:rsid w:val="006A0C7D"/>
    <w:rsid w:val="006A1620"/>
    <w:rsid w:val="006A2C17"/>
    <w:rsid w:val="006A5402"/>
    <w:rsid w:val="006A5DB3"/>
    <w:rsid w:val="006B291C"/>
    <w:rsid w:val="006B3A17"/>
    <w:rsid w:val="006B613D"/>
    <w:rsid w:val="006C6BD3"/>
    <w:rsid w:val="006D1603"/>
    <w:rsid w:val="006D2A96"/>
    <w:rsid w:val="006E07E8"/>
    <w:rsid w:val="006E195C"/>
    <w:rsid w:val="006E2677"/>
    <w:rsid w:val="006E3AB0"/>
    <w:rsid w:val="006E3B81"/>
    <w:rsid w:val="006E4C98"/>
    <w:rsid w:val="006E508B"/>
    <w:rsid w:val="006F42B8"/>
    <w:rsid w:val="00701E82"/>
    <w:rsid w:val="00702C12"/>
    <w:rsid w:val="00703E8E"/>
    <w:rsid w:val="00704082"/>
    <w:rsid w:val="00705671"/>
    <w:rsid w:val="00706F62"/>
    <w:rsid w:val="00707C51"/>
    <w:rsid w:val="00710069"/>
    <w:rsid w:val="00714964"/>
    <w:rsid w:val="007160FE"/>
    <w:rsid w:val="00724075"/>
    <w:rsid w:val="007336F1"/>
    <w:rsid w:val="00735EE5"/>
    <w:rsid w:val="00740923"/>
    <w:rsid w:val="00740F95"/>
    <w:rsid w:val="00741D3F"/>
    <w:rsid w:val="007576C9"/>
    <w:rsid w:val="00757A60"/>
    <w:rsid w:val="007639C6"/>
    <w:rsid w:val="00770DB7"/>
    <w:rsid w:val="0077782E"/>
    <w:rsid w:val="00782629"/>
    <w:rsid w:val="00790485"/>
    <w:rsid w:val="00793169"/>
    <w:rsid w:val="0079321A"/>
    <w:rsid w:val="007A0453"/>
    <w:rsid w:val="007A0F55"/>
    <w:rsid w:val="007A27E1"/>
    <w:rsid w:val="007A65D3"/>
    <w:rsid w:val="007A7CFB"/>
    <w:rsid w:val="007B158E"/>
    <w:rsid w:val="007B3BAD"/>
    <w:rsid w:val="007B75F1"/>
    <w:rsid w:val="007D0350"/>
    <w:rsid w:val="007D0CF4"/>
    <w:rsid w:val="007D2F44"/>
    <w:rsid w:val="007F3AF4"/>
    <w:rsid w:val="007F7EEF"/>
    <w:rsid w:val="00803D23"/>
    <w:rsid w:val="00805324"/>
    <w:rsid w:val="008079BE"/>
    <w:rsid w:val="00807C86"/>
    <w:rsid w:val="00810B51"/>
    <w:rsid w:val="00812B7C"/>
    <w:rsid w:val="008131E5"/>
    <w:rsid w:val="00813A30"/>
    <w:rsid w:val="008159AD"/>
    <w:rsid w:val="0081670D"/>
    <w:rsid w:val="00820B47"/>
    <w:rsid w:val="0083187E"/>
    <w:rsid w:val="008336B1"/>
    <w:rsid w:val="00845D0F"/>
    <w:rsid w:val="00854A5B"/>
    <w:rsid w:val="008553C7"/>
    <w:rsid w:val="00864821"/>
    <w:rsid w:val="00864C7E"/>
    <w:rsid w:val="008678FF"/>
    <w:rsid w:val="008717B1"/>
    <w:rsid w:val="008735A4"/>
    <w:rsid w:val="008749A6"/>
    <w:rsid w:val="008759D9"/>
    <w:rsid w:val="0088092F"/>
    <w:rsid w:val="0088473D"/>
    <w:rsid w:val="00890C0A"/>
    <w:rsid w:val="00890D68"/>
    <w:rsid w:val="0089146F"/>
    <w:rsid w:val="008915A9"/>
    <w:rsid w:val="008B103A"/>
    <w:rsid w:val="008B33AA"/>
    <w:rsid w:val="008B6F6D"/>
    <w:rsid w:val="008B7267"/>
    <w:rsid w:val="008C0A76"/>
    <w:rsid w:val="008C2110"/>
    <w:rsid w:val="008C32A3"/>
    <w:rsid w:val="008C6A5A"/>
    <w:rsid w:val="008C7639"/>
    <w:rsid w:val="008D0005"/>
    <w:rsid w:val="008D397D"/>
    <w:rsid w:val="008D3AE8"/>
    <w:rsid w:val="008D5487"/>
    <w:rsid w:val="008E6AE6"/>
    <w:rsid w:val="008F0689"/>
    <w:rsid w:val="008F2250"/>
    <w:rsid w:val="008F389B"/>
    <w:rsid w:val="008F5AA0"/>
    <w:rsid w:val="008F5FC3"/>
    <w:rsid w:val="00904400"/>
    <w:rsid w:val="00905EBE"/>
    <w:rsid w:val="00906DEF"/>
    <w:rsid w:val="00921199"/>
    <w:rsid w:val="009249BE"/>
    <w:rsid w:val="00927953"/>
    <w:rsid w:val="00935A63"/>
    <w:rsid w:val="0094035E"/>
    <w:rsid w:val="009421E1"/>
    <w:rsid w:val="009423D2"/>
    <w:rsid w:val="00943EE1"/>
    <w:rsid w:val="00944F64"/>
    <w:rsid w:val="0096258B"/>
    <w:rsid w:val="00962FD2"/>
    <w:rsid w:val="009657F6"/>
    <w:rsid w:val="00970441"/>
    <w:rsid w:val="00970948"/>
    <w:rsid w:val="00972147"/>
    <w:rsid w:val="009779E4"/>
    <w:rsid w:val="00980098"/>
    <w:rsid w:val="0098604C"/>
    <w:rsid w:val="00992226"/>
    <w:rsid w:val="00994031"/>
    <w:rsid w:val="009A14DC"/>
    <w:rsid w:val="009A375B"/>
    <w:rsid w:val="009B0E70"/>
    <w:rsid w:val="009C3E87"/>
    <w:rsid w:val="009C4D80"/>
    <w:rsid w:val="009C6533"/>
    <w:rsid w:val="009D1269"/>
    <w:rsid w:val="009D237F"/>
    <w:rsid w:val="009D43F2"/>
    <w:rsid w:val="009D442E"/>
    <w:rsid w:val="009D5564"/>
    <w:rsid w:val="009E53AC"/>
    <w:rsid w:val="009F0E10"/>
    <w:rsid w:val="009F216A"/>
    <w:rsid w:val="00A02178"/>
    <w:rsid w:val="00A06672"/>
    <w:rsid w:val="00A07364"/>
    <w:rsid w:val="00A078DA"/>
    <w:rsid w:val="00A07FB6"/>
    <w:rsid w:val="00A11095"/>
    <w:rsid w:val="00A15371"/>
    <w:rsid w:val="00A176FF"/>
    <w:rsid w:val="00A2074D"/>
    <w:rsid w:val="00A230FB"/>
    <w:rsid w:val="00A24416"/>
    <w:rsid w:val="00A306FF"/>
    <w:rsid w:val="00A30F69"/>
    <w:rsid w:val="00A32E71"/>
    <w:rsid w:val="00A3368E"/>
    <w:rsid w:val="00A36CAA"/>
    <w:rsid w:val="00A426B6"/>
    <w:rsid w:val="00A43849"/>
    <w:rsid w:val="00A53877"/>
    <w:rsid w:val="00A559BB"/>
    <w:rsid w:val="00A61988"/>
    <w:rsid w:val="00A70991"/>
    <w:rsid w:val="00A7372F"/>
    <w:rsid w:val="00A807CA"/>
    <w:rsid w:val="00A85EA0"/>
    <w:rsid w:val="00A92047"/>
    <w:rsid w:val="00A9638A"/>
    <w:rsid w:val="00AA4EAC"/>
    <w:rsid w:val="00AA50BE"/>
    <w:rsid w:val="00AB26CC"/>
    <w:rsid w:val="00AB5D43"/>
    <w:rsid w:val="00AC58C7"/>
    <w:rsid w:val="00AC601F"/>
    <w:rsid w:val="00AC6B05"/>
    <w:rsid w:val="00AC7F30"/>
    <w:rsid w:val="00AD04BF"/>
    <w:rsid w:val="00AD2F87"/>
    <w:rsid w:val="00AD4DEF"/>
    <w:rsid w:val="00AD6AAE"/>
    <w:rsid w:val="00AE2522"/>
    <w:rsid w:val="00AE3F5E"/>
    <w:rsid w:val="00AE45F5"/>
    <w:rsid w:val="00AF02B3"/>
    <w:rsid w:val="00AF0317"/>
    <w:rsid w:val="00AF3E64"/>
    <w:rsid w:val="00AF607B"/>
    <w:rsid w:val="00B03E8F"/>
    <w:rsid w:val="00B06E15"/>
    <w:rsid w:val="00B11384"/>
    <w:rsid w:val="00B26E9E"/>
    <w:rsid w:val="00B401E8"/>
    <w:rsid w:val="00B418F3"/>
    <w:rsid w:val="00B53FDA"/>
    <w:rsid w:val="00B56B22"/>
    <w:rsid w:val="00B62C4C"/>
    <w:rsid w:val="00B6358B"/>
    <w:rsid w:val="00B63C95"/>
    <w:rsid w:val="00B63F12"/>
    <w:rsid w:val="00B64C22"/>
    <w:rsid w:val="00B66704"/>
    <w:rsid w:val="00B6701F"/>
    <w:rsid w:val="00B80B76"/>
    <w:rsid w:val="00B876DE"/>
    <w:rsid w:val="00B90911"/>
    <w:rsid w:val="00B948C9"/>
    <w:rsid w:val="00BA3031"/>
    <w:rsid w:val="00BB272A"/>
    <w:rsid w:val="00BB4F93"/>
    <w:rsid w:val="00BB5BDA"/>
    <w:rsid w:val="00BC1499"/>
    <w:rsid w:val="00BC4682"/>
    <w:rsid w:val="00BC56EB"/>
    <w:rsid w:val="00BD26AC"/>
    <w:rsid w:val="00BE121D"/>
    <w:rsid w:val="00BE6FA0"/>
    <w:rsid w:val="00BE725D"/>
    <w:rsid w:val="00BE7630"/>
    <w:rsid w:val="00BF0C02"/>
    <w:rsid w:val="00BF0CB5"/>
    <w:rsid w:val="00BF1631"/>
    <w:rsid w:val="00BF208A"/>
    <w:rsid w:val="00BF2841"/>
    <w:rsid w:val="00BF2DF7"/>
    <w:rsid w:val="00BF79A3"/>
    <w:rsid w:val="00C03E04"/>
    <w:rsid w:val="00C10871"/>
    <w:rsid w:val="00C137A6"/>
    <w:rsid w:val="00C156B7"/>
    <w:rsid w:val="00C16079"/>
    <w:rsid w:val="00C22984"/>
    <w:rsid w:val="00C233DD"/>
    <w:rsid w:val="00C2409E"/>
    <w:rsid w:val="00C26015"/>
    <w:rsid w:val="00C26CB6"/>
    <w:rsid w:val="00C27090"/>
    <w:rsid w:val="00C2764C"/>
    <w:rsid w:val="00C312FE"/>
    <w:rsid w:val="00C41BCB"/>
    <w:rsid w:val="00C43179"/>
    <w:rsid w:val="00C5500E"/>
    <w:rsid w:val="00C564AE"/>
    <w:rsid w:val="00C66566"/>
    <w:rsid w:val="00C6676E"/>
    <w:rsid w:val="00C67C1A"/>
    <w:rsid w:val="00C72C1E"/>
    <w:rsid w:val="00C778AA"/>
    <w:rsid w:val="00C805DA"/>
    <w:rsid w:val="00C806CE"/>
    <w:rsid w:val="00C82BFB"/>
    <w:rsid w:val="00C853A8"/>
    <w:rsid w:val="00C871F0"/>
    <w:rsid w:val="00C9169D"/>
    <w:rsid w:val="00C91B6D"/>
    <w:rsid w:val="00C924E6"/>
    <w:rsid w:val="00C95F29"/>
    <w:rsid w:val="00CA009F"/>
    <w:rsid w:val="00CA4443"/>
    <w:rsid w:val="00CA5EDD"/>
    <w:rsid w:val="00CB5102"/>
    <w:rsid w:val="00CB553E"/>
    <w:rsid w:val="00CC37B4"/>
    <w:rsid w:val="00CC57D7"/>
    <w:rsid w:val="00CC5E57"/>
    <w:rsid w:val="00CC6915"/>
    <w:rsid w:val="00CD2911"/>
    <w:rsid w:val="00CD2A0D"/>
    <w:rsid w:val="00CD342E"/>
    <w:rsid w:val="00CE0E4D"/>
    <w:rsid w:val="00CF154A"/>
    <w:rsid w:val="00CF16DB"/>
    <w:rsid w:val="00CF61D5"/>
    <w:rsid w:val="00CF695B"/>
    <w:rsid w:val="00D03020"/>
    <w:rsid w:val="00D20F58"/>
    <w:rsid w:val="00D2308D"/>
    <w:rsid w:val="00D24D5A"/>
    <w:rsid w:val="00D26574"/>
    <w:rsid w:val="00D32A2D"/>
    <w:rsid w:val="00D33376"/>
    <w:rsid w:val="00D355CD"/>
    <w:rsid w:val="00D36753"/>
    <w:rsid w:val="00D41FC0"/>
    <w:rsid w:val="00D52035"/>
    <w:rsid w:val="00D54D14"/>
    <w:rsid w:val="00D561DD"/>
    <w:rsid w:val="00D63541"/>
    <w:rsid w:val="00D63975"/>
    <w:rsid w:val="00D63980"/>
    <w:rsid w:val="00D641D3"/>
    <w:rsid w:val="00D65026"/>
    <w:rsid w:val="00D66275"/>
    <w:rsid w:val="00D66B36"/>
    <w:rsid w:val="00D71998"/>
    <w:rsid w:val="00D73405"/>
    <w:rsid w:val="00D74FCD"/>
    <w:rsid w:val="00D80135"/>
    <w:rsid w:val="00D80C3D"/>
    <w:rsid w:val="00D82BF3"/>
    <w:rsid w:val="00D95CA2"/>
    <w:rsid w:val="00D975FD"/>
    <w:rsid w:val="00DA5DB1"/>
    <w:rsid w:val="00DB1D59"/>
    <w:rsid w:val="00DB30F4"/>
    <w:rsid w:val="00DB741E"/>
    <w:rsid w:val="00DC3FCA"/>
    <w:rsid w:val="00DC591F"/>
    <w:rsid w:val="00DD3715"/>
    <w:rsid w:val="00DE5D2A"/>
    <w:rsid w:val="00DE660A"/>
    <w:rsid w:val="00DF2187"/>
    <w:rsid w:val="00E00835"/>
    <w:rsid w:val="00E02949"/>
    <w:rsid w:val="00E078CD"/>
    <w:rsid w:val="00E1260C"/>
    <w:rsid w:val="00E27C19"/>
    <w:rsid w:val="00E329C9"/>
    <w:rsid w:val="00E3362D"/>
    <w:rsid w:val="00E3503E"/>
    <w:rsid w:val="00E35684"/>
    <w:rsid w:val="00E376D1"/>
    <w:rsid w:val="00E40E30"/>
    <w:rsid w:val="00E42BCA"/>
    <w:rsid w:val="00E45BAA"/>
    <w:rsid w:val="00E46799"/>
    <w:rsid w:val="00E525BB"/>
    <w:rsid w:val="00E5479F"/>
    <w:rsid w:val="00E56580"/>
    <w:rsid w:val="00E71434"/>
    <w:rsid w:val="00E72678"/>
    <w:rsid w:val="00E73265"/>
    <w:rsid w:val="00E74079"/>
    <w:rsid w:val="00E8078C"/>
    <w:rsid w:val="00E867DD"/>
    <w:rsid w:val="00E87171"/>
    <w:rsid w:val="00E90576"/>
    <w:rsid w:val="00E9420D"/>
    <w:rsid w:val="00E96B61"/>
    <w:rsid w:val="00EA18A0"/>
    <w:rsid w:val="00EB14FD"/>
    <w:rsid w:val="00EB2A55"/>
    <w:rsid w:val="00EC0718"/>
    <w:rsid w:val="00ED019E"/>
    <w:rsid w:val="00ED1D16"/>
    <w:rsid w:val="00ED5056"/>
    <w:rsid w:val="00EE2D39"/>
    <w:rsid w:val="00EF27A5"/>
    <w:rsid w:val="00EF4C87"/>
    <w:rsid w:val="00F02C76"/>
    <w:rsid w:val="00F069CE"/>
    <w:rsid w:val="00F06F84"/>
    <w:rsid w:val="00F110A1"/>
    <w:rsid w:val="00F11E76"/>
    <w:rsid w:val="00F13011"/>
    <w:rsid w:val="00F21089"/>
    <w:rsid w:val="00F26B05"/>
    <w:rsid w:val="00F347F3"/>
    <w:rsid w:val="00F3486C"/>
    <w:rsid w:val="00F4011D"/>
    <w:rsid w:val="00F6063D"/>
    <w:rsid w:val="00F6221E"/>
    <w:rsid w:val="00F641D6"/>
    <w:rsid w:val="00F819DD"/>
    <w:rsid w:val="00F8565E"/>
    <w:rsid w:val="00F865F7"/>
    <w:rsid w:val="00F87364"/>
    <w:rsid w:val="00F87DB2"/>
    <w:rsid w:val="00F94350"/>
    <w:rsid w:val="00F95832"/>
    <w:rsid w:val="00FA14B0"/>
    <w:rsid w:val="00FB34D6"/>
    <w:rsid w:val="00FB489D"/>
    <w:rsid w:val="00FB79E6"/>
    <w:rsid w:val="00FC1453"/>
    <w:rsid w:val="00FC4383"/>
    <w:rsid w:val="00FC7F3B"/>
    <w:rsid w:val="00FD175E"/>
    <w:rsid w:val="00FD3493"/>
    <w:rsid w:val="00FD4E7C"/>
    <w:rsid w:val="00FD6458"/>
    <w:rsid w:val="00FD741A"/>
    <w:rsid w:val="00FD778E"/>
    <w:rsid w:val="00FE24F7"/>
    <w:rsid w:val="00FE6511"/>
    <w:rsid w:val="00FE6DF9"/>
    <w:rsid w:val="00FF023B"/>
    <w:rsid w:val="00FF0B12"/>
    <w:rsid w:val="00FF35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664C858-C228-427A-8A64-2B262ED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278"/>
    <w:pPr>
      <w:tabs>
        <w:tab w:val="center" w:pos="4320"/>
        <w:tab w:val="right" w:pos="8640"/>
      </w:tabs>
    </w:pPr>
  </w:style>
  <w:style w:type="character" w:customStyle="1" w:styleId="HeaderChar">
    <w:name w:val="Header Char"/>
    <w:basedOn w:val="DefaultParagraphFont"/>
    <w:link w:val="Header"/>
    <w:rsid w:val="00361278"/>
    <w:rPr>
      <w:rFonts w:ascii="Times New Roman" w:eastAsia="Times New Roman" w:hAnsi="Times New Roman" w:cs="Times New Roman"/>
      <w:sz w:val="20"/>
      <w:szCs w:val="20"/>
    </w:rPr>
  </w:style>
  <w:style w:type="paragraph" w:styleId="Footer">
    <w:name w:val="footer"/>
    <w:basedOn w:val="Normal"/>
    <w:link w:val="FooterChar"/>
    <w:uiPriority w:val="99"/>
    <w:rsid w:val="00361278"/>
    <w:pPr>
      <w:tabs>
        <w:tab w:val="center" w:pos="4320"/>
        <w:tab w:val="right" w:pos="8640"/>
      </w:tabs>
    </w:pPr>
  </w:style>
  <w:style w:type="character" w:customStyle="1" w:styleId="FooterChar">
    <w:name w:val="Footer Char"/>
    <w:basedOn w:val="DefaultParagraphFont"/>
    <w:link w:val="Footer"/>
    <w:uiPriority w:val="99"/>
    <w:rsid w:val="00361278"/>
    <w:rPr>
      <w:rFonts w:ascii="Times New Roman" w:eastAsia="Times New Roman" w:hAnsi="Times New Roman" w:cs="Times New Roman"/>
      <w:sz w:val="20"/>
      <w:szCs w:val="20"/>
    </w:rPr>
  </w:style>
  <w:style w:type="character" w:styleId="PageNumber">
    <w:name w:val="page number"/>
    <w:basedOn w:val="DefaultParagraphFont"/>
    <w:rsid w:val="00361278"/>
  </w:style>
  <w:style w:type="paragraph" w:styleId="FootnoteText">
    <w:name w:val="footnote text"/>
    <w:aliases w:val="Footnote Text Ch,Footnote Text Char Char Char4 Char,Footnote Text Char1,Footnote Text Char3,Footnote Text Char4 Char1 Char,Footnote Text Char4 Char1 Char Char Char Char,Footnote Text Char7 Char,Footnote Text Char7 Char Char Char Char"/>
    <w:basedOn w:val="Normal"/>
    <w:link w:val="FootnoteTextChar"/>
    <w:rsid w:val="00361278"/>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361278"/>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361278"/>
    <w:rPr>
      <w:vertAlign w:val="superscript"/>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rsid w:val="00DC591F"/>
    <w:rPr>
      <w:lang w:val="en-US" w:eastAsia="en-US" w:bidi="ar-SA"/>
    </w:rPr>
  </w:style>
  <w:style w:type="paragraph" w:styleId="BalloonText">
    <w:name w:val="Balloon Text"/>
    <w:basedOn w:val="Normal"/>
    <w:link w:val="BalloonTextChar"/>
    <w:uiPriority w:val="99"/>
    <w:semiHidden/>
    <w:unhideWhenUsed/>
    <w:rsid w:val="00DC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591F"/>
    <w:rPr>
      <w:sz w:val="16"/>
      <w:szCs w:val="16"/>
    </w:rPr>
  </w:style>
  <w:style w:type="paragraph" w:styleId="CommentText">
    <w:name w:val="annotation text"/>
    <w:basedOn w:val="Normal"/>
    <w:link w:val="CommentTextChar"/>
    <w:uiPriority w:val="99"/>
    <w:semiHidden/>
    <w:unhideWhenUsed/>
    <w:rsid w:val="00DC591F"/>
  </w:style>
  <w:style w:type="character" w:customStyle="1" w:styleId="CommentTextChar">
    <w:name w:val="Comment Text Char"/>
    <w:basedOn w:val="DefaultParagraphFont"/>
    <w:link w:val="CommentText"/>
    <w:uiPriority w:val="99"/>
    <w:semiHidden/>
    <w:rsid w:val="00DC59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91F"/>
    <w:rPr>
      <w:b/>
      <w:bCs/>
    </w:rPr>
  </w:style>
  <w:style w:type="character" w:customStyle="1" w:styleId="CommentSubjectChar">
    <w:name w:val="Comment Subject Char"/>
    <w:basedOn w:val="CommentTextChar"/>
    <w:link w:val="CommentSubject"/>
    <w:uiPriority w:val="99"/>
    <w:semiHidden/>
    <w:rsid w:val="00DC591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C6915"/>
    <w:rPr>
      <w:color w:val="0563C1" w:themeColor="hyperlink"/>
      <w:u w:val="single"/>
    </w:rPr>
  </w:style>
  <w:style w:type="character" w:customStyle="1" w:styleId="UnresolvedMention">
    <w:name w:val="Unresolved Mention"/>
    <w:basedOn w:val="DefaultParagraphFont"/>
    <w:uiPriority w:val="99"/>
    <w:semiHidden/>
    <w:unhideWhenUsed/>
    <w:rsid w:val="00CC6915"/>
    <w:rPr>
      <w:color w:val="605E5C"/>
      <w:shd w:val="clear" w:color="auto" w:fill="E1DFDD"/>
    </w:rPr>
  </w:style>
  <w:style w:type="paragraph" w:styleId="NormalWeb">
    <w:name w:val="Normal (Web)"/>
    <w:basedOn w:val="Normal"/>
    <w:uiPriority w:val="99"/>
    <w:semiHidden/>
    <w:unhideWhenUsed/>
    <w:rsid w:val="000F0F58"/>
    <w:pPr>
      <w:spacing w:before="100" w:beforeAutospacing="1" w:after="100" w:afterAutospacing="1"/>
    </w:pPr>
    <w:rPr>
      <w:rFonts w:eastAsiaTheme="minorEastAsia"/>
      <w:sz w:val="24"/>
      <w:szCs w:val="24"/>
    </w:rPr>
  </w:style>
  <w:style w:type="paragraph" w:styleId="Revision">
    <w:name w:val="Revision"/>
    <w:hidden/>
    <w:uiPriority w:val="99"/>
    <w:semiHidden/>
    <w:rsid w:val="006C6BD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sachs@fcclaw.co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ireless2.fcc.gov/UlsApp/ApplicationSearch/applMain.jsp?applID=11789916"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