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B4D26" w:rsidRPr="00B20363" w:rsidP="000B4D26" w14:paraId="383C750B" w14:textId="1B6B4945">
      <w:pPr>
        <w:jc w:val="right"/>
        <w:rPr>
          <w:b/>
          <w:sz w:val="24"/>
        </w:rPr>
      </w:pPr>
      <w:r>
        <w:rPr>
          <w:b/>
          <w:sz w:val="24"/>
        </w:rPr>
        <w:t>DA 20</w:t>
      </w:r>
      <w:r w:rsidRPr="00673198">
        <w:rPr>
          <w:b/>
          <w:sz w:val="24"/>
        </w:rPr>
        <w:t>-</w:t>
      </w:r>
      <w:r w:rsidRPr="00673198" w:rsidR="00673198">
        <w:rPr>
          <w:b/>
          <w:sz w:val="24"/>
        </w:rPr>
        <w:t>561</w:t>
      </w:r>
    </w:p>
    <w:p w:rsidR="00973EA0" w:rsidRPr="00B20363" w:rsidP="00897AE1" w14:paraId="2B09A6CC" w14:textId="610B449C">
      <w:pPr>
        <w:spacing w:before="60"/>
        <w:jc w:val="right"/>
        <w:rPr>
          <w:b/>
          <w:sz w:val="24"/>
        </w:rPr>
      </w:pPr>
      <w:r>
        <w:rPr>
          <w:b/>
          <w:sz w:val="24"/>
        </w:rPr>
        <w:t xml:space="preserve">Released:  </w:t>
      </w:r>
      <w:r w:rsidRPr="00A16BD3" w:rsidR="00673198">
        <w:rPr>
          <w:b/>
          <w:sz w:val="24"/>
        </w:rPr>
        <w:t>June</w:t>
      </w:r>
      <w:r w:rsidR="00A16BD3">
        <w:rPr>
          <w:b/>
          <w:sz w:val="24"/>
        </w:rPr>
        <w:t xml:space="preserve"> 4</w:t>
      </w:r>
      <w:r w:rsidRPr="00A16BD3">
        <w:rPr>
          <w:b/>
          <w:sz w:val="24"/>
        </w:rPr>
        <w:t>, 2020</w:t>
      </w:r>
    </w:p>
    <w:p w:rsidR="000B4D26" w:rsidP="000B4D26" w14:paraId="2CA23237" w14:textId="77777777">
      <w:pPr>
        <w:jc w:val="right"/>
        <w:rPr>
          <w:sz w:val="24"/>
        </w:rPr>
      </w:pPr>
    </w:p>
    <w:p w:rsidR="002E06BC" w:rsidP="002E06BC" w14:paraId="4A2CB131" w14:textId="77777777">
      <w:pPr>
        <w:pStyle w:val="Header"/>
        <w:ind w:firstLine="0"/>
        <w:jc w:val="center"/>
        <w:rPr>
          <w:rFonts w:ascii="Times New Roman Bold" w:hAnsi="Times New Roman Bold"/>
          <w:b w:val="0"/>
          <w:caps/>
          <w:sz w:val="24"/>
        </w:rPr>
      </w:pPr>
      <w:r>
        <w:rPr>
          <w:rFonts w:ascii="Times New Roman Bold" w:hAnsi="Times New Roman Bold"/>
          <w:caps/>
          <w:sz w:val="24"/>
        </w:rPr>
        <w:t>wireless telecommunications bureau</w:t>
      </w:r>
    </w:p>
    <w:p w:rsidR="00BA3F83" w:rsidP="002E06BC" w14:paraId="29748D17" w14:textId="5EA3BA3D">
      <w:pPr>
        <w:pStyle w:val="Header"/>
        <w:ind w:firstLine="0"/>
        <w:jc w:val="center"/>
        <w:rPr>
          <w:rFonts w:ascii="Times New Roman Bold" w:hAnsi="Times New Roman Bold"/>
          <w:caps/>
          <w:sz w:val="24"/>
        </w:rPr>
      </w:pPr>
      <w:r>
        <w:rPr>
          <w:rFonts w:ascii="Times New Roman Bold" w:hAnsi="Times New Roman Bold"/>
          <w:caps/>
          <w:sz w:val="24"/>
        </w:rPr>
        <w:t>and office of economics and analytics announce</w:t>
      </w:r>
    </w:p>
    <w:p w:rsidR="00BA3F83" w:rsidP="002E06BC" w14:paraId="26A7438E" w14:textId="60377AA0">
      <w:pPr>
        <w:pStyle w:val="Header"/>
        <w:ind w:firstLine="0"/>
        <w:jc w:val="center"/>
        <w:rPr>
          <w:rFonts w:ascii="Times New Roman Bold" w:hAnsi="Times New Roman Bold"/>
          <w:b w:val="0"/>
          <w:caps/>
          <w:sz w:val="24"/>
        </w:rPr>
      </w:pPr>
      <w:r>
        <w:rPr>
          <w:rFonts w:ascii="Times New Roman Bold" w:hAnsi="Times New Roman Bold"/>
          <w:b w:val="0"/>
          <w:caps/>
          <w:sz w:val="24"/>
        </w:rPr>
        <w:t>39 Ghz license</w:t>
      </w:r>
      <w:r w:rsidR="002B7D19">
        <w:rPr>
          <w:rFonts w:ascii="Times New Roman Bold" w:hAnsi="Times New Roman Bold"/>
          <w:b w:val="0"/>
          <w:caps/>
          <w:sz w:val="24"/>
        </w:rPr>
        <w:t xml:space="preserve"> Cancellation</w:t>
      </w:r>
      <w:r>
        <w:rPr>
          <w:rFonts w:ascii="Times New Roman Bold" w:hAnsi="Times New Roman Bold"/>
          <w:b w:val="0"/>
          <w:caps/>
          <w:sz w:val="24"/>
        </w:rPr>
        <w:t>s and</w:t>
      </w:r>
    </w:p>
    <w:p w:rsidR="002E06BC" w:rsidP="00C238F3" w14:paraId="2B56345C" w14:textId="746DF0AE">
      <w:pPr>
        <w:pStyle w:val="Header"/>
        <w:ind w:firstLine="0"/>
        <w:jc w:val="center"/>
      </w:pPr>
      <w:r>
        <w:rPr>
          <w:rFonts w:ascii="Times New Roman Bold" w:hAnsi="Times New Roman Bold"/>
          <w:b w:val="0"/>
          <w:caps/>
          <w:sz w:val="24"/>
        </w:rPr>
        <w:t>I</w:t>
      </w:r>
      <w:r>
        <w:rPr>
          <w:rFonts w:ascii="Times New Roman Bold" w:hAnsi="Times New Roman Bold"/>
          <w:caps/>
          <w:sz w:val="24"/>
        </w:rPr>
        <w:t xml:space="preserve">ncentive payments </w:t>
      </w:r>
      <w:r w:rsidR="009D476F">
        <w:rPr>
          <w:rFonts w:ascii="Times New Roman Bold" w:hAnsi="Times New Roman Bold"/>
          <w:b w:val="0"/>
          <w:caps/>
          <w:sz w:val="24"/>
        </w:rPr>
        <w:t xml:space="preserve">READY TO BE </w:t>
      </w:r>
      <w:r>
        <w:rPr>
          <w:rFonts w:ascii="Times New Roman Bold" w:hAnsi="Times New Roman Bold"/>
          <w:b w:val="0"/>
          <w:caps/>
          <w:sz w:val="24"/>
        </w:rPr>
        <w:t xml:space="preserve">paid </w:t>
      </w:r>
      <w:r>
        <w:rPr>
          <w:rFonts w:ascii="Times New Roman Bold" w:hAnsi="Times New Roman Bold"/>
          <w:caps/>
          <w:sz w:val="24"/>
        </w:rPr>
        <w:t>based on auction 103</w:t>
      </w:r>
    </w:p>
    <w:p w:rsidR="00955F40" w:rsidP="000B4D26" w14:paraId="6A63FA2B" w14:textId="77777777">
      <w:pPr>
        <w:jc w:val="center"/>
        <w:rPr>
          <w:rFonts w:ascii="Times New Roman Bold" w:hAnsi="Times New Roman Bold"/>
          <w:b/>
          <w:caps/>
          <w:sz w:val="24"/>
        </w:rPr>
      </w:pPr>
    </w:p>
    <w:p w:rsidR="000B4D26" w:rsidP="000B4D26" w14:paraId="29CB31C1" w14:textId="2C9355FA">
      <w:pPr>
        <w:jc w:val="center"/>
        <w:rPr>
          <w:b/>
          <w:sz w:val="24"/>
        </w:rPr>
      </w:pPr>
      <w:r>
        <w:rPr>
          <w:b/>
          <w:sz w:val="24"/>
        </w:rPr>
        <w:t>AU Docket No. 19-59</w:t>
      </w:r>
    </w:p>
    <w:p w:rsidR="000B4D26" w:rsidP="000B4D26" w14:paraId="734073C8" w14:textId="77777777">
      <w:pPr>
        <w:jc w:val="center"/>
        <w:rPr>
          <w:b/>
          <w:sz w:val="24"/>
        </w:rPr>
      </w:pPr>
      <w:r>
        <w:rPr>
          <w:b/>
          <w:sz w:val="24"/>
        </w:rPr>
        <w:t>GN Docket No. 14-177</w:t>
      </w:r>
    </w:p>
    <w:p w:rsidR="000B4D26" w:rsidP="000B4D26" w14:paraId="35A60016" w14:textId="77777777">
      <w:pPr>
        <w:rPr>
          <w:sz w:val="24"/>
        </w:rPr>
      </w:pPr>
    </w:p>
    <w:p w:rsidR="006A3F53" w:rsidP="000B4D26" w14:paraId="01B448C5" w14:textId="74711C89">
      <w:pPr>
        <w:pStyle w:val="ParaNum"/>
        <w:widowControl/>
      </w:pPr>
      <w:r>
        <w:t>By this Public Notice, the Wireless Telecommunications Bureau and the Office of Economics and Analytics of the Federal Communications Commission (Commission) announce that incentive payments</w:t>
      </w:r>
      <w:r w:rsidR="00D04F0B">
        <w:t xml:space="preserve"> determined by Auction 103</w:t>
      </w:r>
      <w:r w:rsidR="009B1A34">
        <w:t xml:space="preserve"> </w:t>
      </w:r>
      <w:r w:rsidR="00436C5A">
        <w:t xml:space="preserve">are </w:t>
      </w:r>
      <w:r w:rsidR="009D476F">
        <w:t>ready to be paid</w:t>
      </w:r>
      <w:r w:rsidR="00E40A0E">
        <w:t>.</w:t>
      </w:r>
      <w:r w:rsidR="009722B3">
        <w:t xml:space="preserve"> </w:t>
      </w:r>
      <w:r w:rsidR="00E40A0E">
        <w:t xml:space="preserve"> </w:t>
      </w:r>
      <w:r w:rsidR="009D476F">
        <w:t xml:space="preserve">These incentive payments will be </w:t>
      </w:r>
      <w:r w:rsidR="00154E9A">
        <w:t xml:space="preserve">made </w:t>
      </w:r>
      <w:r w:rsidR="005F6E79">
        <w:t>consistent with</w:t>
      </w:r>
      <w:r w:rsidR="009D476F">
        <w:t xml:space="preserve"> the Commission’s incentive auction authority </w:t>
      </w:r>
      <w:r w:rsidR="00CC773D">
        <w:t xml:space="preserve">to specified entities </w:t>
      </w:r>
      <w:r w:rsidR="005F6E79">
        <w:t xml:space="preserve">identified pursuant to </w:t>
      </w:r>
      <w:r w:rsidR="009D476F">
        <w:t>the 39 GHz reconfiguration procedures previously established.</w:t>
      </w:r>
      <w:r>
        <w:rPr>
          <w:rStyle w:val="FootnoteReference"/>
        </w:rPr>
        <w:footnoteReference w:id="3"/>
      </w:r>
      <w:r w:rsidR="009D476F">
        <w:t xml:space="preserve">  </w:t>
      </w:r>
      <w:r w:rsidR="00CC773D">
        <w:t xml:space="preserve">The </w:t>
      </w:r>
      <w:r w:rsidR="00CC773D">
        <w:rPr>
          <w:i/>
        </w:rPr>
        <w:t>Auction 103 Closing PN</w:t>
      </w:r>
      <w:r w:rsidR="00CC773D">
        <w:t xml:space="preserve"> </w:t>
      </w:r>
      <w:r w:rsidR="006F3FD9">
        <w:t>announced</w:t>
      </w:r>
      <w:r w:rsidR="005862FA">
        <w:t xml:space="preserve"> the </w:t>
      </w:r>
      <w:r w:rsidR="009B7170">
        <w:t>incentive payment</w:t>
      </w:r>
      <w:r w:rsidR="00CF054A">
        <w:t xml:space="preserve"> amount</w:t>
      </w:r>
      <w:r w:rsidR="009B7170">
        <w:t xml:space="preserve">s </w:t>
      </w:r>
      <w:r w:rsidR="009303AA">
        <w:t xml:space="preserve">determined by </w:t>
      </w:r>
      <w:r w:rsidR="00DD157C">
        <w:t>Auction 103</w:t>
      </w:r>
      <w:r w:rsidR="009D476F">
        <w:t>, the</w:t>
      </w:r>
      <w:r w:rsidR="005862FA">
        <w:t xml:space="preserve"> </w:t>
      </w:r>
      <w:r w:rsidR="00154E9A">
        <w:t xml:space="preserve">entities </w:t>
      </w:r>
      <w:r w:rsidR="00277B33">
        <w:t>that will</w:t>
      </w:r>
      <w:r w:rsidR="00154E9A">
        <w:t xml:space="preserve"> receive them, and the extent to which any incentive payment </w:t>
      </w:r>
      <w:r w:rsidR="007739FC">
        <w:t xml:space="preserve">would be </w:t>
      </w:r>
      <w:r w:rsidR="00154E9A">
        <w:t>applied to payment of</w:t>
      </w:r>
      <w:r w:rsidR="006F3FD9">
        <w:t xml:space="preserve"> winning bids for new licenses</w:t>
      </w:r>
      <w:r w:rsidR="00031ABE">
        <w:t>.</w:t>
      </w:r>
      <w:r w:rsidR="005C3E54">
        <w:t xml:space="preserve">  </w:t>
      </w:r>
      <w:r w:rsidR="0027671B">
        <w:t xml:space="preserve">In a separate </w:t>
      </w:r>
      <w:r w:rsidR="00EE2F2E">
        <w:t>p</w:t>
      </w:r>
      <w:r w:rsidR="0027671B">
        <w:t xml:space="preserve">ublic </w:t>
      </w:r>
      <w:r w:rsidR="00C871F7">
        <w:t>n</w:t>
      </w:r>
      <w:r w:rsidR="0027671B">
        <w:t>otice</w:t>
      </w:r>
      <w:r w:rsidR="001D7F21">
        <w:t>,</w:t>
      </w:r>
      <w:r w:rsidR="00DB39A6">
        <w:t xml:space="preserve"> t</w:t>
      </w:r>
      <w:r w:rsidR="00995740">
        <w:t xml:space="preserve">he Commission </w:t>
      </w:r>
      <w:r w:rsidR="008921B8">
        <w:t xml:space="preserve">has </w:t>
      </w:r>
      <w:r w:rsidR="00AD0004">
        <w:t>announce</w:t>
      </w:r>
      <w:r w:rsidR="008921B8">
        <w:t>d</w:t>
      </w:r>
      <w:r w:rsidR="00AD0004">
        <w:t xml:space="preserve"> that </w:t>
      </w:r>
      <w:r w:rsidR="00997A4F">
        <w:t xml:space="preserve">certain </w:t>
      </w:r>
      <w:r w:rsidR="00DB39A6">
        <w:t xml:space="preserve">applications for </w:t>
      </w:r>
      <w:r w:rsidR="00995740">
        <w:t>Auction 103 licenses</w:t>
      </w:r>
      <w:r w:rsidR="00DB39A6">
        <w:t xml:space="preserve"> have been granted</w:t>
      </w:r>
      <w:r w:rsidR="00995740">
        <w:t>.</w:t>
      </w:r>
      <w:r>
        <w:rPr>
          <w:rStyle w:val="FootnoteReference"/>
        </w:rPr>
        <w:footnoteReference w:id="4"/>
      </w:r>
      <w:r w:rsidR="00995740">
        <w:t xml:space="preserve">  </w:t>
      </w:r>
      <w:r w:rsidR="00C63E30">
        <w:t>As a result</w:t>
      </w:r>
      <w:r w:rsidR="00243E0B">
        <w:t xml:space="preserve">, </w:t>
      </w:r>
      <w:r w:rsidR="00AD0004">
        <w:t>the winning bid</w:t>
      </w:r>
      <w:r w:rsidR="00676AD5">
        <w:t xml:space="preserve"> payment</w:t>
      </w:r>
      <w:r w:rsidR="00AD0004">
        <w:t xml:space="preserve">s </w:t>
      </w:r>
      <w:r w:rsidR="00676AD5">
        <w:t>for</w:t>
      </w:r>
      <w:r w:rsidR="00515590">
        <w:t xml:space="preserve"> the licenses </w:t>
      </w:r>
      <w:r w:rsidR="008A5FD3">
        <w:t xml:space="preserve">associated with those granted applications </w:t>
      </w:r>
      <w:r w:rsidR="00243E0B">
        <w:t xml:space="preserve">have become </w:t>
      </w:r>
      <w:r w:rsidR="00AD0004">
        <w:t>available as auction proceeds</w:t>
      </w:r>
      <w:r w:rsidR="00650F0C">
        <w:t>.  Th</w:t>
      </w:r>
      <w:r w:rsidR="00243E0B">
        <w:t>ose</w:t>
      </w:r>
      <w:r w:rsidR="00650F0C">
        <w:t xml:space="preserve"> available auction </w:t>
      </w:r>
      <w:r w:rsidR="00AD0004">
        <w:t xml:space="preserve">proceeds are sufficient to </w:t>
      </w:r>
      <w:r w:rsidR="007739FC">
        <w:t>make</w:t>
      </w:r>
      <w:r w:rsidR="00AD0004">
        <w:t xml:space="preserve"> </w:t>
      </w:r>
      <w:r w:rsidR="00FF3731">
        <w:t xml:space="preserve">all </w:t>
      </w:r>
      <w:r w:rsidR="00243E0B">
        <w:t xml:space="preserve">the previously determined </w:t>
      </w:r>
      <w:r w:rsidR="00263C02">
        <w:t>Auction 103</w:t>
      </w:r>
      <w:r w:rsidR="00AD0004">
        <w:t xml:space="preserve"> </w:t>
      </w:r>
      <w:r w:rsidR="00EF6B43">
        <w:t xml:space="preserve">incentive payments.  Accordingly, this Public Notice announces </w:t>
      </w:r>
      <w:r w:rsidR="00263C02">
        <w:t>that</w:t>
      </w:r>
      <w:r w:rsidR="00EF6B43">
        <w:t xml:space="preserve"> </w:t>
      </w:r>
      <w:r w:rsidR="00D15586">
        <w:t>based on</w:t>
      </w:r>
      <w:r w:rsidR="00606902">
        <w:t xml:space="preserve"> prior commitments to relinquish spectrum usage rights</w:t>
      </w:r>
      <w:r w:rsidR="004164E2">
        <w:t xml:space="preserve"> in exchange for the incentive payments</w:t>
      </w:r>
      <w:r w:rsidR="00303ED4">
        <w:t>, the</w:t>
      </w:r>
      <w:r w:rsidR="00737906">
        <w:t xml:space="preserve"> related 39 GHz licenses have been cancelled</w:t>
      </w:r>
      <w:r w:rsidR="004164E2">
        <w:t>;</w:t>
      </w:r>
      <w:r w:rsidR="007F50AE">
        <w:t xml:space="preserve"> th</w:t>
      </w:r>
      <w:r w:rsidR="00737906">
        <w:t>at</w:t>
      </w:r>
      <w:r w:rsidR="007F50AE">
        <w:t xml:space="preserve"> incentive payment</w:t>
      </w:r>
      <w:r w:rsidR="00737906">
        <w:t>s</w:t>
      </w:r>
      <w:r w:rsidR="007F50AE">
        <w:t xml:space="preserve"> </w:t>
      </w:r>
      <w:r w:rsidR="00263C02">
        <w:t xml:space="preserve">have been </w:t>
      </w:r>
      <w:r w:rsidR="007739FC">
        <w:t>applied</w:t>
      </w:r>
      <w:r w:rsidR="00263C02">
        <w:t xml:space="preserve"> to</w:t>
      </w:r>
      <w:r w:rsidR="00D15586">
        <w:t xml:space="preserve"> payment of</w:t>
      </w:r>
      <w:r w:rsidR="00263C02">
        <w:t xml:space="preserve"> winning bid</w:t>
      </w:r>
      <w:r w:rsidR="00D15586">
        <w:t>s in Auction 103</w:t>
      </w:r>
      <w:r w:rsidR="004164E2">
        <w:t>;</w:t>
      </w:r>
      <w:r w:rsidR="00263C02">
        <w:t xml:space="preserve"> </w:t>
      </w:r>
      <w:r w:rsidR="007F50AE">
        <w:t>and</w:t>
      </w:r>
      <w:r w:rsidR="00737906">
        <w:t xml:space="preserve"> that</w:t>
      </w:r>
      <w:r w:rsidR="007F50AE">
        <w:t xml:space="preserve"> </w:t>
      </w:r>
      <w:r w:rsidR="00554F7C">
        <w:t xml:space="preserve">cash payments </w:t>
      </w:r>
      <w:r w:rsidR="009C2F84">
        <w:t xml:space="preserve">are being made with respect to </w:t>
      </w:r>
      <w:r w:rsidR="00101CE5">
        <w:t xml:space="preserve">the </w:t>
      </w:r>
      <w:r w:rsidR="009C2F84">
        <w:t xml:space="preserve">remaining </w:t>
      </w:r>
      <w:r w:rsidR="00554F7C">
        <w:t>incentive payment amounts</w:t>
      </w:r>
      <w:r w:rsidR="00AC213A">
        <w:t>.</w:t>
      </w:r>
    </w:p>
    <w:p w:rsidR="00F54A59" w:rsidP="007F5201" w14:paraId="6421C000" w14:textId="02AAAF25">
      <w:pPr>
        <w:pStyle w:val="ParaNum"/>
        <w:widowControl/>
      </w:pPr>
      <w:r>
        <w:t xml:space="preserve">This Public Notice </w:t>
      </w:r>
      <w:r w:rsidR="004948D6">
        <w:t>lists</w:t>
      </w:r>
      <w:r w:rsidR="00336EE5">
        <w:t xml:space="preserve"> in an attachment</w:t>
      </w:r>
      <w:r w:rsidR="004948D6">
        <w:t xml:space="preserve"> all</w:t>
      </w:r>
      <w:r w:rsidR="000B4D26">
        <w:t xml:space="preserve"> licensees </w:t>
      </w:r>
      <w:r w:rsidR="0097059E">
        <w:t>that held</w:t>
      </w:r>
      <w:r w:rsidR="00BC3630">
        <w:t xml:space="preserve"> </w:t>
      </w:r>
      <w:r w:rsidR="000B4D26">
        <w:t xml:space="preserve">39 GHz licenses </w:t>
      </w:r>
      <w:r w:rsidR="00A747D1">
        <w:t xml:space="preserve">that </w:t>
      </w:r>
      <w:r w:rsidR="00FD0200">
        <w:t>have been</w:t>
      </w:r>
      <w:r w:rsidR="00F242DD">
        <w:t xml:space="preserve"> </w:t>
      </w:r>
      <w:r w:rsidR="000B4D26">
        <w:t>cancelled</w:t>
      </w:r>
      <w:r w:rsidR="00336EE5">
        <w:t xml:space="preserve"> based on </w:t>
      </w:r>
      <w:r w:rsidR="00702ABA">
        <w:t xml:space="preserve">a commitment </w:t>
      </w:r>
      <w:r w:rsidR="0097059E">
        <w:t xml:space="preserve">before Auction 103 </w:t>
      </w:r>
      <w:r w:rsidR="00702ABA">
        <w:t>to relinquish related spectrum usage rights.</w:t>
      </w:r>
      <w:r>
        <w:rPr>
          <w:rStyle w:val="FootnoteReference"/>
        </w:rPr>
        <w:footnoteReference w:id="5"/>
      </w:r>
      <w:r w:rsidR="00106B7E">
        <w:t xml:space="preserve">  T</w:t>
      </w:r>
      <w:r w:rsidR="00061F29">
        <w:t>he licensees are</w:t>
      </w:r>
      <w:r w:rsidR="00947EE2">
        <w:t xml:space="preserve"> </w:t>
      </w:r>
      <w:r w:rsidR="00073EF6">
        <w:t>listed</w:t>
      </w:r>
      <w:r w:rsidR="00AA37B7">
        <w:t>, where applicable,</w:t>
      </w:r>
      <w:r w:rsidR="00073EF6">
        <w:t xml:space="preserve"> </w:t>
      </w:r>
      <w:r w:rsidR="007739FC">
        <w:t>based on the</w:t>
      </w:r>
      <w:r w:rsidR="00AA37B7">
        <w:t xml:space="preserve"> </w:t>
      </w:r>
      <w:r w:rsidR="00564CDA">
        <w:t>group of</w:t>
      </w:r>
      <w:r w:rsidR="00073EF6">
        <w:t xml:space="preserve"> </w:t>
      </w:r>
      <w:r w:rsidR="00827701">
        <w:t xml:space="preserve">commonly controlled </w:t>
      </w:r>
      <w:r w:rsidR="00564CDA">
        <w:t>licensees</w:t>
      </w:r>
      <w:r w:rsidR="00073EF6">
        <w:t xml:space="preserve"> that made</w:t>
      </w:r>
      <w:r w:rsidR="00C03059">
        <w:t xml:space="preserve"> </w:t>
      </w:r>
      <w:r w:rsidR="007739FC">
        <w:t>each</w:t>
      </w:r>
      <w:r w:rsidR="00827701">
        <w:t xml:space="preserve"> commitment </w:t>
      </w:r>
      <w:r w:rsidR="00C03059">
        <w:t>as</w:t>
      </w:r>
      <w:r w:rsidR="00564CDA">
        <w:t xml:space="preserve"> a group</w:t>
      </w:r>
      <w:r w:rsidR="00827701">
        <w:t xml:space="preserve">.  The groups are </w:t>
      </w:r>
      <w:r w:rsidR="00C0704B">
        <w:t xml:space="preserve">listed </w:t>
      </w:r>
      <w:r w:rsidR="00827701">
        <w:t xml:space="preserve">in alphabetical order by the </w:t>
      </w:r>
      <w:r w:rsidR="007739FC">
        <w:t xml:space="preserve">name of </w:t>
      </w:r>
      <w:r w:rsidR="00827701">
        <w:t>licensee</w:t>
      </w:r>
      <w:r w:rsidR="00374F6F">
        <w:t xml:space="preserve"> </w:t>
      </w:r>
      <w:r w:rsidR="004F4D06">
        <w:t>chosen by</w:t>
      </w:r>
      <w:r w:rsidR="00F767C9">
        <w:t xml:space="preserve"> the group to make the</w:t>
      </w:r>
      <w:r w:rsidR="00374F6F">
        <w:t xml:space="preserve"> commitment</w:t>
      </w:r>
      <w:r w:rsidR="00D9424D">
        <w:t xml:space="preserve">, </w:t>
      </w:r>
      <w:r w:rsidR="00374F6F">
        <w:t>referred to</w:t>
      </w:r>
      <w:r w:rsidR="00D9424D">
        <w:t xml:space="preserve"> as the 39 GHz Incumbent.</w:t>
      </w:r>
      <w:r>
        <w:rPr>
          <w:rStyle w:val="FootnoteReference"/>
        </w:rPr>
        <w:footnoteReference w:id="6"/>
      </w:r>
      <w:r w:rsidR="00D9424D">
        <w:t xml:space="preserve">  </w:t>
      </w:r>
      <w:r w:rsidR="00FD4FEB">
        <w:t xml:space="preserve">If there are multiple licensees </w:t>
      </w:r>
      <w:r w:rsidR="00C0704B">
        <w:t>in a commonly controlled group</w:t>
      </w:r>
      <w:r w:rsidR="00FD4FEB">
        <w:t xml:space="preserve"> with a 39 GHz Incumbent, the commonly controlled licensees </w:t>
      </w:r>
      <w:r w:rsidR="00106B7E">
        <w:t>are listed</w:t>
      </w:r>
      <w:r w:rsidR="00FD4FEB">
        <w:t xml:space="preserve"> immediately </w:t>
      </w:r>
      <w:r w:rsidR="00106B7E">
        <w:t>following</w:t>
      </w:r>
      <w:r w:rsidR="00FD4FEB">
        <w:t xml:space="preserve"> the 39 GHz Incumbent, again in alphabetical order</w:t>
      </w:r>
      <w:r w:rsidR="00B511E2">
        <w:t>.</w:t>
      </w:r>
    </w:p>
    <w:p w:rsidR="00BD2C10" w:rsidP="00C238F3" w14:paraId="652FF708" w14:textId="690DD6B6">
      <w:pPr>
        <w:pStyle w:val="ParaNum"/>
        <w:widowControl/>
      </w:pPr>
      <w:r>
        <w:t xml:space="preserve">The attachment also lists </w:t>
      </w:r>
      <w:r w:rsidR="00336EE5">
        <w:t>the amount of</w:t>
      </w:r>
      <w:r>
        <w:t xml:space="preserve"> any cash</w:t>
      </w:r>
      <w:r w:rsidR="00336EE5">
        <w:t xml:space="preserve"> incentive payments </w:t>
      </w:r>
      <w:r>
        <w:t xml:space="preserve">that is </w:t>
      </w:r>
      <w:r w:rsidR="00AA37B7">
        <w:t xml:space="preserve">ready to be paid </w:t>
      </w:r>
      <w:r>
        <w:t xml:space="preserve">to the </w:t>
      </w:r>
      <w:r w:rsidR="00B93158">
        <w:t>respective</w:t>
      </w:r>
      <w:r>
        <w:t xml:space="preserve"> lic</w:t>
      </w:r>
      <w:r w:rsidR="00023166">
        <w:t>ensee</w:t>
      </w:r>
      <w:r w:rsidR="00336EE5">
        <w:t>.</w:t>
      </w:r>
      <w:r>
        <w:rPr>
          <w:rStyle w:val="FootnoteReference"/>
        </w:rPr>
        <w:footnoteReference w:id="7"/>
      </w:r>
      <w:r w:rsidR="00336EE5">
        <w:t xml:space="preserve"> </w:t>
      </w:r>
      <w:r w:rsidR="00023166">
        <w:t xml:space="preserve"> </w:t>
      </w:r>
      <w:r w:rsidR="00A93DAF">
        <w:t xml:space="preserve">As noted in the </w:t>
      </w:r>
      <w:r w:rsidRPr="00E2330B" w:rsidR="00A93DAF">
        <w:rPr>
          <w:i/>
          <w:iCs/>
        </w:rPr>
        <w:t>Auction 103 Closing P</w:t>
      </w:r>
      <w:r w:rsidRPr="00E2330B" w:rsidR="00E2330B">
        <w:rPr>
          <w:i/>
          <w:iCs/>
        </w:rPr>
        <w:t>N</w:t>
      </w:r>
      <w:r w:rsidR="00A93DAF">
        <w:t>, t</w:t>
      </w:r>
      <w:r w:rsidR="006C1628">
        <w:t xml:space="preserve">he Commission does not control the precise date on which the U.S. Treasury will make each incentive payment or when each incentive payment will be received in the account identified in FCC Form 1877 or when each incentive payment </w:t>
      </w:r>
      <w:r w:rsidR="007E3A2E">
        <w:t xml:space="preserve">will </w:t>
      </w:r>
      <w:r w:rsidR="006C1628">
        <w:t>become available to the account holder.</w:t>
      </w:r>
      <w:r>
        <w:rPr>
          <w:rStyle w:val="FootnoteReference"/>
        </w:rPr>
        <w:footnoteReference w:id="8"/>
      </w:r>
    </w:p>
    <w:p w:rsidR="000B4D26" w:rsidRPr="00412FC5" w:rsidP="000B4D26" w14:paraId="1A1E2EA2" w14:textId="77777777">
      <w:pPr>
        <w:pStyle w:val="ParaNum"/>
        <w:numPr>
          <w:ilvl w:val="0"/>
          <w:numId w:val="0"/>
        </w:numPr>
        <w:jc w:val="center"/>
      </w:pPr>
      <w:bookmarkStart w:id="0" w:name="_Hlk31030340"/>
      <w:r w:rsidRPr="00B11DE4">
        <w:t>–</w:t>
      </w:r>
      <w:r w:rsidRPr="0074701B">
        <w:t xml:space="preserve"> </w:t>
      </w:r>
      <w:r w:rsidRPr="0074701B">
        <w:rPr>
          <w:b/>
        </w:rPr>
        <w:t>FCC</w:t>
      </w:r>
      <w:r w:rsidRPr="0074701B">
        <w:t xml:space="preserve"> </w:t>
      </w:r>
      <w:r w:rsidRPr="00B11DE4">
        <w:t>–</w:t>
      </w:r>
      <w:bookmarkEnd w:id="0"/>
    </w:p>
    <w:p w:rsidR="00C82B6B" w:rsidRPr="00854B58" w:rsidP="00C82B6B" w14:paraId="12EFC203" w14:textId="77777777">
      <w:pPr>
        <w:jc w:val="right"/>
        <w:rPr>
          <w:b/>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4E869BE"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32D545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688C238"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F7393" w:rsidRPr="00936FB4" w:rsidP="00936FB4" w14:paraId="1A5856F4" w14:textId="5EC1304A">
    <w:pPr>
      <w:pStyle w:val="Footer"/>
      <w:tabs>
        <w:tab w:val="clear" w:pos="8640"/>
      </w:tabs>
      <w:rPr>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936FB4" w14:paraId="50DFACFB" w14:textId="647B6CAF">
    <w:pPr>
      <w:pStyle w:val="Footer"/>
      <w:tabs>
        <w:tab w:val="clear" w:pos="8640"/>
      </w:tabs>
      <w:rPr>
        <w:color w:val="FF0000"/>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391C" w14:paraId="742BF82A" w14:textId="77777777">
      <w:r>
        <w:separator/>
      </w:r>
    </w:p>
  </w:footnote>
  <w:footnote w:type="continuationSeparator" w:id="1">
    <w:p w:rsidR="009D391C" w14:paraId="7EC466F2" w14:textId="77777777">
      <w:pPr>
        <w:rPr>
          <w:sz w:val="20"/>
        </w:rPr>
      </w:pPr>
      <w:r>
        <w:rPr>
          <w:sz w:val="20"/>
        </w:rPr>
        <w:t xml:space="preserve">(Continued from previous page)  </w:t>
      </w:r>
      <w:r>
        <w:rPr>
          <w:sz w:val="20"/>
        </w:rPr>
        <w:separator/>
      </w:r>
    </w:p>
  </w:footnote>
  <w:footnote w:type="continuationNotice" w:id="2">
    <w:p w:rsidR="009D391C" w14:paraId="6A9D1C95" w14:textId="77777777">
      <w:pPr>
        <w:rPr>
          <w:sz w:val="20"/>
        </w:rPr>
      </w:pPr>
      <w:r>
        <w:rPr>
          <w:sz w:val="20"/>
        </w:rPr>
        <w:t>(continued….)</w:t>
      </w:r>
    </w:p>
  </w:footnote>
  <w:footnote w:id="3">
    <w:p w:rsidR="009D476F" w14:paraId="3C4BEF9F" w14:textId="0BC7D3B5">
      <w:pPr>
        <w:pStyle w:val="FootnoteText"/>
      </w:pPr>
      <w:r>
        <w:rPr>
          <w:rStyle w:val="FootnoteReference"/>
        </w:rPr>
        <w:footnoteRef/>
      </w:r>
      <w:r>
        <w:t xml:space="preserve"> </w:t>
      </w:r>
      <w:r w:rsidR="00DA1552">
        <w:rPr>
          <w:i/>
          <w:snapToGrid w:val="0"/>
        </w:rPr>
        <w:t xml:space="preserve">Incentive Auction of Upper Microwave Flexible Use Service Licenses </w:t>
      </w:r>
      <w:r w:rsidR="00DA1552">
        <w:rPr>
          <w:i/>
          <w:snapToGrid w:val="0"/>
        </w:rPr>
        <w:t>In</w:t>
      </w:r>
      <w:r w:rsidR="00DA1552">
        <w:rPr>
          <w:i/>
          <w:snapToGrid w:val="0"/>
        </w:rPr>
        <w:t xml:space="preserve"> the Upper 37 GHz, 39 GHz, and 47 GHz Bands for Next-Generation Wireless Services Closes</w:t>
      </w:r>
      <w:r w:rsidR="00DA1552">
        <w:rPr>
          <w:snapToGrid w:val="0"/>
        </w:rPr>
        <w:t>, AU Docket No. 19-59, Public Notice, DA 20-253, para. 4 (OEA/WTB, Mar. 12, 2020) (</w:t>
      </w:r>
      <w:r w:rsidR="00DA1552">
        <w:rPr>
          <w:i/>
          <w:snapToGrid w:val="0"/>
        </w:rPr>
        <w:t>Auction 103 Closing PN</w:t>
      </w:r>
      <w:r w:rsidR="00DA1552">
        <w:rPr>
          <w:snapToGrid w:val="0"/>
        </w:rPr>
        <w:t>).</w:t>
      </w:r>
    </w:p>
  </w:footnote>
  <w:footnote w:id="4">
    <w:p w:rsidR="009722B3" w:rsidRPr="00CA5C60" w:rsidP="009722B3" w14:paraId="666DBB1B" w14:textId="09E3EEF0">
      <w:pPr>
        <w:pStyle w:val="FootnoteText"/>
        <w:rPr>
          <w:i/>
          <w:iCs/>
        </w:rPr>
      </w:pPr>
      <w:r>
        <w:rPr>
          <w:rStyle w:val="FootnoteReference"/>
        </w:rPr>
        <w:footnoteRef/>
      </w:r>
      <w:r>
        <w:t xml:space="preserve"> </w:t>
      </w:r>
      <w:r>
        <w:rPr>
          <w:i/>
          <w:iCs/>
        </w:rPr>
        <w:t xml:space="preserve">See, generally, </w:t>
      </w:r>
      <w:r w:rsidR="00C77BD5">
        <w:rPr>
          <w:i/>
          <w:iCs/>
        </w:rPr>
        <w:t xml:space="preserve">Wireless Telecommunications Bureau Grants </w:t>
      </w:r>
      <w:r w:rsidR="00CA5C60">
        <w:rPr>
          <w:i/>
          <w:iCs/>
        </w:rPr>
        <w:t xml:space="preserve">Auction 103 Upper Microwave Flexible Use Service Licenses, Auction No. </w:t>
      </w:r>
      <w:r w:rsidR="00CA5C60">
        <w:rPr>
          <w:i/>
          <w:iCs/>
        </w:rPr>
        <w:t xml:space="preserve">103, </w:t>
      </w:r>
      <w:r w:rsidR="00CA5C60">
        <w:t>Public Notice, DA 20-582 (WTB, June 4, 2020).</w:t>
      </w:r>
      <w:r>
        <w:t xml:space="preserve"> </w:t>
      </w:r>
    </w:p>
  </w:footnote>
  <w:footnote w:id="5">
    <w:p w:rsidR="00F2023A" w14:paraId="386CA5CA" w14:textId="661B0C7D">
      <w:pPr>
        <w:pStyle w:val="FootnoteText"/>
      </w:pPr>
      <w:r>
        <w:rPr>
          <w:rStyle w:val="FootnoteReference"/>
        </w:rPr>
        <w:footnoteRef/>
      </w:r>
      <w:r>
        <w:t xml:space="preserve"> </w:t>
      </w:r>
      <w:r w:rsidR="00CA00C3">
        <w:t xml:space="preserve">As explained in the </w:t>
      </w:r>
      <w:r w:rsidRPr="008659C7" w:rsidR="00CA00C3">
        <w:rPr>
          <w:i/>
          <w:iCs/>
        </w:rPr>
        <w:t>Auction 103 Closing PN</w:t>
      </w:r>
      <w:r w:rsidR="00CA00C3">
        <w:t xml:space="preserve">, the Commission sent each </w:t>
      </w:r>
      <w:r w:rsidR="00DD2C4E">
        <w:t>entity that made a commitment to relinquish spectrum usage rights</w:t>
      </w:r>
      <w:r w:rsidR="00CA00C3">
        <w:t xml:space="preserve"> an FCC Form 1877 after the close of the auction. </w:t>
      </w:r>
      <w:r w:rsidR="00E757A9">
        <w:t xml:space="preserve"> </w:t>
      </w:r>
      <w:r w:rsidRPr="008659C7" w:rsidR="00E757A9">
        <w:rPr>
          <w:i/>
        </w:rPr>
        <w:t>Auction 103 Closing PN</w:t>
      </w:r>
      <w:r w:rsidR="00E757A9">
        <w:rPr>
          <w:iCs/>
        </w:rPr>
        <w:t xml:space="preserve">, paras 8-12.  </w:t>
      </w:r>
      <w:r w:rsidR="00CA00C3">
        <w:t xml:space="preserve">Each licensee </w:t>
      </w:r>
      <w:r w:rsidR="004D38DA">
        <w:t>relinquishing 39 GHz spectrum usage rights</w:t>
      </w:r>
      <w:r w:rsidR="00CA00C3">
        <w:t xml:space="preserve"> had to make acknowledgments regarding th</w:t>
      </w:r>
      <w:r w:rsidR="009E5DDA">
        <w:t>ose</w:t>
      </w:r>
      <w:r w:rsidR="00CA00C3">
        <w:t xml:space="preserve"> relinquishment</w:t>
      </w:r>
      <w:r w:rsidR="009E5DDA">
        <w:t>s</w:t>
      </w:r>
      <w:r w:rsidR="00D06EF1">
        <w:t xml:space="preserve"> in that form</w:t>
      </w:r>
      <w:r w:rsidR="00CA00C3">
        <w:t>.  The Commission has received an original executed and notarized FCC Form 1877 containing the required acknowledgements for each licensee.</w:t>
      </w:r>
    </w:p>
  </w:footnote>
  <w:footnote w:id="6">
    <w:p w:rsidR="007739FC" w:rsidRPr="00BF1AB0" w14:paraId="2530B1A6" w14:textId="256DA478">
      <w:pPr>
        <w:pStyle w:val="FootnoteText"/>
      </w:pPr>
      <w:r>
        <w:rPr>
          <w:rStyle w:val="FootnoteReference"/>
        </w:rPr>
        <w:footnoteRef/>
      </w:r>
      <w:r>
        <w:t xml:space="preserve"> </w:t>
      </w:r>
      <w:r w:rsidR="008D157F">
        <w:rPr>
          <w:i/>
          <w:iCs/>
        </w:rPr>
        <w:t xml:space="preserve">See </w:t>
      </w:r>
      <w:r w:rsidR="00BF1AB0">
        <w:rPr>
          <w:i/>
          <w:iCs/>
        </w:rPr>
        <w:t>Auction 103 Closing PN</w:t>
      </w:r>
      <w:r w:rsidR="00BF1AB0">
        <w:t xml:space="preserve">, </w:t>
      </w:r>
      <w:r w:rsidR="00C84544">
        <w:t xml:space="preserve">para. 6 and </w:t>
      </w:r>
      <w:r w:rsidR="00BF1AB0">
        <w:t>Attachment A.</w:t>
      </w:r>
    </w:p>
  </w:footnote>
  <w:footnote w:id="7">
    <w:p w:rsidR="00336EE5" w:rsidP="00336EE5" w14:paraId="62400B47" w14:textId="3BF009A2">
      <w:pPr>
        <w:pStyle w:val="FootnoteText"/>
      </w:pPr>
      <w:r>
        <w:rPr>
          <w:rStyle w:val="FootnoteReference"/>
        </w:rPr>
        <w:footnoteRef/>
      </w:r>
      <w:r>
        <w:t xml:space="preserve"> Those payments are being made pursuant to the instructions those licensees submitted in FCC Form 1877</w:t>
      </w:r>
      <w:r w:rsidR="00E757A9">
        <w:t xml:space="preserve">.  </w:t>
      </w:r>
      <w:r>
        <w:t xml:space="preserve">As </w:t>
      </w:r>
      <w:r w:rsidR="005B29CB">
        <w:t xml:space="preserve">licensees </w:t>
      </w:r>
      <w:r>
        <w:t xml:space="preserve">acknowledged in </w:t>
      </w:r>
      <w:r w:rsidR="005B29CB">
        <w:t>that form</w:t>
      </w:r>
      <w:r>
        <w:t xml:space="preserve">, portions of an incentive payment </w:t>
      </w:r>
      <w:r w:rsidR="005B29CB">
        <w:t>could</w:t>
      </w:r>
      <w:r>
        <w:t xml:space="preserve"> be offset by applicable debts.  Moreover, the U.S. Treasury has authority to offset federal payments, including incentive payments, based on information not available to the Commission.  </w:t>
      </w:r>
      <w:r>
        <w:rPr>
          <w:i/>
        </w:rPr>
        <w:t xml:space="preserve">See generally </w:t>
      </w:r>
      <w:r>
        <w:t xml:space="preserve">31 U.S.C. §3701 </w:t>
      </w:r>
      <w:r>
        <w:rPr>
          <w:i/>
          <w:iCs/>
        </w:rPr>
        <w:t>et seq</w:t>
      </w:r>
      <w:r>
        <w:t xml:space="preserve">.  </w:t>
      </w:r>
      <w:r>
        <w:rPr>
          <w:szCs w:val="22"/>
        </w:rPr>
        <w:t xml:space="preserve">An existing licensee needing information regarding any discrepancy between the amount </w:t>
      </w:r>
      <w:r w:rsidR="00C22C83">
        <w:rPr>
          <w:szCs w:val="22"/>
        </w:rPr>
        <w:t>in the attachment</w:t>
      </w:r>
      <w:r>
        <w:rPr>
          <w:szCs w:val="22"/>
        </w:rPr>
        <w:t xml:space="preserve"> and the </w:t>
      </w:r>
      <w:r w:rsidR="00C22C83">
        <w:rPr>
          <w:szCs w:val="22"/>
        </w:rPr>
        <w:t>amount received</w:t>
      </w:r>
      <w:r>
        <w:rPr>
          <w:szCs w:val="22"/>
        </w:rPr>
        <w:t xml:space="preserve"> may need to seek the information directly from the U.S. Treasury by calling 1-800-304-3107.</w:t>
      </w:r>
      <w:r>
        <w:t xml:space="preserve">  </w:t>
      </w:r>
      <w:r>
        <w:rPr>
          <w:color w:val="000000"/>
        </w:rPr>
        <w:t>Hearing impaired callers may use the Federal Relay Service by dialing 1-800-877-8339 to reach a communications assistant who will dial the toll-free number.</w:t>
      </w:r>
    </w:p>
  </w:footnote>
  <w:footnote w:id="8">
    <w:p w:rsidR="00A93DAF" w14:paraId="5136235A" w14:textId="37597713">
      <w:pPr>
        <w:pStyle w:val="FootnoteText"/>
      </w:pPr>
      <w:r>
        <w:rPr>
          <w:rStyle w:val="FootnoteReference"/>
        </w:rPr>
        <w:footnoteRef/>
      </w:r>
      <w:r>
        <w:t xml:space="preserve"> </w:t>
      </w:r>
      <w:r w:rsidRPr="008B2ADC">
        <w:rPr>
          <w:i/>
          <w:iCs/>
        </w:rPr>
        <w:t xml:space="preserve">Auction 103 Closing </w:t>
      </w:r>
      <w:r w:rsidRPr="008B2ADC" w:rsidR="008B2ADC">
        <w:rPr>
          <w:i/>
          <w:iCs/>
        </w:rPr>
        <w:t>PN</w:t>
      </w:r>
      <w:r>
        <w:t>, para</w:t>
      </w:r>
      <w:r w:rsidR="008B2ADC">
        <w:t>. 12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0B4D26" w:rsidP="00837C62" w14:paraId="4B2F2DDA" w14:textId="7D69AF0A">
    <w:pPr>
      <w:pStyle w:val="Header"/>
      <w:rPr>
        <w:rFonts w:ascii="Times New Roman" w:hAnsi="Times New Roman" w:cs="Times New Roman"/>
        <w:sz w:val="20"/>
        <w:szCs w:val="20"/>
      </w:rPr>
    </w:pPr>
    <w:r>
      <w:tab/>
    </w:r>
    <w:r w:rsidRPr="000B4D26">
      <w:rPr>
        <w:rFonts w:ascii="Times New Roman" w:hAnsi="Times New Roman" w:cs="Times New Roman"/>
        <w:sz w:val="20"/>
        <w:szCs w:val="20"/>
      </w:rPr>
      <w:t>Federal Communications Commission</w:t>
    </w:r>
    <w:r w:rsidRPr="000B4D26">
      <w:rPr>
        <w:rFonts w:ascii="Times New Roman" w:hAnsi="Times New Roman" w:cs="Times New Roman"/>
        <w:sz w:val="20"/>
        <w:szCs w:val="20"/>
      </w:rPr>
      <w:tab/>
    </w:r>
    <w:r w:rsidR="00A16BD3">
      <w:rPr>
        <w:rFonts w:ascii="Times New Roman" w:hAnsi="Times New Roman" w:cs="Times New Roman"/>
        <w:sz w:val="20"/>
        <w:szCs w:val="20"/>
      </w:rPr>
      <w:t>DA 20-56</w:t>
    </w:r>
    <w:r w:rsidR="00BD33F8">
      <w:rPr>
        <w:rFonts w:ascii="Times New Roman" w:hAnsi="Times New Roman" w:cs="Times New Roman"/>
        <w:sz w:val="20"/>
        <w:szCs w:val="20"/>
      </w:rPr>
      <w:t>1</w:t>
    </w:r>
  </w:p>
  <w:p w:rsidR="006F7393" w14:paraId="6BFEE407"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4144" o:allowincell="f" fillcolor="black" stroked="f" strokeweight="0.05pt">
          <v:fill color2="black"/>
          <w10:wrap anchorx="margin"/>
        </v:rect>
      </w:pict>
    </w:r>
  </w:p>
  <w:p w:rsidR="006F7393" w14:paraId="2C7EC69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14:paraId="5D2207FB"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1312" o:allowincell="f">
          <v:imagedata r:id="rId1" o:title="fcc_logo"/>
          <w10:wrap type="topAndBottom"/>
        </v:shape>
      </w:pict>
    </w:r>
    <w:r w:rsidRPr="00837C62">
      <w:t>PUBLIC NOTICE</w:t>
    </w:r>
  </w:p>
  <w:p w:rsidR="00C82B6B" w:rsidP="00837C62" w14:paraId="7D99223D" w14:textId="77777777">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8240" o:allowincell="f" stroked="f">
          <v:textbox>
            <w:txbxContent>
              <w:p w:rsidR="00C82B6B" w:rsidP="00C82B6B" w14:paraId="60ADEAD6" w14:textId="77777777">
                <w:pPr>
                  <w:rPr>
                    <w:rFonts w:ascii="Arial" w:hAnsi="Arial"/>
                    <w:b/>
                  </w:rPr>
                </w:pPr>
                <w:r>
                  <w:rPr>
                    <w:rFonts w:ascii="Arial" w:hAnsi="Arial"/>
                    <w:b/>
                  </w:rPr>
                  <w:t>Federal Communications Commission</w:t>
                </w:r>
              </w:p>
              <w:p w:rsidR="00C82B6B" w:rsidP="00C82B6B" w14:paraId="0B16FCC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0B4D26">
                  <w:rPr>
                    <w:rFonts w:ascii="Arial" w:hAnsi="Arial"/>
                    <w:b/>
                  </w:rPr>
                  <w:t>reet</w:t>
                </w:r>
                <w:r>
                  <w:rPr>
                    <w:rFonts w:ascii="Arial" w:hAnsi="Arial"/>
                    <w:b/>
                  </w:rPr>
                  <w:t>, SW</w:t>
                </w:r>
              </w:p>
              <w:p w:rsidR="00C82B6B" w:rsidP="00C82B6B" w14:paraId="0BECC48D" w14:textId="77777777">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0288" o:allowincell="f" stroked="f">
          <v:textbox inset=",0,,0">
            <w:txbxContent>
              <w:p w:rsidR="00C82B6B" w:rsidP="00C82B6B" w14:paraId="628EE0AC" w14:textId="77777777">
                <w:pPr>
                  <w:spacing w:before="40"/>
                  <w:jc w:val="right"/>
                  <w:rPr>
                    <w:rFonts w:ascii="Arial" w:hAnsi="Arial"/>
                    <w:b/>
                    <w:sz w:val="16"/>
                  </w:rPr>
                </w:pPr>
                <w:r>
                  <w:rPr>
                    <w:rFonts w:ascii="Arial" w:hAnsi="Arial"/>
                    <w:b/>
                    <w:sz w:val="16"/>
                  </w:rPr>
                  <w:t>News Media Information</w:t>
                </w:r>
                <w:r w:rsidR="000B4D26">
                  <w:rPr>
                    <w:rFonts w:ascii="Arial" w:hAnsi="Arial"/>
                    <w:b/>
                    <w:sz w:val="16"/>
                  </w:rPr>
                  <w:t>:</w:t>
                </w:r>
                <w:r>
                  <w:rPr>
                    <w:rFonts w:ascii="Arial" w:hAnsi="Arial"/>
                    <w:b/>
                    <w:sz w:val="16"/>
                  </w:rPr>
                  <w:t xml:space="preserve"> 202</w:t>
                </w:r>
                <w:r w:rsidR="000B4D26">
                  <w:rPr>
                    <w:rFonts w:ascii="Arial" w:hAnsi="Arial"/>
                    <w:b/>
                    <w:sz w:val="16"/>
                  </w:rPr>
                  <w:t>-</w:t>
                </w:r>
                <w:r>
                  <w:rPr>
                    <w:rFonts w:ascii="Arial" w:hAnsi="Arial"/>
                    <w:b/>
                    <w:sz w:val="16"/>
                  </w:rPr>
                  <w:t>418-0500</w:t>
                </w:r>
              </w:p>
              <w:p w:rsidR="00C82B6B" w:rsidP="00C82B6B" w14:paraId="1E4E0040" w14:textId="77777777">
                <w:pPr>
                  <w:jc w:val="right"/>
                  <w:rPr>
                    <w:rFonts w:ascii="Arial" w:hAnsi="Arial"/>
                    <w:b/>
                    <w:sz w:val="16"/>
                  </w:rPr>
                </w:pPr>
                <w:r>
                  <w:rPr>
                    <w:rFonts w:ascii="Arial" w:hAnsi="Arial"/>
                    <w:b/>
                    <w:sz w:val="16"/>
                  </w:rPr>
                  <w:t xml:space="preserve">Internet: </w:t>
                </w:r>
                <w:hyperlink r:id="rId2" w:history="1">
                  <w:r w:rsidRPr="00F85009" w:rsidR="000B4D26">
                    <w:rPr>
                      <w:rStyle w:val="Hyperlink"/>
                      <w:rFonts w:ascii="Arial" w:hAnsi="Arial"/>
                      <w:b/>
                      <w:sz w:val="16"/>
                    </w:rPr>
                    <w:t>www.fcc.gov</w:t>
                  </w:r>
                </w:hyperlink>
                <w:r w:rsidR="000B4D26">
                  <w:rPr>
                    <w:rFonts w:ascii="Arial" w:hAnsi="Arial"/>
                    <w:b/>
                    <w:sz w:val="16"/>
                  </w:rPr>
                  <w:t xml:space="preserve"> </w:t>
                </w:r>
              </w:p>
              <w:p w:rsidR="00C82B6B" w:rsidP="00C82B6B" w14:paraId="316C61F4" w14:textId="77777777">
                <w:pPr>
                  <w:jc w:val="right"/>
                  <w:rPr>
                    <w:rFonts w:ascii="Arial" w:hAnsi="Arial"/>
                    <w:b/>
                    <w:sz w:val="16"/>
                  </w:rPr>
                </w:pPr>
                <w:r>
                  <w:rPr>
                    <w:rFonts w:ascii="Arial" w:hAnsi="Arial"/>
                    <w:b/>
                    <w:sz w:val="16"/>
                  </w:rPr>
                  <w:t>TTY: 888-835-5322</w:t>
                </w:r>
              </w:p>
              <w:p w:rsidR="00C82B6B" w:rsidP="00C82B6B" w14:paraId="25F6AB27" w14:textId="77777777">
                <w:pPr>
                  <w:jc w:val="right"/>
                </w:pPr>
              </w:p>
            </w:txbxContent>
          </v:textbox>
        </v:shape>
      </w:pict>
    </w:r>
  </w:p>
  <w:p w:rsidR="006F7393" w:rsidRPr="00C82B6B" w:rsidP="00837C62" w14:paraId="76C37A3D" w14:textId="77777777">
    <w:pPr>
      <w:pStyle w:val="Header"/>
    </w:pPr>
    <w:r>
      <w:rPr>
        <w:noProof/>
      </w:rPr>
      <w:pict>
        <v:line id="_x0000_s2053" style="position:absolute;z-index:251659264"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0B3213C"/>
    <w:multiLevelType w:val="hybridMultilevel"/>
    <w:tmpl w:val="7C461CE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39C19FD"/>
    <w:multiLevelType w:val="hybridMultilevel"/>
    <w:tmpl w:val="82FC80B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01E5C"/>
    <w:rsid w:val="00004053"/>
    <w:rsid w:val="000064E0"/>
    <w:rsid w:val="00023166"/>
    <w:rsid w:val="00031ABE"/>
    <w:rsid w:val="00036039"/>
    <w:rsid w:val="00037F90"/>
    <w:rsid w:val="00060454"/>
    <w:rsid w:val="00061F29"/>
    <w:rsid w:val="00070566"/>
    <w:rsid w:val="000707EE"/>
    <w:rsid w:val="00073EF6"/>
    <w:rsid w:val="00076F88"/>
    <w:rsid w:val="000820D2"/>
    <w:rsid w:val="000831DD"/>
    <w:rsid w:val="00083A36"/>
    <w:rsid w:val="000875BF"/>
    <w:rsid w:val="00091B6B"/>
    <w:rsid w:val="00096D8C"/>
    <w:rsid w:val="000A062B"/>
    <w:rsid w:val="000A1E82"/>
    <w:rsid w:val="000A7C0A"/>
    <w:rsid w:val="000B20F3"/>
    <w:rsid w:val="000B4D26"/>
    <w:rsid w:val="000B539C"/>
    <w:rsid w:val="000C0B65"/>
    <w:rsid w:val="000D0110"/>
    <w:rsid w:val="000D1205"/>
    <w:rsid w:val="000E3D42"/>
    <w:rsid w:val="000E5884"/>
    <w:rsid w:val="000F1E50"/>
    <w:rsid w:val="000F5DD6"/>
    <w:rsid w:val="00101CE5"/>
    <w:rsid w:val="001021F0"/>
    <w:rsid w:val="00106B7E"/>
    <w:rsid w:val="001115BF"/>
    <w:rsid w:val="0011387C"/>
    <w:rsid w:val="001147FA"/>
    <w:rsid w:val="00122BD5"/>
    <w:rsid w:val="00132D0D"/>
    <w:rsid w:val="00150B9E"/>
    <w:rsid w:val="00153EF8"/>
    <w:rsid w:val="00154E9A"/>
    <w:rsid w:val="0016434D"/>
    <w:rsid w:val="00195761"/>
    <w:rsid w:val="00197590"/>
    <w:rsid w:val="001A16EE"/>
    <w:rsid w:val="001C2374"/>
    <w:rsid w:val="001D6BCF"/>
    <w:rsid w:val="001D7F21"/>
    <w:rsid w:val="001E01CA"/>
    <w:rsid w:val="001E36C5"/>
    <w:rsid w:val="001E7365"/>
    <w:rsid w:val="001F55EC"/>
    <w:rsid w:val="00200BDF"/>
    <w:rsid w:val="0021058C"/>
    <w:rsid w:val="002142A5"/>
    <w:rsid w:val="00214E42"/>
    <w:rsid w:val="0021577E"/>
    <w:rsid w:val="00222D77"/>
    <w:rsid w:val="00226822"/>
    <w:rsid w:val="00243E0B"/>
    <w:rsid w:val="00246A76"/>
    <w:rsid w:val="00256C44"/>
    <w:rsid w:val="00263C02"/>
    <w:rsid w:val="00270B17"/>
    <w:rsid w:val="0027671B"/>
    <w:rsid w:val="00277B33"/>
    <w:rsid w:val="00285017"/>
    <w:rsid w:val="00286F85"/>
    <w:rsid w:val="00286FD7"/>
    <w:rsid w:val="0029339F"/>
    <w:rsid w:val="002951BA"/>
    <w:rsid w:val="002A2D2E"/>
    <w:rsid w:val="002B730D"/>
    <w:rsid w:val="002B7D19"/>
    <w:rsid w:val="002E06BC"/>
    <w:rsid w:val="002F05A1"/>
    <w:rsid w:val="00303ED4"/>
    <w:rsid w:val="0030633C"/>
    <w:rsid w:val="00336EE5"/>
    <w:rsid w:val="00343749"/>
    <w:rsid w:val="0034435A"/>
    <w:rsid w:val="00346D82"/>
    <w:rsid w:val="00347287"/>
    <w:rsid w:val="00374F6F"/>
    <w:rsid w:val="003815CD"/>
    <w:rsid w:val="00384CD2"/>
    <w:rsid w:val="003949C1"/>
    <w:rsid w:val="00395FCB"/>
    <w:rsid w:val="00397B72"/>
    <w:rsid w:val="003A326B"/>
    <w:rsid w:val="003B0550"/>
    <w:rsid w:val="003B694F"/>
    <w:rsid w:val="003C386B"/>
    <w:rsid w:val="003C45B8"/>
    <w:rsid w:val="003D3EDB"/>
    <w:rsid w:val="003E259C"/>
    <w:rsid w:val="003E41F9"/>
    <w:rsid w:val="003E7752"/>
    <w:rsid w:val="003E7F5D"/>
    <w:rsid w:val="003F171C"/>
    <w:rsid w:val="003F3973"/>
    <w:rsid w:val="003F572E"/>
    <w:rsid w:val="00407D8F"/>
    <w:rsid w:val="00411007"/>
    <w:rsid w:val="0041223B"/>
    <w:rsid w:val="00412FC5"/>
    <w:rsid w:val="00415AE8"/>
    <w:rsid w:val="004164E2"/>
    <w:rsid w:val="00422276"/>
    <w:rsid w:val="004242F1"/>
    <w:rsid w:val="00436C5A"/>
    <w:rsid w:val="00445A00"/>
    <w:rsid w:val="00451B0F"/>
    <w:rsid w:val="00457C60"/>
    <w:rsid w:val="00457E5E"/>
    <w:rsid w:val="00462CE7"/>
    <w:rsid w:val="00462F43"/>
    <w:rsid w:val="004922B5"/>
    <w:rsid w:val="004948D6"/>
    <w:rsid w:val="00496106"/>
    <w:rsid w:val="004C12D0"/>
    <w:rsid w:val="004C2EE3"/>
    <w:rsid w:val="004D26F6"/>
    <w:rsid w:val="004D38DA"/>
    <w:rsid w:val="004D45A8"/>
    <w:rsid w:val="004E4A22"/>
    <w:rsid w:val="004E6E35"/>
    <w:rsid w:val="004F3D21"/>
    <w:rsid w:val="004F4D06"/>
    <w:rsid w:val="00503CDD"/>
    <w:rsid w:val="005076FB"/>
    <w:rsid w:val="00511968"/>
    <w:rsid w:val="00515590"/>
    <w:rsid w:val="00531DB9"/>
    <w:rsid w:val="00537B7E"/>
    <w:rsid w:val="00544D1F"/>
    <w:rsid w:val="00553E36"/>
    <w:rsid w:val="00554F7C"/>
    <w:rsid w:val="0055614C"/>
    <w:rsid w:val="005571BF"/>
    <w:rsid w:val="00564CDA"/>
    <w:rsid w:val="005748FF"/>
    <w:rsid w:val="00574931"/>
    <w:rsid w:val="00582ABD"/>
    <w:rsid w:val="005862FA"/>
    <w:rsid w:val="005B29CB"/>
    <w:rsid w:val="005B35BF"/>
    <w:rsid w:val="005C12E1"/>
    <w:rsid w:val="005C3E54"/>
    <w:rsid w:val="005E2B76"/>
    <w:rsid w:val="005E6EEA"/>
    <w:rsid w:val="005E7185"/>
    <w:rsid w:val="005E79C1"/>
    <w:rsid w:val="005F64C1"/>
    <w:rsid w:val="005F6E79"/>
    <w:rsid w:val="00606902"/>
    <w:rsid w:val="00607BA5"/>
    <w:rsid w:val="00621B8D"/>
    <w:rsid w:val="00626EB6"/>
    <w:rsid w:val="0064123D"/>
    <w:rsid w:val="00650F0C"/>
    <w:rsid w:val="0065222C"/>
    <w:rsid w:val="00652D29"/>
    <w:rsid w:val="00655D03"/>
    <w:rsid w:val="00673198"/>
    <w:rsid w:val="00676AD5"/>
    <w:rsid w:val="00683F84"/>
    <w:rsid w:val="00685D73"/>
    <w:rsid w:val="00686EA2"/>
    <w:rsid w:val="006A3F53"/>
    <w:rsid w:val="006A6A81"/>
    <w:rsid w:val="006B02BD"/>
    <w:rsid w:val="006B5066"/>
    <w:rsid w:val="006B7BE8"/>
    <w:rsid w:val="006C1628"/>
    <w:rsid w:val="006E26AF"/>
    <w:rsid w:val="006E2E32"/>
    <w:rsid w:val="006F2D66"/>
    <w:rsid w:val="006F3FD9"/>
    <w:rsid w:val="006F7393"/>
    <w:rsid w:val="0070224F"/>
    <w:rsid w:val="00702ABA"/>
    <w:rsid w:val="007115F7"/>
    <w:rsid w:val="0071516F"/>
    <w:rsid w:val="00716EBB"/>
    <w:rsid w:val="00737906"/>
    <w:rsid w:val="0074701B"/>
    <w:rsid w:val="00764145"/>
    <w:rsid w:val="00766CAB"/>
    <w:rsid w:val="007739FC"/>
    <w:rsid w:val="0077665D"/>
    <w:rsid w:val="00785689"/>
    <w:rsid w:val="007864B1"/>
    <w:rsid w:val="0079754B"/>
    <w:rsid w:val="007A1E6D"/>
    <w:rsid w:val="007A5B60"/>
    <w:rsid w:val="007A7F80"/>
    <w:rsid w:val="007C15F1"/>
    <w:rsid w:val="007D37F9"/>
    <w:rsid w:val="007E3A2E"/>
    <w:rsid w:val="007E42D5"/>
    <w:rsid w:val="007F21D7"/>
    <w:rsid w:val="007F50AE"/>
    <w:rsid w:val="007F5201"/>
    <w:rsid w:val="00800C8E"/>
    <w:rsid w:val="0082163D"/>
    <w:rsid w:val="00822CE0"/>
    <w:rsid w:val="00824E1D"/>
    <w:rsid w:val="00827701"/>
    <w:rsid w:val="00837C62"/>
    <w:rsid w:val="00841AB1"/>
    <w:rsid w:val="00843567"/>
    <w:rsid w:val="0085014D"/>
    <w:rsid w:val="0085099E"/>
    <w:rsid w:val="008525BA"/>
    <w:rsid w:val="00854B58"/>
    <w:rsid w:val="008659C7"/>
    <w:rsid w:val="00867FC8"/>
    <w:rsid w:val="008752A4"/>
    <w:rsid w:val="00877522"/>
    <w:rsid w:val="0088665B"/>
    <w:rsid w:val="008913DC"/>
    <w:rsid w:val="008921B8"/>
    <w:rsid w:val="00893F72"/>
    <w:rsid w:val="00897AE1"/>
    <w:rsid w:val="008A311E"/>
    <w:rsid w:val="008A5FD3"/>
    <w:rsid w:val="008B0DED"/>
    <w:rsid w:val="008B2ADC"/>
    <w:rsid w:val="008C11B8"/>
    <w:rsid w:val="008D157F"/>
    <w:rsid w:val="008D1FD0"/>
    <w:rsid w:val="008D4CEE"/>
    <w:rsid w:val="008E643F"/>
    <w:rsid w:val="008F5F89"/>
    <w:rsid w:val="009002F3"/>
    <w:rsid w:val="00926503"/>
    <w:rsid w:val="00926B96"/>
    <w:rsid w:val="009303AA"/>
    <w:rsid w:val="00936FB4"/>
    <w:rsid w:val="00947EE2"/>
    <w:rsid w:val="0095369F"/>
    <w:rsid w:val="00955F40"/>
    <w:rsid w:val="00961299"/>
    <w:rsid w:val="0097059E"/>
    <w:rsid w:val="009722B3"/>
    <w:rsid w:val="00973EA0"/>
    <w:rsid w:val="00995740"/>
    <w:rsid w:val="00997A4F"/>
    <w:rsid w:val="009B1A34"/>
    <w:rsid w:val="009B7170"/>
    <w:rsid w:val="009C2F84"/>
    <w:rsid w:val="009D391C"/>
    <w:rsid w:val="009D476F"/>
    <w:rsid w:val="009E0551"/>
    <w:rsid w:val="009E1EC2"/>
    <w:rsid w:val="009E5DDA"/>
    <w:rsid w:val="009F5612"/>
    <w:rsid w:val="00A02C39"/>
    <w:rsid w:val="00A13EE8"/>
    <w:rsid w:val="00A16BD3"/>
    <w:rsid w:val="00A1749A"/>
    <w:rsid w:val="00A33AEC"/>
    <w:rsid w:val="00A45F4F"/>
    <w:rsid w:val="00A46AA3"/>
    <w:rsid w:val="00A51438"/>
    <w:rsid w:val="00A520AD"/>
    <w:rsid w:val="00A600A9"/>
    <w:rsid w:val="00A61983"/>
    <w:rsid w:val="00A62DDC"/>
    <w:rsid w:val="00A747D1"/>
    <w:rsid w:val="00A91686"/>
    <w:rsid w:val="00A93DAF"/>
    <w:rsid w:val="00AA2CC2"/>
    <w:rsid w:val="00AA37B7"/>
    <w:rsid w:val="00AA5377"/>
    <w:rsid w:val="00AA55B7"/>
    <w:rsid w:val="00AA5B9E"/>
    <w:rsid w:val="00AB20AC"/>
    <w:rsid w:val="00AB2407"/>
    <w:rsid w:val="00AB53DF"/>
    <w:rsid w:val="00AC213A"/>
    <w:rsid w:val="00AC3B2B"/>
    <w:rsid w:val="00AD0004"/>
    <w:rsid w:val="00AD1DFE"/>
    <w:rsid w:val="00AE3ADA"/>
    <w:rsid w:val="00AF181D"/>
    <w:rsid w:val="00AF7CB9"/>
    <w:rsid w:val="00B0400C"/>
    <w:rsid w:val="00B07E5C"/>
    <w:rsid w:val="00B11DE4"/>
    <w:rsid w:val="00B20363"/>
    <w:rsid w:val="00B20EB8"/>
    <w:rsid w:val="00B22D37"/>
    <w:rsid w:val="00B23945"/>
    <w:rsid w:val="00B26A25"/>
    <w:rsid w:val="00B36DD2"/>
    <w:rsid w:val="00B411A4"/>
    <w:rsid w:val="00B4302C"/>
    <w:rsid w:val="00B511E2"/>
    <w:rsid w:val="00B602C7"/>
    <w:rsid w:val="00B725CD"/>
    <w:rsid w:val="00B802BE"/>
    <w:rsid w:val="00B811F7"/>
    <w:rsid w:val="00B93158"/>
    <w:rsid w:val="00BA3F83"/>
    <w:rsid w:val="00BA5DC6"/>
    <w:rsid w:val="00BA6196"/>
    <w:rsid w:val="00BB10A6"/>
    <w:rsid w:val="00BB1724"/>
    <w:rsid w:val="00BB7137"/>
    <w:rsid w:val="00BC3630"/>
    <w:rsid w:val="00BC6D8C"/>
    <w:rsid w:val="00BC7A06"/>
    <w:rsid w:val="00BD2C10"/>
    <w:rsid w:val="00BD33F8"/>
    <w:rsid w:val="00BE6B50"/>
    <w:rsid w:val="00BF1AB0"/>
    <w:rsid w:val="00BF52A9"/>
    <w:rsid w:val="00C02E08"/>
    <w:rsid w:val="00C03059"/>
    <w:rsid w:val="00C0704B"/>
    <w:rsid w:val="00C12F3D"/>
    <w:rsid w:val="00C13C92"/>
    <w:rsid w:val="00C22832"/>
    <w:rsid w:val="00C22C83"/>
    <w:rsid w:val="00C22EF4"/>
    <w:rsid w:val="00C238F3"/>
    <w:rsid w:val="00C27A34"/>
    <w:rsid w:val="00C34006"/>
    <w:rsid w:val="00C420AE"/>
    <w:rsid w:val="00C4263C"/>
    <w:rsid w:val="00C426B1"/>
    <w:rsid w:val="00C57886"/>
    <w:rsid w:val="00C63E30"/>
    <w:rsid w:val="00C73607"/>
    <w:rsid w:val="00C76159"/>
    <w:rsid w:val="00C77BD5"/>
    <w:rsid w:val="00C82B6B"/>
    <w:rsid w:val="00C84544"/>
    <w:rsid w:val="00C871F7"/>
    <w:rsid w:val="00C90D6A"/>
    <w:rsid w:val="00C94F02"/>
    <w:rsid w:val="00C96051"/>
    <w:rsid w:val="00CA00C3"/>
    <w:rsid w:val="00CA5C60"/>
    <w:rsid w:val="00CA6720"/>
    <w:rsid w:val="00CB3EAF"/>
    <w:rsid w:val="00CB7FEA"/>
    <w:rsid w:val="00CC72B6"/>
    <w:rsid w:val="00CC773D"/>
    <w:rsid w:val="00CD07A2"/>
    <w:rsid w:val="00CD3AAC"/>
    <w:rsid w:val="00CD49FB"/>
    <w:rsid w:val="00CF054A"/>
    <w:rsid w:val="00CF0A7D"/>
    <w:rsid w:val="00D0218D"/>
    <w:rsid w:val="00D04F0B"/>
    <w:rsid w:val="00D06EF1"/>
    <w:rsid w:val="00D1178A"/>
    <w:rsid w:val="00D15586"/>
    <w:rsid w:val="00D254DA"/>
    <w:rsid w:val="00D31FEC"/>
    <w:rsid w:val="00D9356D"/>
    <w:rsid w:val="00D9424D"/>
    <w:rsid w:val="00D94B07"/>
    <w:rsid w:val="00DA1552"/>
    <w:rsid w:val="00DA2529"/>
    <w:rsid w:val="00DA7C01"/>
    <w:rsid w:val="00DB130A"/>
    <w:rsid w:val="00DB1F62"/>
    <w:rsid w:val="00DB39A6"/>
    <w:rsid w:val="00DB3DBD"/>
    <w:rsid w:val="00DC10A1"/>
    <w:rsid w:val="00DC655F"/>
    <w:rsid w:val="00DC70C6"/>
    <w:rsid w:val="00DC7433"/>
    <w:rsid w:val="00DD0221"/>
    <w:rsid w:val="00DD0576"/>
    <w:rsid w:val="00DD157C"/>
    <w:rsid w:val="00DD2847"/>
    <w:rsid w:val="00DD2C4E"/>
    <w:rsid w:val="00DD7EBD"/>
    <w:rsid w:val="00DE4FBB"/>
    <w:rsid w:val="00DE7A65"/>
    <w:rsid w:val="00DF374E"/>
    <w:rsid w:val="00DF62B6"/>
    <w:rsid w:val="00E05D61"/>
    <w:rsid w:val="00E07225"/>
    <w:rsid w:val="00E102E1"/>
    <w:rsid w:val="00E179A8"/>
    <w:rsid w:val="00E218C0"/>
    <w:rsid w:val="00E22A0B"/>
    <w:rsid w:val="00E2330B"/>
    <w:rsid w:val="00E3502F"/>
    <w:rsid w:val="00E40A0E"/>
    <w:rsid w:val="00E509BA"/>
    <w:rsid w:val="00E5409F"/>
    <w:rsid w:val="00E62F64"/>
    <w:rsid w:val="00E66A5F"/>
    <w:rsid w:val="00E757A9"/>
    <w:rsid w:val="00E93945"/>
    <w:rsid w:val="00EA7C34"/>
    <w:rsid w:val="00EB0865"/>
    <w:rsid w:val="00EB2FD8"/>
    <w:rsid w:val="00EC57DA"/>
    <w:rsid w:val="00EC5B13"/>
    <w:rsid w:val="00EE2F2E"/>
    <w:rsid w:val="00EE690E"/>
    <w:rsid w:val="00EE6923"/>
    <w:rsid w:val="00EF6B43"/>
    <w:rsid w:val="00F021FA"/>
    <w:rsid w:val="00F10590"/>
    <w:rsid w:val="00F16A4B"/>
    <w:rsid w:val="00F2023A"/>
    <w:rsid w:val="00F21F79"/>
    <w:rsid w:val="00F242DD"/>
    <w:rsid w:val="00F5070E"/>
    <w:rsid w:val="00F54A59"/>
    <w:rsid w:val="00F57ACA"/>
    <w:rsid w:val="00F62E97"/>
    <w:rsid w:val="00F64209"/>
    <w:rsid w:val="00F70DF6"/>
    <w:rsid w:val="00F767C9"/>
    <w:rsid w:val="00F828F0"/>
    <w:rsid w:val="00F84E07"/>
    <w:rsid w:val="00F85009"/>
    <w:rsid w:val="00F93BF5"/>
    <w:rsid w:val="00FA6B18"/>
    <w:rsid w:val="00FC4665"/>
    <w:rsid w:val="00FD0200"/>
    <w:rsid w:val="00FD4FEB"/>
    <w:rsid w:val="00FE75C6"/>
    <w:rsid w:val="00FF373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F3563E6-1FDD-4A12-A0A8-4F9EFC0C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ALTS FOOTNOTE,Footnote Text Char Char Char Char,Footnote Text Char1,Footnote Text Char1 Char Char,Footnote Text Char1 Char Char Char Char Char Char,Footnote Text Char1 Char2 Char Char Char,Footnote Text Char2 Char,Styl,f,fn"/>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 Char,ALTS FOOTNOTE Char,Footnote Text Char Char Char Char Char,Footnote Text Char1 Char,Footnote Text Char1 Char Char Char,Footnote Text Char1 Char Char Char Char Char Char Char,Footnote Text Char2 Char Char,Styl Char"/>
    <w:link w:val="FootnoteText"/>
    <w:rsid w:val="000B4D26"/>
  </w:style>
  <w:style w:type="character" w:styleId="CommentReference">
    <w:name w:val="annotation reference"/>
    <w:uiPriority w:val="99"/>
    <w:semiHidden/>
    <w:unhideWhenUsed/>
    <w:rsid w:val="000B4D26"/>
    <w:rPr>
      <w:sz w:val="16"/>
      <w:szCs w:val="16"/>
    </w:rPr>
  </w:style>
  <w:style w:type="paragraph" w:styleId="CommentText">
    <w:name w:val="annotation text"/>
    <w:basedOn w:val="Normal"/>
    <w:link w:val="CommentTextChar"/>
    <w:uiPriority w:val="99"/>
    <w:semiHidden/>
    <w:unhideWhenUsed/>
    <w:rsid w:val="000B4D26"/>
    <w:rPr>
      <w:sz w:val="20"/>
    </w:rPr>
  </w:style>
  <w:style w:type="character" w:customStyle="1" w:styleId="CommentTextChar">
    <w:name w:val="Comment Text Char"/>
    <w:link w:val="CommentText"/>
    <w:uiPriority w:val="99"/>
    <w:semiHidden/>
    <w:rsid w:val="000B4D26"/>
    <w:rPr>
      <w:snapToGrid w:val="0"/>
      <w:kern w:val="28"/>
    </w:rPr>
  </w:style>
  <w:style w:type="paragraph" w:styleId="BalloonText">
    <w:name w:val="Balloon Text"/>
    <w:basedOn w:val="Normal"/>
    <w:link w:val="BalloonTextChar"/>
    <w:uiPriority w:val="99"/>
    <w:semiHidden/>
    <w:unhideWhenUsed/>
    <w:rsid w:val="000B4D26"/>
    <w:rPr>
      <w:rFonts w:ascii="Segoe UI" w:hAnsi="Segoe UI" w:cs="Segoe UI"/>
      <w:sz w:val="18"/>
      <w:szCs w:val="18"/>
    </w:rPr>
  </w:style>
  <w:style w:type="character" w:customStyle="1" w:styleId="BalloonTextChar">
    <w:name w:val="Balloon Text Char"/>
    <w:link w:val="BalloonText"/>
    <w:uiPriority w:val="99"/>
    <w:semiHidden/>
    <w:rsid w:val="000B4D26"/>
    <w:rPr>
      <w:rFonts w:ascii="Segoe UI" w:hAnsi="Segoe UI" w:cs="Segoe UI"/>
      <w:snapToGrid w:val="0"/>
      <w:kern w:val="28"/>
      <w:sz w:val="18"/>
      <w:szCs w:val="18"/>
    </w:rPr>
  </w:style>
  <w:style w:type="character" w:customStyle="1" w:styleId="UnresolvedMention">
    <w:name w:val="Unresolved Mention"/>
    <w:uiPriority w:val="99"/>
    <w:semiHidden/>
    <w:unhideWhenUsed/>
    <w:rsid w:val="000B4D2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D2C10"/>
    <w:rPr>
      <w:b/>
      <w:bCs/>
    </w:rPr>
  </w:style>
  <w:style w:type="character" w:customStyle="1" w:styleId="CommentSubjectChar">
    <w:name w:val="Comment Subject Char"/>
    <w:link w:val="CommentSubject"/>
    <w:uiPriority w:val="99"/>
    <w:semiHidden/>
    <w:rsid w:val="00BD2C10"/>
    <w:rPr>
      <w:b/>
      <w:bCs/>
      <w:snapToGrid w:val="0"/>
      <w:kern w:val="28"/>
    </w:rPr>
  </w:style>
  <w:style w:type="character" w:customStyle="1" w:styleId="HeaderChar">
    <w:name w:val="Header Char"/>
    <w:link w:val="Header"/>
    <w:uiPriority w:val="99"/>
    <w:rsid w:val="00BA3F83"/>
    <w:rPr>
      <w:rFonts w:ascii="Arial" w:hAnsi="Arial" w:cs="Arial"/>
      <w:b/>
      <w:snapToGrid w:val="0"/>
      <w:kern w:val="28"/>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