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66BA3" w:rsidRPr="00225B62" w:rsidP="00705DD6" w14:paraId="6D3F6A2B" w14:textId="77777777">
      <w:pPr>
        <w:rPr>
          <w:b/>
          <w:szCs w:val="22"/>
        </w:rPr>
      </w:pPr>
      <w:r>
        <w:rPr>
          <w:b/>
          <w:color w:val="000000" w:themeColor="text1"/>
          <w:szCs w:val="22"/>
        </w:rPr>
        <w:t xml:space="preserve"> </w:t>
      </w:r>
    </w:p>
    <w:p w:rsidR="00466BA3" w:rsidRPr="00225B62" w:rsidP="00F75115" w14:paraId="34D8E969" w14:textId="45F4CDD7">
      <w:pPr>
        <w:ind w:left="6480"/>
        <w:rPr>
          <w:b/>
          <w:szCs w:val="22"/>
        </w:rPr>
      </w:pPr>
      <w:r>
        <w:rPr>
          <w:b/>
          <w:szCs w:val="22"/>
        </w:rPr>
        <w:t xml:space="preserve">           </w:t>
      </w:r>
      <w:r w:rsidRPr="00225B62">
        <w:rPr>
          <w:b/>
          <w:szCs w:val="22"/>
        </w:rPr>
        <w:t xml:space="preserve">DA </w:t>
      </w:r>
      <w:r>
        <w:rPr>
          <w:b/>
          <w:szCs w:val="22"/>
        </w:rPr>
        <w:t>20-</w:t>
      </w:r>
      <w:r>
        <w:rPr>
          <w:b/>
          <w:szCs w:val="22"/>
        </w:rPr>
        <w:t>573</w:t>
      </w:r>
    </w:p>
    <w:p w:rsidR="00466BA3" w:rsidRPr="00225B62" w:rsidP="00466BA3" w14:paraId="007F294E" w14:textId="4A40C09B">
      <w:pPr>
        <w:spacing w:before="60"/>
        <w:ind w:left="6480"/>
        <w:rPr>
          <w:b/>
          <w:szCs w:val="22"/>
        </w:rPr>
      </w:pPr>
      <w:r>
        <w:rPr>
          <w:b/>
          <w:szCs w:val="22"/>
        </w:rPr>
        <w:t xml:space="preserve">           </w:t>
      </w:r>
      <w:r w:rsidRPr="00225B62">
        <w:rPr>
          <w:b/>
          <w:szCs w:val="22"/>
        </w:rPr>
        <w:t xml:space="preserve">Released:  </w:t>
      </w:r>
      <w:r w:rsidRPr="00F75115">
        <w:rPr>
          <w:b/>
          <w:szCs w:val="22"/>
        </w:rPr>
        <w:t>Ju</w:t>
      </w:r>
      <w:r w:rsidRPr="00F75115" w:rsidR="00705DD6">
        <w:rPr>
          <w:b/>
          <w:szCs w:val="22"/>
        </w:rPr>
        <w:t>ne</w:t>
      </w:r>
      <w:r w:rsidRPr="00F75115">
        <w:rPr>
          <w:b/>
          <w:szCs w:val="22"/>
        </w:rPr>
        <w:t xml:space="preserve"> 1, 2020</w:t>
      </w:r>
    </w:p>
    <w:p w:rsidR="00466BA3" w:rsidRPr="00225B62" w:rsidP="00466BA3" w14:paraId="296045BE" w14:textId="77777777">
      <w:pPr>
        <w:jc w:val="right"/>
        <w:rPr>
          <w:szCs w:val="22"/>
        </w:rPr>
      </w:pPr>
    </w:p>
    <w:p w:rsidR="00466BA3" w:rsidP="00466BA3" w14:paraId="6D604A89" w14:textId="77777777">
      <w:pPr>
        <w:jc w:val="center"/>
        <w:rPr>
          <w:b/>
          <w:caps/>
          <w:szCs w:val="22"/>
        </w:rPr>
      </w:pPr>
      <w:r>
        <w:rPr>
          <w:b/>
          <w:caps/>
          <w:szCs w:val="22"/>
        </w:rPr>
        <w:t>MEDIA BUREAU REMINDS</w:t>
      </w:r>
      <w:r w:rsidRPr="00225B62">
        <w:rPr>
          <w:b/>
          <w:caps/>
          <w:szCs w:val="22"/>
        </w:rPr>
        <w:t xml:space="preserve"> LOW POWER TELEVISION</w:t>
      </w:r>
      <w:r>
        <w:rPr>
          <w:b/>
          <w:caps/>
          <w:szCs w:val="22"/>
        </w:rPr>
        <w:t xml:space="preserve"> AND</w:t>
      </w:r>
      <w:r w:rsidRPr="00225B62">
        <w:rPr>
          <w:b/>
          <w:caps/>
          <w:szCs w:val="22"/>
        </w:rPr>
        <w:t xml:space="preserve"> </w:t>
      </w:r>
    </w:p>
    <w:p w:rsidR="00D52A56" w:rsidP="007A0E71" w14:paraId="16E96FBD" w14:textId="77777777">
      <w:pPr>
        <w:jc w:val="center"/>
        <w:rPr>
          <w:b/>
          <w:caps/>
          <w:szCs w:val="22"/>
        </w:rPr>
      </w:pPr>
      <w:r w:rsidRPr="00225B62">
        <w:rPr>
          <w:b/>
          <w:caps/>
          <w:szCs w:val="22"/>
        </w:rPr>
        <w:t xml:space="preserve">TELEVISION TRANSLATOR </w:t>
      </w:r>
      <w:r>
        <w:rPr>
          <w:b/>
          <w:caps/>
          <w:szCs w:val="22"/>
        </w:rPr>
        <w:t>STATIONS o</w:t>
      </w:r>
      <w:r w:rsidR="00370104">
        <w:rPr>
          <w:b/>
          <w:caps/>
          <w:szCs w:val="22"/>
        </w:rPr>
        <w:t xml:space="preserve">Perating on the </w:t>
      </w:r>
    </w:p>
    <w:p w:rsidR="00466BA3" w:rsidP="007A0E71" w14:paraId="22185E2C" w14:textId="7FFC8E3B">
      <w:pPr>
        <w:jc w:val="center"/>
        <w:rPr>
          <w:b/>
          <w:caps/>
          <w:szCs w:val="22"/>
        </w:rPr>
      </w:pPr>
      <w:r>
        <w:rPr>
          <w:b/>
          <w:caps/>
          <w:szCs w:val="22"/>
        </w:rPr>
        <w:t>guard Band</w:t>
      </w:r>
      <w:r w:rsidR="007A0E71">
        <w:rPr>
          <w:b/>
          <w:caps/>
          <w:szCs w:val="22"/>
        </w:rPr>
        <w:t>/DUPLEX GAP</w:t>
      </w:r>
      <w:r w:rsidR="00723EF3">
        <w:rPr>
          <w:b/>
          <w:caps/>
          <w:szCs w:val="22"/>
        </w:rPr>
        <w:t xml:space="preserve"> CHANNEls</w:t>
      </w:r>
    </w:p>
    <w:p w:rsidR="00466BA3" w:rsidP="00466BA3" w14:paraId="1BE18B8A" w14:textId="77777777">
      <w:pPr>
        <w:jc w:val="center"/>
        <w:rPr>
          <w:b/>
          <w:caps/>
          <w:szCs w:val="22"/>
        </w:rPr>
      </w:pPr>
      <w:r>
        <w:rPr>
          <w:b/>
          <w:caps/>
          <w:szCs w:val="22"/>
        </w:rPr>
        <w:t xml:space="preserve"> OF UPCOMING JUly 13, 2020 DEADLINE TO CEASE OPERATIONS</w:t>
      </w:r>
    </w:p>
    <w:p w:rsidR="00466BA3" w:rsidRPr="00225B62" w:rsidP="00466BA3" w14:paraId="36B2E089" w14:textId="77777777">
      <w:pPr>
        <w:pStyle w:val="Heading1"/>
        <w:numPr>
          <w:ilvl w:val="0"/>
          <w:numId w:val="0"/>
        </w:numPr>
        <w:rPr>
          <w:rFonts w:ascii="Times New Roman" w:hAnsi="Times New Roman"/>
          <w:szCs w:val="22"/>
        </w:rPr>
      </w:pPr>
    </w:p>
    <w:p w:rsidR="00466BA3" w:rsidP="00466BA3" w14:paraId="075CB27A" w14:textId="22C4C4C7">
      <w:pPr>
        <w:spacing w:after="120"/>
        <w:ind w:firstLine="720"/>
        <w:rPr>
          <w:szCs w:val="22"/>
        </w:rPr>
      </w:pPr>
      <w:r w:rsidRPr="00225B62">
        <w:rPr>
          <w:szCs w:val="22"/>
        </w:rPr>
        <w:t xml:space="preserve">The Media Bureau (Bureau), in this Public Notice, </w:t>
      </w:r>
      <w:r>
        <w:rPr>
          <w:szCs w:val="22"/>
        </w:rPr>
        <w:t xml:space="preserve">reminds </w:t>
      </w:r>
      <w:r w:rsidRPr="00225B62">
        <w:rPr>
          <w:szCs w:val="22"/>
        </w:rPr>
        <w:t xml:space="preserve">low power television </w:t>
      </w:r>
      <w:r>
        <w:rPr>
          <w:szCs w:val="22"/>
        </w:rPr>
        <w:t xml:space="preserve">and </w:t>
      </w:r>
      <w:r w:rsidRPr="00225B62">
        <w:rPr>
          <w:szCs w:val="22"/>
        </w:rPr>
        <w:t>television translator</w:t>
      </w:r>
      <w:r>
        <w:rPr>
          <w:szCs w:val="22"/>
        </w:rPr>
        <w:t xml:space="preserve"> stations (LPTV/translator stations) </w:t>
      </w:r>
      <w:r w:rsidR="007A0E71">
        <w:rPr>
          <w:szCs w:val="22"/>
        </w:rPr>
        <w:t xml:space="preserve">operating </w:t>
      </w:r>
      <w:r w:rsidR="00723EF3">
        <w:rPr>
          <w:szCs w:val="22"/>
        </w:rPr>
        <w:t>o</w:t>
      </w:r>
      <w:r w:rsidR="007A0E71">
        <w:rPr>
          <w:szCs w:val="22"/>
        </w:rPr>
        <w:t>n the guard band/duplex gap channels (</w:t>
      </w:r>
      <w:r>
        <w:rPr>
          <w:szCs w:val="22"/>
        </w:rPr>
        <w:t>channels 38, 44, 45 and 46</w:t>
      </w:r>
      <w:r w:rsidR="007A0E71">
        <w:rPr>
          <w:szCs w:val="22"/>
        </w:rPr>
        <w:t>)</w:t>
      </w:r>
      <w:r>
        <w:rPr>
          <w:szCs w:val="22"/>
        </w:rPr>
        <w:t xml:space="preserve"> that they </w:t>
      </w:r>
      <w:r w:rsidRPr="00225B62">
        <w:rPr>
          <w:szCs w:val="22"/>
        </w:rPr>
        <w:t xml:space="preserve">must cease operations no later than </w:t>
      </w:r>
      <w:r w:rsidRPr="00556E5A">
        <w:rPr>
          <w:b/>
          <w:bCs/>
          <w:szCs w:val="22"/>
        </w:rPr>
        <w:t>11:59 pm local time on July 13, 2020</w:t>
      </w:r>
      <w:r w:rsidRPr="00225B62">
        <w:rPr>
          <w:szCs w:val="22"/>
        </w:rPr>
        <w:t>.</w:t>
      </w:r>
    </w:p>
    <w:p w:rsidR="00466BA3" w:rsidRPr="00225B62" w:rsidP="00466BA3" w14:paraId="0A37A979" w14:textId="77777777">
      <w:pPr>
        <w:autoSpaceDE w:val="0"/>
        <w:autoSpaceDN w:val="0"/>
        <w:adjustRightInd w:val="0"/>
        <w:spacing w:after="120"/>
        <w:ind w:firstLine="720"/>
        <w:rPr>
          <w:szCs w:val="22"/>
        </w:rPr>
      </w:pPr>
      <w:r>
        <w:rPr>
          <w:szCs w:val="22"/>
        </w:rPr>
        <w:t>The Commission’s Incentive Auction was completed in April 2017 resulting in the repurposing of television channels 38 to 51 as the new wireless 600 MHz Band</w:t>
      </w:r>
      <w:r w:rsidRPr="00225B62">
        <w:rPr>
          <w:szCs w:val="22"/>
        </w:rPr>
        <w:t>.</w:t>
      </w:r>
      <w:r>
        <w:rPr>
          <w:szCs w:val="22"/>
          <w:vertAlign w:val="superscript"/>
        </w:rPr>
        <w:footnoteReference w:id="3"/>
      </w:r>
      <w:r w:rsidRPr="00225B62">
        <w:rPr>
          <w:szCs w:val="22"/>
        </w:rPr>
        <w:t xml:space="preserve">  The 600 MHz Band Plan is comprised of uplink and downlink band</w:t>
      </w:r>
      <w:r>
        <w:rPr>
          <w:szCs w:val="22"/>
        </w:rPr>
        <w:t>s</w:t>
      </w:r>
      <w:r w:rsidRPr="00225B62">
        <w:rPr>
          <w:szCs w:val="22"/>
        </w:rPr>
        <w:t>, a duplex gap between these bands (the 600 MHz duplex gap), and a guard band between the downlink band and channel 37 (the 600 MHz guard band).</w:t>
      </w:r>
      <w:r>
        <w:rPr>
          <w:szCs w:val="22"/>
          <w:vertAlign w:val="superscript"/>
        </w:rPr>
        <w:footnoteReference w:id="4"/>
      </w:r>
      <w:r w:rsidRPr="00225B62">
        <w:rPr>
          <w:szCs w:val="22"/>
        </w:rPr>
        <w:t xml:space="preserve">  The various television channels that correspond to the</w:t>
      </w:r>
      <w:r>
        <w:rPr>
          <w:szCs w:val="22"/>
        </w:rPr>
        <w:t>se bands</w:t>
      </w:r>
      <w:r w:rsidRPr="00225B62">
        <w:rPr>
          <w:szCs w:val="22"/>
        </w:rPr>
        <w:t xml:space="preserve"> are illustrated below.</w:t>
      </w:r>
    </w:p>
    <w:p w:rsidR="00466BA3" w:rsidRPr="00225B62" w:rsidP="00466BA3" w14:paraId="146D2E72" w14:textId="77777777">
      <w:pPr>
        <w:pStyle w:val="ParaNum0"/>
        <w:numPr>
          <w:ilvl w:val="0"/>
          <w:numId w:val="0"/>
        </w:numPr>
        <w:jc w:val="center"/>
        <w:rPr>
          <w:b/>
          <w:szCs w:val="22"/>
        </w:rPr>
      </w:pPr>
      <w:r w:rsidRPr="00225B62">
        <w:rPr>
          <w:b/>
          <w:szCs w:val="22"/>
        </w:rPr>
        <w:t>600 MHz Band Plan</w:t>
      </w:r>
    </w:p>
    <w:p w:rsidR="00466BA3" w:rsidRPr="00225B62" w:rsidP="00466BA3" w14:paraId="3B9B9AB0" w14:textId="77777777">
      <w:pPr>
        <w:spacing w:after="120"/>
        <w:rPr>
          <w:szCs w:val="22"/>
        </w:rPr>
      </w:pPr>
      <w:r>
        <w:rPr>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5pt" o:oleicon="f" o:ole="">
            <v:imagedata r:id="rId5" o:title=""/>
          </v:shape>
          <o:OLEObject Type="Embed" ProgID="Visio.Drawing.11" ShapeID="_x0000_i1025" DrawAspect="Content" ObjectID="_1652266642" r:id="rId6"/>
        </w:object>
      </w:r>
    </w:p>
    <w:p w:rsidR="00466BA3" w:rsidP="00466BA3" w14:paraId="5B8A3285" w14:textId="2F48AE10">
      <w:pPr>
        <w:spacing w:after="120"/>
        <w:ind w:firstLine="720"/>
        <w:rPr>
          <w:iCs/>
          <w:szCs w:val="22"/>
        </w:rPr>
      </w:pPr>
      <w:r>
        <w:rPr>
          <w:szCs w:val="22"/>
        </w:rPr>
        <w:t xml:space="preserve">Pursuant to the Commission’s </w:t>
      </w:r>
      <w:r w:rsidRPr="00817540">
        <w:rPr>
          <w:i/>
          <w:iCs/>
          <w:szCs w:val="22"/>
        </w:rPr>
        <w:t>Incentive Auction R&amp;O</w:t>
      </w:r>
      <w:r>
        <w:rPr>
          <w:szCs w:val="22"/>
        </w:rPr>
        <w:t xml:space="preserve">, </w:t>
      </w:r>
      <w:r w:rsidRPr="00225B62">
        <w:rPr>
          <w:szCs w:val="22"/>
        </w:rPr>
        <w:t>LPTV/translator stations must cease operations on the 600 MHz guard band (614-617 MHz) and the 600 MHz duplex gap (652-663 MHz) no later th</w:t>
      </w:r>
      <w:r w:rsidR="0027437C">
        <w:rPr>
          <w:szCs w:val="22"/>
        </w:rPr>
        <w:t>a</w:t>
      </w:r>
      <w:r w:rsidR="00B43932">
        <w:rPr>
          <w:szCs w:val="22"/>
        </w:rPr>
        <w:t>n</w:t>
      </w:r>
      <w:r w:rsidR="0027437C">
        <w:rPr>
          <w:szCs w:val="22"/>
        </w:rPr>
        <w:t xml:space="preserve"> the</w:t>
      </w:r>
      <w:r w:rsidRPr="00225B62">
        <w:rPr>
          <w:szCs w:val="22"/>
        </w:rPr>
        <w:t xml:space="preserve"> end of the </w:t>
      </w:r>
      <w:r>
        <w:rPr>
          <w:szCs w:val="22"/>
        </w:rPr>
        <w:t xml:space="preserve">post-Incentive Auction </w:t>
      </w:r>
      <w:r w:rsidRPr="00225B62">
        <w:rPr>
          <w:szCs w:val="22"/>
        </w:rPr>
        <w:t>transition period</w:t>
      </w:r>
      <w:r>
        <w:rPr>
          <w:szCs w:val="22"/>
        </w:rPr>
        <w:t xml:space="preserve">: </w:t>
      </w:r>
      <w:r w:rsidRPr="00225B62">
        <w:rPr>
          <w:szCs w:val="22"/>
        </w:rPr>
        <w:t xml:space="preserve"> </w:t>
      </w:r>
      <w:r w:rsidRPr="00556E5A">
        <w:rPr>
          <w:b/>
          <w:bCs/>
          <w:szCs w:val="22"/>
        </w:rPr>
        <w:t>July 13, 2020</w:t>
      </w:r>
      <w:r w:rsidRPr="00225B62">
        <w:rPr>
          <w:szCs w:val="22"/>
        </w:rPr>
        <w:t>.</w:t>
      </w:r>
      <w:r>
        <w:rPr>
          <w:rStyle w:val="FootnoteReference"/>
          <w:szCs w:val="22"/>
        </w:rPr>
        <w:footnoteReference w:id="5"/>
      </w:r>
      <w:r w:rsidRPr="00225B62">
        <w:rPr>
          <w:szCs w:val="22"/>
        </w:rPr>
        <w:t xml:space="preserve">  The 600 MHz guard band at 614-617 MHz band overlaps with a portion of television channel 38, and the 600 MHz duplex gap at 652-663 MHz overlaps with all of television channel 45 and portions of channels 44 and 46</w:t>
      </w:r>
      <w:r>
        <w:rPr>
          <w:szCs w:val="22"/>
        </w:rPr>
        <w:t xml:space="preserve">.  Therefore, LPTV/translator stations on channels 38, 44, 45 and 46 are subject to the requirement that they cease operations by </w:t>
      </w:r>
      <w:r w:rsidRPr="00802913">
        <w:rPr>
          <w:b/>
          <w:bCs/>
          <w:szCs w:val="22"/>
        </w:rPr>
        <w:t>July 13, 2020</w:t>
      </w:r>
      <w:r>
        <w:rPr>
          <w:szCs w:val="22"/>
        </w:rPr>
        <w:t xml:space="preserve">. </w:t>
      </w:r>
      <w:r w:rsidRPr="00225B62">
        <w:rPr>
          <w:i/>
          <w:szCs w:val="22"/>
        </w:rPr>
        <w:t xml:space="preserve"> </w:t>
      </w:r>
    </w:p>
    <w:p w:rsidR="00E950C0" w:rsidP="00466BA3" w14:paraId="583251C6" w14:textId="77777777">
      <w:pPr>
        <w:autoSpaceDE w:val="0"/>
        <w:autoSpaceDN w:val="0"/>
        <w:adjustRightInd w:val="0"/>
        <w:spacing w:after="120"/>
        <w:ind w:firstLine="720"/>
        <w:rPr>
          <w:iCs/>
          <w:szCs w:val="22"/>
        </w:rPr>
      </w:pPr>
      <w:r>
        <w:rPr>
          <w:iCs/>
          <w:szCs w:val="22"/>
        </w:rPr>
        <w:t xml:space="preserve">The </w:t>
      </w:r>
      <w:r w:rsidRPr="001C3305">
        <w:rPr>
          <w:b/>
          <w:bCs/>
          <w:iCs/>
          <w:szCs w:val="22"/>
        </w:rPr>
        <w:t>July 13, 2020</w:t>
      </w:r>
      <w:r>
        <w:rPr>
          <w:iCs/>
          <w:szCs w:val="22"/>
        </w:rPr>
        <w:t xml:space="preserve"> deadline for LPTV/translator stations operating on guard band/duplex gap channels to cease operations is a hard deadline – no extensions of time to continue operating in these </w:t>
      </w:r>
      <w:r>
        <w:rPr>
          <w:iCs/>
          <w:szCs w:val="22"/>
        </w:rPr>
        <w:t xml:space="preserve">bands will be considered.  </w:t>
      </w:r>
    </w:p>
    <w:p w:rsidR="00E950C0" w:rsidP="00466BA3" w14:paraId="1F5E2D95" w14:textId="08786EF0">
      <w:pPr>
        <w:autoSpaceDE w:val="0"/>
        <w:autoSpaceDN w:val="0"/>
        <w:adjustRightInd w:val="0"/>
        <w:spacing w:after="120"/>
        <w:ind w:firstLine="720"/>
        <w:rPr>
          <w:iCs/>
          <w:szCs w:val="22"/>
        </w:rPr>
      </w:pPr>
      <w:r>
        <w:rPr>
          <w:iCs/>
          <w:szCs w:val="22"/>
        </w:rPr>
        <w:t>LPTV/translator stations operating on guard band/duplex gap channels</w:t>
      </w:r>
      <w:r w:rsidR="00EE1CA6">
        <w:rPr>
          <w:iCs/>
          <w:szCs w:val="22"/>
        </w:rPr>
        <w:t xml:space="preserve"> that </w:t>
      </w:r>
      <w:r>
        <w:rPr>
          <w:iCs/>
          <w:szCs w:val="22"/>
        </w:rPr>
        <w:t xml:space="preserve">have not yet </w:t>
      </w:r>
      <w:r>
        <w:rPr>
          <w:iCs/>
          <w:szCs w:val="22"/>
        </w:rPr>
        <w:t>file</w:t>
      </w:r>
      <w:r>
        <w:rPr>
          <w:iCs/>
          <w:szCs w:val="22"/>
        </w:rPr>
        <w:t>d</w:t>
      </w:r>
      <w:r>
        <w:rPr>
          <w:iCs/>
          <w:szCs w:val="22"/>
        </w:rPr>
        <w:t xml:space="preserve"> an application for displacement channel between 2 and 36 (in core channel)</w:t>
      </w:r>
      <w:r>
        <w:rPr>
          <w:iCs/>
          <w:szCs w:val="22"/>
        </w:rPr>
        <w:t xml:space="preserve"> remain eligible to do so</w:t>
      </w:r>
      <w:r>
        <w:rPr>
          <w:iCs/>
          <w:szCs w:val="22"/>
        </w:rPr>
        <w:t>.</w:t>
      </w:r>
      <w:r>
        <w:rPr>
          <w:rStyle w:val="FootnoteReference"/>
          <w:iCs/>
          <w:szCs w:val="22"/>
        </w:rPr>
        <w:footnoteReference w:id="6"/>
      </w:r>
      <w:r>
        <w:rPr>
          <w:iCs/>
          <w:szCs w:val="22"/>
        </w:rPr>
        <w:t xml:space="preserve"> </w:t>
      </w:r>
      <w:r w:rsidR="00327578">
        <w:rPr>
          <w:iCs/>
          <w:szCs w:val="22"/>
        </w:rPr>
        <w:t xml:space="preserve"> </w:t>
      </w:r>
      <w:r>
        <w:rPr>
          <w:iCs/>
          <w:szCs w:val="22"/>
        </w:rPr>
        <w:t>Such stations, however, are not eligible for reimbursement from the TV Broadcaster Relocation Fund.</w:t>
      </w:r>
      <w:r>
        <w:rPr>
          <w:rStyle w:val="FootnoteReference"/>
          <w:iCs/>
          <w:szCs w:val="22"/>
        </w:rPr>
        <w:footnoteReference w:id="7"/>
      </w:r>
      <w:r>
        <w:rPr>
          <w:iCs/>
          <w:szCs w:val="22"/>
        </w:rPr>
        <w:t xml:space="preserve">  </w:t>
      </w:r>
    </w:p>
    <w:p w:rsidR="00466BA3" w:rsidRPr="00225B62" w:rsidP="00466BA3" w14:paraId="5FC0F753" w14:textId="418AB01E">
      <w:pPr>
        <w:autoSpaceDE w:val="0"/>
        <w:autoSpaceDN w:val="0"/>
        <w:adjustRightInd w:val="0"/>
        <w:spacing w:after="120"/>
        <w:ind w:firstLine="720"/>
        <w:rPr>
          <w:szCs w:val="22"/>
        </w:rPr>
      </w:pPr>
      <w:r>
        <w:rPr>
          <w:iCs/>
          <w:szCs w:val="22"/>
        </w:rPr>
        <w:t xml:space="preserve">Stations that have not yet constructed an in core channel displacement facility must cease operations on their guard band/duplex gap channel no later than </w:t>
      </w:r>
      <w:r w:rsidRPr="0045542E">
        <w:rPr>
          <w:b/>
          <w:bCs/>
          <w:iCs/>
          <w:szCs w:val="22"/>
        </w:rPr>
        <w:t>July 13, 2020</w:t>
      </w:r>
      <w:r>
        <w:rPr>
          <w:iCs/>
          <w:szCs w:val="22"/>
        </w:rPr>
        <w:t>, and remain silent until</w:t>
      </w:r>
      <w:r w:rsidR="00E950C0">
        <w:rPr>
          <w:iCs/>
          <w:szCs w:val="22"/>
        </w:rPr>
        <w:t xml:space="preserve"> the station is able to broadcast on the displacement channel</w:t>
      </w:r>
      <w:r>
        <w:rPr>
          <w:iCs/>
          <w:szCs w:val="22"/>
        </w:rPr>
        <w:t xml:space="preserve">.  </w:t>
      </w:r>
      <w:r w:rsidRPr="00225B62">
        <w:rPr>
          <w:szCs w:val="22"/>
        </w:rPr>
        <w:t xml:space="preserve">If a station </w:t>
      </w:r>
      <w:r>
        <w:rPr>
          <w:szCs w:val="22"/>
        </w:rPr>
        <w:t xml:space="preserve">goes silent </w:t>
      </w:r>
      <w:r w:rsidRPr="00225B62">
        <w:rPr>
          <w:szCs w:val="22"/>
        </w:rPr>
        <w:t>prior to</w:t>
      </w:r>
      <w:r>
        <w:rPr>
          <w:szCs w:val="22"/>
        </w:rPr>
        <w:t xml:space="preserve"> </w:t>
      </w:r>
      <w:r w:rsidRPr="00225B62">
        <w:rPr>
          <w:szCs w:val="22"/>
        </w:rPr>
        <w:t>completing construction o</w:t>
      </w:r>
      <w:r>
        <w:rPr>
          <w:szCs w:val="22"/>
        </w:rPr>
        <w:t>f</w:t>
      </w:r>
      <w:r w:rsidRPr="00225B62">
        <w:rPr>
          <w:szCs w:val="22"/>
        </w:rPr>
        <w:t xml:space="preserve"> its </w:t>
      </w:r>
      <w:r>
        <w:rPr>
          <w:szCs w:val="22"/>
        </w:rPr>
        <w:t xml:space="preserve">in core </w:t>
      </w:r>
      <w:r w:rsidRPr="00225B62">
        <w:rPr>
          <w:szCs w:val="22"/>
        </w:rPr>
        <w:t xml:space="preserve">displacement </w:t>
      </w:r>
      <w:r>
        <w:rPr>
          <w:szCs w:val="22"/>
        </w:rPr>
        <w:t>facility,</w:t>
      </w:r>
      <w:r w:rsidRPr="00225B62">
        <w:rPr>
          <w:szCs w:val="22"/>
        </w:rPr>
        <w:t xml:space="preserve"> it may file a request for silent authority.  </w:t>
      </w:r>
      <w:r w:rsidR="00327578">
        <w:rPr>
          <w:szCs w:val="22"/>
        </w:rPr>
        <w:t>As a reminder,</w:t>
      </w:r>
      <w:r w:rsidRPr="00225B62">
        <w:rPr>
          <w:szCs w:val="22"/>
        </w:rPr>
        <w:t xml:space="preserve">  station</w:t>
      </w:r>
      <w:r w:rsidR="00327578">
        <w:rPr>
          <w:szCs w:val="22"/>
        </w:rPr>
        <w:t>s</w:t>
      </w:r>
      <w:r w:rsidRPr="00225B62">
        <w:rPr>
          <w:szCs w:val="22"/>
        </w:rPr>
        <w:t xml:space="preserve"> may </w:t>
      </w:r>
      <w:r w:rsidR="00723EF3">
        <w:rPr>
          <w:szCs w:val="22"/>
        </w:rPr>
        <w:t xml:space="preserve">not </w:t>
      </w:r>
      <w:r w:rsidRPr="00225B62">
        <w:rPr>
          <w:szCs w:val="22"/>
        </w:rPr>
        <w:t>suspend operations for more than 30 days absent specific authority from the Commission.</w:t>
      </w:r>
      <w:r>
        <w:rPr>
          <w:rStyle w:val="FootnoteReference"/>
          <w:szCs w:val="22"/>
        </w:rPr>
        <w:footnoteReference w:id="8"/>
      </w:r>
      <w:r w:rsidRPr="00225B62">
        <w:rPr>
          <w:szCs w:val="22"/>
        </w:rPr>
        <w:t xml:space="preserve">  Stations that remain silent for more than 10 days must notify the Commission no later than the tenth day of their suspended operations by filing a Suspension of Operations Notification via LMS as outlined in </w:t>
      </w:r>
      <w:r>
        <w:rPr>
          <w:szCs w:val="22"/>
        </w:rPr>
        <w:t xml:space="preserve">the </w:t>
      </w:r>
      <w:r w:rsidRPr="00225B62">
        <w:rPr>
          <w:szCs w:val="22"/>
        </w:rPr>
        <w:t>Appendix.</w:t>
      </w:r>
      <w:r>
        <w:rPr>
          <w:szCs w:val="22"/>
          <w:vertAlign w:val="superscript"/>
        </w:rPr>
        <w:footnoteReference w:id="9"/>
      </w:r>
      <w:r w:rsidRPr="00225B62">
        <w:rPr>
          <w:szCs w:val="22"/>
        </w:rPr>
        <w:t xml:space="preserve">  Stations that need to remain silent for more than 30 days must file a Silent STA via LMS as outlined in </w:t>
      </w:r>
      <w:r>
        <w:rPr>
          <w:szCs w:val="22"/>
        </w:rPr>
        <w:t xml:space="preserve">the </w:t>
      </w:r>
      <w:r w:rsidRPr="00225B62">
        <w:rPr>
          <w:szCs w:val="22"/>
        </w:rPr>
        <w:t>Appendix.  There is no fee for this filing.</w:t>
      </w:r>
    </w:p>
    <w:p w:rsidR="00466BA3" w:rsidRPr="00225B62" w:rsidP="00466BA3" w14:paraId="08DD1149" w14:textId="375AD257">
      <w:pPr>
        <w:autoSpaceDE w:val="0"/>
        <w:autoSpaceDN w:val="0"/>
        <w:adjustRightInd w:val="0"/>
        <w:spacing w:after="120"/>
        <w:ind w:firstLine="720"/>
        <w:rPr>
          <w:szCs w:val="22"/>
        </w:rPr>
      </w:pPr>
      <w:r w:rsidRPr="00225B62">
        <w:rPr>
          <w:szCs w:val="22"/>
        </w:rPr>
        <w:t xml:space="preserve">We also remind stations </w:t>
      </w:r>
      <w:r w:rsidR="002F2688">
        <w:rPr>
          <w:szCs w:val="22"/>
        </w:rPr>
        <w:t xml:space="preserve">that </w:t>
      </w:r>
      <w:r w:rsidRPr="00225B62">
        <w:rPr>
          <w:szCs w:val="22"/>
        </w:rPr>
        <w:t>silen</w:t>
      </w:r>
      <w:r w:rsidR="002F2688">
        <w:rPr>
          <w:szCs w:val="22"/>
        </w:rPr>
        <w:t>ce</w:t>
      </w:r>
      <w:r w:rsidRPr="00225B62">
        <w:rPr>
          <w:szCs w:val="22"/>
        </w:rPr>
        <w:t xml:space="preserve"> for any consecutive 12-month period </w:t>
      </w:r>
      <w:r w:rsidR="002F2688">
        <w:rPr>
          <w:szCs w:val="22"/>
        </w:rPr>
        <w:t xml:space="preserve">results in </w:t>
      </w:r>
      <w:r w:rsidR="00327578">
        <w:rPr>
          <w:szCs w:val="22"/>
        </w:rPr>
        <w:t>automatic license expiration</w:t>
      </w:r>
      <w:r w:rsidRPr="00225B62">
        <w:rPr>
          <w:szCs w:val="22"/>
        </w:rPr>
        <w:t xml:space="preserve"> at the end of that period, by operation of law</w:t>
      </w:r>
      <w:r w:rsidR="002F2688">
        <w:rPr>
          <w:szCs w:val="22"/>
        </w:rPr>
        <w:t>.</w:t>
      </w:r>
      <w:r w:rsidR="00723EF3">
        <w:rPr>
          <w:szCs w:val="22"/>
        </w:rPr>
        <w:t xml:space="preserve"> </w:t>
      </w:r>
      <w:r>
        <w:rPr>
          <w:szCs w:val="22"/>
          <w:vertAlign w:val="superscript"/>
        </w:rPr>
        <w:footnoteReference w:id="10"/>
      </w:r>
      <w:r w:rsidR="00817540">
        <w:rPr>
          <w:szCs w:val="22"/>
        </w:rPr>
        <w:t xml:space="preserve">  </w:t>
      </w:r>
      <w:r w:rsidR="00327578">
        <w:rPr>
          <w:szCs w:val="22"/>
        </w:rPr>
        <w:t xml:space="preserve">While </w:t>
      </w:r>
      <w:r w:rsidRPr="00225B62">
        <w:rPr>
          <w:szCs w:val="22"/>
        </w:rPr>
        <w:t>the Commission may extend or reinstate such station license if the holder of the license prevails in an administrative or judicial appeal, the applicable law changes, or for any other reason to promote equity and fairness</w:t>
      </w:r>
      <w:r w:rsidR="00327578">
        <w:rPr>
          <w:szCs w:val="22"/>
        </w:rPr>
        <w:t xml:space="preserve">, </w:t>
      </w:r>
      <w:r w:rsidR="002F2688">
        <w:rPr>
          <w:szCs w:val="22"/>
        </w:rPr>
        <w:t>such action is rare</w:t>
      </w:r>
      <w:r w:rsidRPr="00225B62">
        <w:rPr>
          <w:szCs w:val="22"/>
        </w:rPr>
        <w:t>.</w:t>
      </w:r>
    </w:p>
    <w:p w:rsidR="00466BA3" w:rsidP="00466BA3" w14:paraId="23ECC0BD" w14:textId="124A659F">
      <w:pPr>
        <w:spacing w:after="120"/>
        <w:ind w:firstLine="720"/>
        <w:rPr>
          <w:iCs/>
          <w:szCs w:val="22"/>
        </w:rPr>
      </w:pPr>
      <w:r>
        <w:rPr>
          <w:iCs/>
          <w:szCs w:val="22"/>
        </w:rPr>
        <w:t xml:space="preserve">Stations that </w:t>
      </w:r>
      <w:r w:rsidR="0027437C">
        <w:rPr>
          <w:iCs/>
          <w:szCs w:val="22"/>
        </w:rPr>
        <w:t xml:space="preserve">do </w:t>
      </w:r>
      <w:r>
        <w:rPr>
          <w:iCs/>
          <w:szCs w:val="22"/>
        </w:rPr>
        <w:t xml:space="preserve">not obtain an </w:t>
      </w:r>
      <w:r>
        <w:rPr>
          <w:iCs/>
          <w:szCs w:val="22"/>
        </w:rPr>
        <w:t>in core</w:t>
      </w:r>
      <w:r>
        <w:rPr>
          <w:iCs/>
          <w:szCs w:val="22"/>
        </w:rPr>
        <w:t xml:space="preserve"> displacement channel must permanently discontinue operations on their guard band/duplex gap channel no later than </w:t>
      </w:r>
      <w:r w:rsidRPr="00CA6BDE">
        <w:rPr>
          <w:b/>
          <w:bCs/>
          <w:iCs/>
          <w:szCs w:val="22"/>
        </w:rPr>
        <w:t>July 13, 2020</w:t>
      </w:r>
      <w:r>
        <w:rPr>
          <w:iCs/>
          <w:szCs w:val="22"/>
        </w:rPr>
        <w:t xml:space="preserve"> and submit their station license for cancellation.</w:t>
      </w:r>
      <w:r>
        <w:rPr>
          <w:rStyle w:val="FootnoteReference"/>
          <w:iCs/>
          <w:szCs w:val="22"/>
        </w:rPr>
        <w:footnoteReference w:id="11"/>
      </w:r>
    </w:p>
    <w:p w:rsidR="00466BA3" w:rsidP="00466BA3" w14:paraId="4CAAD45F" w14:textId="77777777">
      <w:pPr>
        <w:spacing w:after="120"/>
        <w:ind w:left="3600" w:firstLine="720"/>
        <w:rPr>
          <w:iCs/>
          <w:szCs w:val="22"/>
        </w:rPr>
      </w:pPr>
      <w:r>
        <w:rPr>
          <w:iCs/>
          <w:szCs w:val="22"/>
        </w:rPr>
        <w:t>-FCC-</w:t>
      </w:r>
    </w:p>
    <w:p w:rsidR="00466BA3" w:rsidP="00466BA3" w14:paraId="50A225D0" w14:textId="77777777">
      <w:pPr>
        <w:widowControl/>
        <w:rPr>
          <w:iCs/>
          <w:szCs w:val="22"/>
        </w:rPr>
      </w:pPr>
      <w:r>
        <w:rPr>
          <w:iCs/>
          <w:szCs w:val="22"/>
        </w:rPr>
        <w:br w:type="page"/>
      </w:r>
    </w:p>
    <w:p w:rsidR="00466BA3" w:rsidRPr="00225B62" w:rsidP="00466BA3" w14:paraId="77918C94" w14:textId="77777777">
      <w:pPr>
        <w:pStyle w:val="ListParagraph"/>
        <w:spacing w:before="120" w:after="240"/>
        <w:ind w:left="0"/>
        <w:jc w:val="center"/>
        <w:rPr>
          <w:b/>
          <w:szCs w:val="22"/>
        </w:rPr>
      </w:pPr>
      <w:r w:rsidRPr="00225B62">
        <w:rPr>
          <w:b/>
          <w:szCs w:val="22"/>
        </w:rPr>
        <w:t>APPENDIX</w:t>
      </w:r>
    </w:p>
    <w:p w:rsidR="00466BA3" w:rsidRPr="00225B62" w:rsidP="00466BA3" w14:paraId="25CAF8D0" w14:textId="77777777">
      <w:pPr>
        <w:spacing w:before="120" w:after="240"/>
        <w:contextualSpacing/>
        <w:jc w:val="center"/>
        <w:rPr>
          <w:b/>
          <w:szCs w:val="22"/>
        </w:rPr>
      </w:pPr>
      <w:r w:rsidRPr="00225B62">
        <w:rPr>
          <w:b/>
          <w:szCs w:val="22"/>
        </w:rPr>
        <w:t>INSTRUCTIONS FOR ACCESSING AND FILING ON LMS</w:t>
      </w:r>
    </w:p>
    <w:p w:rsidR="00466BA3" w:rsidRPr="00225B62" w:rsidP="00466BA3" w14:paraId="76B7FE87" w14:textId="77777777">
      <w:pPr>
        <w:spacing w:before="120" w:after="240"/>
        <w:contextualSpacing/>
        <w:jc w:val="center"/>
        <w:rPr>
          <w:b/>
          <w:szCs w:val="22"/>
        </w:rPr>
      </w:pPr>
    </w:p>
    <w:p w:rsidR="00466BA3" w:rsidRPr="00225B62" w:rsidP="00466BA3" w14:paraId="0BAC7F60" w14:textId="77777777">
      <w:pPr>
        <w:spacing w:before="120" w:after="240"/>
        <w:contextualSpacing/>
        <w:rPr>
          <w:b/>
          <w:szCs w:val="22"/>
          <w:u w:val="single"/>
        </w:rPr>
      </w:pPr>
      <w:r w:rsidRPr="00225B62">
        <w:rPr>
          <w:b/>
          <w:szCs w:val="22"/>
          <w:u w:val="single"/>
        </w:rPr>
        <w:t>General Log-in Instructions</w:t>
      </w:r>
      <w:bookmarkStart w:id="1" w:name="_GoBack"/>
      <w:bookmarkEnd w:id="1"/>
    </w:p>
    <w:p w:rsidR="00466BA3" w:rsidP="00466BA3" w14:paraId="739F42F0" w14:textId="77777777">
      <w:pPr>
        <w:spacing w:before="120" w:after="240"/>
        <w:ind w:firstLine="720"/>
        <w:contextualSpacing/>
        <w:rPr>
          <w:szCs w:val="22"/>
          <w:lang w:eastAsia="x-none"/>
        </w:rPr>
      </w:pPr>
    </w:p>
    <w:p w:rsidR="00466BA3" w:rsidRPr="00225B62" w:rsidP="00466BA3" w14:paraId="3FD7F2D0" w14:textId="77777777">
      <w:pPr>
        <w:spacing w:before="120" w:after="240"/>
        <w:ind w:firstLine="720"/>
        <w:contextualSpacing/>
        <w:rPr>
          <w:szCs w:val="22"/>
        </w:rPr>
      </w:pPr>
      <w:r w:rsidRPr="00225B62">
        <w:rPr>
          <w:szCs w:val="22"/>
          <w:lang w:eastAsia="x-none"/>
        </w:rPr>
        <w:t>Access the LMS applicant data entry home page here:</w:t>
      </w:r>
    </w:p>
    <w:p w:rsidR="00466BA3" w:rsidRPr="00225B62" w:rsidP="00466BA3" w14:paraId="5A8AF8B1" w14:textId="77777777">
      <w:pPr>
        <w:spacing w:before="120" w:after="240"/>
        <w:contextualSpacing/>
        <w:jc w:val="center"/>
        <w:rPr>
          <w:szCs w:val="22"/>
        </w:rPr>
      </w:pPr>
    </w:p>
    <w:p w:rsidR="00466BA3" w:rsidRPr="00225B62" w:rsidP="00466BA3" w14:paraId="2073840E" w14:textId="77777777">
      <w:pPr>
        <w:spacing w:before="120" w:after="120"/>
        <w:contextualSpacing/>
        <w:jc w:val="center"/>
        <w:rPr>
          <w:szCs w:val="22"/>
          <w:u w:val="single"/>
        </w:rPr>
      </w:pPr>
      <w:hyperlink r:id="rId7" w:history="1">
        <w:r w:rsidRPr="00225B62">
          <w:rPr>
            <w:szCs w:val="22"/>
            <w:u w:val="single"/>
          </w:rPr>
          <w:t>https://enterpriseefiling.fcc.gov/dataentry/login.html</w:t>
        </w:r>
      </w:hyperlink>
    </w:p>
    <w:p w:rsidR="00466BA3" w:rsidRPr="00225B62" w:rsidP="00466BA3" w14:paraId="0A9DDA31" w14:textId="77777777">
      <w:pPr>
        <w:spacing w:before="120" w:after="120"/>
        <w:contextualSpacing/>
        <w:jc w:val="center"/>
        <w:rPr>
          <w:szCs w:val="22"/>
        </w:rPr>
      </w:pPr>
    </w:p>
    <w:p w:rsidR="00466BA3" w:rsidRPr="00225B62" w:rsidP="00466BA3" w14:paraId="64C839C1" w14:textId="77777777">
      <w:pPr>
        <w:spacing w:before="120" w:after="240"/>
        <w:ind w:firstLine="720"/>
        <w:contextualSpacing/>
        <w:rPr>
          <w:szCs w:val="22"/>
        </w:rPr>
      </w:pPr>
      <w:r w:rsidRPr="00225B62">
        <w:rPr>
          <w:szCs w:val="22"/>
          <w:lang w:eastAsia="x-none"/>
        </w:rPr>
        <w:t>L</w:t>
      </w:r>
      <w:r w:rsidRPr="00225B62">
        <w:rPr>
          <w:szCs w:val="22"/>
          <w:lang w:val="x-none"/>
        </w:rPr>
        <w:t xml:space="preserve">ogin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466BA3" w:rsidRPr="00225B62" w:rsidP="00466BA3" w14:paraId="705C848A" w14:textId="77777777">
      <w:pPr>
        <w:spacing w:before="120" w:after="240"/>
        <w:ind w:firstLine="720"/>
        <w:contextualSpacing/>
        <w:rPr>
          <w:szCs w:val="22"/>
        </w:rPr>
      </w:pPr>
    </w:p>
    <w:p w:rsidR="00466BA3" w:rsidRPr="00225B62" w:rsidP="00466BA3" w14:paraId="2855A3C3" w14:textId="77777777">
      <w:pPr>
        <w:spacing w:before="120" w:after="240"/>
        <w:ind w:firstLine="720"/>
        <w:contextualSpacing/>
        <w:rPr>
          <w:szCs w:val="22"/>
        </w:rPr>
      </w:pPr>
      <w:r w:rsidRPr="00225B62">
        <w:rPr>
          <w:szCs w:val="22"/>
        </w:rPr>
        <w:t>For more information and help using the LMS system, contact: (877) 480-3201 TTY: (717) 333-2824.</w:t>
      </w:r>
    </w:p>
    <w:p w:rsidR="00466BA3" w:rsidRPr="00225B62" w:rsidP="00466BA3" w14:paraId="78782C9B" w14:textId="77777777">
      <w:pPr>
        <w:tabs>
          <w:tab w:val="left" w:pos="360"/>
        </w:tabs>
        <w:spacing w:before="120" w:after="240"/>
        <w:contextualSpacing/>
        <w:rPr>
          <w:szCs w:val="22"/>
          <w:u w:val="single"/>
        </w:rPr>
      </w:pPr>
    </w:p>
    <w:p w:rsidR="00466BA3" w:rsidRPr="0045542E" w:rsidP="00466BA3" w14:paraId="35541C10" w14:textId="77777777">
      <w:pPr>
        <w:tabs>
          <w:tab w:val="left" w:pos="360"/>
        </w:tabs>
        <w:spacing w:before="120" w:after="240"/>
        <w:ind w:left="720" w:hanging="720"/>
        <w:rPr>
          <w:b/>
          <w:bCs/>
          <w:szCs w:val="22"/>
          <w:u w:val="single"/>
        </w:rPr>
      </w:pPr>
      <w:r w:rsidRPr="0045542E">
        <w:rPr>
          <w:b/>
          <w:bCs/>
          <w:szCs w:val="22"/>
          <w:u w:val="single"/>
        </w:rPr>
        <w:t>Request to Cancel License</w:t>
      </w:r>
    </w:p>
    <w:p w:rsidR="00466BA3" w:rsidRPr="00225B62" w:rsidP="00466BA3" w14:paraId="76C55F10" w14:textId="77777777">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rsidR="00466BA3" w:rsidRPr="00225B62" w:rsidP="00466BA3" w14:paraId="0CDCCD12" w14:textId="77777777">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rsidR="00466BA3" w:rsidRPr="00225B62" w:rsidP="00466BA3" w14:paraId="0DB3E084" w14:textId="77777777">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rsidR="00466BA3" w:rsidRPr="00225B62" w:rsidP="00466BA3" w14:paraId="48B8EB8A" w14:textId="77777777">
      <w:pPr>
        <w:tabs>
          <w:tab w:val="left" w:pos="360"/>
        </w:tabs>
        <w:spacing w:before="120" w:after="240"/>
        <w:ind w:left="720" w:hanging="720"/>
        <w:contextualSpacing/>
        <w:rPr>
          <w:szCs w:val="22"/>
        </w:rPr>
      </w:pPr>
      <w:r w:rsidRPr="00225B62">
        <w:rPr>
          <w:szCs w:val="22"/>
        </w:rPr>
        <w:t>4.</w:t>
      </w:r>
      <w:r w:rsidRPr="00225B62">
        <w:rPr>
          <w:szCs w:val="22"/>
        </w:rPr>
        <w:tab/>
        <w:t>Select “Request to Cancel License” from the drop down menu.</w:t>
      </w:r>
    </w:p>
    <w:p w:rsidR="00466BA3" w:rsidP="00466BA3" w14:paraId="7930E0D3" w14:textId="77777777">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rsidR="00466BA3" w:rsidP="00466BA3" w14:paraId="632DFABB" w14:textId="77777777">
      <w:pPr>
        <w:tabs>
          <w:tab w:val="left" w:pos="360"/>
        </w:tabs>
        <w:spacing w:before="120" w:after="240"/>
        <w:ind w:left="720" w:hanging="720"/>
        <w:contextualSpacing/>
        <w:rPr>
          <w:szCs w:val="22"/>
        </w:rPr>
      </w:pPr>
    </w:p>
    <w:p w:rsidR="00466BA3" w:rsidRPr="000565B7" w:rsidP="00466BA3" w14:paraId="75F8D057" w14:textId="77777777">
      <w:pPr>
        <w:tabs>
          <w:tab w:val="left" w:pos="360"/>
        </w:tabs>
        <w:spacing w:before="120" w:after="240"/>
        <w:ind w:left="720" w:hanging="720"/>
        <w:rPr>
          <w:b/>
          <w:bCs/>
          <w:szCs w:val="22"/>
          <w:u w:val="single"/>
        </w:rPr>
      </w:pPr>
      <w:r w:rsidRPr="000565B7">
        <w:rPr>
          <w:b/>
          <w:bCs/>
          <w:szCs w:val="22"/>
          <w:u w:val="single"/>
        </w:rPr>
        <w:t>Engineering, Legal, and Silent STAs</w:t>
      </w:r>
    </w:p>
    <w:p w:rsidR="00466BA3" w:rsidRPr="00225B62" w:rsidP="00466BA3" w14:paraId="655D95D6" w14:textId="77777777">
      <w:pPr>
        <w:numPr>
          <w:ilvl w:val="0"/>
          <w:numId w:val="16"/>
        </w:numPr>
        <w:tabs>
          <w:tab w:val="left" w:pos="360"/>
        </w:tabs>
        <w:spacing w:before="120" w:after="240"/>
        <w:ind w:left="720"/>
        <w:contextualSpacing/>
        <w:rPr>
          <w:szCs w:val="22"/>
        </w:rPr>
      </w:pPr>
      <w:r w:rsidRPr="00225B62">
        <w:rPr>
          <w:szCs w:val="22"/>
        </w:rPr>
        <w:t xml:space="preserve">Click on “Facilities” tab on the left top of the page. </w:t>
      </w:r>
    </w:p>
    <w:p w:rsidR="00466BA3" w:rsidRPr="00225B62" w:rsidP="00466BA3" w14:paraId="524A12E0" w14:textId="77777777">
      <w:pPr>
        <w:numPr>
          <w:ilvl w:val="0"/>
          <w:numId w:val="16"/>
        </w:numPr>
        <w:tabs>
          <w:tab w:val="left" w:pos="360"/>
        </w:tabs>
        <w:spacing w:before="120" w:after="240"/>
        <w:ind w:left="720"/>
        <w:contextualSpacing/>
        <w:rPr>
          <w:szCs w:val="22"/>
        </w:rPr>
      </w:pPr>
      <w:r w:rsidRPr="00225B62">
        <w:rPr>
          <w:szCs w:val="22"/>
        </w:rPr>
        <w:t>Click on Facility ID of the station.</w:t>
      </w:r>
    </w:p>
    <w:p w:rsidR="00466BA3" w:rsidRPr="00225B62" w:rsidP="00466BA3" w14:paraId="7EC2F6EF" w14:textId="77777777">
      <w:pPr>
        <w:numPr>
          <w:ilvl w:val="0"/>
          <w:numId w:val="16"/>
        </w:numPr>
        <w:tabs>
          <w:tab w:val="left" w:pos="360"/>
        </w:tabs>
        <w:spacing w:before="120" w:after="240"/>
        <w:ind w:left="720"/>
        <w:contextualSpacing/>
        <w:rPr>
          <w:szCs w:val="22"/>
        </w:rPr>
      </w:pPr>
      <w:r w:rsidRPr="00225B62">
        <w:rPr>
          <w:szCs w:val="22"/>
        </w:rPr>
        <w:t>Click on “File an Application” button.</w:t>
      </w:r>
    </w:p>
    <w:p w:rsidR="00466BA3" w:rsidRPr="00225B62" w:rsidP="00466BA3" w14:paraId="18882DAE" w14:textId="77777777">
      <w:pPr>
        <w:numPr>
          <w:ilvl w:val="0"/>
          <w:numId w:val="16"/>
        </w:numPr>
        <w:tabs>
          <w:tab w:val="left" w:pos="360"/>
        </w:tabs>
        <w:spacing w:before="120" w:after="240"/>
        <w:ind w:left="720"/>
        <w:contextualSpacing/>
        <w:rPr>
          <w:szCs w:val="22"/>
        </w:rPr>
      </w:pPr>
      <w:r w:rsidRPr="00225B62">
        <w:rPr>
          <w:szCs w:val="22"/>
        </w:rPr>
        <w:t>Select “STA – engineering, legal or silent” from the drop down menu.</w:t>
      </w:r>
    </w:p>
    <w:p w:rsidR="00466BA3" w:rsidRPr="00225B62" w:rsidP="00466BA3" w14:paraId="3B4D339E" w14:textId="77777777">
      <w:pPr>
        <w:numPr>
          <w:ilvl w:val="0"/>
          <w:numId w:val="16"/>
        </w:numPr>
        <w:tabs>
          <w:tab w:val="left" w:pos="360"/>
        </w:tabs>
        <w:spacing w:before="120" w:after="240"/>
        <w:ind w:left="720"/>
        <w:contextualSpacing/>
        <w:rPr>
          <w:szCs w:val="22"/>
        </w:rPr>
      </w:pPr>
      <w:r w:rsidRPr="00225B62">
        <w:rPr>
          <w:szCs w:val="22"/>
        </w:rPr>
        <w:t>Complete the application and click “Submit.”</w:t>
      </w:r>
    </w:p>
    <w:p w:rsidR="00466BA3" w:rsidRPr="00225B62" w:rsidP="00466BA3" w14:paraId="1BC21236" w14:textId="77777777">
      <w:pPr>
        <w:tabs>
          <w:tab w:val="left" w:pos="360"/>
        </w:tabs>
        <w:ind w:left="720" w:hanging="720"/>
        <w:rPr>
          <w:szCs w:val="22"/>
        </w:rPr>
      </w:pPr>
    </w:p>
    <w:p w:rsidR="00466BA3" w:rsidRPr="000565B7" w:rsidP="00466BA3" w14:paraId="7F4164F9" w14:textId="77777777">
      <w:pPr>
        <w:tabs>
          <w:tab w:val="left" w:pos="360"/>
        </w:tabs>
        <w:spacing w:before="120" w:after="240"/>
        <w:ind w:left="720" w:hanging="720"/>
        <w:rPr>
          <w:b/>
          <w:bCs/>
          <w:szCs w:val="22"/>
          <w:u w:val="single"/>
        </w:rPr>
      </w:pPr>
      <w:r w:rsidRPr="000565B7">
        <w:rPr>
          <w:b/>
          <w:bCs/>
          <w:szCs w:val="22"/>
          <w:u w:val="single"/>
        </w:rPr>
        <w:t>Suspension of Operations Notification</w:t>
      </w:r>
    </w:p>
    <w:p w:rsidR="00466BA3" w:rsidRPr="00225B62" w:rsidP="00466BA3" w14:paraId="0ACBAFFA" w14:textId="77777777">
      <w:pPr>
        <w:numPr>
          <w:ilvl w:val="0"/>
          <w:numId w:val="15"/>
        </w:numPr>
        <w:tabs>
          <w:tab w:val="left" w:pos="360"/>
        </w:tabs>
        <w:spacing w:before="120" w:after="240"/>
        <w:ind w:left="720" w:hanging="720"/>
        <w:contextualSpacing/>
        <w:rPr>
          <w:szCs w:val="22"/>
        </w:rPr>
      </w:pPr>
      <w:r w:rsidRPr="00225B62">
        <w:rPr>
          <w:szCs w:val="22"/>
        </w:rPr>
        <w:t>Click on “Facility” tab on the left top of the page.</w:t>
      </w:r>
    </w:p>
    <w:p w:rsidR="00466BA3" w:rsidRPr="00225B62" w:rsidP="00466BA3" w14:paraId="432AC5B0" w14:textId="77777777">
      <w:pPr>
        <w:numPr>
          <w:ilvl w:val="0"/>
          <w:numId w:val="15"/>
        </w:numPr>
        <w:tabs>
          <w:tab w:val="left" w:pos="360"/>
        </w:tabs>
        <w:spacing w:before="120" w:after="240"/>
        <w:ind w:left="720" w:hanging="720"/>
        <w:contextualSpacing/>
        <w:rPr>
          <w:szCs w:val="22"/>
        </w:rPr>
      </w:pPr>
      <w:r w:rsidRPr="00225B62">
        <w:rPr>
          <w:szCs w:val="22"/>
        </w:rPr>
        <w:t>Click on facility ID of the station.</w:t>
      </w:r>
    </w:p>
    <w:p w:rsidR="00466BA3" w:rsidRPr="00225B62" w:rsidP="00466BA3" w14:paraId="5AEECFCC" w14:textId="77777777">
      <w:pPr>
        <w:numPr>
          <w:ilvl w:val="0"/>
          <w:numId w:val="15"/>
        </w:numPr>
        <w:tabs>
          <w:tab w:val="left" w:pos="360"/>
        </w:tabs>
        <w:spacing w:before="120" w:after="240"/>
        <w:ind w:left="720" w:hanging="720"/>
        <w:contextualSpacing/>
        <w:rPr>
          <w:szCs w:val="22"/>
        </w:rPr>
      </w:pPr>
      <w:r w:rsidRPr="00225B62">
        <w:rPr>
          <w:szCs w:val="22"/>
        </w:rPr>
        <w:t>Click on “File an Application” button.</w:t>
      </w:r>
    </w:p>
    <w:p w:rsidR="00466BA3" w:rsidRPr="00225B62" w:rsidP="00466BA3" w14:paraId="16A69D4E" w14:textId="77777777">
      <w:pPr>
        <w:numPr>
          <w:ilvl w:val="0"/>
          <w:numId w:val="15"/>
        </w:numPr>
        <w:tabs>
          <w:tab w:val="left" w:pos="360"/>
        </w:tabs>
        <w:spacing w:before="120" w:after="240"/>
        <w:ind w:left="720" w:hanging="720"/>
        <w:contextualSpacing/>
        <w:rPr>
          <w:szCs w:val="22"/>
        </w:rPr>
      </w:pPr>
      <w:r w:rsidRPr="00225B62">
        <w:rPr>
          <w:szCs w:val="22"/>
        </w:rPr>
        <w:t>Select “Suspension of Operations Notification” from the drop down menu.</w:t>
      </w:r>
    </w:p>
    <w:p w:rsidR="00466BA3" w:rsidRPr="00225B62" w:rsidP="00466BA3" w14:paraId="10ED64CC" w14:textId="77777777">
      <w:pPr>
        <w:numPr>
          <w:ilvl w:val="0"/>
          <w:numId w:val="15"/>
        </w:numPr>
        <w:tabs>
          <w:tab w:val="left" w:pos="360"/>
        </w:tabs>
        <w:spacing w:before="120" w:after="240"/>
        <w:ind w:left="720" w:hanging="720"/>
        <w:contextualSpacing/>
        <w:rPr>
          <w:szCs w:val="22"/>
        </w:rPr>
      </w:pPr>
      <w:r w:rsidRPr="00225B62">
        <w:rPr>
          <w:szCs w:val="22"/>
        </w:rPr>
        <w:t>Complete the application and click “Submit.”</w:t>
      </w:r>
    </w:p>
    <w:p w:rsidR="00466BA3" w:rsidRPr="00225B62" w:rsidP="00466BA3" w14:paraId="7E40A712" w14:textId="77777777">
      <w:pPr>
        <w:tabs>
          <w:tab w:val="left" w:pos="360"/>
        </w:tabs>
        <w:spacing w:before="120" w:after="240"/>
        <w:ind w:left="720" w:hanging="720"/>
        <w:contextualSpacing/>
        <w:rPr>
          <w:szCs w:val="22"/>
        </w:rPr>
      </w:pPr>
    </w:p>
    <w:p w:rsidR="00466BA3" w:rsidRPr="00225B62" w:rsidP="00466BA3" w14:paraId="115649E3" w14:textId="77777777">
      <w:pPr>
        <w:tabs>
          <w:tab w:val="left" w:pos="360"/>
        </w:tabs>
        <w:spacing w:before="120" w:after="240"/>
        <w:ind w:left="720" w:hanging="720"/>
        <w:contextualSpacing/>
        <w:rPr>
          <w:szCs w:val="22"/>
        </w:rPr>
      </w:pPr>
    </w:p>
    <w:p w:rsidR="0046625D" w:rsidRPr="00E3321B" w:rsidP="00466BA3" w14:paraId="32FEA4F0" w14:textId="05ED3C02">
      <w:pPr>
        <w:widowControl/>
        <w:tabs>
          <w:tab w:val="left" w:pos="6120"/>
        </w:tabs>
        <w:rPr>
          <w:b/>
        </w:rPr>
      </w:pPr>
      <w:r>
        <w:rPr>
          <w:b/>
          <w:color w:val="000000" w:themeColor="text1"/>
          <w:szCs w:val="22"/>
        </w:rPr>
        <w:t xml:space="preserve">                             </w:t>
      </w:r>
      <w:r w:rsidR="00663138">
        <w:rPr>
          <w:b/>
          <w:color w:val="000000" w:themeColor="text1"/>
          <w:szCs w:val="22"/>
        </w:rPr>
        <w:t xml:space="preserve">                           </w:t>
      </w:r>
    </w:p>
    <w:sectPr w:rsidSect="001B101F">
      <w:headerReference w:type="default" r:id="rId8"/>
      <w:footerReference w:type="default" r:id="rId9"/>
      <w:headerReference w:type="first" r:id="rId10"/>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25D" w14:paraId="1E37AD5C" w14:textId="77777777">
      <w:r>
        <w:separator/>
      </w:r>
    </w:p>
  </w:footnote>
  <w:footnote w:type="continuationSeparator" w:id="1">
    <w:p w:rsidR="0046625D" w14:paraId="4E8B71D7" w14:textId="77777777">
      <w:r>
        <w:continuationSeparator/>
      </w:r>
    </w:p>
  </w:footnote>
  <w:footnote w:type="continuationNotice" w:id="2">
    <w:p w:rsidR="0046625D" w:rsidRPr="00A574E4" w:rsidP="00A574E4" w14:paraId="18DF3180" w14:textId="77777777">
      <w:pPr>
        <w:pStyle w:val="Footer"/>
      </w:pPr>
    </w:p>
  </w:footnote>
  <w:footnote w:id="3">
    <w:p w:rsidR="00466BA3" w:rsidRPr="007A0C63" w:rsidP="00466BA3" w14:paraId="365D561E" w14:textId="77777777">
      <w:pPr>
        <w:pStyle w:val="FootnoteText"/>
      </w:pPr>
      <w:r w:rsidRPr="007A0C63">
        <w:rPr>
          <w:rStyle w:val="FootnoteReference"/>
          <w:sz w:val="20"/>
        </w:rPr>
        <w:footnoteRef/>
      </w:r>
      <w:r w:rsidRPr="007A0C63">
        <w:t xml:space="preserve"> </w:t>
      </w:r>
      <w:r w:rsidRPr="007A0C63">
        <w:rPr>
          <w:i/>
        </w:rPr>
        <w:t xml:space="preserve">See </w:t>
      </w:r>
      <w:r w:rsidRPr="007A0C63">
        <w:rPr>
          <w:i/>
          <w:snapToGrid w:val="0"/>
        </w:rPr>
        <w:t>In the Matter of Expanding the Economic and Innovation Opportunities of Spectrum Through Incentive Auctions</w:t>
      </w:r>
      <w:r w:rsidRPr="007A0C63">
        <w:rPr>
          <w:snapToGrid w:val="0"/>
        </w:rPr>
        <w:t xml:space="preserve">, Report and Order, 29 FCC </w:t>
      </w:r>
      <w:r w:rsidRPr="007A0C63">
        <w:rPr>
          <w:snapToGrid w:val="0"/>
        </w:rPr>
        <w:t>Rcd</w:t>
      </w:r>
      <w:r w:rsidRPr="007A0C63">
        <w:rPr>
          <w:snapToGrid w:val="0"/>
        </w:rPr>
        <w:t xml:space="preserve"> 6567 (2014) (</w:t>
      </w:r>
      <w:r w:rsidRPr="007A0C63">
        <w:rPr>
          <w:i/>
          <w:snapToGrid w:val="0"/>
        </w:rPr>
        <w:t>Incentive Auction R&amp;O</w:t>
      </w:r>
      <w:r w:rsidRPr="007A0C63">
        <w:rPr>
          <w:snapToGrid w:val="0"/>
        </w:rPr>
        <w:t xml:space="preserve">) (subsequent history omitted); </w:t>
      </w:r>
      <w:r w:rsidRPr="007A0C63">
        <w:rPr>
          <w:i/>
          <w:snapToGrid w:val="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7A0C63">
        <w:rPr>
          <w:snapToGrid w:val="0"/>
        </w:rPr>
        <w:t xml:space="preserve">, Public Notice, 32 FCC </w:t>
      </w:r>
      <w:r w:rsidRPr="007A0C63">
        <w:rPr>
          <w:snapToGrid w:val="0"/>
        </w:rPr>
        <w:t>Rcd</w:t>
      </w:r>
      <w:r w:rsidRPr="007A0C63">
        <w:rPr>
          <w:snapToGrid w:val="0"/>
        </w:rPr>
        <w:t xml:space="preserve"> 2786 (2017) (</w:t>
      </w:r>
      <w:r w:rsidRPr="007A0C63">
        <w:rPr>
          <w:i/>
          <w:snapToGrid w:val="0"/>
        </w:rPr>
        <w:t>Closing and Channel Reassignment Public Notice</w:t>
      </w:r>
      <w:r w:rsidRPr="007A0C63">
        <w:rPr>
          <w:snapToGrid w:val="0"/>
        </w:rPr>
        <w:t>).</w:t>
      </w:r>
    </w:p>
  </w:footnote>
  <w:footnote w:id="4">
    <w:p w:rsidR="00466BA3" w:rsidRPr="007A0C63" w:rsidP="00466BA3" w14:paraId="35BD8FC5" w14:textId="77777777">
      <w:pPr>
        <w:pStyle w:val="FootnoteText"/>
      </w:pPr>
      <w:r w:rsidRPr="007A0C63">
        <w:rPr>
          <w:rStyle w:val="FootnoteReference"/>
          <w:sz w:val="20"/>
        </w:rPr>
        <w:footnoteRef/>
      </w:r>
      <w:r w:rsidRPr="007A0C63">
        <w:t xml:space="preserve"> </w:t>
      </w:r>
      <w:r w:rsidRPr="007A0C63">
        <w:rPr>
          <w:i/>
        </w:rPr>
        <w:t>Incentive Auction R&amp;O</w:t>
      </w:r>
      <w:r w:rsidRPr="007A0C63">
        <w:rPr>
          <w:iCs/>
        </w:rPr>
        <w:t xml:space="preserve">, 29 FCC </w:t>
      </w:r>
      <w:r w:rsidRPr="007A0C63">
        <w:rPr>
          <w:iCs/>
        </w:rPr>
        <w:t>Rcd</w:t>
      </w:r>
      <w:r w:rsidRPr="007A0C63">
        <w:rPr>
          <w:i/>
        </w:rPr>
        <w:t xml:space="preserve"> </w:t>
      </w:r>
      <w:r w:rsidRPr="007A0C63">
        <w:t>at 7021-22, paras. 128-29.</w:t>
      </w:r>
    </w:p>
  </w:footnote>
  <w:footnote w:id="5">
    <w:p w:rsidR="00466BA3" w:rsidRPr="007A0C63" w:rsidP="00466BA3" w14:paraId="44414E5C" w14:textId="77777777">
      <w:pPr>
        <w:pStyle w:val="FootnoteText"/>
      </w:pPr>
      <w:r w:rsidRPr="007A0C63">
        <w:rPr>
          <w:rStyle w:val="FootnoteReference"/>
          <w:sz w:val="20"/>
        </w:rPr>
        <w:footnoteRef/>
      </w:r>
      <w:r w:rsidRPr="007A0C63">
        <w:t xml:space="preserve"> </w:t>
      </w:r>
      <w:r w:rsidRPr="007A0C63">
        <w:rPr>
          <w:i/>
        </w:rPr>
        <w:t xml:space="preserve">Id. </w:t>
      </w:r>
      <w:r w:rsidRPr="007A0C63">
        <w:t>at 6841, para. 672.</w:t>
      </w:r>
    </w:p>
  </w:footnote>
  <w:footnote w:id="6">
    <w:p w:rsidR="00466BA3" w:rsidRPr="007A0C63" w:rsidP="00466BA3" w14:paraId="4D742CAE" w14:textId="2BCE303C">
      <w:pPr>
        <w:widowControl/>
        <w:autoSpaceDE w:val="0"/>
        <w:autoSpaceDN w:val="0"/>
        <w:adjustRightInd w:val="0"/>
        <w:rPr>
          <w:rFonts w:ascii="TimesNewRomanPS-ItalicMT" w:hAnsi="TimesNewRomanPS-ItalicMT" w:cs="TimesNewRomanPS-ItalicMT"/>
          <w:i/>
          <w:iCs/>
          <w:snapToGrid/>
          <w:kern w:val="0"/>
          <w:sz w:val="20"/>
        </w:rPr>
      </w:pPr>
      <w:r w:rsidRPr="007A0C63">
        <w:rPr>
          <w:rStyle w:val="FootnoteReference"/>
          <w:sz w:val="20"/>
        </w:rPr>
        <w:footnoteRef/>
      </w:r>
      <w:r w:rsidRPr="007A0C63" w:rsidR="00EE1CA6">
        <w:rPr>
          <w:sz w:val="20"/>
        </w:rPr>
        <w:t xml:space="preserve"> LPTV/translator stations operating on guard band/duplex gap channels were first eligible to file a displacement application during the Media Bureau’s 2018 Special Displacement Window.  </w:t>
      </w:r>
      <w:r w:rsidRPr="007A0C63" w:rsidR="00EE1CA6">
        <w:rPr>
          <w:i/>
          <w:iCs/>
          <w:sz w:val="20"/>
        </w:rPr>
        <w:t>See</w:t>
      </w:r>
      <w:r w:rsidRPr="007A0C63">
        <w:rPr>
          <w:sz w:val="20"/>
        </w:rPr>
        <w:t xml:space="preserve"> </w:t>
      </w:r>
      <w:r w:rsidRPr="007A0C63">
        <w:rPr>
          <w:i/>
          <w:iCs/>
          <w:snapToGrid/>
          <w:kern w:val="0"/>
          <w:sz w:val="20"/>
        </w:rPr>
        <w:t>Incentive Auction Task Force and Media Bureau Announce Post Incentive Auction Special Displacement Window</w:t>
      </w:r>
      <w:r w:rsidRPr="007A0C63" w:rsidR="00EE1CA6">
        <w:rPr>
          <w:i/>
          <w:iCs/>
          <w:snapToGrid/>
          <w:kern w:val="0"/>
          <w:sz w:val="20"/>
        </w:rPr>
        <w:t xml:space="preserve"> </w:t>
      </w:r>
      <w:r w:rsidRPr="007A0C63">
        <w:rPr>
          <w:i/>
          <w:iCs/>
          <w:snapToGrid/>
          <w:kern w:val="0"/>
          <w:sz w:val="20"/>
        </w:rPr>
        <w:t>April 10, 2018, Through May</w:t>
      </w:r>
      <w:r w:rsidRPr="007A0C63">
        <w:rPr>
          <w:rFonts w:ascii="TimesNewRomanPS-ItalicMT" w:hAnsi="TimesNewRomanPS-ItalicMT" w:cs="TimesNewRomanPS-ItalicMT"/>
          <w:i/>
          <w:iCs/>
          <w:snapToGrid/>
          <w:kern w:val="0"/>
          <w:sz w:val="20"/>
        </w:rPr>
        <w:t xml:space="preserve"> 15, 2018, and Make Location and Channel Data Available</w:t>
      </w:r>
      <w:r w:rsidRPr="007A0C63">
        <w:rPr>
          <w:rFonts w:ascii="TimesNewRomanPSMT" w:hAnsi="TimesNewRomanPSMT" w:cs="TimesNewRomanPSMT"/>
          <w:snapToGrid/>
          <w:kern w:val="0"/>
          <w:sz w:val="20"/>
        </w:rPr>
        <w:t>, Public Notice, 32 FCC</w:t>
      </w:r>
      <w:r w:rsidRPr="007A0C63" w:rsidR="00EE1CA6">
        <w:rPr>
          <w:rFonts w:ascii="TimesNewRomanPS-ItalicMT" w:hAnsi="TimesNewRomanPS-ItalicMT" w:cs="TimesNewRomanPS-ItalicMT"/>
          <w:i/>
          <w:iCs/>
          <w:snapToGrid/>
          <w:kern w:val="0"/>
          <w:sz w:val="20"/>
        </w:rPr>
        <w:t xml:space="preserve"> </w:t>
      </w:r>
      <w:r w:rsidRPr="007A0C63">
        <w:rPr>
          <w:rFonts w:ascii="TimesNewRomanPSMT" w:hAnsi="TimesNewRomanPSMT" w:cs="TimesNewRomanPSMT"/>
          <w:snapToGrid/>
          <w:kern w:val="0"/>
          <w:sz w:val="20"/>
        </w:rPr>
        <w:t>Rcd</w:t>
      </w:r>
      <w:r w:rsidRPr="007A0C63">
        <w:rPr>
          <w:rFonts w:ascii="TimesNewRomanPSMT" w:hAnsi="TimesNewRomanPSMT" w:cs="TimesNewRomanPSMT"/>
          <w:snapToGrid/>
          <w:kern w:val="0"/>
          <w:sz w:val="20"/>
        </w:rPr>
        <w:t xml:space="preserve"> 1234 (IATF and MB 2018); </w:t>
      </w:r>
      <w:r w:rsidRPr="007A0C63">
        <w:rPr>
          <w:rFonts w:ascii="TimesNewRomanPS-ItalicMT" w:hAnsi="TimesNewRomanPS-ItalicMT" w:cs="TimesNewRomanPS-ItalicMT"/>
          <w:i/>
          <w:iCs/>
          <w:snapToGrid/>
          <w:kern w:val="0"/>
          <w:sz w:val="20"/>
        </w:rPr>
        <w:t>Incentive Auction Task Force and Media Bureau Extend Post Incentive Auction Special Displacement Window Through June 1, 2018</w:t>
      </w:r>
      <w:r w:rsidRPr="007A0C63">
        <w:rPr>
          <w:rFonts w:ascii="TimesNewRomanPSMT" w:hAnsi="TimesNewRomanPSMT" w:cs="TimesNewRomanPSMT"/>
          <w:snapToGrid/>
          <w:kern w:val="0"/>
          <w:sz w:val="20"/>
        </w:rPr>
        <w:t xml:space="preserve">, Public Notice, 32 FCC </w:t>
      </w:r>
      <w:r w:rsidRPr="007A0C63">
        <w:rPr>
          <w:rFonts w:ascii="TimesNewRomanPSMT" w:hAnsi="TimesNewRomanPSMT" w:cs="TimesNewRomanPSMT"/>
          <w:snapToGrid/>
          <w:kern w:val="0"/>
          <w:sz w:val="20"/>
        </w:rPr>
        <w:t>Rcd</w:t>
      </w:r>
      <w:r w:rsidRPr="007A0C63">
        <w:rPr>
          <w:rFonts w:ascii="TimesNewRomanPSMT" w:hAnsi="TimesNewRomanPSMT" w:cs="TimesNewRomanPSMT"/>
          <w:snapToGrid/>
          <w:kern w:val="0"/>
          <w:sz w:val="20"/>
        </w:rPr>
        <w:t xml:space="preserve"> (IATF and MB 2018).</w:t>
      </w:r>
    </w:p>
    <w:p w:rsidR="00466BA3" w:rsidRPr="007A0C63" w:rsidP="00466BA3" w14:paraId="6C672BB8" w14:textId="77777777">
      <w:pPr>
        <w:widowControl/>
        <w:autoSpaceDE w:val="0"/>
        <w:autoSpaceDN w:val="0"/>
        <w:adjustRightInd w:val="0"/>
        <w:rPr>
          <w:rFonts w:ascii="TimesNewRomanPSMT" w:hAnsi="TimesNewRomanPSMT" w:cs="TimesNewRomanPSMT"/>
          <w:snapToGrid/>
          <w:kern w:val="0"/>
          <w:sz w:val="20"/>
        </w:rPr>
      </w:pPr>
    </w:p>
  </w:footnote>
  <w:footnote w:id="7">
    <w:p w:rsidR="00E950C0" w:rsidRPr="007A0C63" w:rsidP="00CA6BDE" w14:paraId="659B3605" w14:textId="1C6F24B6">
      <w:pPr>
        <w:pStyle w:val="FootnoteText"/>
        <w:rPr>
          <w:i/>
          <w:iCs/>
        </w:rPr>
      </w:pPr>
      <w:r w:rsidRPr="007A0C63">
        <w:rPr>
          <w:rStyle w:val="FootnoteReference"/>
          <w:sz w:val="20"/>
        </w:rPr>
        <w:footnoteRef/>
      </w:r>
      <w:r w:rsidRPr="007A0C63" w:rsidR="00CA6BDE">
        <w:t xml:space="preserve">  </w:t>
      </w:r>
      <w:bookmarkStart w:id="0" w:name="_Hlk41469540"/>
      <w:r w:rsidRPr="007A0C63" w:rsidR="00CA6BDE">
        <w:rPr>
          <w:i/>
          <w:iCs/>
        </w:rPr>
        <w:t xml:space="preserve">See </w:t>
      </w:r>
      <w:r w:rsidRPr="007A0C63" w:rsidR="00CA6BDE">
        <w:t>47 U.S.C. § 1452(k)(1) (“[o]</w:t>
      </w:r>
      <w:r w:rsidRPr="007A0C63" w:rsidR="00CA6BDE">
        <w:t>nly</w:t>
      </w:r>
      <w:r w:rsidRPr="007A0C63" w:rsidR="00CA6BDE">
        <w:t xml:space="preserve"> stations that are eligible to file and do file an application in the Commission’s Special Displacement Window are eligible to seek reimbursement”); </w:t>
      </w:r>
      <w:r w:rsidRPr="007A0C63" w:rsidR="00CA6BDE">
        <w:rPr>
          <w:i/>
          <w:iCs/>
        </w:rPr>
        <w:t>see also</w:t>
      </w:r>
      <w:r w:rsidRPr="007A0C63" w:rsidR="00C94BC0">
        <w:rPr>
          <w:i/>
          <w:iCs/>
        </w:rPr>
        <w:t xml:space="preserve"> </w:t>
      </w:r>
      <w:r w:rsidRPr="007A0C63" w:rsidR="00C94BC0">
        <w:t>47 CFR 73.3701(b)(1);</w:t>
      </w:r>
      <w:r w:rsidRPr="007A0C63" w:rsidR="00CA6BDE">
        <w:t xml:space="preserve"> </w:t>
      </w:r>
      <w:r w:rsidRPr="007A0C63" w:rsidR="00CA6BDE">
        <w:rPr>
          <w:i/>
          <w:iCs/>
        </w:rPr>
        <w:t>LPTV, TV Translator, and FM Broadcast Station Reimbursement</w:t>
      </w:r>
      <w:r w:rsidRPr="007A0C63" w:rsidR="00CA6BDE">
        <w:t xml:space="preserve">, Report and Order, 34 FCC </w:t>
      </w:r>
      <w:r w:rsidRPr="007A0C63" w:rsidR="00CA6BDE">
        <w:t>Rcd</w:t>
      </w:r>
      <w:r w:rsidRPr="007A0C63" w:rsidR="00CA6BDE">
        <w:t xml:space="preserve"> 1690, </w:t>
      </w:r>
      <w:r w:rsidRPr="007A0C63" w:rsidR="00C94BC0">
        <w:t>1701, para. 24</w:t>
      </w:r>
      <w:r w:rsidRPr="007A0C63" w:rsidR="00CA6BDE">
        <w:t xml:space="preserve"> (2019)</w:t>
      </w:r>
      <w:r w:rsidRPr="007A0C63" w:rsidR="00C94BC0">
        <w:t>.</w:t>
      </w:r>
    </w:p>
    <w:bookmarkEnd w:id="0"/>
  </w:footnote>
  <w:footnote w:id="8">
    <w:p w:rsidR="00466BA3" w:rsidRPr="007A0C63" w:rsidP="00466BA3" w14:paraId="7CE2FFAD" w14:textId="77777777">
      <w:pPr>
        <w:pStyle w:val="FootnoteText"/>
      </w:pPr>
      <w:r w:rsidRPr="007A0C63">
        <w:rPr>
          <w:rStyle w:val="FootnoteReference"/>
          <w:sz w:val="20"/>
        </w:rPr>
        <w:footnoteRef/>
      </w:r>
      <w:r w:rsidRPr="007A0C63">
        <w:t xml:space="preserve"> </w:t>
      </w:r>
      <w:r w:rsidRPr="007A0C63">
        <w:rPr>
          <w:i/>
        </w:rPr>
        <w:t>See</w:t>
      </w:r>
      <w:r w:rsidRPr="007A0C63">
        <w:t xml:space="preserve"> 47 CFR §§ 73.1740(a)(4) and 74.763(b).</w:t>
      </w:r>
    </w:p>
  </w:footnote>
  <w:footnote w:id="9">
    <w:p w:rsidR="00466BA3" w:rsidRPr="007A0C63" w:rsidP="00466BA3" w14:paraId="2B778257" w14:textId="77777777">
      <w:pPr>
        <w:pStyle w:val="FootnoteText"/>
      </w:pPr>
      <w:r w:rsidRPr="007A0C63">
        <w:rPr>
          <w:rStyle w:val="FootnoteReference"/>
          <w:sz w:val="20"/>
        </w:rPr>
        <w:footnoteRef/>
      </w:r>
      <w:r w:rsidRPr="007A0C63">
        <w:t xml:space="preserve"> </w:t>
      </w:r>
      <w:r w:rsidRPr="007A0C63">
        <w:rPr>
          <w:i/>
        </w:rPr>
        <w:t>Id</w:t>
      </w:r>
      <w:r w:rsidRPr="007A0C63">
        <w:t>.</w:t>
      </w:r>
    </w:p>
  </w:footnote>
  <w:footnote w:id="10">
    <w:p w:rsidR="00817540" w:rsidRPr="007A0C63" w:rsidP="00817540" w14:paraId="70010CAE" w14:textId="77777777">
      <w:pPr>
        <w:pStyle w:val="FootnoteText"/>
      </w:pPr>
      <w:r w:rsidRPr="007A0C63">
        <w:rPr>
          <w:rStyle w:val="FootnoteReference"/>
          <w:sz w:val="20"/>
        </w:rPr>
        <w:footnoteRef/>
      </w:r>
      <w:r w:rsidRPr="007A0C63">
        <w:t xml:space="preserve"> </w:t>
      </w:r>
      <w:r w:rsidRPr="007A0C63">
        <w:rPr>
          <w:i/>
        </w:rPr>
        <w:t xml:space="preserve">See </w:t>
      </w:r>
      <w:r w:rsidRPr="007A0C63">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7A0C63">
        <w:rPr>
          <w:i/>
        </w:rPr>
        <w:t>See</w:t>
      </w:r>
      <w:r w:rsidRPr="007A0C63">
        <w:t xml:space="preserve"> 47 CFR § 74.763(c).  </w:t>
      </w:r>
      <w:r w:rsidRPr="007A0C63">
        <w:rPr>
          <w:i/>
        </w:rPr>
        <w:t>See also</w:t>
      </w:r>
      <w:r w:rsidRPr="007A0C63">
        <w:t xml:space="preserve"> 47 CFR §§ 73.1020(c), 73.1615(c)(2), 73.1635(a)(4), 73.1740(c), 73.1750.</w:t>
      </w:r>
    </w:p>
  </w:footnote>
  <w:footnote w:id="11">
    <w:p w:rsidR="00466BA3" w:rsidRPr="007A0C63" w:rsidP="00466BA3" w14:paraId="226B8E17" w14:textId="77777777">
      <w:pPr>
        <w:pStyle w:val="FootnoteText"/>
      </w:pPr>
      <w:r w:rsidRPr="007A0C63">
        <w:rPr>
          <w:rStyle w:val="FootnoteReference"/>
          <w:sz w:val="20"/>
        </w:rPr>
        <w:footnoteRef/>
      </w:r>
      <w:r w:rsidRPr="007A0C63">
        <w:t xml:space="preserve"> Instructions for requesting cancellation of a station license are included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14:paraId="6CFD1555" w14:textId="55BF1346">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466BA3">
      <w:rPr>
        <w:rFonts w:ascii="Times New Roman" w:hAnsi="Times New Roman"/>
        <w:b/>
        <w:sz w:val="22"/>
        <w:szCs w:val="22"/>
      </w:rPr>
      <w:t>20</w:t>
    </w:r>
    <w:r>
      <w:rPr>
        <w:rFonts w:ascii="Times New Roman" w:hAnsi="Times New Roman"/>
        <w:b/>
        <w:sz w:val="22"/>
        <w:szCs w:val="22"/>
      </w:rPr>
      <w:t>-</w:t>
    </w:r>
    <w:r w:rsidR="00F75115">
      <w:rPr>
        <w:rFonts w:ascii="Times New Roman" w:hAnsi="Times New Roman"/>
        <w:b/>
        <w:sz w:val="22"/>
        <w:szCs w:val="22"/>
      </w:rPr>
      <w:t>573</w:t>
    </w:r>
  </w:p>
  <w:p w:rsidR="0046625D"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9"/>
  </w:num>
  <w:num w:numId="4">
    <w:abstractNumId w:val="4"/>
  </w:num>
  <w:num w:numId="5">
    <w:abstractNumId w:val="13"/>
  </w:num>
  <w:num w:numId="6">
    <w:abstractNumId w:val="3"/>
  </w:num>
  <w:num w:numId="7">
    <w:abstractNumId w:val="5"/>
  </w:num>
  <w:num w:numId="8">
    <w:abstractNumId w:val="0"/>
  </w:num>
  <w:num w:numId="9">
    <w:abstractNumId w:val="15"/>
  </w:num>
  <w:num w:numId="10">
    <w:abstractNumId w:val="8"/>
  </w:num>
  <w:num w:numId="11">
    <w:abstractNumId w:val="10"/>
  </w:num>
  <w:num w:numId="12">
    <w:abstractNumId w:val="2"/>
  </w:num>
  <w:num w:numId="13">
    <w:abstractNumId w:val="7"/>
  </w:num>
  <w:num w:numId="14">
    <w:abstractNumId w:val="1"/>
  </w:num>
  <w:num w:numId="15">
    <w:abstractNumId w:val="1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5B7"/>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584"/>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305"/>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6662"/>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5B62"/>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70138"/>
    <w:rsid w:val="00270453"/>
    <w:rsid w:val="0027084D"/>
    <w:rsid w:val="00270A08"/>
    <w:rsid w:val="002711C8"/>
    <w:rsid w:val="00271613"/>
    <w:rsid w:val="002716D6"/>
    <w:rsid w:val="00271893"/>
    <w:rsid w:val="0027202D"/>
    <w:rsid w:val="00272B8D"/>
    <w:rsid w:val="0027437C"/>
    <w:rsid w:val="00275213"/>
    <w:rsid w:val="002759E3"/>
    <w:rsid w:val="00276149"/>
    <w:rsid w:val="0028037B"/>
    <w:rsid w:val="00282172"/>
    <w:rsid w:val="00282B8F"/>
    <w:rsid w:val="0028316B"/>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2688"/>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578"/>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10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1CCE"/>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42E"/>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BA3"/>
    <w:rsid w:val="00466CF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32A8"/>
    <w:rsid w:val="00543705"/>
    <w:rsid w:val="005437BF"/>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6E5A"/>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DD6"/>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3EF3"/>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983"/>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0C63"/>
    <w:rsid w:val="007A0E71"/>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913"/>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63AD"/>
    <w:rsid w:val="00816F26"/>
    <w:rsid w:val="00817540"/>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CBC"/>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24D"/>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52A"/>
    <w:rsid w:val="00B43039"/>
    <w:rsid w:val="00B43932"/>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94BC0"/>
    <w:rsid w:val="00CA20B5"/>
    <w:rsid w:val="00CA2AF7"/>
    <w:rsid w:val="00CA3549"/>
    <w:rsid w:val="00CA3944"/>
    <w:rsid w:val="00CA3E2B"/>
    <w:rsid w:val="00CA413D"/>
    <w:rsid w:val="00CA41EA"/>
    <w:rsid w:val="00CA4326"/>
    <w:rsid w:val="00CA5C71"/>
    <w:rsid w:val="00CA6200"/>
    <w:rsid w:val="00CA6BDE"/>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DC8"/>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56"/>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0C0"/>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1CA6"/>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115"/>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0"/>
    <w:qFormat/>
    <w:rsid w:val="009061A0"/>
    <w:pPr>
      <w:keepNext/>
      <w:numPr>
        <w:ilvl w:val="2"/>
        <w:numId w:val="6"/>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0"/>
    <w:qFormat/>
    <w:rsid w:val="009061A0"/>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0"/>
    <w:qFormat/>
    <w:rsid w:val="009061A0"/>
    <w:pPr>
      <w:numPr>
        <w:ilvl w:val="5"/>
        <w:numId w:val="6"/>
      </w:numPr>
      <w:tabs>
        <w:tab w:val="left" w:pos="4320"/>
      </w:tabs>
      <w:spacing w:after="120"/>
      <w:outlineLvl w:val="5"/>
    </w:pPr>
    <w:rPr>
      <w:b/>
    </w:rPr>
  </w:style>
  <w:style w:type="paragraph" w:styleId="Heading7">
    <w:name w:val="heading 7"/>
    <w:aliases w:val="Heading 7 Char"/>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oleObject" Target="embeddings/oleObject1.vsd" /><Relationship Id="rId7" Type="http://schemas.openxmlformats.org/officeDocument/2006/relationships/hyperlink" Target="https://enterpriseefiling.fcc.gov/dataentry/login.html"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