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81C8F6B" w14:textId="77777777">
      <w:pPr>
        <w:jc w:val="right"/>
        <w:rPr>
          <w:sz w:val="24"/>
        </w:rPr>
      </w:pPr>
      <w:bookmarkStart w:id="0" w:name="_Hlk41905109"/>
      <w:bookmarkStart w:id="1" w:name="_GoBack"/>
      <w:bookmarkEnd w:id="1"/>
    </w:p>
    <w:p w:rsidR="00013A8B" w:rsidRPr="00B20363" w:rsidP="00013A8B" w14:paraId="6AB6C6B9" w14:textId="0E8D304B">
      <w:pPr>
        <w:jc w:val="right"/>
        <w:rPr>
          <w:b/>
          <w:sz w:val="24"/>
        </w:rPr>
      </w:pPr>
      <w:r>
        <w:rPr>
          <w:b/>
          <w:sz w:val="24"/>
        </w:rPr>
        <w:t>DA 20-578</w:t>
      </w:r>
    </w:p>
    <w:p w:rsidR="00013A8B" w:rsidRPr="00B20363" w:rsidP="00013A8B" w14:paraId="00F292A9" w14:textId="135BF0CF">
      <w:pPr>
        <w:spacing w:before="60"/>
        <w:jc w:val="right"/>
        <w:rPr>
          <w:b/>
          <w:sz w:val="24"/>
        </w:rPr>
      </w:pPr>
      <w:r>
        <w:rPr>
          <w:b/>
          <w:sz w:val="24"/>
        </w:rPr>
        <w:t xml:space="preserve">Released:  </w:t>
      </w:r>
      <w:r w:rsidR="00117789">
        <w:rPr>
          <w:b/>
          <w:sz w:val="24"/>
        </w:rPr>
        <w:t>June 1, 2020</w:t>
      </w:r>
    </w:p>
    <w:p w:rsidR="00013A8B" w:rsidP="00013A8B" w14:paraId="74F0FCA3" w14:textId="77777777">
      <w:pPr>
        <w:jc w:val="right"/>
        <w:rPr>
          <w:sz w:val="24"/>
        </w:rPr>
      </w:pPr>
    </w:p>
    <w:p w:rsidR="00A91853" w:rsidP="000D2F3D" w14:paraId="16034F4F" w14:textId="77777777">
      <w:pPr>
        <w:jc w:val="center"/>
        <w:rPr>
          <w:rFonts w:ascii="Times New Roman Bold" w:hAnsi="Times New Roman Bold"/>
          <w:b/>
          <w:caps/>
          <w:sz w:val="24"/>
        </w:rPr>
      </w:pPr>
      <w:r>
        <w:rPr>
          <w:rFonts w:ascii="Times New Roman Bold" w:hAnsi="Times New Roman Bold"/>
          <w:b/>
          <w:caps/>
          <w:sz w:val="24"/>
        </w:rPr>
        <w:t xml:space="preserve">Wireless telecommunications bureau announces </w:t>
      </w:r>
    </w:p>
    <w:p w:rsidR="00013A8B" w:rsidRPr="00483248" w:rsidP="00483248" w14:paraId="5C18EF9A" w14:textId="371E071A">
      <w:pPr>
        <w:spacing w:after="240"/>
        <w:jc w:val="center"/>
        <w:rPr>
          <w:rFonts w:ascii="Times New Roman Bold" w:hAnsi="Times New Roman Bold"/>
          <w:b/>
          <w:caps/>
          <w:sz w:val="24"/>
        </w:rPr>
      </w:pPr>
      <w:r>
        <w:rPr>
          <w:rFonts w:ascii="Times New Roman Bold" w:hAnsi="Times New Roman Bold"/>
          <w:b/>
          <w:caps/>
          <w:sz w:val="24"/>
        </w:rPr>
        <w:t xml:space="preserve">accelerated clearing </w:t>
      </w:r>
      <w:r w:rsidR="00CE0387">
        <w:rPr>
          <w:rFonts w:ascii="Times New Roman Bold" w:hAnsi="Times New Roman Bold"/>
          <w:b/>
          <w:caps/>
          <w:sz w:val="24"/>
        </w:rPr>
        <w:t xml:space="preserve">in the 3.7-4.2 Ghz band </w:t>
      </w:r>
    </w:p>
    <w:p w:rsidR="00483248" w:rsidRPr="00483248" w:rsidP="00483248" w14:paraId="43ACCC06" w14:textId="77777777">
      <w:pPr>
        <w:jc w:val="center"/>
        <w:rPr>
          <w:bCs/>
          <w:sz w:val="24"/>
        </w:rPr>
      </w:pPr>
      <w:r>
        <w:rPr>
          <w:b/>
          <w:sz w:val="24"/>
        </w:rPr>
        <w:t>GN Docket No. 18-122</w:t>
      </w:r>
    </w:p>
    <w:p w:rsidR="00F96F63" w:rsidRPr="00930ECF" w:rsidP="00F96F63" w14:paraId="571BDD4B" w14:textId="77777777">
      <w:pPr>
        <w:rPr>
          <w:sz w:val="24"/>
        </w:rPr>
      </w:pPr>
      <w:bookmarkStart w:id="2" w:name="TOChere"/>
    </w:p>
    <w:bookmarkEnd w:id="2"/>
    <w:p w:rsidR="00F96F63" w:rsidP="00F96F63" w14:paraId="63055B4A" w14:textId="77777777">
      <w:pPr>
        <w:rPr>
          <w:sz w:val="24"/>
        </w:rPr>
      </w:pPr>
    </w:p>
    <w:p w:rsidR="00CE1D30" w:rsidP="00CE1D30" w14:paraId="6AE5E979" w14:textId="4663348B">
      <w:pPr>
        <w:tabs>
          <w:tab w:val="left" w:pos="5490"/>
        </w:tabs>
        <w:spacing w:after="120"/>
        <w:ind w:firstLine="720"/>
        <w:rPr>
          <w:szCs w:val="22"/>
        </w:rPr>
      </w:pPr>
      <w:r w:rsidRPr="00483248">
        <w:rPr>
          <w:szCs w:val="22"/>
        </w:rPr>
        <w:t xml:space="preserve">With this Public Notice, the Wireless Telecommunications Bureau (WTB) announces that </w:t>
      </w:r>
      <w:r w:rsidR="00CE58F8">
        <w:rPr>
          <w:szCs w:val="22"/>
        </w:rPr>
        <w:t xml:space="preserve">Eutelsat S.A. (Eutelsat), Intelsat US LLC (Intelsat), SES Americom Inc. (SES), </w:t>
      </w:r>
      <w:r w:rsidR="00CB7DD0">
        <w:rPr>
          <w:szCs w:val="22"/>
        </w:rPr>
        <w:t>Claro</w:t>
      </w:r>
      <w:r w:rsidRPr="0023423F" w:rsidR="00CE58F8">
        <w:rPr>
          <w:szCs w:val="22"/>
        </w:rPr>
        <w:t xml:space="preserve"> S.A.</w:t>
      </w:r>
      <w:r w:rsidR="00106740">
        <w:rPr>
          <w:szCs w:val="22"/>
        </w:rPr>
        <w:t xml:space="preserve"> f/k/a Star One S.A.</w:t>
      </w:r>
      <w:r w:rsidRPr="0023423F" w:rsidR="00CE58F8">
        <w:rPr>
          <w:szCs w:val="22"/>
        </w:rPr>
        <w:t xml:space="preserve"> (</w:t>
      </w:r>
      <w:r w:rsidR="00CB7DD0">
        <w:rPr>
          <w:szCs w:val="22"/>
        </w:rPr>
        <w:t>Claro</w:t>
      </w:r>
      <w:r w:rsidRPr="0023423F" w:rsidR="00CE58F8">
        <w:rPr>
          <w:szCs w:val="22"/>
        </w:rPr>
        <w:t>)</w:t>
      </w:r>
      <w:r>
        <w:rPr>
          <w:szCs w:val="22"/>
        </w:rPr>
        <w:t>,</w:t>
      </w:r>
      <w:r w:rsidR="00CE58F8">
        <w:rPr>
          <w:szCs w:val="22"/>
        </w:rPr>
        <w:t xml:space="preserve"> and Telesat Canada (Telesat) have committed to clear </w:t>
      </w:r>
      <w:r w:rsidR="002025A0">
        <w:rPr>
          <w:szCs w:val="22"/>
        </w:rPr>
        <w:t xml:space="preserve">the 3.7-4.0 GHz band on the accelerated timeline described in the </w:t>
      </w:r>
      <w:r w:rsidRPr="002025A0" w:rsidR="002025A0">
        <w:rPr>
          <w:i/>
          <w:iCs/>
          <w:szCs w:val="22"/>
        </w:rPr>
        <w:t>3.7 GHz Report and Order</w:t>
      </w:r>
      <w:r w:rsidR="002025A0">
        <w:rPr>
          <w:szCs w:val="22"/>
        </w:rPr>
        <w:t>.</w:t>
      </w:r>
      <w:r>
        <w:rPr>
          <w:rStyle w:val="FootnoteReference"/>
          <w:szCs w:val="22"/>
        </w:rPr>
        <w:footnoteReference w:id="3"/>
      </w:r>
      <w:r w:rsidR="002025A0">
        <w:rPr>
          <w:szCs w:val="22"/>
        </w:rPr>
        <w:t xml:space="preserve">  Together, these satellite operators </w:t>
      </w:r>
      <w:r>
        <w:rPr>
          <w:szCs w:val="22"/>
        </w:rPr>
        <w:t xml:space="preserve">have accepted, in aggregate, relocation payments that </w:t>
      </w:r>
      <w:r w:rsidR="002025A0">
        <w:rPr>
          <w:szCs w:val="22"/>
        </w:rPr>
        <w:t xml:space="preserve">exceed the minimum threshold </w:t>
      </w:r>
      <w:r>
        <w:rPr>
          <w:szCs w:val="22"/>
        </w:rPr>
        <w:t xml:space="preserve">(80%) </w:t>
      </w:r>
      <w:r w:rsidR="002025A0">
        <w:rPr>
          <w:szCs w:val="22"/>
        </w:rPr>
        <w:t>established by the Commission and, therefore, accelerated clearing of th</w:t>
      </w:r>
      <w:r>
        <w:rPr>
          <w:szCs w:val="22"/>
        </w:rPr>
        <w:t>is</w:t>
      </w:r>
      <w:r w:rsidR="002025A0">
        <w:rPr>
          <w:szCs w:val="22"/>
        </w:rPr>
        <w:t xml:space="preserve"> band has been triggered.</w:t>
      </w:r>
      <w:r>
        <w:rPr>
          <w:rStyle w:val="FootnoteReference"/>
          <w:szCs w:val="22"/>
        </w:rPr>
        <w:footnoteReference w:id="4"/>
      </w:r>
      <w:r w:rsidR="002025A0">
        <w:rPr>
          <w:szCs w:val="22"/>
        </w:rPr>
        <w:t xml:space="preserve"> </w:t>
      </w:r>
      <w:r w:rsidR="002025A0">
        <w:rPr>
          <w:rStyle w:val="CommentReference"/>
        </w:rPr>
        <w:t xml:space="preserve"> </w:t>
      </w:r>
      <w:r w:rsidR="00CE58F8">
        <w:rPr>
          <w:szCs w:val="22"/>
        </w:rPr>
        <w:t xml:space="preserve"> </w:t>
      </w:r>
    </w:p>
    <w:p w:rsidR="00483248" w:rsidP="000D2F3D" w14:paraId="5F673F0D" w14:textId="1E109FFC">
      <w:pPr>
        <w:spacing w:after="120"/>
        <w:ind w:firstLine="720"/>
        <w:rPr>
          <w:szCs w:val="22"/>
        </w:rPr>
      </w:pPr>
      <w:r w:rsidRPr="002E1558">
        <w:rPr>
          <w:szCs w:val="22"/>
        </w:rPr>
        <w:t xml:space="preserve">On March 3, 2020, the Federal Communications Commission (Commission) released the </w:t>
      </w:r>
      <w:r w:rsidRPr="002025A0" w:rsidR="00117789">
        <w:rPr>
          <w:i/>
          <w:iCs/>
          <w:szCs w:val="22"/>
        </w:rPr>
        <w:t xml:space="preserve">3.7 GHz </w:t>
      </w:r>
      <w:r w:rsidRPr="002E1558">
        <w:rPr>
          <w:i/>
          <w:iCs/>
          <w:szCs w:val="22"/>
        </w:rPr>
        <w:t>Report and Order</w:t>
      </w:r>
      <w:r w:rsidRPr="008E5CFF">
        <w:rPr>
          <w:szCs w:val="22"/>
        </w:rPr>
        <w:t>,</w:t>
      </w:r>
      <w:r>
        <w:rPr>
          <w:i/>
          <w:iCs/>
          <w:szCs w:val="22"/>
        </w:rPr>
        <w:t xml:space="preserve"> </w:t>
      </w:r>
      <w:r>
        <w:rPr>
          <w:szCs w:val="22"/>
        </w:rPr>
        <w:t>which</w:t>
      </w:r>
      <w:r w:rsidRPr="002E1558">
        <w:rPr>
          <w:i/>
          <w:iCs/>
          <w:szCs w:val="22"/>
        </w:rPr>
        <w:t xml:space="preserve"> </w:t>
      </w:r>
      <w:r w:rsidRPr="002E1558">
        <w:rPr>
          <w:szCs w:val="22"/>
        </w:rPr>
        <w:t>adopt</w:t>
      </w:r>
      <w:r>
        <w:rPr>
          <w:szCs w:val="22"/>
        </w:rPr>
        <w:t>ed</w:t>
      </w:r>
      <w:r w:rsidRPr="002E1558">
        <w:rPr>
          <w:szCs w:val="22"/>
        </w:rPr>
        <w:t xml:space="preserve"> new rules to make 280 megahertz of mid-band spectrum available for flexible use</w:t>
      </w:r>
      <w:r>
        <w:rPr>
          <w:szCs w:val="22"/>
        </w:rPr>
        <w:t xml:space="preserve"> </w:t>
      </w:r>
      <w:r w:rsidRPr="00EC7C26">
        <w:rPr>
          <w:szCs w:val="22"/>
        </w:rPr>
        <w:t>through a Commission-administered public auction of overlay licenses</w:t>
      </w:r>
      <w:r w:rsidRPr="002E1558">
        <w:rPr>
          <w:szCs w:val="22"/>
        </w:rPr>
        <w:t>, plus a 20 megahertz guard band, throughout the contiguous United States by transitioning existing services out of the lower portion and into the upper 200 megahertz of the 3.7-4.2 GHz band (C-</w:t>
      </w:r>
      <w:r>
        <w:rPr>
          <w:szCs w:val="22"/>
        </w:rPr>
        <w:t>b</w:t>
      </w:r>
      <w:r w:rsidRPr="002E1558">
        <w:rPr>
          <w:szCs w:val="22"/>
        </w:rPr>
        <w:t>and).</w:t>
      </w:r>
      <w:r>
        <w:rPr>
          <w:rStyle w:val="FootnoteReference"/>
          <w:szCs w:val="22"/>
        </w:rPr>
        <w:footnoteReference w:id="5"/>
      </w:r>
      <w:r w:rsidRPr="002E1558">
        <w:rPr>
          <w:szCs w:val="22"/>
        </w:rPr>
        <w:t xml:space="preserve">  </w:t>
      </w:r>
      <w:r>
        <w:rPr>
          <w:szCs w:val="22"/>
        </w:rPr>
        <w:t>T</w:t>
      </w:r>
      <w:r w:rsidRPr="002E1558">
        <w:rPr>
          <w:szCs w:val="22"/>
        </w:rPr>
        <w:t xml:space="preserve">he </w:t>
      </w:r>
      <w:r>
        <w:rPr>
          <w:i/>
          <w:iCs/>
          <w:szCs w:val="22"/>
        </w:rPr>
        <w:t xml:space="preserve">Report and </w:t>
      </w:r>
      <w:r w:rsidRPr="002E1558">
        <w:rPr>
          <w:i/>
          <w:iCs/>
          <w:szCs w:val="22"/>
        </w:rPr>
        <w:t>Order</w:t>
      </w:r>
      <w:r w:rsidRPr="002E1558">
        <w:rPr>
          <w:szCs w:val="22"/>
        </w:rPr>
        <w:t xml:space="preserve"> required eligible space station operators committing to </w:t>
      </w:r>
      <w:r>
        <w:rPr>
          <w:szCs w:val="22"/>
        </w:rPr>
        <w:t>accelerated</w:t>
      </w:r>
      <w:r w:rsidRPr="002E1558">
        <w:rPr>
          <w:szCs w:val="22"/>
        </w:rPr>
        <w:t xml:space="preserve"> clearing </w:t>
      </w:r>
      <w:r>
        <w:rPr>
          <w:szCs w:val="22"/>
        </w:rPr>
        <w:t>to</w:t>
      </w:r>
      <w:r w:rsidRPr="002E1558">
        <w:rPr>
          <w:szCs w:val="22"/>
        </w:rPr>
        <w:t xml:space="preserve"> make the</w:t>
      </w:r>
      <w:r>
        <w:rPr>
          <w:szCs w:val="22"/>
        </w:rPr>
        <w:t>ir</w:t>
      </w:r>
      <w:r w:rsidRPr="002E1558">
        <w:rPr>
          <w:szCs w:val="22"/>
        </w:rPr>
        <w:t xml:space="preserve"> election by May 29, 2020</w:t>
      </w:r>
      <w:r>
        <w:rPr>
          <w:szCs w:val="22"/>
        </w:rPr>
        <w:t xml:space="preserve"> to</w:t>
      </w:r>
      <w:r w:rsidRPr="002E1558">
        <w:rPr>
          <w:szCs w:val="22"/>
        </w:rPr>
        <w:t xml:space="preserve"> provide </w:t>
      </w:r>
      <w:r>
        <w:rPr>
          <w:szCs w:val="22"/>
        </w:rPr>
        <w:t xml:space="preserve">potential </w:t>
      </w:r>
      <w:r w:rsidRPr="002E1558">
        <w:rPr>
          <w:szCs w:val="22"/>
        </w:rPr>
        <w:t>bidders with adequate certainty regarding the clearing date and payment obligations associated with each license</w:t>
      </w:r>
      <w:r>
        <w:rPr>
          <w:szCs w:val="22"/>
        </w:rPr>
        <w:t xml:space="preserve"> should </w:t>
      </w:r>
      <w:r w:rsidRPr="00EC7C26">
        <w:rPr>
          <w:szCs w:val="22"/>
        </w:rPr>
        <w:t>they become overlay licensees</w:t>
      </w:r>
      <w:r w:rsidRPr="002E1558">
        <w:rPr>
          <w:szCs w:val="22"/>
        </w:rPr>
        <w:t>.</w:t>
      </w:r>
      <w:r>
        <w:rPr>
          <w:rStyle w:val="FootnoteReference"/>
          <w:szCs w:val="22"/>
        </w:rPr>
        <w:footnoteReference w:id="6"/>
      </w:r>
      <w:r>
        <w:rPr>
          <w:szCs w:val="22"/>
        </w:rPr>
        <w:t xml:space="preserve">  </w:t>
      </w:r>
      <w:r w:rsidR="002C7A13">
        <w:rPr>
          <w:szCs w:val="22"/>
        </w:rPr>
        <w:t>The Commission found that at least 80% of a</w:t>
      </w:r>
      <w:r w:rsidRPr="002C7A13" w:rsidR="002C7A13">
        <w:rPr>
          <w:szCs w:val="22"/>
        </w:rPr>
        <w:t>ccelerated relocation payments must be accepted via Accelerated Relocation Elections in order for the</w:t>
      </w:r>
      <w:r w:rsidR="002C7A13">
        <w:rPr>
          <w:szCs w:val="22"/>
        </w:rPr>
        <w:t xml:space="preserve"> </w:t>
      </w:r>
      <w:r w:rsidRPr="002C7A13" w:rsidR="002C7A13">
        <w:rPr>
          <w:szCs w:val="22"/>
        </w:rPr>
        <w:t xml:space="preserve">Commission to accept elections and require overlay licensees to pay accelerated </w:t>
      </w:r>
      <w:r w:rsidRPr="002C7A13" w:rsidR="002C7A13">
        <w:rPr>
          <w:szCs w:val="22"/>
        </w:rPr>
        <w:t>relocation payments</w:t>
      </w:r>
      <w:r w:rsidR="002C7A13">
        <w:rPr>
          <w:szCs w:val="22"/>
        </w:rPr>
        <w:t>.</w:t>
      </w:r>
      <w:r>
        <w:rPr>
          <w:rStyle w:val="FootnoteReference"/>
          <w:szCs w:val="22"/>
        </w:rPr>
        <w:footnoteReference w:id="7"/>
      </w:r>
    </w:p>
    <w:p w:rsidR="00605CE0" w:rsidRPr="007B057E" w:rsidP="000D2F3D" w14:paraId="551F3776" w14:textId="1CBB99B3">
      <w:pPr>
        <w:spacing w:after="120"/>
        <w:ind w:firstLine="720"/>
        <w:rPr>
          <w:szCs w:val="22"/>
        </w:rPr>
      </w:pPr>
      <w:r>
        <w:rPr>
          <w:szCs w:val="22"/>
        </w:rPr>
        <w:t xml:space="preserve">On May 11, 2020, WTB released a </w:t>
      </w:r>
      <w:r w:rsidRPr="00574A23">
        <w:rPr>
          <w:i/>
          <w:iCs/>
          <w:szCs w:val="22"/>
        </w:rPr>
        <w:t>Public Notice</w:t>
      </w:r>
      <w:r>
        <w:rPr>
          <w:szCs w:val="22"/>
        </w:rPr>
        <w:t xml:space="preserve"> detailing the process for making an accelerated relocation election and </w:t>
      </w:r>
      <w:r w:rsidRPr="004177FC">
        <w:rPr>
          <w:szCs w:val="22"/>
        </w:rPr>
        <w:t xml:space="preserve">the commitments that eligible space station operators </w:t>
      </w:r>
      <w:r w:rsidR="002248D4">
        <w:rPr>
          <w:szCs w:val="22"/>
        </w:rPr>
        <w:t>were required to</w:t>
      </w:r>
      <w:r w:rsidRPr="004177FC">
        <w:rPr>
          <w:szCs w:val="22"/>
        </w:rPr>
        <w:t xml:space="preserve"> make when filing an Accelerated Relocation Election.</w:t>
      </w:r>
      <w:r>
        <w:rPr>
          <w:rStyle w:val="FootnoteReference"/>
          <w:szCs w:val="22"/>
        </w:rPr>
        <w:footnoteReference w:id="8"/>
      </w:r>
      <w:r w:rsidRPr="004177FC">
        <w:rPr>
          <w:szCs w:val="22"/>
        </w:rPr>
        <w:t xml:space="preserve">  </w:t>
      </w:r>
      <w:r w:rsidR="00206C23">
        <w:rPr>
          <w:szCs w:val="22"/>
        </w:rPr>
        <w:t xml:space="preserve">By </w:t>
      </w:r>
      <w:r w:rsidR="007B057E">
        <w:rPr>
          <w:szCs w:val="22"/>
        </w:rPr>
        <w:t xml:space="preserve">electing accelerated relocation, the eligible space station operators voluntarily commit to adhere to the requirements, policies, and procedures established </w:t>
      </w:r>
      <w:r w:rsidR="002248D4">
        <w:rPr>
          <w:szCs w:val="22"/>
        </w:rPr>
        <w:t xml:space="preserve">by the Commission </w:t>
      </w:r>
      <w:r w:rsidR="007B057E">
        <w:rPr>
          <w:szCs w:val="22"/>
        </w:rPr>
        <w:t xml:space="preserve">in the </w:t>
      </w:r>
      <w:r w:rsidR="007B057E">
        <w:rPr>
          <w:i/>
          <w:iCs/>
          <w:szCs w:val="22"/>
        </w:rPr>
        <w:t>Report and Order</w:t>
      </w:r>
      <w:r w:rsidR="007B057E">
        <w:rPr>
          <w:szCs w:val="22"/>
        </w:rPr>
        <w:t>.</w:t>
      </w:r>
      <w:r>
        <w:rPr>
          <w:rStyle w:val="FootnoteReference"/>
          <w:szCs w:val="22"/>
        </w:rPr>
        <w:footnoteReference w:id="9"/>
      </w:r>
      <w:r w:rsidR="007B057E">
        <w:rPr>
          <w:szCs w:val="22"/>
        </w:rPr>
        <w:t xml:space="preserve"> </w:t>
      </w:r>
      <w:r w:rsidR="000071AE">
        <w:rPr>
          <w:szCs w:val="22"/>
        </w:rPr>
        <w:t xml:space="preserve"> </w:t>
      </w:r>
      <w:r w:rsidR="007B057E">
        <w:rPr>
          <w:szCs w:val="22"/>
        </w:rPr>
        <w:t>WTB prescribed the format for filing an accelerated relocation election</w:t>
      </w:r>
      <w:r w:rsidR="00FA3932">
        <w:rPr>
          <w:szCs w:val="22"/>
        </w:rPr>
        <w:t>.</w:t>
      </w:r>
      <w:r>
        <w:rPr>
          <w:rStyle w:val="FootnoteReference"/>
          <w:szCs w:val="22"/>
        </w:rPr>
        <w:footnoteReference w:id="10"/>
      </w:r>
      <w:r w:rsidRPr="00AD2E78" w:rsidR="007B057E">
        <w:rPr>
          <w:szCs w:val="22"/>
        </w:rPr>
        <w:t xml:space="preserve"> </w:t>
      </w:r>
    </w:p>
    <w:p w:rsidR="00605CE0" w:rsidP="000D2F3D" w14:paraId="4B55B232" w14:textId="4C3843F8">
      <w:pPr>
        <w:spacing w:after="120"/>
        <w:ind w:firstLine="720"/>
        <w:rPr>
          <w:szCs w:val="22"/>
        </w:rPr>
      </w:pPr>
      <w:r>
        <w:rPr>
          <w:szCs w:val="22"/>
        </w:rPr>
        <w:t xml:space="preserve">Each of the eligible operators filed an election that meets the criteria set forth in the </w:t>
      </w:r>
      <w:r>
        <w:rPr>
          <w:i/>
          <w:iCs/>
          <w:szCs w:val="22"/>
        </w:rPr>
        <w:t xml:space="preserve">Report and Order </w:t>
      </w:r>
      <w:r>
        <w:rPr>
          <w:szCs w:val="22"/>
        </w:rPr>
        <w:t xml:space="preserve">and the </w:t>
      </w:r>
      <w:r>
        <w:rPr>
          <w:i/>
          <w:iCs/>
          <w:szCs w:val="22"/>
        </w:rPr>
        <w:t>Public Notice</w:t>
      </w:r>
      <w:r>
        <w:rPr>
          <w:szCs w:val="22"/>
        </w:rPr>
        <w:t>.</w:t>
      </w:r>
      <w:r>
        <w:rPr>
          <w:rStyle w:val="FootnoteReference"/>
          <w:szCs w:val="22"/>
        </w:rPr>
        <w:footnoteReference w:id="11"/>
      </w:r>
      <w:r>
        <w:rPr>
          <w:szCs w:val="22"/>
        </w:rPr>
        <w:t xml:space="preserve"> </w:t>
      </w:r>
      <w:r w:rsidR="00F200F5">
        <w:rPr>
          <w:szCs w:val="22"/>
        </w:rPr>
        <w:t xml:space="preserve"> </w:t>
      </w:r>
      <w:r w:rsidR="003B76C5">
        <w:rPr>
          <w:szCs w:val="22"/>
        </w:rPr>
        <w:t>Additionally, each eligible operator has accepted the obligations and acknowledgements associated with accelerated clearing.</w:t>
      </w:r>
      <w:r>
        <w:rPr>
          <w:rStyle w:val="FootnoteReference"/>
          <w:szCs w:val="22"/>
        </w:rPr>
        <w:footnoteReference w:id="12"/>
      </w:r>
    </w:p>
    <w:p w:rsidR="00C614A3" w:rsidP="00DB40DC" w14:paraId="23382DEA" w14:textId="3FF4CC87">
      <w:pPr>
        <w:tabs>
          <w:tab w:val="left" w:pos="5490"/>
        </w:tabs>
        <w:spacing w:after="120"/>
        <w:jc w:val="center"/>
        <w:rPr>
          <w:szCs w:val="22"/>
        </w:rPr>
      </w:pPr>
      <w:r>
        <w:rPr>
          <w:szCs w:val="22"/>
        </w:rPr>
        <w:t>***</w:t>
      </w:r>
    </w:p>
    <w:p w:rsidR="005D6CDD" w:rsidRPr="008E519F" w:rsidP="005D6CDD" w14:paraId="06649E6F" w14:textId="77777777">
      <w:pPr>
        <w:spacing w:after="120"/>
        <w:ind w:firstLine="720"/>
        <w:rPr>
          <w:szCs w:val="22"/>
        </w:rPr>
      </w:pPr>
      <w:r w:rsidRPr="008E519F">
        <w:rPr>
          <w:i/>
          <w:iCs/>
          <w:szCs w:val="22"/>
        </w:rPr>
        <w:t>People with Disabilities</w:t>
      </w:r>
      <w:r w:rsidRPr="008E519F">
        <w:rPr>
          <w:szCs w:val="22"/>
        </w:rPr>
        <w:t xml:space="preserve">:  To request materials in accessible formats for people with disabilities (braille, large print, electronic files, audio format), send an e-mail to </w:t>
      </w:r>
      <w:hyperlink r:id="rId5" w:history="1">
        <w:r w:rsidRPr="008E519F">
          <w:rPr>
            <w:rStyle w:val="Hyperlink"/>
            <w:szCs w:val="22"/>
          </w:rPr>
          <w:t>fcc504@fcc.gov</w:t>
        </w:r>
      </w:hyperlink>
      <w:r w:rsidRPr="008E519F">
        <w:rPr>
          <w:szCs w:val="22"/>
        </w:rPr>
        <w:t xml:space="preserve"> or call the Consumer &amp; Government Affairs Bureau at 202-418-0530 (voice, 202-418-0432 (</w:t>
      </w:r>
      <w:r w:rsidRPr="008E519F">
        <w:rPr>
          <w:szCs w:val="22"/>
        </w:rPr>
        <w:t>tty</w:t>
      </w:r>
      <w:r w:rsidRPr="008E519F">
        <w:rPr>
          <w:szCs w:val="22"/>
        </w:rPr>
        <w:t xml:space="preserve">). </w:t>
      </w:r>
    </w:p>
    <w:p w:rsidR="005D6CDD" w:rsidRPr="008E519F" w:rsidP="005D6CDD" w14:paraId="7CDB72E1" w14:textId="5ECFA803">
      <w:pPr>
        <w:ind w:firstLine="720"/>
        <w:rPr>
          <w:szCs w:val="22"/>
        </w:rPr>
      </w:pPr>
      <w:r w:rsidRPr="008E519F">
        <w:rPr>
          <w:i/>
          <w:szCs w:val="22"/>
        </w:rPr>
        <w:t xml:space="preserve">Additional Information.  </w:t>
      </w:r>
      <w:r w:rsidRPr="008E519F">
        <w:rPr>
          <w:szCs w:val="22"/>
        </w:rPr>
        <w:t xml:space="preserve">For further information regarding this Public Notice, please contact </w:t>
      </w:r>
      <w:r w:rsidR="00537771">
        <w:rPr>
          <w:szCs w:val="22"/>
        </w:rPr>
        <w:t>Anna Gentry</w:t>
      </w:r>
      <w:r w:rsidRPr="008E519F">
        <w:rPr>
          <w:szCs w:val="22"/>
        </w:rPr>
        <w:t xml:space="preserve">, Wireless Telecommunications Bureau, at </w:t>
      </w:r>
      <w:hyperlink r:id="rId6" w:history="1">
        <w:r w:rsidRPr="00196A1F" w:rsidR="00537771">
          <w:rPr>
            <w:rStyle w:val="Hyperlink"/>
            <w:szCs w:val="22"/>
          </w:rPr>
          <w:t>Anna.Gentry@fcc.gov</w:t>
        </w:r>
      </w:hyperlink>
      <w:r w:rsidRPr="008E519F">
        <w:rPr>
          <w:szCs w:val="22"/>
        </w:rPr>
        <w:t xml:space="preserve"> or 202-418</w:t>
      </w:r>
      <w:r>
        <w:rPr>
          <w:szCs w:val="22"/>
        </w:rPr>
        <w:t>-7</w:t>
      </w:r>
      <w:r w:rsidR="00537771">
        <w:rPr>
          <w:szCs w:val="22"/>
        </w:rPr>
        <w:t>769</w:t>
      </w:r>
      <w:r w:rsidRPr="008E519F">
        <w:rPr>
          <w:szCs w:val="22"/>
        </w:rPr>
        <w:t>.</w:t>
      </w:r>
    </w:p>
    <w:p w:rsidR="005D6CDD" w:rsidP="00483248" w14:paraId="3A1A3F02" w14:textId="77777777">
      <w:pPr>
        <w:tabs>
          <w:tab w:val="left" w:pos="5490"/>
        </w:tabs>
        <w:spacing w:after="120"/>
        <w:ind w:firstLine="720"/>
        <w:rPr>
          <w:szCs w:val="22"/>
        </w:rPr>
      </w:pPr>
    </w:p>
    <w:p w:rsidR="00F8095B" w:rsidRPr="00F8095B" w:rsidP="00F8095B" w14:paraId="0939B755" w14:textId="44A52A12">
      <w:pPr>
        <w:tabs>
          <w:tab w:val="left" w:pos="5490"/>
        </w:tabs>
        <w:spacing w:after="120"/>
        <w:jc w:val="center"/>
        <w:rPr>
          <w:b/>
          <w:bCs/>
          <w:szCs w:val="22"/>
        </w:rPr>
      </w:pPr>
      <w:r w:rsidRPr="00F8095B">
        <w:rPr>
          <w:b/>
          <w:bCs/>
          <w:szCs w:val="22"/>
        </w:rPr>
        <w:t>-FCC-</w:t>
      </w:r>
      <w:bookmarkEnd w:id="0"/>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6E58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1359F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D25C514" w14:textId="4868753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8608BF" w:rsidP="008608BF" w14:paraId="6A665CAE" w14:textId="00110591">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8BF" w14:paraId="1B88641E" w14:textId="6DFED56E">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F3D" w14:paraId="7FE1DA44" w14:textId="77777777">
      <w:r>
        <w:separator/>
      </w:r>
    </w:p>
  </w:footnote>
  <w:footnote w:type="continuationSeparator" w:id="1">
    <w:p w:rsidR="000D2F3D" w14:paraId="30BA27C1" w14:textId="77777777">
      <w:pPr>
        <w:rPr>
          <w:sz w:val="20"/>
        </w:rPr>
      </w:pPr>
      <w:r>
        <w:rPr>
          <w:sz w:val="20"/>
        </w:rPr>
        <w:t xml:space="preserve">(Continued from previous page)  </w:t>
      </w:r>
      <w:r>
        <w:rPr>
          <w:sz w:val="20"/>
        </w:rPr>
        <w:separator/>
      </w:r>
    </w:p>
  </w:footnote>
  <w:footnote w:type="continuationNotice" w:id="2">
    <w:p w:rsidR="000D2F3D" w:rsidP="00910F12" w14:paraId="7281E0FF" w14:textId="77777777">
      <w:pPr>
        <w:jc w:val="right"/>
        <w:rPr>
          <w:sz w:val="20"/>
        </w:rPr>
      </w:pPr>
      <w:r>
        <w:rPr>
          <w:sz w:val="20"/>
        </w:rPr>
        <w:t>(continued….)</w:t>
      </w:r>
    </w:p>
  </w:footnote>
  <w:footnote w:id="3">
    <w:p w:rsidR="002025A0" w:rsidP="002025A0" w14:paraId="273386FC" w14:textId="50A08BA6">
      <w:pPr>
        <w:pStyle w:val="FootnoteText"/>
      </w:pPr>
      <w:r>
        <w:rPr>
          <w:rStyle w:val="FootnoteReference"/>
        </w:rPr>
        <w:footnoteRef/>
      </w:r>
      <w:r>
        <w:t xml:space="preserve"> </w:t>
      </w:r>
      <w:r w:rsidR="00A91853">
        <w:t xml:space="preserve">Letter from Carlos M. </w:t>
      </w:r>
      <w:r w:rsidR="00A91853">
        <w:t>Nalda</w:t>
      </w:r>
      <w:r w:rsidR="00A91853">
        <w:t>, LMI Advisors, LLC for Eutelsat S.A</w:t>
      </w:r>
      <w:r w:rsidRPr="00ED6477" w:rsidR="00A91853">
        <w:t>., to Marlene H. Dortch, Secretary, FCC, GN Docket No. 18-122</w:t>
      </w:r>
      <w:r w:rsidR="00A91853">
        <w:t>,</w:t>
      </w:r>
      <w:r w:rsidRPr="00ED6477" w:rsidR="00A91853">
        <w:t xml:space="preserve"> at </w:t>
      </w:r>
      <w:r w:rsidR="00A91853">
        <w:t>2</w:t>
      </w:r>
      <w:r w:rsidRPr="00ED6477" w:rsidR="00A91853">
        <w:t xml:space="preserve"> (filed May 27, 2020) (Eutelsat Election)</w:t>
      </w:r>
      <w:r w:rsidR="00A91853">
        <w:t xml:space="preserve">; Letter from Michelle V. Bryan, Executive Vice President, General Counsel and Chief Administrative Officer, Intelsat US, LLC., to </w:t>
      </w:r>
      <w:r w:rsidRPr="006C04B4" w:rsidR="00A91853">
        <w:t>Marlene H. Dortch, Secretary, FCC, GN Docket No. 18-122</w:t>
      </w:r>
      <w:r w:rsidR="00A91853">
        <w:t>,</w:t>
      </w:r>
      <w:r w:rsidRPr="006C04B4" w:rsidR="00A91853">
        <w:t xml:space="preserve"> at 1 (filed May 26, 2020)</w:t>
      </w:r>
      <w:r w:rsidR="00A91853">
        <w:t xml:space="preserve"> (Intelsat Election); </w:t>
      </w:r>
      <w:r w:rsidRPr="003B036F">
        <w:t xml:space="preserve">Letter from </w:t>
      </w:r>
      <w:r>
        <w:t>John Purvis</w:t>
      </w:r>
      <w:r w:rsidRPr="003B036F">
        <w:t xml:space="preserve">, </w:t>
      </w:r>
      <w:r>
        <w:t>Chief Legal Officer</w:t>
      </w:r>
      <w:r w:rsidRPr="003B036F">
        <w:t xml:space="preserve">, </w:t>
      </w:r>
      <w:r>
        <w:t xml:space="preserve">SES </w:t>
      </w:r>
      <w:r>
        <w:t>Americom</w:t>
      </w:r>
      <w:r>
        <w:t>, Inc.</w:t>
      </w:r>
      <w:r w:rsidRPr="003B036F">
        <w:t xml:space="preserve">, to Marlene H. Dortch, Secretary, FCC, </w:t>
      </w:r>
      <w:r>
        <w:t>GN</w:t>
      </w:r>
      <w:r w:rsidRPr="003B036F">
        <w:t xml:space="preserve"> Docket No. </w:t>
      </w:r>
      <w:r>
        <w:t>18-122</w:t>
      </w:r>
      <w:r w:rsidR="00117789">
        <w:t>,</w:t>
      </w:r>
      <w:r>
        <w:t xml:space="preserve"> </w:t>
      </w:r>
      <w:r w:rsidRPr="003B036F">
        <w:t xml:space="preserve">at </w:t>
      </w:r>
      <w:r>
        <w:t>1</w:t>
      </w:r>
      <w:r w:rsidRPr="003B036F">
        <w:t xml:space="preserve"> (filed </w:t>
      </w:r>
      <w:r>
        <w:t>May 26, 2020</w:t>
      </w:r>
      <w:r w:rsidRPr="003B036F">
        <w:t>) (</w:t>
      </w:r>
      <w:r>
        <w:t>SES Election</w:t>
      </w:r>
      <w:r w:rsidRPr="003B036F">
        <w:t>)</w:t>
      </w:r>
      <w:r>
        <w:t xml:space="preserve">; </w:t>
      </w:r>
      <w:r w:rsidR="00A91853">
        <w:t xml:space="preserve">Letter from Lincoln Oliveira, General Director, Embratel Star One and Luiz </w:t>
      </w:r>
      <w:r w:rsidR="00A91853">
        <w:t>Otavio</w:t>
      </w:r>
      <w:r w:rsidR="00A91853">
        <w:t xml:space="preserve"> Vasconcelos Prates, Regulatory Affairs, Claro Legal Representative, </w:t>
      </w:r>
      <w:r w:rsidRPr="00E46589" w:rsidR="00A91853">
        <w:t>to Marlene H. Dortch, Secretary, FCC, GN Docket No. 18-122</w:t>
      </w:r>
      <w:r w:rsidR="00A91853">
        <w:t>,</w:t>
      </w:r>
      <w:r w:rsidRPr="00E46589" w:rsidR="00A91853">
        <w:t xml:space="preserve"> at 1 (filed May </w:t>
      </w:r>
      <w:r w:rsidRPr="00110C49" w:rsidR="00A91853">
        <w:t>28,</w:t>
      </w:r>
      <w:r w:rsidRPr="00E46589" w:rsidR="00A91853">
        <w:t xml:space="preserve"> 2020) (</w:t>
      </w:r>
      <w:r w:rsidR="00A91853">
        <w:t xml:space="preserve">Claro </w:t>
      </w:r>
      <w:r w:rsidRPr="00E46589" w:rsidR="00A91853">
        <w:t>Election)</w:t>
      </w:r>
      <w:r w:rsidR="00A91853">
        <w:t xml:space="preserve">; </w:t>
      </w:r>
      <w:r>
        <w:t xml:space="preserve">Letter from Michael Schwartz, Senior VP, Corporate &amp; Business Development, </w:t>
      </w:r>
      <w:r>
        <w:t>Telesat</w:t>
      </w:r>
      <w:r>
        <w:t xml:space="preserve"> Canada, </w:t>
      </w:r>
      <w:r w:rsidRPr="003B036F">
        <w:t>to Marlene H. Dortch, Secretary, FCC, GN Docket No. 18-122</w:t>
      </w:r>
      <w:r w:rsidR="00117789">
        <w:t>,</w:t>
      </w:r>
      <w:r w:rsidRPr="003B036F">
        <w:t xml:space="preserve"> at 1 (filed May 26, 2020)</w:t>
      </w:r>
      <w:r>
        <w:t xml:space="preserve"> (</w:t>
      </w:r>
      <w:r>
        <w:t>Telesat</w:t>
      </w:r>
      <w:r>
        <w:t xml:space="preserve"> Election). </w:t>
      </w:r>
    </w:p>
  </w:footnote>
  <w:footnote w:id="4">
    <w:p w:rsidR="002025A0" w:rsidRPr="002A7C6C" w:rsidP="002025A0" w14:paraId="15E7FF16" w14:textId="58913440">
      <w:pPr>
        <w:pStyle w:val="FootnoteText"/>
      </w:pPr>
      <w:r>
        <w:rPr>
          <w:rStyle w:val="FootnoteReference"/>
        </w:rPr>
        <w:footnoteRef/>
      </w:r>
      <w:r>
        <w:t xml:space="preserve"> </w:t>
      </w:r>
      <w:r w:rsidRPr="002E1558">
        <w:rPr>
          <w:i/>
          <w:iCs/>
        </w:rPr>
        <w:t>Expanding Flexible Use of the 3.7 to 4.2 GHz Band</w:t>
      </w:r>
      <w:r w:rsidRPr="002E1558">
        <w:t>, Report and Order and Proposed Modification, 35 FCC Rcd 2343</w:t>
      </w:r>
      <w:r w:rsidR="00F905D1">
        <w:t xml:space="preserve">, </w:t>
      </w:r>
      <w:r>
        <w:t xml:space="preserve">2438, </w:t>
      </w:r>
      <w:r w:rsidRPr="002E1558">
        <w:t>2454, para</w:t>
      </w:r>
      <w:r>
        <w:t xml:space="preserve">s 232, 289-90 </w:t>
      </w:r>
      <w:r w:rsidR="00117789">
        <w:t xml:space="preserve">(2020) </w:t>
      </w:r>
      <w:r>
        <w:t>(</w:t>
      </w:r>
      <w:r w:rsidRPr="002025A0" w:rsidR="00117789">
        <w:rPr>
          <w:i/>
          <w:iCs/>
          <w:szCs w:val="22"/>
        </w:rPr>
        <w:t xml:space="preserve">3.7 GHz </w:t>
      </w:r>
      <w:r>
        <w:rPr>
          <w:i/>
          <w:iCs/>
        </w:rPr>
        <w:t>Report and Order</w:t>
      </w:r>
      <w:r>
        <w:t>).</w:t>
      </w:r>
    </w:p>
  </w:footnote>
  <w:footnote w:id="5">
    <w:p w:rsidR="00483248" w:rsidRPr="002E1558" w:rsidP="00483248" w14:paraId="1AFCF43E" w14:textId="25C180B3">
      <w:pPr>
        <w:pStyle w:val="FootnoteText"/>
      </w:pPr>
      <w:r>
        <w:rPr>
          <w:rStyle w:val="FootnoteReference"/>
        </w:rPr>
        <w:footnoteRef/>
      </w:r>
      <w:r>
        <w:t xml:space="preserve"> </w:t>
      </w:r>
      <w:r w:rsidRPr="002025A0" w:rsidR="00117789">
        <w:rPr>
          <w:i/>
          <w:iCs/>
          <w:szCs w:val="22"/>
        </w:rPr>
        <w:t xml:space="preserve">3.7 GHz </w:t>
      </w:r>
      <w:r w:rsidRPr="00ED6477" w:rsidR="002025A0">
        <w:rPr>
          <w:i/>
          <w:iCs/>
        </w:rPr>
        <w:t>Report and Order</w:t>
      </w:r>
      <w:r w:rsidRPr="002E1558">
        <w:t xml:space="preserve">, 35 FCC Rcd </w:t>
      </w:r>
      <w:r w:rsidR="002025A0">
        <w:t>at</w:t>
      </w:r>
      <w:r w:rsidRPr="002E1558">
        <w:t xml:space="preserve"> 2345, para. 4.  </w:t>
      </w:r>
    </w:p>
  </w:footnote>
  <w:footnote w:id="6">
    <w:p w:rsidR="00483248" w:rsidRPr="002E1558" w:rsidP="00483248" w14:paraId="13DF813A" w14:textId="06E881F7">
      <w:pPr>
        <w:pStyle w:val="FootnoteText"/>
      </w:pPr>
      <w:r w:rsidRPr="002E1558">
        <w:rPr>
          <w:rStyle w:val="FootnoteReference"/>
          <w:sz w:val="20"/>
        </w:rPr>
        <w:footnoteRef/>
      </w:r>
      <w:r>
        <w:rPr>
          <w:i/>
          <w:iCs/>
        </w:rPr>
        <w:t xml:space="preserve"> </w:t>
      </w:r>
      <w:r w:rsidRPr="002025A0" w:rsidR="00117789">
        <w:rPr>
          <w:i/>
          <w:iCs/>
          <w:szCs w:val="22"/>
        </w:rPr>
        <w:t xml:space="preserve">3.7 GHz </w:t>
      </w:r>
      <w:r>
        <w:rPr>
          <w:i/>
          <w:iCs/>
        </w:rPr>
        <w:t xml:space="preserve">Report and </w:t>
      </w:r>
      <w:r w:rsidRPr="002E1558">
        <w:rPr>
          <w:i/>
          <w:iCs/>
        </w:rPr>
        <w:t>Order</w:t>
      </w:r>
      <w:r w:rsidRPr="002E1558">
        <w:t>, 35 FCC Rcd at 2454, para. 289; 47 CFR § 27.1412(c).</w:t>
      </w:r>
    </w:p>
  </w:footnote>
  <w:footnote w:id="7">
    <w:p w:rsidR="002C7A13" w:rsidRPr="002C7A13" w14:paraId="006D417A" w14:textId="77777777">
      <w:pPr>
        <w:pStyle w:val="FootnoteText"/>
      </w:pPr>
      <w:r>
        <w:rPr>
          <w:rStyle w:val="FootnoteReference"/>
        </w:rPr>
        <w:footnoteRef/>
      </w:r>
      <w:r>
        <w:t xml:space="preserve"> </w:t>
      </w:r>
      <w:r>
        <w:rPr>
          <w:i/>
          <w:iCs/>
        </w:rPr>
        <w:t>Id.</w:t>
      </w:r>
      <w:r>
        <w:t xml:space="preserve"> at 290. </w:t>
      </w:r>
    </w:p>
  </w:footnote>
  <w:footnote w:id="8">
    <w:p w:rsidR="004177FC" w:rsidRPr="00206C23" w14:paraId="792CB42C" w14:textId="5C70539D">
      <w:pPr>
        <w:pStyle w:val="FootnoteText"/>
      </w:pPr>
      <w:r>
        <w:rPr>
          <w:rStyle w:val="FootnoteReference"/>
        </w:rPr>
        <w:footnoteRef/>
      </w:r>
      <w:r>
        <w:t xml:space="preserve"> </w:t>
      </w:r>
      <w:r w:rsidR="00206C23">
        <w:rPr>
          <w:i/>
          <w:iCs/>
        </w:rPr>
        <w:t>Wireless Telecommunications Bureau Announce the Process for Accelerated Relocation Elections by Eligible Space Station Operators in the 3.7-4.2 GHz Band</w:t>
      </w:r>
      <w:r w:rsidR="00206C23">
        <w:t>, Public Notice, DA 20-503, at 1 (WTB May 11, 2020) (</w:t>
      </w:r>
      <w:r w:rsidR="00206C23">
        <w:rPr>
          <w:i/>
          <w:iCs/>
        </w:rPr>
        <w:t>Public Notice</w:t>
      </w:r>
      <w:r w:rsidR="00206C23">
        <w:t xml:space="preserve">). </w:t>
      </w:r>
    </w:p>
  </w:footnote>
  <w:footnote w:id="9">
    <w:p w:rsidR="007B057E" w14:paraId="2835CA0D" w14:textId="20CE8C1E">
      <w:pPr>
        <w:pStyle w:val="FootnoteText"/>
      </w:pPr>
      <w:r>
        <w:rPr>
          <w:rStyle w:val="FootnoteReference"/>
        </w:rPr>
        <w:footnoteRef/>
      </w:r>
      <w:r>
        <w:t xml:space="preserve"> For example, the </w:t>
      </w:r>
      <w:r>
        <w:rPr>
          <w:i/>
          <w:iCs/>
        </w:rPr>
        <w:t>Report and Order</w:t>
      </w:r>
      <w:r>
        <w:t xml:space="preserve"> adopted various filing requirements for electing space station operators, such as the submission of a Transition Plan, quarterly status reports of clearing efforts, beginning December 31, 2020, and a Certification of Accelerated Relocation demonstrating, in good faith, that it has completed the necessary clearing actions to satisfy each deadline.  </w:t>
      </w:r>
      <w:r w:rsidRPr="002025A0" w:rsidR="00117789">
        <w:rPr>
          <w:i/>
          <w:iCs/>
          <w:szCs w:val="22"/>
        </w:rPr>
        <w:t xml:space="preserve">3.7 GHz </w:t>
      </w:r>
      <w:r>
        <w:rPr>
          <w:i/>
          <w:iCs/>
        </w:rPr>
        <w:t>Report and Order</w:t>
      </w:r>
      <w:r>
        <w:t xml:space="preserve">, 35 FCC Rcd at 2455, 2457-58, 2461, paras. 298, 302, 316.  </w:t>
      </w:r>
    </w:p>
  </w:footnote>
  <w:footnote w:id="10">
    <w:p w:rsidR="007B057E" w:rsidRPr="007B057E" w14:paraId="6B77BF78" w14:textId="5C448A45">
      <w:pPr>
        <w:pStyle w:val="FootnoteText"/>
      </w:pPr>
      <w:r>
        <w:rPr>
          <w:rStyle w:val="FootnoteReference"/>
        </w:rPr>
        <w:footnoteRef/>
      </w:r>
      <w:r>
        <w:t xml:space="preserve"> </w:t>
      </w:r>
      <w:r>
        <w:rPr>
          <w:i/>
          <w:iCs/>
        </w:rPr>
        <w:t>Public Notice</w:t>
      </w:r>
      <w:r>
        <w:t xml:space="preserve"> at 2. </w:t>
      </w:r>
    </w:p>
  </w:footnote>
  <w:footnote w:id="11">
    <w:p w:rsidR="00605CE0" w14:paraId="104DD372" w14:textId="4C7969E8">
      <w:pPr>
        <w:pStyle w:val="FootnoteText"/>
      </w:pPr>
      <w:r>
        <w:rPr>
          <w:rStyle w:val="FootnoteReference"/>
        </w:rPr>
        <w:footnoteRef/>
      </w:r>
      <w:r>
        <w:t xml:space="preserve"> </w:t>
      </w:r>
      <w:r w:rsidRPr="002025A0" w:rsidR="00117789">
        <w:rPr>
          <w:i/>
          <w:iCs/>
          <w:szCs w:val="22"/>
        </w:rPr>
        <w:t xml:space="preserve">3.7 GHz </w:t>
      </w:r>
      <w:r w:rsidRPr="00574A23">
        <w:rPr>
          <w:i/>
          <w:iCs/>
        </w:rPr>
        <w:t>Report and Order</w:t>
      </w:r>
      <w:r w:rsidRPr="00605CE0">
        <w:t xml:space="preserve">, 35 FCC Rcd at 2455, 2457-61, paras. </w:t>
      </w:r>
      <w:r>
        <w:t xml:space="preserve">291, 292, </w:t>
      </w:r>
      <w:r w:rsidRPr="00605CE0">
        <w:t xml:space="preserve">298, 302, </w:t>
      </w:r>
      <w:r>
        <w:t xml:space="preserve">308, 314, </w:t>
      </w:r>
      <w:r w:rsidRPr="00605CE0">
        <w:t>316</w:t>
      </w:r>
      <w:r>
        <w:t xml:space="preserve">; </w:t>
      </w:r>
      <w:r w:rsidRPr="00574A23">
        <w:rPr>
          <w:i/>
          <w:iCs/>
        </w:rPr>
        <w:t>Public Notice</w:t>
      </w:r>
      <w:r w:rsidRPr="00605CE0">
        <w:t xml:space="preserve"> at 2</w:t>
      </w:r>
      <w:r w:rsidR="00117789">
        <w:t>.</w:t>
      </w:r>
    </w:p>
  </w:footnote>
  <w:footnote w:id="12">
    <w:p w:rsidR="003B76C5" w14:paraId="101EB2AE" w14:textId="64847100">
      <w:pPr>
        <w:pStyle w:val="FootnoteText"/>
      </w:pPr>
      <w:r>
        <w:rPr>
          <w:rStyle w:val="FootnoteReference"/>
        </w:rPr>
        <w:footnoteRef/>
      </w:r>
      <w:r>
        <w:t xml:space="preserve"> SES Election at 2; Intelsat Election at 1-4; Telesat Election at 1</w:t>
      </w:r>
      <w:r w:rsidR="00CB7DD0">
        <w:t xml:space="preserve">; Claro Election at 1; Eutelsat Election at </w:t>
      </w:r>
      <w:r w:rsidR="009C461F">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6225D22" w14:textId="4BD3D842">
    <w:pPr>
      <w:tabs>
        <w:tab w:val="center" w:pos="4680"/>
        <w:tab w:val="right" w:pos="9360"/>
      </w:tabs>
    </w:pPr>
    <w:r w:rsidRPr="009838BC">
      <w:rPr>
        <w:b/>
      </w:rPr>
      <w:tab/>
      <w:t>Federal Communications Commission</w:t>
    </w:r>
    <w:r w:rsidRPr="009838BC">
      <w:rPr>
        <w:b/>
      </w:rPr>
      <w:tab/>
    </w:r>
    <w:r w:rsidR="00AD6316">
      <w:rPr>
        <w:b/>
      </w:rPr>
      <w:t>DA 20-578</w:t>
    </w:r>
  </w:p>
  <w:p w:rsidR="009838BC" w:rsidRPr="009838BC" w:rsidP="009838BC" w14:paraId="5F5BAE14" w14:textId="44F21BF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B320F1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7B2984" w14:textId="40444E4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17FFAB7" w14:textId="77777777">
                    <w:pPr>
                      <w:rPr>
                        <w:rFonts w:ascii="Arial" w:hAnsi="Arial"/>
                        <w:b/>
                      </w:rPr>
                    </w:pPr>
                    <w:r>
                      <w:rPr>
                        <w:rFonts w:ascii="Arial" w:hAnsi="Arial"/>
                        <w:b/>
                      </w:rPr>
                      <w:t>Federal Communications Commission</w:t>
                    </w:r>
                  </w:p>
                  <w:p w:rsidR="009838BC" w:rsidP="009838BC" w14:paraId="25C1E3D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A4FADF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59584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0DF45C9C" w14:textId="316CE9AE">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69BB36B" w14:textId="77777777">
                    <w:pPr>
                      <w:spacing w:before="40"/>
                      <w:jc w:val="right"/>
                      <w:rPr>
                        <w:rFonts w:ascii="Arial" w:hAnsi="Arial"/>
                        <w:b/>
                        <w:sz w:val="16"/>
                      </w:rPr>
                    </w:pPr>
                    <w:r>
                      <w:rPr>
                        <w:rFonts w:ascii="Arial" w:hAnsi="Arial"/>
                        <w:b/>
                        <w:sz w:val="16"/>
                      </w:rPr>
                      <w:t>News Media Information 202 / 418-0500</w:t>
                    </w:r>
                  </w:p>
                  <w:p w:rsidR="009838BC" w:rsidP="009838BC" w14:paraId="6E3EBF9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8494578" w14:textId="77777777">
                    <w:pPr>
                      <w:jc w:val="right"/>
                    </w:pPr>
                    <w:r>
                      <w:rPr>
                        <w:rFonts w:ascii="Arial" w:hAnsi="Arial"/>
                        <w:b/>
                        <w:sz w:val="16"/>
                      </w:rPr>
                      <w:t>TTY: 1-888-835-5322</w:t>
                    </w:r>
                  </w:p>
                </w:txbxContent>
              </v:textbox>
            </v:shape>
          </w:pict>
        </mc:Fallback>
      </mc:AlternateContent>
    </w:r>
  </w:p>
  <w:p w:rsidR="006F7393" w:rsidRPr="009838BC" w:rsidP="009838BC" w14:paraId="7291943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D7D45"/>
    <w:multiLevelType w:val="hybridMultilevel"/>
    <w:tmpl w:val="1CB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C9"/>
    <w:rsid w:val="000059C1"/>
    <w:rsid w:val="000071AE"/>
    <w:rsid w:val="000072CE"/>
    <w:rsid w:val="00013A8B"/>
    <w:rsid w:val="000206BB"/>
    <w:rsid w:val="00021445"/>
    <w:rsid w:val="00036039"/>
    <w:rsid w:val="00037F90"/>
    <w:rsid w:val="00052B29"/>
    <w:rsid w:val="00077B47"/>
    <w:rsid w:val="000875BF"/>
    <w:rsid w:val="00095863"/>
    <w:rsid w:val="00096D8C"/>
    <w:rsid w:val="000C0B65"/>
    <w:rsid w:val="000D2F3D"/>
    <w:rsid w:val="000E3D42"/>
    <w:rsid w:val="000E5884"/>
    <w:rsid w:val="00106740"/>
    <w:rsid w:val="00110C49"/>
    <w:rsid w:val="00117789"/>
    <w:rsid w:val="00122BD5"/>
    <w:rsid w:val="00196A1F"/>
    <w:rsid w:val="001979D9"/>
    <w:rsid w:val="001D6BCF"/>
    <w:rsid w:val="001E01CA"/>
    <w:rsid w:val="002025A0"/>
    <w:rsid w:val="002060D9"/>
    <w:rsid w:val="00206C23"/>
    <w:rsid w:val="002248D4"/>
    <w:rsid w:val="00226822"/>
    <w:rsid w:val="0023423F"/>
    <w:rsid w:val="00260594"/>
    <w:rsid w:val="00285017"/>
    <w:rsid w:val="002A2D2E"/>
    <w:rsid w:val="002A7C6C"/>
    <w:rsid w:val="002C7A13"/>
    <w:rsid w:val="002E1558"/>
    <w:rsid w:val="0032434F"/>
    <w:rsid w:val="00343749"/>
    <w:rsid w:val="00357D50"/>
    <w:rsid w:val="003925DC"/>
    <w:rsid w:val="003A7D43"/>
    <w:rsid w:val="003B036F"/>
    <w:rsid w:val="003B0550"/>
    <w:rsid w:val="003B694F"/>
    <w:rsid w:val="003B76C5"/>
    <w:rsid w:val="003F171C"/>
    <w:rsid w:val="003F2837"/>
    <w:rsid w:val="00410F01"/>
    <w:rsid w:val="00412FC5"/>
    <w:rsid w:val="004177FC"/>
    <w:rsid w:val="00422276"/>
    <w:rsid w:val="004242F1"/>
    <w:rsid w:val="00433BE2"/>
    <w:rsid w:val="004452F8"/>
    <w:rsid w:val="00445A00"/>
    <w:rsid w:val="00451B0F"/>
    <w:rsid w:val="0046125F"/>
    <w:rsid w:val="00477FC9"/>
    <w:rsid w:val="00483248"/>
    <w:rsid w:val="00487524"/>
    <w:rsid w:val="00496106"/>
    <w:rsid w:val="004C12D0"/>
    <w:rsid w:val="004C2EE3"/>
    <w:rsid w:val="004E4A22"/>
    <w:rsid w:val="00511968"/>
    <w:rsid w:val="00537771"/>
    <w:rsid w:val="0055614C"/>
    <w:rsid w:val="00574A23"/>
    <w:rsid w:val="005B7D20"/>
    <w:rsid w:val="005D6CDD"/>
    <w:rsid w:val="00605CE0"/>
    <w:rsid w:val="00607BA5"/>
    <w:rsid w:val="006100F1"/>
    <w:rsid w:val="00626EB6"/>
    <w:rsid w:val="006353A3"/>
    <w:rsid w:val="00641118"/>
    <w:rsid w:val="00655D03"/>
    <w:rsid w:val="00683F84"/>
    <w:rsid w:val="006956E8"/>
    <w:rsid w:val="006A6A81"/>
    <w:rsid w:val="006C04B4"/>
    <w:rsid w:val="006C38D0"/>
    <w:rsid w:val="006D24A9"/>
    <w:rsid w:val="006E26AF"/>
    <w:rsid w:val="006F7393"/>
    <w:rsid w:val="0070224F"/>
    <w:rsid w:val="007115F7"/>
    <w:rsid w:val="0076672B"/>
    <w:rsid w:val="00785689"/>
    <w:rsid w:val="0079754B"/>
    <w:rsid w:val="007A1E6D"/>
    <w:rsid w:val="007B057E"/>
    <w:rsid w:val="00822CE0"/>
    <w:rsid w:val="00837C62"/>
    <w:rsid w:val="00841AB1"/>
    <w:rsid w:val="008608BF"/>
    <w:rsid w:val="00882544"/>
    <w:rsid w:val="008C22FD"/>
    <w:rsid w:val="008D6E13"/>
    <w:rsid w:val="008E519F"/>
    <w:rsid w:val="008E5CFF"/>
    <w:rsid w:val="00910F12"/>
    <w:rsid w:val="009140E8"/>
    <w:rsid w:val="00926503"/>
    <w:rsid w:val="00930ECF"/>
    <w:rsid w:val="0096466C"/>
    <w:rsid w:val="0097454C"/>
    <w:rsid w:val="009838BC"/>
    <w:rsid w:val="009C461F"/>
    <w:rsid w:val="00A45F4F"/>
    <w:rsid w:val="00A600A9"/>
    <w:rsid w:val="00A866AC"/>
    <w:rsid w:val="00A91853"/>
    <w:rsid w:val="00AA55B7"/>
    <w:rsid w:val="00AA5B9E"/>
    <w:rsid w:val="00AB2407"/>
    <w:rsid w:val="00AB53DF"/>
    <w:rsid w:val="00AD2E78"/>
    <w:rsid w:val="00AD6316"/>
    <w:rsid w:val="00AF60EC"/>
    <w:rsid w:val="00B07E5C"/>
    <w:rsid w:val="00B20363"/>
    <w:rsid w:val="00B326E3"/>
    <w:rsid w:val="00B34008"/>
    <w:rsid w:val="00B811F7"/>
    <w:rsid w:val="00BA5DC6"/>
    <w:rsid w:val="00BA6196"/>
    <w:rsid w:val="00BC6D8C"/>
    <w:rsid w:val="00C16AF2"/>
    <w:rsid w:val="00C34006"/>
    <w:rsid w:val="00C426B1"/>
    <w:rsid w:val="00C614A3"/>
    <w:rsid w:val="00C8262B"/>
    <w:rsid w:val="00C82B6B"/>
    <w:rsid w:val="00C90D6A"/>
    <w:rsid w:val="00CB7DD0"/>
    <w:rsid w:val="00CC72B6"/>
    <w:rsid w:val="00CE0387"/>
    <w:rsid w:val="00CE1D30"/>
    <w:rsid w:val="00CE58F8"/>
    <w:rsid w:val="00D0218D"/>
    <w:rsid w:val="00D216CD"/>
    <w:rsid w:val="00D97FB6"/>
    <w:rsid w:val="00DA2529"/>
    <w:rsid w:val="00DB130A"/>
    <w:rsid w:val="00DB40DC"/>
    <w:rsid w:val="00DC10A1"/>
    <w:rsid w:val="00DC655F"/>
    <w:rsid w:val="00DD7EBD"/>
    <w:rsid w:val="00DF62B6"/>
    <w:rsid w:val="00E07225"/>
    <w:rsid w:val="00E155B7"/>
    <w:rsid w:val="00E46589"/>
    <w:rsid w:val="00E5409F"/>
    <w:rsid w:val="00E66860"/>
    <w:rsid w:val="00EC0185"/>
    <w:rsid w:val="00EC34F0"/>
    <w:rsid w:val="00EC7C26"/>
    <w:rsid w:val="00ED6477"/>
    <w:rsid w:val="00EE5F0A"/>
    <w:rsid w:val="00F021FA"/>
    <w:rsid w:val="00F200F5"/>
    <w:rsid w:val="00F3033D"/>
    <w:rsid w:val="00F57ACA"/>
    <w:rsid w:val="00F62E97"/>
    <w:rsid w:val="00F64209"/>
    <w:rsid w:val="00F8095B"/>
    <w:rsid w:val="00F905D1"/>
    <w:rsid w:val="00F93BF5"/>
    <w:rsid w:val="00F96F63"/>
    <w:rsid w:val="00FA3932"/>
    <w:rsid w:val="00FE31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9DAA0E-D2D9-462C-BCC6-45AD128E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483248"/>
    <w:rPr>
      <w:rFonts w:ascii="Segoe UI" w:hAnsi="Segoe UI" w:cs="Segoe UI"/>
      <w:sz w:val="18"/>
      <w:szCs w:val="18"/>
    </w:rPr>
  </w:style>
  <w:style w:type="character" w:customStyle="1" w:styleId="BalloonTextChar">
    <w:name w:val="Balloon Text Char"/>
    <w:link w:val="BalloonText"/>
    <w:uiPriority w:val="99"/>
    <w:semiHidden/>
    <w:rsid w:val="00483248"/>
    <w:rPr>
      <w:rFonts w:ascii="Segoe UI" w:hAnsi="Segoe UI" w:cs="Segoe UI"/>
      <w:snapToGrid w:val="0"/>
      <w:kern w:val="28"/>
      <w:sz w:val="18"/>
      <w:szCs w:val="18"/>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483248"/>
  </w:style>
  <w:style w:type="character" w:styleId="CommentReference">
    <w:name w:val="annotation reference"/>
    <w:basedOn w:val="DefaultParagraphFont"/>
    <w:uiPriority w:val="99"/>
    <w:semiHidden/>
    <w:unhideWhenUsed/>
    <w:rsid w:val="00CE58F8"/>
    <w:rPr>
      <w:sz w:val="16"/>
      <w:szCs w:val="16"/>
    </w:rPr>
  </w:style>
  <w:style w:type="paragraph" w:styleId="CommentText">
    <w:name w:val="annotation text"/>
    <w:basedOn w:val="Normal"/>
    <w:link w:val="CommentTextChar"/>
    <w:uiPriority w:val="99"/>
    <w:semiHidden/>
    <w:unhideWhenUsed/>
    <w:rsid w:val="00CE58F8"/>
    <w:rPr>
      <w:sz w:val="20"/>
    </w:rPr>
  </w:style>
  <w:style w:type="character" w:customStyle="1" w:styleId="CommentTextChar">
    <w:name w:val="Comment Text Char"/>
    <w:basedOn w:val="DefaultParagraphFont"/>
    <w:link w:val="CommentText"/>
    <w:uiPriority w:val="99"/>
    <w:semiHidden/>
    <w:rsid w:val="00CE58F8"/>
    <w:rPr>
      <w:snapToGrid w:val="0"/>
      <w:kern w:val="28"/>
    </w:rPr>
  </w:style>
  <w:style w:type="paragraph" w:styleId="CommentSubject">
    <w:name w:val="annotation subject"/>
    <w:basedOn w:val="CommentText"/>
    <w:next w:val="CommentText"/>
    <w:link w:val="CommentSubjectChar"/>
    <w:uiPriority w:val="99"/>
    <w:semiHidden/>
    <w:unhideWhenUsed/>
    <w:rsid w:val="00CE58F8"/>
    <w:rPr>
      <w:b/>
      <w:bCs/>
    </w:rPr>
  </w:style>
  <w:style w:type="character" w:customStyle="1" w:styleId="CommentSubjectChar">
    <w:name w:val="Comment Subject Char"/>
    <w:basedOn w:val="CommentTextChar"/>
    <w:link w:val="CommentSubject"/>
    <w:uiPriority w:val="99"/>
    <w:semiHidden/>
    <w:rsid w:val="00CE58F8"/>
    <w:rPr>
      <w:b/>
      <w:bCs/>
      <w:snapToGrid w:val="0"/>
      <w:kern w:val="28"/>
    </w:rPr>
  </w:style>
  <w:style w:type="paragraph" w:styleId="ListParagraph">
    <w:name w:val="List Paragraph"/>
    <w:basedOn w:val="Normal"/>
    <w:uiPriority w:val="34"/>
    <w:qFormat/>
    <w:rsid w:val="007B057E"/>
    <w:pPr>
      <w:ind w:left="720"/>
      <w:contextualSpacing/>
    </w:pPr>
  </w:style>
  <w:style w:type="character" w:customStyle="1" w:styleId="UnresolvedMention">
    <w:name w:val="Unresolved Mention"/>
    <w:basedOn w:val="DefaultParagraphFont"/>
    <w:uiPriority w:val="99"/>
    <w:semiHidden/>
    <w:unhideWhenUsed/>
    <w:rsid w:val="0053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Anna.Gentr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