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013A8B" w:rsidRPr="00B20363" w:rsidP="00013A8B" w14:paraId="06FD946B" w14:textId="0E663A00">
      <w:pPr>
        <w:jc w:val="right"/>
        <w:rPr>
          <w:b/>
          <w:sz w:val="24"/>
        </w:rPr>
      </w:pPr>
      <w:r>
        <w:rPr>
          <w:b/>
          <w:sz w:val="24"/>
        </w:rPr>
        <w:t>DA 20-</w:t>
      </w:r>
      <w:r w:rsidR="000524B9">
        <w:rPr>
          <w:b/>
          <w:sz w:val="24"/>
        </w:rPr>
        <w:t>579</w:t>
      </w:r>
    </w:p>
    <w:p w:rsidR="00013A8B" w:rsidRPr="00B20363" w:rsidP="00013A8B" w14:paraId="493389A3" w14:textId="54E34813">
      <w:pPr>
        <w:spacing w:before="60"/>
        <w:jc w:val="right"/>
        <w:rPr>
          <w:b/>
          <w:sz w:val="24"/>
        </w:rPr>
      </w:pPr>
      <w:r>
        <w:rPr>
          <w:b/>
          <w:sz w:val="24"/>
        </w:rPr>
        <w:t xml:space="preserve">Released:  </w:t>
      </w:r>
      <w:r w:rsidR="008F43FA">
        <w:rPr>
          <w:b/>
          <w:sz w:val="24"/>
        </w:rPr>
        <w:t>June</w:t>
      </w:r>
      <w:r w:rsidR="00563A11">
        <w:rPr>
          <w:b/>
          <w:sz w:val="24"/>
        </w:rPr>
        <w:t xml:space="preserve"> </w:t>
      </w:r>
      <w:r w:rsidR="00117517">
        <w:rPr>
          <w:b/>
          <w:sz w:val="24"/>
        </w:rPr>
        <w:t>18</w:t>
      </w:r>
      <w:r w:rsidR="00563A11">
        <w:rPr>
          <w:b/>
          <w:sz w:val="24"/>
        </w:rPr>
        <w:t>, 2020</w:t>
      </w:r>
    </w:p>
    <w:p w:rsidR="00013A8B" w:rsidP="00013A8B" w14:paraId="593417F7" w14:textId="77777777">
      <w:pPr>
        <w:jc w:val="right"/>
        <w:rPr>
          <w:sz w:val="24"/>
        </w:rPr>
      </w:pPr>
    </w:p>
    <w:p w:rsidR="000524B9" w:rsidP="000524B9" w14:paraId="3E885232" w14:textId="5C624574">
      <w:pPr>
        <w:jc w:val="center"/>
        <w:rPr>
          <w:rFonts w:ascii="Times New Roman Bold" w:hAnsi="Times New Roman Bold"/>
          <w:b/>
          <w:caps/>
          <w:sz w:val="24"/>
        </w:rPr>
      </w:pPr>
      <w:r>
        <w:rPr>
          <w:rFonts w:ascii="Times New Roman Bold" w:hAnsi="Times New Roman Bold"/>
          <w:b/>
          <w:caps/>
          <w:sz w:val="24"/>
        </w:rPr>
        <w:t xml:space="preserve">enforcement bureau </w:t>
      </w:r>
      <w:r>
        <w:rPr>
          <w:rFonts w:ascii="Times New Roman Bold" w:hAnsi="Times New Roman Bold"/>
          <w:b/>
          <w:caps/>
          <w:sz w:val="24"/>
        </w:rPr>
        <w:t xml:space="preserve">REMINDS </w:t>
      </w:r>
      <w:r w:rsidR="00BE01A1">
        <w:rPr>
          <w:rFonts w:ascii="Times New Roman Bold" w:hAnsi="Times New Roman Bold"/>
          <w:b/>
          <w:caps/>
          <w:sz w:val="24"/>
        </w:rPr>
        <w:t>Public</w:t>
      </w:r>
      <w:r w:rsidR="00B31249">
        <w:rPr>
          <w:rFonts w:ascii="Times New Roman Bold" w:hAnsi="Times New Roman Bold"/>
          <w:b/>
          <w:caps/>
          <w:sz w:val="24"/>
        </w:rPr>
        <w:t xml:space="preserve"> </w:t>
      </w:r>
      <w:r w:rsidRPr="000524B9">
        <w:rPr>
          <w:rFonts w:ascii="Times New Roman Bold" w:hAnsi="Times New Roman Bold"/>
          <w:b/>
          <w:caps/>
          <w:sz w:val="24"/>
        </w:rPr>
        <w:t>THAT REQUESTS</w:t>
      </w:r>
      <w:r w:rsidR="007549E4">
        <w:rPr>
          <w:rFonts w:ascii="Times New Roman Bold" w:hAnsi="Times New Roman Bold"/>
          <w:b/>
          <w:caps/>
          <w:sz w:val="24"/>
        </w:rPr>
        <w:t xml:space="preserve"> for confidentiality</w:t>
      </w:r>
      <w:r w:rsidRPr="00CE4923">
        <w:rPr>
          <w:rFonts w:ascii="Times New Roman Bold" w:hAnsi="Times New Roman Bold"/>
          <w:b/>
          <w:caps/>
          <w:sz w:val="24"/>
        </w:rPr>
        <w:t xml:space="preserve"> MUST</w:t>
      </w:r>
      <w:r w:rsidR="0012393B">
        <w:rPr>
          <w:rFonts w:ascii="Times New Roman Bold" w:hAnsi="Times New Roman Bold"/>
          <w:b/>
          <w:caps/>
          <w:sz w:val="24"/>
        </w:rPr>
        <w:t xml:space="preserve"> </w:t>
      </w:r>
      <w:r w:rsidRPr="00CE4923" w:rsidR="007549E4">
        <w:rPr>
          <w:rFonts w:ascii="Times New Roman Bold" w:hAnsi="Times New Roman Bold"/>
          <w:b/>
          <w:caps/>
          <w:sz w:val="24"/>
        </w:rPr>
        <w:t>cover</w:t>
      </w:r>
      <w:r w:rsidRPr="000524B9">
        <w:rPr>
          <w:rFonts w:ascii="Times New Roman Bold" w:hAnsi="Times New Roman Bold"/>
          <w:b/>
          <w:caps/>
          <w:sz w:val="24"/>
        </w:rPr>
        <w:t xml:space="preserve"> ONLY MATERIAL WARRANTING CONFIDENTIAL TREATMENT UNDER THE</w:t>
      </w:r>
      <w:r>
        <w:rPr>
          <w:rFonts w:ascii="Times New Roman Bold" w:hAnsi="Times New Roman Bold"/>
          <w:b/>
          <w:caps/>
          <w:sz w:val="24"/>
        </w:rPr>
        <w:t xml:space="preserve"> COMMISSION’S</w:t>
      </w:r>
      <w:r w:rsidRPr="000524B9">
        <w:rPr>
          <w:rFonts w:ascii="Times New Roman Bold" w:hAnsi="Times New Roman Bold"/>
          <w:b/>
          <w:caps/>
          <w:sz w:val="24"/>
        </w:rPr>
        <w:t xml:space="preserve"> RULES</w:t>
      </w:r>
    </w:p>
    <w:p w:rsidR="000524B9" w:rsidP="00C77CE0" w14:paraId="0EC61E7C" w14:textId="77777777">
      <w:pPr>
        <w:rPr>
          <w:rFonts w:ascii="Times New Roman Bold" w:hAnsi="Times New Roman Bold"/>
          <w:b/>
          <w:caps/>
          <w:sz w:val="24"/>
        </w:rPr>
      </w:pPr>
    </w:p>
    <w:p w:rsidR="008169B7" w:rsidP="00574A76" w14:paraId="618C381D" w14:textId="4F8DBBA0">
      <w:pPr>
        <w:spacing w:after="120"/>
        <w:ind w:firstLine="720"/>
        <w:rPr>
          <w:sz w:val="24"/>
          <w:szCs w:val="24"/>
        </w:rPr>
      </w:pPr>
      <w:r w:rsidRPr="00DE1A6E">
        <w:rPr>
          <w:sz w:val="24"/>
          <w:szCs w:val="24"/>
        </w:rPr>
        <w:t xml:space="preserve"> </w:t>
      </w:r>
      <w:r>
        <w:rPr>
          <w:sz w:val="24"/>
          <w:szCs w:val="24"/>
        </w:rPr>
        <w:t>Persons responding</w:t>
      </w:r>
      <w:r>
        <w:rPr>
          <w:sz w:val="24"/>
          <w:szCs w:val="24"/>
        </w:rPr>
        <w:t xml:space="preserve"> to letters of inquir</w:t>
      </w:r>
      <w:r w:rsidR="006648CF">
        <w:rPr>
          <w:sz w:val="24"/>
          <w:szCs w:val="24"/>
        </w:rPr>
        <w:t xml:space="preserve">y </w:t>
      </w:r>
      <w:r>
        <w:rPr>
          <w:sz w:val="24"/>
          <w:szCs w:val="24"/>
        </w:rPr>
        <w:t xml:space="preserve">from the </w:t>
      </w:r>
      <w:r>
        <w:rPr>
          <w:sz w:val="24"/>
          <w:szCs w:val="24"/>
        </w:rPr>
        <w:t xml:space="preserve">FCC’s </w:t>
      </w:r>
      <w:r w:rsidRPr="000A6861">
        <w:rPr>
          <w:sz w:val="24"/>
          <w:szCs w:val="24"/>
        </w:rPr>
        <w:t>Enforcement Bureau</w:t>
      </w:r>
      <w:r w:rsidR="00F62317">
        <w:rPr>
          <w:sz w:val="24"/>
          <w:szCs w:val="24"/>
        </w:rPr>
        <w:t xml:space="preserve"> (Bureau)</w:t>
      </w:r>
      <w:r>
        <w:rPr>
          <w:sz w:val="24"/>
          <w:szCs w:val="24"/>
        </w:rPr>
        <w:t xml:space="preserve"> routinely submit confidentiality </w:t>
      </w:r>
      <w:r w:rsidRPr="000A6861">
        <w:rPr>
          <w:sz w:val="24"/>
          <w:szCs w:val="24"/>
        </w:rPr>
        <w:t>request</w:t>
      </w:r>
      <w:r>
        <w:rPr>
          <w:sz w:val="24"/>
          <w:szCs w:val="24"/>
        </w:rPr>
        <w:t>s along with their responses</w:t>
      </w:r>
      <w:r w:rsidRPr="000A6861">
        <w:rPr>
          <w:sz w:val="24"/>
          <w:szCs w:val="24"/>
        </w:rPr>
        <w:t xml:space="preserve">. </w:t>
      </w:r>
      <w:r>
        <w:rPr>
          <w:sz w:val="24"/>
          <w:szCs w:val="24"/>
        </w:rPr>
        <w:t xml:space="preserve"> </w:t>
      </w:r>
      <w:r w:rsidR="00CE7A15">
        <w:rPr>
          <w:sz w:val="24"/>
          <w:szCs w:val="24"/>
        </w:rPr>
        <w:t>In recent years</w:t>
      </w:r>
      <w:r w:rsidR="00732306">
        <w:rPr>
          <w:sz w:val="24"/>
          <w:szCs w:val="24"/>
        </w:rPr>
        <w:t>,</w:t>
      </w:r>
      <w:r w:rsidR="006648CF">
        <w:rPr>
          <w:sz w:val="24"/>
          <w:szCs w:val="24"/>
        </w:rPr>
        <w:t xml:space="preserve"> </w:t>
      </w:r>
      <w:r w:rsidR="00732306">
        <w:rPr>
          <w:sz w:val="24"/>
          <w:szCs w:val="24"/>
        </w:rPr>
        <w:t xml:space="preserve">the Bureau has received a significant number of </w:t>
      </w:r>
      <w:r w:rsidR="00F62317">
        <w:rPr>
          <w:sz w:val="24"/>
          <w:szCs w:val="24"/>
        </w:rPr>
        <w:t>cas</w:t>
      </w:r>
      <w:r w:rsidR="00B51A9A">
        <w:rPr>
          <w:sz w:val="24"/>
          <w:szCs w:val="24"/>
        </w:rPr>
        <w:t>u</w:t>
      </w:r>
      <w:r w:rsidR="00F62317">
        <w:rPr>
          <w:sz w:val="24"/>
          <w:szCs w:val="24"/>
        </w:rPr>
        <w:t xml:space="preserve">al confidentiality requests and </w:t>
      </w:r>
      <w:r w:rsidR="00687A43">
        <w:rPr>
          <w:sz w:val="24"/>
          <w:szCs w:val="24"/>
        </w:rPr>
        <w:t xml:space="preserve">blanket or </w:t>
      </w:r>
      <w:r w:rsidR="00CE7A15">
        <w:rPr>
          <w:sz w:val="24"/>
          <w:szCs w:val="24"/>
        </w:rPr>
        <w:t xml:space="preserve">overbroad </w:t>
      </w:r>
      <w:r w:rsidR="00687A43">
        <w:rPr>
          <w:sz w:val="24"/>
          <w:szCs w:val="24"/>
        </w:rPr>
        <w:t>confidentiality requests</w:t>
      </w:r>
      <w:r w:rsidR="00CE7A15">
        <w:rPr>
          <w:sz w:val="24"/>
          <w:szCs w:val="24"/>
        </w:rPr>
        <w:t xml:space="preserve">.  </w:t>
      </w:r>
      <w:r w:rsidR="00DB0D6B">
        <w:rPr>
          <w:sz w:val="24"/>
          <w:szCs w:val="24"/>
        </w:rPr>
        <w:t>T</w:t>
      </w:r>
      <w:r w:rsidR="006648CF">
        <w:rPr>
          <w:sz w:val="24"/>
          <w:szCs w:val="24"/>
        </w:rPr>
        <w:t>his</w:t>
      </w:r>
      <w:r w:rsidRPr="003A72EC" w:rsidR="006648CF">
        <w:rPr>
          <w:sz w:val="24"/>
          <w:szCs w:val="24"/>
        </w:rPr>
        <w:t xml:space="preserve"> </w:t>
      </w:r>
      <w:r w:rsidRPr="003A72EC" w:rsidR="00684B61">
        <w:rPr>
          <w:sz w:val="24"/>
          <w:szCs w:val="24"/>
        </w:rPr>
        <w:t>Public Notice</w:t>
      </w:r>
      <w:r w:rsidRPr="003A72EC" w:rsidR="009B16FF">
        <w:rPr>
          <w:sz w:val="24"/>
          <w:szCs w:val="24"/>
        </w:rPr>
        <w:t xml:space="preserve"> reminds </w:t>
      </w:r>
      <w:r w:rsidR="00117517">
        <w:rPr>
          <w:sz w:val="24"/>
          <w:szCs w:val="24"/>
        </w:rPr>
        <w:t xml:space="preserve">the public </w:t>
      </w:r>
      <w:r>
        <w:rPr>
          <w:sz w:val="24"/>
          <w:szCs w:val="24"/>
        </w:rPr>
        <w:t xml:space="preserve">and the bar </w:t>
      </w:r>
      <w:r w:rsidRPr="003A72EC" w:rsidR="009B16FF">
        <w:rPr>
          <w:sz w:val="24"/>
          <w:szCs w:val="24"/>
        </w:rPr>
        <w:t xml:space="preserve">that this </w:t>
      </w:r>
      <w:r w:rsidRPr="003A72EC" w:rsidR="006648CF">
        <w:rPr>
          <w:sz w:val="24"/>
          <w:szCs w:val="24"/>
        </w:rPr>
        <w:t>practice is not permitted under the Commission’s rules</w:t>
      </w:r>
      <w:r w:rsidRPr="003A72EC" w:rsidR="009460A4">
        <w:rPr>
          <w:sz w:val="24"/>
          <w:szCs w:val="24"/>
        </w:rPr>
        <w:t xml:space="preserve"> and it detracts from the public’s right to know about the bases on which the FCC makes its decisions.</w:t>
      </w:r>
      <w:r>
        <w:rPr>
          <w:vertAlign w:val="superscript"/>
        </w:rPr>
        <w:footnoteReference w:id="3"/>
      </w:r>
      <w:r w:rsidRPr="003A72EC" w:rsidR="00DB0D6B">
        <w:t xml:space="preserve"> </w:t>
      </w:r>
      <w:r w:rsidRPr="003A72EC" w:rsidR="00DB0D6B">
        <w:rPr>
          <w:sz w:val="24"/>
          <w:szCs w:val="24"/>
        </w:rPr>
        <w:t xml:space="preserve"> </w:t>
      </w:r>
      <w:r w:rsidRPr="003A72EC" w:rsidR="00CE7A15">
        <w:rPr>
          <w:sz w:val="24"/>
          <w:szCs w:val="24"/>
        </w:rPr>
        <w:t xml:space="preserve">The Enforcement </w:t>
      </w:r>
      <w:r w:rsidRPr="003A72EC" w:rsidR="002433A9">
        <w:rPr>
          <w:sz w:val="24"/>
          <w:szCs w:val="24"/>
        </w:rPr>
        <w:t xml:space="preserve">Bureau issues this </w:t>
      </w:r>
      <w:r w:rsidRPr="003A72EC" w:rsidR="00383B0F">
        <w:rPr>
          <w:sz w:val="24"/>
          <w:szCs w:val="24"/>
        </w:rPr>
        <w:t>Public Notice</w:t>
      </w:r>
      <w:r w:rsidRPr="003A72EC" w:rsidR="002433A9">
        <w:rPr>
          <w:sz w:val="24"/>
          <w:szCs w:val="24"/>
        </w:rPr>
        <w:t xml:space="preserve"> to</w:t>
      </w:r>
      <w:r w:rsidRPr="003A72EC" w:rsidR="00687A43">
        <w:rPr>
          <w:sz w:val="24"/>
          <w:szCs w:val="24"/>
        </w:rPr>
        <w:t xml:space="preserve"> </w:t>
      </w:r>
      <w:r w:rsidRPr="003A72EC" w:rsidR="00383B0F">
        <w:rPr>
          <w:sz w:val="24"/>
          <w:szCs w:val="24"/>
        </w:rPr>
        <w:t xml:space="preserve">remind </w:t>
      </w:r>
      <w:r w:rsidR="00117517">
        <w:rPr>
          <w:sz w:val="24"/>
          <w:szCs w:val="24"/>
        </w:rPr>
        <w:t xml:space="preserve">members of the public </w:t>
      </w:r>
      <w:r w:rsidRPr="003A72EC" w:rsidR="00383B0F">
        <w:rPr>
          <w:sz w:val="24"/>
          <w:szCs w:val="24"/>
        </w:rPr>
        <w:t xml:space="preserve">and </w:t>
      </w:r>
      <w:r w:rsidRPr="003A72EC" w:rsidR="00CE7A15">
        <w:rPr>
          <w:sz w:val="24"/>
          <w:szCs w:val="24"/>
        </w:rPr>
        <w:t xml:space="preserve">their </w:t>
      </w:r>
      <w:r w:rsidRPr="003A72EC" w:rsidR="00A16200">
        <w:rPr>
          <w:sz w:val="24"/>
          <w:szCs w:val="24"/>
        </w:rPr>
        <w:t>counsel</w:t>
      </w:r>
      <w:r w:rsidRPr="003A72EC" w:rsidR="00383B0F">
        <w:rPr>
          <w:sz w:val="24"/>
          <w:szCs w:val="24"/>
        </w:rPr>
        <w:t xml:space="preserve"> </w:t>
      </w:r>
      <w:r w:rsidRPr="003A72EC" w:rsidR="00B31249">
        <w:rPr>
          <w:sz w:val="24"/>
          <w:szCs w:val="24"/>
        </w:rPr>
        <w:t xml:space="preserve">that </w:t>
      </w:r>
      <w:r w:rsidRPr="003A72EC" w:rsidR="00687A43">
        <w:rPr>
          <w:sz w:val="24"/>
          <w:szCs w:val="24"/>
        </w:rPr>
        <w:t xml:space="preserve">requests </w:t>
      </w:r>
      <w:r w:rsidRPr="003A72EC" w:rsidR="00383B0F">
        <w:rPr>
          <w:sz w:val="24"/>
          <w:szCs w:val="24"/>
        </w:rPr>
        <w:t>under</w:t>
      </w:r>
      <w:r w:rsidR="00383B0F">
        <w:rPr>
          <w:sz w:val="24"/>
          <w:szCs w:val="24"/>
        </w:rPr>
        <w:t xml:space="preserve"> section 0.459 of the Commission’s rules</w:t>
      </w:r>
      <w:r>
        <w:rPr>
          <w:rStyle w:val="FootnoteReference"/>
          <w:szCs w:val="24"/>
        </w:rPr>
        <w:footnoteReference w:id="4"/>
      </w:r>
      <w:r w:rsidR="00517357">
        <w:rPr>
          <w:sz w:val="24"/>
          <w:szCs w:val="24"/>
        </w:rPr>
        <w:t xml:space="preserve"> </w:t>
      </w:r>
      <w:r w:rsidR="00FD17D6">
        <w:rPr>
          <w:sz w:val="24"/>
          <w:szCs w:val="24"/>
        </w:rPr>
        <w:t xml:space="preserve">that materials be withheld from public inspection (be kept confidential) </w:t>
      </w:r>
      <w:r w:rsidR="00B31249">
        <w:rPr>
          <w:sz w:val="24"/>
          <w:szCs w:val="24"/>
        </w:rPr>
        <w:t>must comply with the requirements of that section</w:t>
      </w:r>
      <w:r w:rsidR="002D45B5">
        <w:rPr>
          <w:sz w:val="24"/>
          <w:szCs w:val="24"/>
        </w:rPr>
        <w:t xml:space="preserve">.  </w:t>
      </w:r>
      <w:r w:rsidRPr="00C02777" w:rsidR="00152768">
        <w:rPr>
          <w:sz w:val="24"/>
          <w:szCs w:val="24"/>
        </w:rPr>
        <w:t>Specifically</w:t>
      </w:r>
      <w:r w:rsidR="00D2151C">
        <w:rPr>
          <w:sz w:val="24"/>
          <w:szCs w:val="24"/>
        </w:rPr>
        <w:t>,</w:t>
      </w:r>
      <w:r w:rsidR="00B31249">
        <w:rPr>
          <w:sz w:val="24"/>
          <w:szCs w:val="24"/>
        </w:rPr>
        <w:t xml:space="preserve"> </w:t>
      </w:r>
      <w:r w:rsidR="002D45B5">
        <w:rPr>
          <w:sz w:val="24"/>
          <w:szCs w:val="24"/>
        </w:rPr>
        <w:t>such requests must</w:t>
      </w:r>
      <w:r w:rsidR="00B31249">
        <w:rPr>
          <w:sz w:val="24"/>
          <w:szCs w:val="24"/>
        </w:rPr>
        <w:t xml:space="preserve"> </w:t>
      </w:r>
      <w:r w:rsidR="00574A76">
        <w:rPr>
          <w:sz w:val="24"/>
          <w:szCs w:val="24"/>
        </w:rPr>
        <w:t>address the</w:t>
      </w:r>
      <w:r w:rsidR="00DA7579">
        <w:rPr>
          <w:sz w:val="24"/>
          <w:szCs w:val="24"/>
        </w:rPr>
        <w:t xml:space="preserve"> substantive</w:t>
      </w:r>
      <w:r w:rsidR="00574A76">
        <w:rPr>
          <w:sz w:val="24"/>
          <w:szCs w:val="24"/>
        </w:rPr>
        <w:t xml:space="preserve"> criteria </w:t>
      </w:r>
      <w:r w:rsidR="00DA7579">
        <w:rPr>
          <w:sz w:val="24"/>
          <w:szCs w:val="24"/>
        </w:rPr>
        <w:t>in</w:t>
      </w:r>
      <w:r w:rsidR="00574A76">
        <w:rPr>
          <w:sz w:val="24"/>
          <w:szCs w:val="24"/>
        </w:rPr>
        <w:t xml:space="preserve"> section 0.459(b) of the Commission’s rules</w:t>
      </w:r>
      <w:r>
        <w:rPr>
          <w:rStyle w:val="FootnoteReference"/>
          <w:szCs w:val="22"/>
        </w:rPr>
        <w:footnoteReference w:id="5"/>
      </w:r>
      <w:r w:rsidR="00574A76">
        <w:rPr>
          <w:sz w:val="24"/>
          <w:szCs w:val="24"/>
        </w:rPr>
        <w:t xml:space="preserve"> </w:t>
      </w:r>
      <w:r w:rsidRPr="005E6360" w:rsidR="00DA7579">
        <w:rPr>
          <w:sz w:val="24"/>
          <w:szCs w:val="24"/>
        </w:rPr>
        <w:t>and</w:t>
      </w:r>
      <w:r w:rsidR="00DA7579">
        <w:rPr>
          <w:i/>
          <w:iCs/>
          <w:sz w:val="24"/>
          <w:szCs w:val="24"/>
        </w:rPr>
        <w:t xml:space="preserve"> </w:t>
      </w:r>
      <w:r w:rsidR="002D45B5">
        <w:rPr>
          <w:sz w:val="24"/>
          <w:szCs w:val="24"/>
        </w:rPr>
        <w:t>must</w:t>
      </w:r>
      <w:r w:rsidR="0076105A">
        <w:rPr>
          <w:sz w:val="24"/>
          <w:szCs w:val="24"/>
        </w:rPr>
        <w:t xml:space="preserve"> </w:t>
      </w:r>
      <w:r w:rsidR="00732306">
        <w:rPr>
          <w:sz w:val="24"/>
          <w:szCs w:val="24"/>
        </w:rPr>
        <w:t xml:space="preserve">describe </w:t>
      </w:r>
      <w:r w:rsidR="001D0C17">
        <w:rPr>
          <w:sz w:val="24"/>
          <w:szCs w:val="24"/>
        </w:rPr>
        <w:t>the specific portion(s) of the submitted material for which confidentiality is sought.</w:t>
      </w:r>
      <w:r w:rsidR="00632191">
        <w:rPr>
          <w:sz w:val="24"/>
          <w:szCs w:val="24"/>
        </w:rPr>
        <w:t xml:space="preserve"> </w:t>
      </w:r>
    </w:p>
    <w:p w:rsidR="00176E46" w:rsidRPr="00DC116E" w:rsidP="00176E46" w14:paraId="5B518BCC" w14:textId="77777777">
      <w:pPr>
        <w:tabs>
          <w:tab w:val="left" w:pos="-720"/>
        </w:tabs>
        <w:suppressAutoHyphens/>
        <w:spacing w:after="120"/>
        <w:rPr>
          <w:b/>
          <w:bCs/>
          <w:sz w:val="24"/>
          <w:szCs w:val="24"/>
          <w:u w:val="single"/>
        </w:rPr>
      </w:pPr>
      <w:bookmarkStart w:id="0" w:name="_Hlk40348730"/>
      <w:r>
        <w:rPr>
          <w:b/>
          <w:bCs/>
          <w:sz w:val="24"/>
          <w:szCs w:val="24"/>
          <w:u w:val="single"/>
        </w:rPr>
        <w:t>Casual</w:t>
      </w:r>
      <w:r w:rsidRPr="00DC116E">
        <w:rPr>
          <w:b/>
          <w:bCs/>
          <w:sz w:val="24"/>
          <w:szCs w:val="24"/>
          <w:u w:val="single"/>
        </w:rPr>
        <w:t xml:space="preserve"> Requests for Confidentiality</w:t>
      </w:r>
    </w:p>
    <w:p w:rsidR="00176E46" w:rsidRPr="00327C82" w:rsidP="00327C82" w14:paraId="08DCEE2D" w14:textId="5EF0539D">
      <w:pPr>
        <w:widowControl/>
        <w:ind w:firstLine="720"/>
        <w:rPr>
          <w:sz w:val="24"/>
          <w:szCs w:val="24"/>
        </w:rPr>
      </w:pPr>
      <w:r>
        <w:rPr>
          <w:sz w:val="24"/>
          <w:szCs w:val="24"/>
        </w:rPr>
        <w:t>A</w:t>
      </w:r>
      <w:r w:rsidRPr="001D0C17">
        <w:rPr>
          <w:sz w:val="24"/>
          <w:szCs w:val="24"/>
        </w:rPr>
        <w:t xml:space="preserve"> casual request </w:t>
      </w:r>
      <w:r w:rsidR="00B9203A">
        <w:rPr>
          <w:sz w:val="24"/>
          <w:szCs w:val="24"/>
        </w:rPr>
        <w:t xml:space="preserve">for confidentiality </w:t>
      </w:r>
      <w:r w:rsidR="00203F20">
        <w:rPr>
          <w:sz w:val="24"/>
          <w:szCs w:val="24"/>
        </w:rPr>
        <w:t xml:space="preserve">is one that </w:t>
      </w:r>
      <w:r w:rsidRPr="001D0C17">
        <w:rPr>
          <w:sz w:val="24"/>
          <w:szCs w:val="24"/>
        </w:rPr>
        <w:t>does not address the specific factors set forth in section 0.459(b) of the Commission’s rules.  A casual request occurs when, for example, counsel simply requests in the cover letter that the entire response be treated as confidential, or when counsel stamps every page of the response “CONFIDENTIAL”</w:t>
      </w:r>
      <w:r w:rsidR="00203F20">
        <w:rPr>
          <w:sz w:val="24"/>
          <w:szCs w:val="24"/>
        </w:rPr>
        <w:t xml:space="preserve"> without providing additional information.</w:t>
      </w:r>
      <w:r w:rsidR="00B31249">
        <w:rPr>
          <w:sz w:val="24"/>
          <w:szCs w:val="24"/>
        </w:rPr>
        <w:t xml:space="preserve"> </w:t>
      </w:r>
      <w:r w:rsidRPr="001D0C17">
        <w:rPr>
          <w:sz w:val="24"/>
          <w:szCs w:val="24"/>
        </w:rPr>
        <w:t xml:space="preserve"> </w:t>
      </w:r>
      <w:r>
        <w:rPr>
          <w:sz w:val="24"/>
          <w:szCs w:val="24"/>
        </w:rPr>
        <w:t xml:space="preserve">Pursuant to the Commission’s rules, the Bureau </w:t>
      </w:r>
      <w:r w:rsidRPr="006F721A">
        <w:rPr>
          <w:i/>
          <w:iCs/>
          <w:sz w:val="24"/>
          <w:szCs w:val="24"/>
        </w:rPr>
        <w:t>will not consider</w:t>
      </w:r>
      <w:r>
        <w:rPr>
          <w:sz w:val="24"/>
          <w:szCs w:val="24"/>
        </w:rPr>
        <w:t xml:space="preserve"> </w:t>
      </w:r>
      <w:r w:rsidRPr="001D0C17">
        <w:rPr>
          <w:sz w:val="24"/>
          <w:szCs w:val="24"/>
        </w:rPr>
        <w:t xml:space="preserve">casual </w:t>
      </w:r>
      <w:r>
        <w:rPr>
          <w:sz w:val="24"/>
          <w:szCs w:val="24"/>
        </w:rPr>
        <w:t xml:space="preserve">requests for </w:t>
      </w:r>
      <w:r w:rsidRPr="001D0C17">
        <w:rPr>
          <w:sz w:val="24"/>
          <w:szCs w:val="24"/>
        </w:rPr>
        <w:t>confidentiality</w:t>
      </w:r>
      <w:r>
        <w:rPr>
          <w:sz w:val="24"/>
          <w:szCs w:val="24"/>
        </w:rPr>
        <w:t>.</w:t>
      </w:r>
      <w:r>
        <w:rPr>
          <w:rStyle w:val="FootnoteReference"/>
          <w:szCs w:val="24"/>
        </w:rPr>
        <w:footnoteReference w:id="6"/>
      </w:r>
      <w:r>
        <w:rPr>
          <w:sz w:val="24"/>
          <w:szCs w:val="24"/>
        </w:rPr>
        <w:t xml:space="preserve"> </w:t>
      </w:r>
    </w:p>
    <w:p w:rsidR="00DC116E" w:rsidRPr="00DC116E" w:rsidP="008F72AE" w14:paraId="1EA9E354" w14:textId="77777777">
      <w:pPr>
        <w:tabs>
          <w:tab w:val="left" w:pos="-720"/>
        </w:tabs>
        <w:suppressAutoHyphens/>
        <w:spacing w:after="120"/>
        <w:rPr>
          <w:b/>
          <w:bCs/>
          <w:sz w:val="24"/>
          <w:szCs w:val="24"/>
          <w:u w:val="single"/>
        </w:rPr>
      </w:pPr>
      <w:r w:rsidRPr="00DC116E">
        <w:rPr>
          <w:b/>
          <w:bCs/>
          <w:sz w:val="24"/>
          <w:szCs w:val="24"/>
          <w:u w:val="single"/>
        </w:rPr>
        <w:t>Blanket or Overbroad Requests for Confidentiality</w:t>
      </w:r>
    </w:p>
    <w:p w:rsidR="00F0774C" w:rsidP="008F72AE" w14:paraId="7682E315" w14:textId="0F7D7890">
      <w:pPr>
        <w:tabs>
          <w:tab w:val="left" w:pos="-720"/>
        </w:tabs>
        <w:suppressAutoHyphens/>
        <w:rPr>
          <w:sz w:val="24"/>
          <w:szCs w:val="24"/>
        </w:rPr>
      </w:pPr>
      <w:r>
        <w:rPr>
          <w:sz w:val="24"/>
          <w:szCs w:val="24"/>
        </w:rPr>
        <w:tab/>
      </w:r>
      <w:r w:rsidRPr="001D0C17">
        <w:rPr>
          <w:sz w:val="24"/>
          <w:szCs w:val="24"/>
        </w:rPr>
        <w:t xml:space="preserve">A </w:t>
      </w:r>
      <w:r w:rsidR="00203F20">
        <w:rPr>
          <w:sz w:val="24"/>
          <w:szCs w:val="24"/>
        </w:rPr>
        <w:t xml:space="preserve">blanket or </w:t>
      </w:r>
      <w:r w:rsidRPr="001D0C17">
        <w:rPr>
          <w:sz w:val="24"/>
          <w:szCs w:val="24"/>
        </w:rPr>
        <w:t>overbroad request</w:t>
      </w:r>
      <w:r w:rsidR="00203F20">
        <w:rPr>
          <w:sz w:val="24"/>
          <w:szCs w:val="24"/>
        </w:rPr>
        <w:t xml:space="preserve"> </w:t>
      </w:r>
      <w:r w:rsidRPr="001D0C17">
        <w:rPr>
          <w:sz w:val="24"/>
          <w:szCs w:val="24"/>
        </w:rPr>
        <w:t xml:space="preserve">does address the </w:t>
      </w:r>
      <w:r w:rsidR="0076105A">
        <w:rPr>
          <w:sz w:val="24"/>
          <w:szCs w:val="24"/>
        </w:rPr>
        <w:t xml:space="preserve">criteria set forth in </w:t>
      </w:r>
      <w:r w:rsidRPr="001D0C17">
        <w:rPr>
          <w:sz w:val="24"/>
          <w:szCs w:val="24"/>
        </w:rPr>
        <w:t>section 0.459(b) but applies the rationale to the entire submission and/or does not identify the information covered by the request</w:t>
      </w:r>
      <w:r w:rsidR="00D2151C">
        <w:rPr>
          <w:sz w:val="24"/>
          <w:szCs w:val="24"/>
        </w:rPr>
        <w:t>.</w:t>
      </w:r>
      <w:r w:rsidRPr="001D0C17">
        <w:rPr>
          <w:sz w:val="24"/>
          <w:szCs w:val="24"/>
        </w:rPr>
        <w:t xml:space="preserve">  </w:t>
      </w:r>
      <w:r w:rsidRPr="001D0C17">
        <w:rPr>
          <w:sz w:val="24"/>
          <w:szCs w:val="24"/>
        </w:rPr>
        <w:t xml:space="preserve">A confidentiality request may </w:t>
      </w:r>
      <w:r>
        <w:rPr>
          <w:sz w:val="24"/>
          <w:szCs w:val="24"/>
        </w:rPr>
        <w:t xml:space="preserve">also </w:t>
      </w:r>
      <w:r w:rsidRPr="001D0C17">
        <w:rPr>
          <w:sz w:val="24"/>
          <w:szCs w:val="24"/>
        </w:rPr>
        <w:t xml:space="preserve">be overbroad if it merely </w:t>
      </w:r>
      <w:r w:rsidR="003544AE">
        <w:rPr>
          <w:sz w:val="24"/>
          <w:szCs w:val="24"/>
        </w:rPr>
        <w:t>parrots</w:t>
      </w:r>
      <w:r w:rsidRPr="001D0C17">
        <w:rPr>
          <w:sz w:val="24"/>
          <w:szCs w:val="24"/>
        </w:rPr>
        <w:t xml:space="preserve"> </w:t>
      </w:r>
      <w:r>
        <w:rPr>
          <w:sz w:val="24"/>
          <w:szCs w:val="24"/>
        </w:rPr>
        <w:t xml:space="preserve">the </w:t>
      </w:r>
      <w:r w:rsidR="003544AE">
        <w:rPr>
          <w:sz w:val="24"/>
          <w:szCs w:val="24"/>
        </w:rPr>
        <w:t xml:space="preserve">criteria described in </w:t>
      </w:r>
      <w:r>
        <w:rPr>
          <w:sz w:val="24"/>
          <w:szCs w:val="24"/>
        </w:rPr>
        <w:t>section</w:t>
      </w:r>
      <w:r w:rsidRPr="001D0C17">
        <w:rPr>
          <w:sz w:val="24"/>
          <w:szCs w:val="24"/>
        </w:rPr>
        <w:t xml:space="preserve"> 0.459</w:t>
      </w:r>
      <w:r w:rsidR="00B9203A">
        <w:rPr>
          <w:sz w:val="24"/>
          <w:szCs w:val="24"/>
        </w:rPr>
        <w:t>(b)</w:t>
      </w:r>
      <w:r>
        <w:rPr>
          <w:sz w:val="24"/>
          <w:szCs w:val="24"/>
        </w:rPr>
        <w:t xml:space="preserve"> </w:t>
      </w:r>
      <w:r w:rsidRPr="001D0C17">
        <w:rPr>
          <w:sz w:val="24"/>
          <w:szCs w:val="24"/>
        </w:rPr>
        <w:t xml:space="preserve">but does not actually provide the substantive </w:t>
      </w:r>
      <w:r w:rsidR="003544AE">
        <w:rPr>
          <w:sz w:val="24"/>
          <w:szCs w:val="24"/>
        </w:rPr>
        <w:t>explanation required</w:t>
      </w:r>
      <w:r w:rsidRPr="001D0C17">
        <w:rPr>
          <w:sz w:val="24"/>
          <w:szCs w:val="24"/>
        </w:rPr>
        <w:t>.</w:t>
      </w:r>
      <w:r>
        <w:rPr>
          <w:sz w:val="24"/>
          <w:szCs w:val="24"/>
        </w:rPr>
        <w:t xml:space="preserve">  All such overbroad requests are unacceptable under the Commission’s rules and will be dismissed if not appropriately narrowed in a timely manner.  </w:t>
      </w:r>
    </w:p>
    <w:p w:rsidR="00F0774C" w:rsidP="008F72AE" w14:paraId="164E871B" w14:textId="77777777">
      <w:pPr>
        <w:tabs>
          <w:tab w:val="left" w:pos="-720"/>
        </w:tabs>
        <w:suppressAutoHyphens/>
        <w:rPr>
          <w:sz w:val="24"/>
          <w:szCs w:val="24"/>
        </w:rPr>
      </w:pPr>
    </w:p>
    <w:p w:rsidR="00DA7579" w:rsidP="008F72AE" w14:paraId="5DA1CEA1" w14:textId="77777777">
      <w:pPr>
        <w:tabs>
          <w:tab w:val="left" w:pos="-720"/>
        </w:tabs>
        <w:suppressAutoHyphens/>
        <w:rPr>
          <w:sz w:val="24"/>
          <w:szCs w:val="24"/>
        </w:rPr>
      </w:pPr>
      <w:r>
        <w:rPr>
          <w:sz w:val="24"/>
          <w:szCs w:val="24"/>
        </w:rPr>
        <w:tab/>
      </w:r>
      <w:r w:rsidR="00B9203A">
        <w:rPr>
          <w:sz w:val="24"/>
          <w:szCs w:val="24"/>
        </w:rPr>
        <w:t xml:space="preserve">Parties requesting confidential treatment of materials they submit </w:t>
      </w:r>
      <w:r w:rsidR="005515C4">
        <w:rPr>
          <w:sz w:val="24"/>
          <w:szCs w:val="24"/>
        </w:rPr>
        <w:t xml:space="preserve">to the Commission </w:t>
      </w:r>
      <w:r w:rsidR="00B9203A">
        <w:rPr>
          <w:sz w:val="24"/>
          <w:szCs w:val="24"/>
        </w:rPr>
        <w:t xml:space="preserve">are required to </w:t>
      </w:r>
      <w:bookmarkEnd w:id="0"/>
      <w:r w:rsidR="00B9203A">
        <w:rPr>
          <w:sz w:val="24"/>
          <w:szCs w:val="24"/>
        </w:rPr>
        <w:t xml:space="preserve">identify </w:t>
      </w:r>
      <w:r w:rsidR="0014202A">
        <w:rPr>
          <w:sz w:val="24"/>
          <w:szCs w:val="24"/>
        </w:rPr>
        <w:t xml:space="preserve">the </w:t>
      </w:r>
      <w:r w:rsidRPr="005E6360" w:rsidR="0014202A">
        <w:rPr>
          <w:i/>
          <w:iCs/>
          <w:sz w:val="24"/>
          <w:szCs w:val="24"/>
        </w:rPr>
        <w:t>specific</w:t>
      </w:r>
      <w:r w:rsidR="0014202A">
        <w:rPr>
          <w:sz w:val="24"/>
          <w:szCs w:val="24"/>
        </w:rPr>
        <w:t xml:space="preserve"> parts </w:t>
      </w:r>
      <w:r w:rsidR="0076105A">
        <w:rPr>
          <w:sz w:val="24"/>
          <w:szCs w:val="24"/>
        </w:rPr>
        <w:t xml:space="preserve">of </w:t>
      </w:r>
      <w:r w:rsidR="00B9203A">
        <w:rPr>
          <w:sz w:val="24"/>
          <w:szCs w:val="24"/>
        </w:rPr>
        <w:t xml:space="preserve">the </w:t>
      </w:r>
      <w:r w:rsidR="0076105A">
        <w:rPr>
          <w:sz w:val="24"/>
          <w:szCs w:val="24"/>
        </w:rPr>
        <w:t xml:space="preserve">submission </w:t>
      </w:r>
      <w:r w:rsidR="0014202A">
        <w:rPr>
          <w:sz w:val="24"/>
          <w:szCs w:val="24"/>
        </w:rPr>
        <w:t>to which the confidentiality request applies</w:t>
      </w:r>
      <w:r w:rsidR="00B9203A">
        <w:rPr>
          <w:sz w:val="24"/>
          <w:szCs w:val="24"/>
        </w:rPr>
        <w:t xml:space="preserve">.  Sections </w:t>
      </w:r>
      <w:r w:rsidRPr="00DA7579" w:rsidR="00B9203A">
        <w:rPr>
          <w:sz w:val="24"/>
          <w:szCs w:val="24"/>
        </w:rPr>
        <w:t>0.459(a)(1) and (b)(1) of the Commission’s rule</w:t>
      </w:r>
      <w:r w:rsidR="00B9203A">
        <w:rPr>
          <w:sz w:val="24"/>
          <w:szCs w:val="24"/>
        </w:rPr>
        <w:t>s</w:t>
      </w:r>
      <w:r w:rsidR="0014202A">
        <w:rPr>
          <w:sz w:val="24"/>
          <w:szCs w:val="24"/>
        </w:rPr>
        <w:t xml:space="preserve"> provid</w:t>
      </w:r>
      <w:r w:rsidR="00B9203A">
        <w:rPr>
          <w:sz w:val="24"/>
          <w:szCs w:val="24"/>
        </w:rPr>
        <w:t xml:space="preserve">e, </w:t>
      </w:r>
      <w:r w:rsidR="0014202A">
        <w:rPr>
          <w:sz w:val="24"/>
          <w:szCs w:val="24"/>
        </w:rPr>
        <w:t>in part</w:t>
      </w:r>
      <w:r w:rsidRPr="00DA7579">
        <w:rPr>
          <w:sz w:val="24"/>
          <w:szCs w:val="24"/>
        </w:rPr>
        <w:t>:</w:t>
      </w:r>
    </w:p>
    <w:p w:rsidR="00F0774C" w:rsidRPr="00DA7579" w:rsidP="00DA7579" w14:paraId="2380DCB1" w14:textId="77777777">
      <w:pPr>
        <w:tabs>
          <w:tab w:val="left" w:pos="-720"/>
        </w:tabs>
        <w:suppressAutoHyphens/>
        <w:rPr>
          <w:sz w:val="24"/>
          <w:szCs w:val="24"/>
        </w:rPr>
      </w:pPr>
    </w:p>
    <w:p w:rsidR="00DA7579" w:rsidRPr="00DA7579" w:rsidP="00DA7579" w14:paraId="219F42DA" w14:textId="77777777">
      <w:pPr>
        <w:tabs>
          <w:tab w:val="left" w:pos="-720"/>
        </w:tabs>
        <w:suppressAutoHyphens/>
        <w:ind w:left="720"/>
        <w:rPr>
          <w:sz w:val="24"/>
          <w:szCs w:val="24"/>
        </w:rPr>
      </w:pPr>
      <w:r w:rsidRPr="00DA7579">
        <w:rPr>
          <w:sz w:val="24"/>
          <w:szCs w:val="24"/>
        </w:rPr>
        <w:t xml:space="preserve">If feasible, the materials to which the request applies shall be physically separated from any materials to which the request does not apply; if this is not feasible, the portion of the materials to which the request applies shall be identified. </w:t>
      </w:r>
      <w:r>
        <w:rPr>
          <w:sz w:val="24"/>
          <w:szCs w:val="24"/>
        </w:rPr>
        <w:t xml:space="preserve"> </w:t>
      </w:r>
      <w:r w:rsidRPr="00DA7579">
        <w:rPr>
          <w:sz w:val="24"/>
          <w:szCs w:val="24"/>
        </w:rPr>
        <w:t>In the latter circumstance, where confidential treatment is sought only for a portion of a document, the person submitting the document shall submit a redacted version for the public file.</w:t>
      </w:r>
      <w:r>
        <w:rPr>
          <w:rStyle w:val="FootnoteReference"/>
          <w:sz w:val="24"/>
          <w:szCs w:val="24"/>
        </w:rPr>
        <w:footnoteReference w:id="7"/>
      </w:r>
      <w:r w:rsidRPr="00DA7579">
        <w:rPr>
          <w:sz w:val="24"/>
          <w:szCs w:val="24"/>
        </w:rPr>
        <w:t xml:space="preserve">  </w:t>
      </w:r>
    </w:p>
    <w:p w:rsidR="00DA7579" w:rsidRPr="00DA7579" w:rsidP="00DA7579" w14:paraId="75D462C9" w14:textId="77777777">
      <w:pPr>
        <w:tabs>
          <w:tab w:val="left" w:pos="-720"/>
        </w:tabs>
        <w:suppressAutoHyphens/>
        <w:rPr>
          <w:sz w:val="24"/>
          <w:szCs w:val="24"/>
        </w:rPr>
      </w:pPr>
      <w:r w:rsidRPr="00DA7579">
        <w:rPr>
          <w:sz w:val="24"/>
          <w:szCs w:val="24"/>
        </w:rPr>
        <w:t>and</w:t>
      </w:r>
    </w:p>
    <w:p w:rsidR="00DA7579" w:rsidP="00272E62" w14:paraId="6FDE9EB2" w14:textId="5D0AD582">
      <w:pPr>
        <w:tabs>
          <w:tab w:val="left" w:pos="-720"/>
        </w:tabs>
        <w:suppressAutoHyphens/>
        <w:spacing w:after="120"/>
        <w:ind w:left="720"/>
        <w:rPr>
          <w:sz w:val="24"/>
          <w:szCs w:val="24"/>
        </w:rPr>
      </w:pPr>
      <w:r w:rsidRPr="00DA7579">
        <w:rPr>
          <w:sz w:val="24"/>
          <w:szCs w:val="24"/>
        </w:rPr>
        <w:t xml:space="preserve">[Each such request shall include] [i]dentification of the specific information </w:t>
      </w:r>
      <w:r w:rsidR="003101FF">
        <w:rPr>
          <w:sz w:val="24"/>
          <w:szCs w:val="24"/>
        </w:rPr>
        <w:t>for</w:t>
      </w:r>
      <w:r w:rsidRPr="00DA7579">
        <w:rPr>
          <w:sz w:val="24"/>
          <w:szCs w:val="24"/>
        </w:rPr>
        <w:t xml:space="preserve"> which confidential treatment is sought.</w:t>
      </w:r>
      <w:r>
        <w:rPr>
          <w:rStyle w:val="FootnoteReference"/>
          <w:sz w:val="24"/>
          <w:szCs w:val="24"/>
        </w:rPr>
        <w:footnoteReference w:id="8"/>
      </w:r>
      <w:r w:rsidRPr="00DA7579">
        <w:rPr>
          <w:sz w:val="24"/>
          <w:szCs w:val="24"/>
        </w:rPr>
        <w:t xml:space="preserve"> </w:t>
      </w:r>
    </w:p>
    <w:p w:rsidR="00272E62" w:rsidP="00C77CE0" w14:paraId="4A7AFF3C" w14:textId="77777777">
      <w:pPr>
        <w:rPr>
          <w:sz w:val="24"/>
          <w:szCs w:val="24"/>
        </w:rPr>
      </w:pPr>
      <w:r>
        <w:rPr>
          <w:sz w:val="24"/>
          <w:szCs w:val="24"/>
        </w:rPr>
        <w:t xml:space="preserve">Information for which confidential treatment is requested may be identified by use of highlighting, brackets, or </w:t>
      </w:r>
      <w:r w:rsidR="00FD17D6">
        <w:rPr>
          <w:sz w:val="24"/>
          <w:szCs w:val="24"/>
        </w:rPr>
        <w:t xml:space="preserve">any </w:t>
      </w:r>
      <w:r>
        <w:rPr>
          <w:sz w:val="24"/>
          <w:szCs w:val="24"/>
        </w:rPr>
        <w:t xml:space="preserve">other means that clearly distinguishes between the confidential and non-confidential portions of the submission.  </w:t>
      </w:r>
      <w:r>
        <w:rPr>
          <w:sz w:val="24"/>
          <w:szCs w:val="24"/>
        </w:rPr>
        <w:t xml:space="preserve">  </w:t>
      </w:r>
    </w:p>
    <w:p w:rsidR="00277F6F" w:rsidP="00C77CE0" w14:paraId="6B9E8247" w14:textId="77777777">
      <w:pPr>
        <w:rPr>
          <w:sz w:val="24"/>
          <w:szCs w:val="24"/>
        </w:rPr>
      </w:pPr>
    </w:p>
    <w:p w:rsidR="00620673" w:rsidP="00DF19E0" w14:paraId="3AF8C3B2" w14:textId="77777777">
      <w:pPr>
        <w:spacing w:after="120"/>
        <w:rPr>
          <w:sz w:val="24"/>
          <w:szCs w:val="24"/>
        </w:rPr>
      </w:pPr>
      <w:r>
        <w:rPr>
          <w:b/>
          <w:bCs/>
          <w:sz w:val="24"/>
          <w:szCs w:val="24"/>
          <w:u w:val="single"/>
        </w:rPr>
        <w:t xml:space="preserve">Information for </w:t>
      </w:r>
      <w:r w:rsidR="00B9203A">
        <w:rPr>
          <w:b/>
          <w:bCs/>
          <w:sz w:val="24"/>
          <w:szCs w:val="24"/>
          <w:u w:val="single"/>
        </w:rPr>
        <w:t>W</w:t>
      </w:r>
      <w:r>
        <w:rPr>
          <w:b/>
          <w:bCs/>
          <w:sz w:val="24"/>
          <w:szCs w:val="24"/>
          <w:u w:val="single"/>
        </w:rPr>
        <w:t xml:space="preserve">hich </w:t>
      </w:r>
      <w:r w:rsidR="00D2151C">
        <w:rPr>
          <w:b/>
          <w:bCs/>
          <w:sz w:val="24"/>
          <w:szCs w:val="24"/>
          <w:u w:val="single"/>
        </w:rPr>
        <w:t>R</w:t>
      </w:r>
      <w:r>
        <w:rPr>
          <w:b/>
          <w:bCs/>
          <w:sz w:val="24"/>
          <w:szCs w:val="24"/>
          <w:u w:val="single"/>
        </w:rPr>
        <w:t xml:space="preserve">equests for </w:t>
      </w:r>
      <w:r w:rsidR="00D2151C">
        <w:rPr>
          <w:b/>
          <w:bCs/>
          <w:sz w:val="24"/>
          <w:szCs w:val="24"/>
          <w:u w:val="single"/>
        </w:rPr>
        <w:t>C</w:t>
      </w:r>
      <w:r>
        <w:rPr>
          <w:b/>
          <w:bCs/>
          <w:sz w:val="24"/>
          <w:szCs w:val="24"/>
          <w:u w:val="single"/>
        </w:rPr>
        <w:t xml:space="preserve">onfidential </w:t>
      </w:r>
      <w:r w:rsidR="00D2151C">
        <w:rPr>
          <w:b/>
          <w:bCs/>
          <w:sz w:val="24"/>
          <w:szCs w:val="24"/>
          <w:u w:val="single"/>
        </w:rPr>
        <w:t>T</w:t>
      </w:r>
      <w:r>
        <w:rPr>
          <w:b/>
          <w:bCs/>
          <w:sz w:val="24"/>
          <w:szCs w:val="24"/>
          <w:u w:val="single"/>
        </w:rPr>
        <w:t xml:space="preserve">reatment </w:t>
      </w:r>
      <w:r w:rsidR="00D2151C">
        <w:rPr>
          <w:b/>
          <w:bCs/>
          <w:sz w:val="24"/>
          <w:szCs w:val="24"/>
          <w:u w:val="single"/>
        </w:rPr>
        <w:t>W</w:t>
      </w:r>
      <w:r>
        <w:rPr>
          <w:b/>
          <w:bCs/>
          <w:sz w:val="24"/>
          <w:szCs w:val="24"/>
          <w:u w:val="single"/>
        </w:rPr>
        <w:t xml:space="preserve">ill </w:t>
      </w:r>
      <w:r w:rsidR="00D2151C">
        <w:rPr>
          <w:b/>
          <w:bCs/>
          <w:sz w:val="24"/>
          <w:szCs w:val="24"/>
          <w:u w:val="single"/>
        </w:rPr>
        <w:t>N</w:t>
      </w:r>
      <w:r>
        <w:rPr>
          <w:b/>
          <w:bCs/>
          <w:sz w:val="24"/>
          <w:szCs w:val="24"/>
          <w:u w:val="single"/>
        </w:rPr>
        <w:t xml:space="preserve">ot </w:t>
      </w:r>
      <w:r w:rsidR="00D2151C">
        <w:rPr>
          <w:b/>
          <w:bCs/>
          <w:sz w:val="24"/>
          <w:szCs w:val="24"/>
          <w:u w:val="single"/>
        </w:rPr>
        <w:t>B</w:t>
      </w:r>
      <w:r>
        <w:rPr>
          <w:b/>
          <w:bCs/>
          <w:sz w:val="24"/>
          <w:szCs w:val="24"/>
          <w:u w:val="single"/>
        </w:rPr>
        <w:t xml:space="preserve">e </w:t>
      </w:r>
      <w:r w:rsidR="00D2151C">
        <w:rPr>
          <w:b/>
          <w:bCs/>
          <w:sz w:val="24"/>
          <w:szCs w:val="24"/>
          <w:u w:val="single"/>
        </w:rPr>
        <w:t>G</w:t>
      </w:r>
      <w:r>
        <w:rPr>
          <w:b/>
          <w:bCs/>
          <w:sz w:val="24"/>
          <w:szCs w:val="24"/>
          <w:u w:val="single"/>
        </w:rPr>
        <w:t>ranted</w:t>
      </w:r>
    </w:p>
    <w:p w:rsidR="005515C4" w:rsidP="00C77CE0" w14:paraId="74785EB3" w14:textId="65210430">
      <w:pPr>
        <w:rPr>
          <w:sz w:val="24"/>
          <w:szCs w:val="24"/>
        </w:rPr>
      </w:pPr>
      <w:r>
        <w:rPr>
          <w:sz w:val="24"/>
          <w:szCs w:val="24"/>
        </w:rPr>
        <w:tab/>
      </w:r>
      <w:r w:rsidR="002A2641">
        <w:rPr>
          <w:sz w:val="24"/>
          <w:szCs w:val="24"/>
        </w:rPr>
        <w:t>In order to be withheld from routine public inspection under section 0.459 of the Commission’s rules,</w:t>
      </w:r>
      <w:r>
        <w:rPr>
          <w:rStyle w:val="FootnoteReference"/>
          <w:szCs w:val="24"/>
        </w:rPr>
        <w:footnoteReference w:id="9"/>
      </w:r>
      <w:r w:rsidR="002A2641">
        <w:rPr>
          <w:sz w:val="24"/>
          <w:szCs w:val="24"/>
        </w:rPr>
        <w:t xml:space="preserve"> the information must actually be confidential.  </w:t>
      </w:r>
      <w:r w:rsidR="003544AE">
        <w:rPr>
          <w:sz w:val="24"/>
          <w:szCs w:val="24"/>
        </w:rPr>
        <w:t>We provide</w:t>
      </w:r>
      <w:r>
        <w:rPr>
          <w:sz w:val="24"/>
          <w:szCs w:val="24"/>
        </w:rPr>
        <w:t xml:space="preserve"> below some common examples of categories not warranting confidential treatment and for which requests for confidentiality will not be granted.</w:t>
      </w:r>
    </w:p>
    <w:p w:rsidR="005515C4" w:rsidP="00C77CE0" w14:paraId="48D5ED77" w14:textId="77777777">
      <w:pPr>
        <w:rPr>
          <w:sz w:val="24"/>
          <w:szCs w:val="24"/>
        </w:rPr>
      </w:pPr>
    </w:p>
    <w:p w:rsidR="00E10629" w:rsidP="00DF19E0" w14:paraId="5203D28F" w14:textId="0B63CF41">
      <w:pPr>
        <w:ind w:firstLine="720"/>
        <w:rPr>
          <w:sz w:val="24"/>
          <w:szCs w:val="24"/>
        </w:rPr>
      </w:pPr>
      <w:r w:rsidRPr="00811545">
        <w:rPr>
          <w:i/>
          <w:iCs/>
          <w:sz w:val="24"/>
          <w:szCs w:val="24"/>
        </w:rPr>
        <w:t>Public information</w:t>
      </w:r>
      <w:r w:rsidR="00811545">
        <w:rPr>
          <w:sz w:val="24"/>
          <w:szCs w:val="24"/>
        </w:rPr>
        <w:t>.</w:t>
      </w:r>
      <w:r>
        <w:rPr>
          <w:sz w:val="24"/>
          <w:szCs w:val="24"/>
        </w:rPr>
        <w:t xml:space="preserve">  </w:t>
      </w:r>
      <w:r w:rsidRPr="009460A4" w:rsidR="009460A4">
        <w:rPr>
          <w:sz w:val="24"/>
          <w:szCs w:val="24"/>
        </w:rPr>
        <w:t xml:space="preserve">Information that has already been made public is not confidential, as that term is used in </w:t>
      </w:r>
      <w:r w:rsidR="00FE7141">
        <w:rPr>
          <w:sz w:val="24"/>
          <w:szCs w:val="24"/>
        </w:rPr>
        <w:t>the Commission’s</w:t>
      </w:r>
      <w:r w:rsidRPr="009460A4" w:rsidR="009460A4">
        <w:rPr>
          <w:sz w:val="24"/>
          <w:szCs w:val="24"/>
        </w:rPr>
        <w:t xml:space="preserve"> rules.</w:t>
      </w:r>
      <w:r w:rsidR="009460A4">
        <w:rPr>
          <w:sz w:val="24"/>
          <w:szCs w:val="24"/>
        </w:rPr>
        <w:t xml:space="preserve">  </w:t>
      </w:r>
      <w:r w:rsidR="008209EF">
        <w:rPr>
          <w:sz w:val="24"/>
          <w:szCs w:val="24"/>
        </w:rPr>
        <w:t>For example, i</w:t>
      </w:r>
      <w:r>
        <w:rPr>
          <w:sz w:val="24"/>
          <w:szCs w:val="24"/>
        </w:rPr>
        <w:t xml:space="preserve">nformation freely available on websites, contained in </w:t>
      </w:r>
      <w:r>
        <w:rPr>
          <w:sz w:val="24"/>
          <w:szCs w:val="24"/>
        </w:rPr>
        <w:t xml:space="preserve">widely distributed </w:t>
      </w:r>
      <w:r>
        <w:rPr>
          <w:sz w:val="24"/>
          <w:szCs w:val="24"/>
        </w:rPr>
        <w:t>brochures</w:t>
      </w:r>
      <w:r>
        <w:rPr>
          <w:sz w:val="24"/>
          <w:szCs w:val="24"/>
        </w:rPr>
        <w:t xml:space="preserve">, publicly filed with other government agencies, or available from other public sources, such as newspapers, is </w:t>
      </w:r>
      <w:r w:rsidR="00B422A1">
        <w:rPr>
          <w:sz w:val="24"/>
          <w:szCs w:val="24"/>
        </w:rPr>
        <w:t xml:space="preserve">not confidential </w:t>
      </w:r>
      <w:r>
        <w:rPr>
          <w:sz w:val="24"/>
          <w:szCs w:val="24"/>
        </w:rPr>
        <w:t>information</w:t>
      </w:r>
      <w:r w:rsidR="00811545">
        <w:rPr>
          <w:sz w:val="24"/>
          <w:szCs w:val="24"/>
        </w:rPr>
        <w:t xml:space="preserve">.  </w:t>
      </w:r>
      <w:r w:rsidR="002A2641">
        <w:rPr>
          <w:sz w:val="24"/>
          <w:szCs w:val="24"/>
        </w:rPr>
        <w:t>Accordingly, t</w:t>
      </w:r>
      <w:r>
        <w:rPr>
          <w:sz w:val="24"/>
          <w:szCs w:val="24"/>
        </w:rPr>
        <w:t xml:space="preserve">he Bureau will not grant </w:t>
      </w:r>
      <w:r w:rsidR="00FD17D6">
        <w:rPr>
          <w:sz w:val="24"/>
          <w:szCs w:val="24"/>
        </w:rPr>
        <w:t xml:space="preserve">a </w:t>
      </w:r>
      <w:r>
        <w:rPr>
          <w:sz w:val="24"/>
          <w:szCs w:val="24"/>
        </w:rPr>
        <w:t xml:space="preserve">request that </w:t>
      </w:r>
      <w:r w:rsidR="00811545">
        <w:rPr>
          <w:sz w:val="24"/>
          <w:szCs w:val="24"/>
        </w:rPr>
        <w:t>public information</w:t>
      </w:r>
      <w:r>
        <w:rPr>
          <w:sz w:val="24"/>
          <w:szCs w:val="24"/>
        </w:rPr>
        <w:t xml:space="preserve"> be </w:t>
      </w:r>
      <w:r w:rsidR="00B9203A">
        <w:rPr>
          <w:sz w:val="24"/>
          <w:szCs w:val="24"/>
        </w:rPr>
        <w:t>withheld from public inspection</w:t>
      </w:r>
      <w:r>
        <w:rPr>
          <w:sz w:val="24"/>
          <w:szCs w:val="24"/>
        </w:rPr>
        <w:t>.</w:t>
      </w:r>
    </w:p>
    <w:p w:rsidR="00E10629" w:rsidP="00C77CE0" w14:paraId="77B19A1A" w14:textId="77777777">
      <w:pPr>
        <w:rPr>
          <w:sz w:val="24"/>
          <w:szCs w:val="24"/>
        </w:rPr>
      </w:pPr>
    </w:p>
    <w:p w:rsidR="0082158E" w:rsidP="00DF19E0" w14:paraId="7371D5B2" w14:textId="491B2AB6">
      <w:pPr>
        <w:widowControl/>
        <w:rPr>
          <w:sz w:val="24"/>
          <w:szCs w:val="24"/>
        </w:rPr>
      </w:pPr>
      <w:r>
        <w:rPr>
          <w:sz w:val="24"/>
          <w:szCs w:val="24"/>
        </w:rPr>
        <w:tab/>
      </w:r>
      <w:r w:rsidRPr="00811545">
        <w:rPr>
          <w:i/>
          <w:iCs/>
          <w:sz w:val="24"/>
          <w:szCs w:val="24"/>
        </w:rPr>
        <w:t>Legal arguments</w:t>
      </w:r>
      <w:r w:rsidR="00811545">
        <w:rPr>
          <w:sz w:val="24"/>
          <w:szCs w:val="24"/>
        </w:rPr>
        <w:t>.</w:t>
      </w:r>
      <w:r>
        <w:rPr>
          <w:sz w:val="24"/>
          <w:szCs w:val="24"/>
        </w:rPr>
        <w:t xml:space="preserve">  </w:t>
      </w:r>
      <w:r w:rsidR="00811545">
        <w:rPr>
          <w:sz w:val="24"/>
          <w:szCs w:val="24"/>
        </w:rPr>
        <w:t>Argument</w:t>
      </w:r>
      <w:r w:rsidR="003544AE">
        <w:rPr>
          <w:sz w:val="24"/>
          <w:szCs w:val="24"/>
        </w:rPr>
        <w:t>s</w:t>
      </w:r>
      <w:r w:rsidR="00811545">
        <w:rPr>
          <w:sz w:val="24"/>
          <w:szCs w:val="24"/>
        </w:rPr>
        <w:t xml:space="preserve"> contained in a party’s response to the Bureau’s inquiries are</w:t>
      </w:r>
      <w:r w:rsidR="002A2641">
        <w:rPr>
          <w:sz w:val="24"/>
          <w:szCs w:val="24"/>
        </w:rPr>
        <w:t>,</w:t>
      </w:r>
      <w:r w:rsidR="00811545">
        <w:rPr>
          <w:sz w:val="24"/>
          <w:szCs w:val="24"/>
        </w:rPr>
        <w:t xml:space="preserve"> by themselves</w:t>
      </w:r>
      <w:r w:rsidR="002A2641">
        <w:rPr>
          <w:sz w:val="24"/>
          <w:szCs w:val="24"/>
        </w:rPr>
        <w:t>,</w:t>
      </w:r>
      <w:r w:rsidR="00811545">
        <w:rPr>
          <w:sz w:val="24"/>
          <w:szCs w:val="24"/>
        </w:rPr>
        <w:t xml:space="preserve"> not confidential.  </w:t>
      </w:r>
      <w:r>
        <w:rPr>
          <w:sz w:val="24"/>
          <w:szCs w:val="24"/>
        </w:rPr>
        <w:t xml:space="preserve">While legal arguments </w:t>
      </w:r>
      <w:r w:rsidR="00C46187">
        <w:rPr>
          <w:sz w:val="24"/>
          <w:szCs w:val="24"/>
        </w:rPr>
        <w:t xml:space="preserve">contained in responses to letters of inquiry </w:t>
      </w:r>
      <w:r>
        <w:rPr>
          <w:sz w:val="24"/>
          <w:szCs w:val="24"/>
        </w:rPr>
        <w:t xml:space="preserve">may </w:t>
      </w:r>
      <w:r w:rsidR="00C46187">
        <w:rPr>
          <w:sz w:val="24"/>
          <w:szCs w:val="24"/>
        </w:rPr>
        <w:t xml:space="preserve">sometimes </w:t>
      </w:r>
      <w:r>
        <w:rPr>
          <w:sz w:val="24"/>
          <w:szCs w:val="24"/>
        </w:rPr>
        <w:t>contain confidential commercial or financial</w:t>
      </w:r>
      <w:r w:rsidR="00C46187">
        <w:rPr>
          <w:sz w:val="24"/>
          <w:szCs w:val="24"/>
        </w:rPr>
        <w:t xml:space="preserve"> </w:t>
      </w:r>
      <w:r>
        <w:rPr>
          <w:sz w:val="24"/>
          <w:szCs w:val="24"/>
        </w:rPr>
        <w:t>information</w:t>
      </w:r>
      <w:r w:rsidR="00C51F9E">
        <w:rPr>
          <w:sz w:val="24"/>
          <w:szCs w:val="24"/>
        </w:rPr>
        <w:t xml:space="preserve">, the Bureau </w:t>
      </w:r>
      <w:r w:rsidR="00C46187">
        <w:rPr>
          <w:sz w:val="24"/>
          <w:szCs w:val="24"/>
        </w:rPr>
        <w:t>will not grant requests that the argument</w:t>
      </w:r>
      <w:r w:rsidR="00B422A1">
        <w:rPr>
          <w:sz w:val="24"/>
          <w:szCs w:val="24"/>
        </w:rPr>
        <w:t>s</w:t>
      </w:r>
      <w:r w:rsidR="00C46187">
        <w:rPr>
          <w:sz w:val="24"/>
          <w:szCs w:val="24"/>
        </w:rPr>
        <w:t xml:space="preserve"> </w:t>
      </w:r>
      <w:r w:rsidR="00B422A1">
        <w:rPr>
          <w:sz w:val="24"/>
          <w:szCs w:val="24"/>
        </w:rPr>
        <w:t xml:space="preserve">themselves </w:t>
      </w:r>
      <w:r w:rsidR="00C46187">
        <w:rPr>
          <w:sz w:val="24"/>
          <w:szCs w:val="24"/>
        </w:rPr>
        <w:t>be treated as confidential.</w:t>
      </w:r>
      <w:bookmarkStart w:id="1" w:name="_GoBack"/>
      <w:bookmarkEnd w:id="1"/>
      <w:r w:rsidR="00C46187">
        <w:rPr>
          <w:sz w:val="24"/>
          <w:szCs w:val="24"/>
        </w:rPr>
        <w:t xml:space="preserve">  Any commercial </w:t>
      </w:r>
      <w:r w:rsidR="00C46187">
        <w:rPr>
          <w:sz w:val="24"/>
          <w:szCs w:val="24"/>
        </w:rPr>
        <w:t>or financial information contained in an argument for which a party seeks confidential treatment must be specifically identified</w:t>
      </w:r>
      <w:r w:rsidR="00F0774C">
        <w:rPr>
          <w:sz w:val="24"/>
          <w:szCs w:val="24"/>
        </w:rPr>
        <w:t xml:space="preserve"> and </w:t>
      </w:r>
      <w:r w:rsidR="002A2641">
        <w:rPr>
          <w:sz w:val="24"/>
          <w:szCs w:val="24"/>
        </w:rPr>
        <w:t xml:space="preserve">clearly </w:t>
      </w:r>
      <w:r w:rsidR="00F0774C">
        <w:rPr>
          <w:sz w:val="24"/>
          <w:szCs w:val="24"/>
        </w:rPr>
        <w:t>marked</w:t>
      </w:r>
      <w:r w:rsidR="00811545">
        <w:rPr>
          <w:sz w:val="24"/>
          <w:szCs w:val="24"/>
        </w:rPr>
        <w:t xml:space="preserve"> as such</w:t>
      </w:r>
      <w:r w:rsidR="00C46187">
        <w:rPr>
          <w:sz w:val="24"/>
          <w:szCs w:val="24"/>
        </w:rPr>
        <w:t xml:space="preserve">. </w:t>
      </w:r>
    </w:p>
    <w:p w:rsidR="00C46187" w:rsidP="00C77CE0" w14:paraId="71201069" w14:textId="77777777">
      <w:pPr>
        <w:rPr>
          <w:sz w:val="24"/>
          <w:szCs w:val="24"/>
        </w:rPr>
      </w:pPr>
    </w:p>
    <w:p w:rsidR="0082158E" w:rsidP="005E6360" w14:paraId="76228AFF" w14:textId="4528FAC9">
      <w:pPr>
        <w:widowControl/>
        <w:rPr>
          <w:sz w:val="24"/>
          <w:szCs w:val="24"/>
        </w:rPr>
      </w:pPr>
      <w:r>
        <w:rPr>
          <w:sz w:val="24"/>
          <w:szCs w:val="24"/>
        </w:rPr>
        <w:tab/>
      </w:r>
      <w:r w:rsidRPr="00DF19E0" w:rsidR="00811545">
        <w:rPr>
          <w:i/>
          <w:sz w:val="24"/>
        </w:rPr>
        <w:t xml:space="preserve">Existence of </w:t>
      </w:r>
      <w:r w:rsidR="00811545">
        <w:rPr>
          <w:i/>
          <w:iCs/>
          <w:sz w:val="24"/>
          <w:szCs w:val="24"/>
        </w:rPr>
        <w:t>Investigation</w:t>
      </w:r>
      <w:r w:rsidR="00811545">
        <w:rPr>
          <w:sz w:val="24"/>
          <w:szCs w:val="24"/>
        </w:rPr>
        <w:t xml:space="preserve">.  </w:t>
      </w:r>
      <w:r w:rsidR="00A0402D">
        <w:rPr>
          <w:sz w:val="24"/>
          <w:szCs w:val="24"/>
        </w:rPr>
        <w:t>The e</w:t>
      </w:r>
      <w:r w:rsidR="00D10C32">
        <w:rPr>
          <w:sz w:val="24"/>
          <w:szCs w:val="24"/>
        </w:rPr>
        <w:t>xistence of a</w:t>
      </w:r>
      <w:r w:rsidR="00A0402D">
        <w:rPr>
          <w:sz w:val="24"/>
          <w:szCs w:val="24"/>
        </w:rPr>
        <w:t>n Enforcement</w:t>
      </w:r>
      <w:r w:rsidR="00D10C32">
        <w:rPr>
          <w:sz w:val="24"/>
          <w:szCs w:val="24"/>
        </w:rPr>
        <w:t xml:space="preserve"> Bureau or </w:t>
      </w:r>
      <w:r w:rsidR="00A0402D">
        <w:rPr>
          <w:sz w:val="24"/>
          <w:szCs w:val="24"/>
        </w:rPr>
        <w:t>FCC</w:t>
      </w:r>
      <w:r w:rsidR="00D10C32">
        <w:rPr>
          <w:sz w:val="24"/>
          <w:szCs w:val="24"/>
        </w:rPr>
        <w:t xml:space="preserve"> inquiry or investigation</w:t>
      </w:r>
      <w:r w:rsidR="00A0402D">
        <w:rPr>
          <w:sz w:val="24"/>
          <w:szCs w:val="24"/>
        </w:rPr>
        <w:t xml:space="preserve"> </w:t>
      </w:r>
      <w:r w:rsidR="002A2641">
        <w:rPr>
          <w:sz w:val="24"/>
          <w:szCs w:val="24"/>
        </w:rPr>
        <w:t>is not a basis for a party to request that an entire submission be treated as confidential</w:t>
      </w:r>
      <w:r w:rsidR="00A0402D">
        <w:rPr>
          <w:sz w:val="24"/>
          <w:szCs w:val="24"/>
        </w:rPr>
        <w:t>.</w:t>
      </w:r>
      <w:r w:rsidR="00FA03A9">
        <w:rPr>
          <w:sz w:val="24"/>
          <w:szCs w:val="24"/>
        </w:rPr>
        <w:t xml:space="preserve"> </w:t>
      </w:r>
      <w:r w:rsidR="00A0402D">
        <w:rPr>
          <w:sz w:val="24"/>
          <w:szCs w:val="24"/>
        </w:rPr>
        <w:t xml:space="preserve"> </w:t>
      </w:r>
      <w:r w:rsidR="00D10C32">
        <w:rPr>
          <w:sz w:val="24"/>
          <w:szCs w:val="24"/>
        </w:rPr>
        <w:t>T</w:t>
      </w:r>
      <w:r w:rsidR="00FA03A9">
        <w:rPr>
          <w:sz w:val="24"/>
          <w:szCs w:val="24"/>
        </w:rPr>
        <w:t xml:space="preserve">he </w:t>
      </w:r>
      <w:r w:rsidR="00D10C32">
        <w:rPr>
          <w:sz w:val="24"/>
          <w:szCs w:val="24"/>
        </w:rPr>
        <w:t xml:space="preserve">Commission </w:t>
      </w:r>
      <w:r w:rsidR="00FA03A9">
        <w:rPr>
          <w:sz w:val="24"/>
          <w:szCs w:val="24"/>
        </w:rPr>
        <w:t xml:space="preserve">may reveal </w:t>
      </w:r>
      <w:r w:rsidR="00D10C32">
        <w:rPr>
          <w:sz w:val="24"/>
          <w:szCs w:val="24"/>
        </w:rPr>
        <w:t xml:space="preserve">to the public </w:t>
      </w:r>
      <w:r w:rsidR="00FA03A9">
        <w:rPr>
          <w:sz w:val="24"/>
          <w:szCs w:val="24"/>
        </w:rPr>
        <w:t xml:space="preserve">its actions, such as the initiation </w:t>
      </w:r>
      <w:r w:rsidR="00F0774C">
        <w:rPr>
          <w:sz w:val="24"/>
          <w:szCs w:val="24"/>
        </w:rPr>
        <w:t>or result</w:t>
      </w:r>
      <w:r w:rsidR="00B422A1">
        <w:rPr>
          <w:sz w:val="24"/>
          <w:szCs w:val="24"/>
        </w:rPr>
        <w:t>s</w:t>
      </w:r>
      <w:r w:rsidR="00F0774C">
        <w:rPr>
          <w:sz w:val="24"/>
          <w:szCs w:val="24"/>
        </w:rPr>
        <w:t xml:space="preserve"> </w:t>
      </w:r>
      <w:r w:rsidR="00FA03A9">
        <w:rPr>
          <w:sz w:val="24"/>
          <w:szCs w:val="24"/>
        </w:rPr>
        <w:t>of an investigation.</w:t>
      </w:r>
      <w:r w:rsidR="00D10C32">
        <w:rPr>
          <w:sz w:val="24"/>
          <w:szCs w:val="24"/>
        </w:rPr>
        <w:t xml:space="preserve">  </w:t>
      </w:r>
      <w:r w:rsidR="00FA03A9">
        <w:rPr>
          <w:sz w:val="24"/>
          <w:szCs w:val="24"/>
        </w:rPr>
        <w:t xml:space="preserve">The Bureau therefore does not consider the </w:t>
      </w:r>
      <w:r w:rsidR="00A0402D">
        <w:rPr>
          <w:sz w:val="24"/>
          <w:szCs w:val="24"/>
        </w:rPr>
        <w:t xml:space="preserve">mere </w:t>
      </w:r>
      <w:r w:rsidR="00FA03A9">
        <w:rPr>
          <w:sz w:val="24"/>
          <w:szCs w:val="24"/>
        </w:rPr>
        <w:t xml:space="preserve">existence of a Bureau inquiry to be </w:t>
      </w:r>
      <w:r w:rsidR="00D10C32">
        <w:rPr>
          <w:sz w:val="24"/>
          <w:szCs w:val="24"/>
        </w:rPr>
        <w:t xml:space="preserve">a party’s </w:t>
      </w:r>
      <w:r w:rsidR="00FA03A9">
        <w:rPr>
          <w:sz w:val="24"/>
          <w:szCs w:val="24"/>
        </w:rPr>
        <w:t xml:space="preserve">confidential business or financial information </w:t>
      </w:r>
      <w:r w:rsidR="00D10C32">
        <w:rPr>
          <w:sz w:val="24"/>
          <w:szCs w:val="24"/>
        </w:rPr>
        <w:t xml:space="preserve">that is protected from public disclosure </w:t>
      </w:r>
      <w:r w:rsidR="00FA03A9">
        <w:rPr>
          <w:sz w:val="24"/>
          <w:szCs w:val="24"/>
        </w:rPr>
        <w:t>under section 0.459 of the Commission’s rules</w:t>
      </w:r>
      <w:r w:rsidR="008209EF">
        <w:rPr>
          <w:sz w:val="24"/>
          <w:szCs w:val="24"/>
        </w:rPr>
        <w:t>.</w:t>
      </w:r>
      <w:r>
        <w:rPr>
          <w:rStyle w:val="FootnoteReference"/>
          <w:szCs w:val="24"/>
        </w:rPr>
        <w:footnoteReference w:id="10"/>
      </w:r>
      <w:r w:rsidR="008209EF">
        <w:rPr>
          <w:sz w:val="24"/>
          <w:szCs w:val="24"/>
        </w:rPr>
        <w:t xml:space="preserve">  A</w:t>
      </w:r>
      <w:r w:rsidR="00D10C32">
        <w:rPr>
          <w:sz w:val="24"/>
          <w:szCs w:val="24"/>
        </w:rPr>
        <w:t xml:space="preserve">ccordingly, </w:t>
      </w:r>
      <w:r w:rsidR="008209EF">
        <w:rPr>
          <w:sz w:val="24"/>
          <w:szCs w:val="24"/>
        </w:rPr>
        <w:t xml:space="preserve">the Bureau </w:t>
      </w:r>
      <w:r w:rsidR="00FA03A9">
        <w:rPr>
          <w:sz w:val="24"/>
          <w:szCs w:val="24"/>
        </w:rPr>
        <w:t xml:space="preserve">will </w:t>
      </w:r>
      <w:r w:rsidR="00D10C32">
        <w:rPr>
          <w:sz w:val="24"/>
          <w:szCs w:val="24"/>
        </w:rPr>
        <w:t xml:space="preserve">not grant </w:t>
      </w:r>
      <w:r w:rsidR="00FA03A9">
        <w:rPr>
          <w:sz w:val="24"/>
          <w:szCs w:val="24"/>
        </w:rPr>
        <w:t xml:space="preserve">requests for confidential treatment </w:t>
      </w:r>
      <w:r w:rsidR="00D10C32">
        <w:rPr>
          <w:sz w:val="24"/>
          <w:szCs w:val="24"/>
        </w:rPr>
        <w:t xml:space="preserve">under section 0.459 for </w:t>
      </w:r>
      <w:r w:rsidR="00FA03A9">
        <w:rPr>
          <w:sz w:val="24"/>
          <w:szCs w:val="24"/>
        </w:rPr>
        <w:t>responses</w:t>
      </w:r>
      <w:r w:rsidR="00FD17D6">
        <w:rPr>
          <w:sz w:val="24"/>
          <w:szCs w:val="24"/>
        </w:rPr>
        <w:t xml:space="preserve">, or parts of responses, </w:t>
      </w:r>
      <w:r w:rsidR="00FA03A9">
        <w:rPr>
          <w:sz w:val="24"/>
          <w:szCs w:val="24"/>
        </w:rPr>
        <w:t xml:space="preserve">to letters of inquiry on </w:t>
      </w:r>
      <w:r w:rsidR="00D10C32">
        <w:rPr>
          <w:sz w:val="24"/>
          <w:szCs w:val="24"/>
        </w:rPr>
        <w:t>the basis that they reveal the existence of a Bureau or Commission investigation</w:t>
      </w:r>
      <w:bookmarkStart w:id="2" w:name="_Hlk42266775"/>
      <w:r w:rsidR="00A0402D">
        <w:rPr>
          <w:sz w:val="24"/>
          <w:szCs w:val="24"/>
        </w:rPr>
        <w:t>.  Additionally, t</w:t>
      </w:r>
      <w:r w:rsidR="00B51A9A">
        <w:rPr>
          <w:sz w:val="24"/>
          <w:szCs w:val="24"/>
        </w:rPr>
        <w:t>he Bureau may</w:t>
      </w:r>
      <w:r w:rsidR="00A910B8">
        <w:rPr>
          <w:sz w:val="24"/>
          <w:szCs w:val="24"/>
        </w:rPr>
        <w:t>,</w:t>
      </w:r>
      <w:r w:rsidR="00B51A9A">
        <w:rPr>
          <w:sz w:val="24"/>
          <w:szCs w:val="24"/>
        </w:rPr>
        <w:t xml:space="preserve"> </w:t>
      </w:r>
      <w:r w:rsidR="00FD17D6">
        <w:rPr>
          <w:sz w:val="24"/>
          <w:szCs w:val="24"/>
        </w:rPr>
        <w:t>absent another reason for maintaining confidentiality,</w:t>
      </w:r>
      <w:r w:rsidRPr="00FA03A9" w:rsidR="00D10C32">
        <w:rPr>
          <w:sz w:val="24"/>
          <w:szCs w:val="24"/>
        </w:rPr>
        <w:t xml:space="preserve"> reveal information contained in </w:t>
      </w:r>
      <w:r w:rsidR="00B51A9A">
        <w:rPr>
          <w:sz w:val="24"/>
          <w:szCs w:val="24"/>
        </w:rPr>
        <w:t xml:space="preserve">responses to letters of inquiry </w:t>
      </w:r>
      <w:r w:rsidR="00D10C32">
        <w:rPr>
          <w:sz w:val="24"/>
          <w:szCs w:val="24"/>
        </w:rPr>
        <w:t>in notices of a</w:t>
      </w:r>
      <w:r w:rsidRPr="00FA03A9" w:rsidR="00D10C32">
        <w:rPr>
          <w:sz w:val="24"/>
          <w:szCs w:val="24"/>
        </w:rPr>
        <w:t xml:space="preserve">pparent </w:t>
      </w:r>
      <w:r w:rsidR="00D10C32">
        <w:rPr>
          <w:sz w:val="24"/>
          <w:szCs w:val="24"/>
        </w:rPr>
        <w:t>l</w:t>
      </w:r>
      <w:r w:rsidRPr="00FA03A9" w:rsidR="00D10C32">
        <w:rPr>
          <w:sz w:val="24"/>
          <w:szCs w:val="24"/>
        </w:rPr>
        <w:t xml:space="preserve">iability for </w:t>
      </w:r>
      <w:r w:rsidR="00D10C32">
        <w:rPr>
          <w:sz w:val="24"/>
          <w:szCs w:val="24"/>
        </w:rPr>
        <w:t>f</w:t>
      </w:r>
      <w:r w:rsidRPr="00FA03A9" w:rsidR="00D10C32">
        <w:rPr>
          <w:sz w:val="24"/>
          <w:szCs w:val="24"/>
        </w:rPr>
        <w:t xml:space="preserve">orfeiture, other </w:t>
      </w:r>
      <w:r w:rsidR="00D10C32">
        <w:rPr>
          <w:sz w:val="24"/>
          <w:szCs w:val="24"/>
        </w:rPr>
        <w:t xml:space="preserve">Bureau or </w:t>
      </w:r>
      <w:r w:rsidRPr="00FA03A9" w:rsidR="00D10C32">
        <w:rPr>
          <w:sz w:val="24"/>
          <w:szCs w:val="24"/>
        </w:rPr>
        <w:t>Commission document</w:t>
      </w:r>
      <w:r w:rsidR="00D10C32">
        <w:rPr>
          <w:sz w:val="24"/>
          <w:szCs w:val="24"/>
        </w:rPr>
        <w:t>s</w:t>
      </w:r>
      <w:r w:rsidRPr="00FA03A9" w:rsidR="00D10C32">
        <w:rPr>
          <w:sz w:val="24"/>
          <w:szCs w:val="24"/>
        </w:rPr>
        <w:t>, or subsequent proceedings.</w:t>
      </w:r>
      <w:bookmarkEnd w:id="2"/>
      <w:r>
        <w:rPr>
          <w:rStyle w:val="FootnoteReference"/>
          <w:szCs w:val="24"/>
        </w:rPr>
        <w:footnoteReference w:id="11"/>
      </w:r>
    </w:p>
    <w:p w:rsidR="00272E62" w:rsidP="00C77CE0" w14:paraId="263B4669" w14:textId="77777777">
      <w:pPr>
        <w:rPr>
          <w:sz w:val="24"/>
          <w:szCs w:val="24"/>
        </w:rPr>
      </w:pPr>
    </w:p>
    <w:p w:rsidR="000A6BFC" w:rsidRPr="00A20196" w:rsidP="00272E62" w14:paraId="4B08E1AB" w14:textId="1E2338C1">
      <w:pPr>
        <w:ind w:firstLine="720"/>
        <w:rPr>
          <w:sz w:val="24"/>
          <w:szCs w:val="24"/>
        </w:rPr>
      </w:pPr>
      <w:r>
        <w:rPr>
          <w:sz w:val="24"/>
          <w:szCs w:val="24"/>
        </w:rPr>
        <w:t>For further information</w:t>
      </w:r>
      <w:r w:rsidR="00E4424F">
        <w:rPr>
          <w:sz w:val="24"/>
          <w:szCs w:val="24"/>
        </w:rPr>
        <w:t xml:space="preserve"> about this public notice</w:t>
      </w:r>
      <w:r>
        <w:rPr>
          <w:sz w:val="24"/>
          <w:szCs w:val="24"/>
        </w:rPr>
        <w:t xml:space="preserve">, </w:t>
      </w:r>
      <w:r w:rsidRPr="00A20196">
        <w:rPr>
          <w:sz w:val="24"/>
          <w:szCs w:val="24"/>
        </w:rPr>
        <w:t xml:space="preserve">please contact </w:t>
      </w:r>
      <w:r>
        <w:rPr>
          <w:sz w:val="24"/>
          <w:szCs w:val="24"/>
        </w:rPr>
        <w:t xml:space="preserve">Raphael Sznajder of the Enforcement Bureau, by e-mail at </w:t>
      </w:r>
      <w:hyperlink r:id="rId5" w:history="1">
        <w:r w:rsidRPr="00C17673">
          <w:rPr>
            <w:rStyle w:val="Hyperlink"/>
            <w:sz w:val="24"/>
            <w:szCs w:val="24"/>
          </w:rPr>
          <w:t>raphael.sznajder@fcc.gov</w:t>
        </w:r>
      </w:hyperlink>
      <w:r>
        <w:rPr>
          <w:sz w:val="24"/>
          <w:szCs w:val="24"/>
        </w:rPr>
        <w:t xml:space="preserve">, or Joel Rabinovitz of the Office of the General Counsel, by e-mail at </w:t>
      </w:r>
      <w:hyperlink r:id="rId6" w:history="1">
        <w:r w:rsidRPr="00C17673">
          <w:rPr>
            <w:rStyle w:val="Hyperlink"/>
            <w:sz w:val="24"/>
            <w:szCs w:val="24"/>
          </w:rPr>
          <w:t>joel.rabinovitz@fcc.gov</w:t>
        </w:r>
      </w:hyperlink>
      <w:r>
        <w:rPr>
          <w:sz w:val="24"/>
          <w:szCs w:val="24"/>
        </w:rPr>
        <w:t>.</w:t>
      </w:r>
    </w:p>
    <w:p w:rsidR="000A6BFC" w:rsidRPr="00DA7579" w:rsidP="00C77CE0" w14:paraId="2EC62774" w14:textId="77777777">
      <w:pPr>
        <w:rPr>
          <w:sz w:val="24"/>
          <w:szCs w:val="24"/>
        </w:rPr>
      </w:pPr>
    </w:p>
    <w:p w:rsidR="00987588" w:rsidRPr="00DA7579" w:rsidP="00FF59C8" w14:paraId="02E447D0" w14:textId="77777777">
      <w:pPr>
        <w:ind w:left="5040"/>
        <w:rPr>
          <w:sz w:val="24"/>
          <w:szCs w:val="24"/>
        </w:rPr>
      </w:pPr>
    </w:p>
    <w:p w:rsidR="00E066AA" w:rsidRPr="00DA7579" w:rsidP="00FF59C8" w14:paraId="0AA3B2A9" w14:textId="77777777">
      <w:pPr>
        <w:ind w:left="5040"/>
        <w:rPr>
          <w:sz w:val="24"/>
          <w:szCs w:val="24"/>
        </w:rPr>
      </w:pPr>
      <w:r w:rsidRPr="00DA7579">
        <w:rPr>
          <w:sz w:val="24"/>
          <w:szCs w:val="24"/>
        </w:rPr>
        <w:t xml:space="preserve">Issued by: </w:t>
      </w:r>
      <w:r w:rsidR="00272E62">
        <w:rPr>
          <w:sz w:val="24"/>
          <w:szCs w:val="24"/>
        </w:rPr>
        <w:t xml:space="preserve"> </w:t>
      </w:r>
      <w:r w:rsidRPr="00DA7579">
        <w:rPr>
          <w:sz w:val="24"/>
          <w:szCs w:val="24"/>
        </w:rPr>
        <w:t>Chief, Enforcement Bureau</w:t>
      </w:r>
    </w:p>
    <w:p w:rsidR="005B3C1C" w:rsidP="00FF59C8" w14:paraId="4509A46F" w14:textId="77777777">
      <w:pPr>
        <w:rPr>
          <w:sz w:val="24"/>
          <w:szCs w:val="24"/>
        </w:rPr>
      </w:pPr>
    </w:p>
    <w:p w:rsidR="00A0402D" w:rsidP="00FF59C8" w14:paraId="1DF61926" w14:textId="77777777">
      <w:pPr>
        <w:rPr>
          <w:sz w:val="24"/>
          <w:szCs w:val="24"/>
        </w:rPr>
      </w:pPr>
    </w:p>
    <w:p w:rsidR="00A0402D" w:rsidRPr="00DA7579" w:rsidP="00FF59C8" w14:paraId="052F8167" w14:textId="77777777">
      <w:pPr>
        <w:rPr>
          <w:sz w:val="24"/>
          <w:szCs w:val="24"/>
        </w:rPr>
      </w:pPr>
    </w:p>
    <w:p w:rsidR="005B3C1C" w:rsidRPr="00DA7579" w:rsidP="00FF59C8" w14:paraId="0A84018C" w14:textId="77777777">
      <w:pPr>
        <w:rPr>
          <w:sz w:val="24"/>
          <w:szCs w:val="24"/>
        </w:rPr>
      </w:pPr>
    </w:p>
    <w:p w:rsidR="005B3C1C" w:rsidRPr="00DA7579" w:rsidP="005B3C1C" w14:paraId="053C0306" w14:textId="77777777">
      <w:pPr>
        <w:jc w:val="center"/>
        <w:rPr>
          <w:b/>
          <w:bCs/>
          <w:sz w:val="24"/>
          <w:szCs w:val="24"/>
        </w:rPr>
      </w:pPr>
      <w:r w:rsidRPr="00DA7579">
        <w:rPr>
          <w:b/>
          <w:bCs/>
          <w:sz w:val="24"/>
          <w:szCs w:val="24"/>
        </w:rPr>
        <w:t>- FCC -</w:t>
      </w:r>
    </w:p>
    <w:sectPr w:rsidSect="000E5884">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439C822E"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663B0A1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22319700"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1CEFC9F7"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D22CB" w14:paraId="070F500D" w14:textId="77777777">
      <w:r>
        <w:separator/>
      </w:r>
    </w:p>
  </w:footnote>
  <w:footnote w:type="continuationSeparator" w:id="1">
    <w:p w:rsidR="008D22CB" w14:paraId="24A4F9C3" w14:textId="77777777">
      <w:pPr>
        <w:rPr>
          <w:sz w:val="20"/>
        </w:rPr>
      </w:pPr>
      <w:r>
        <w:continuationSeparator/>
      </w:r>
    </w:p>
  </w:footnote>
  <w:footnote w:type="continuationNotice" w:id="2">
    <w:p w:rsidR="008D22CB" w:rsidP="00910F12" w14:paraId="0E3909C0" w14:textId="77777777">
      <w:pPr>
        <w:jc w:val="right"/>
        <w:rPr>
          <w:sz w:val="20"/>
        </w:rPr>
      </w:pPr>
    </w:p>
  </w:footnote>
  <w:footnote w:id="3">
    <w:p w:rsidR="00DB0D6B" w:rsidRPr="0038044D" w:rsidP="00DB0D6B" w14:paraId="74629901" w14:textId="77777777">
      <w:pPr>
        <w:pStyle w:val="FootnoteText"/>
      </w:pPr>
      <w:r w:rsidRPr="0038044D">
        <w:rPr>
          <w:rStyle w:val="FootnoteReference"/>
        </w:rPr>
        <w:footnoteRef/>
      </w:r>
      <w:r w:rsidRPr="0038044D">
        <w:t xml:space="preserve"> </w:t>
      </w:r>
      <w:r w:rsidRPr="0038044D">
        <w:rPr>
          <w:i/>
        </w:rPr>
        <w:t>See</w:t>
      </w:r>
      <w:r w:rsidRPr="0038044D">
        <w:t xml:space="preserve"> 47 U.S.C. § 503(b)(6)(B).  </w:t>
      </w:r>
    </w:p>
  </w:footnote>
  <w:footnote w:id="4">
    <w:p w:rsidR="00987588" w14:paraId="0594B281" w14:textId="77777777">
      <w:pPr>
        <w:pStyle w:val="FootnoteText"/>
      </w:pPr>
      <w:r>
        <w:rPr>
          <w:rStyle w:val="FootnoteReference"/>
        </w:rPr>
        <w:footnoteRef/>
      </w:r>
      <w:r>
        <w:t xml:space="preserve"> </w:t>
      </w:r>
      <w:r w:rsidRPr="00987588">
        <w:t>47 CFR § 0.459</w:t>
      </w:r>
      <w:r>
        <w:t>.</w:t>
      </w:r>
    </w:p>
  </w:footnote>
  <w:footnote w:id="5">
    <w:p w:rsidR="00574A76" w:rsidRPr="002A50D7" w:rsidP="00574A76" w14:paraId="3490AB26" w14:textId="10AB009C">
      <w:pPr>
        <w:pStyle w:val="FootnoteText"/>
      </w:pPr>
      <w:r w:rsidRPr="002A50D7">
        <w:rPr>
          <w:rStyle w:val="FootnoteReference"/>
        </w:rPr>
        <w:footnoteRef/>
      </w:r>
      <w:r w:rsidRPr="002A50D7">
        <w:t xml:space="preserve"> Section </w:t>
      </w:r>
      <w:r w:rsidRPr="00BF66EE">
        <w:t>0.459(b) requires that each request for confidentiality contain a statement of the reasons for withholding the materials from inspection (</w:t>
      </w:r>
      <w:r w:rsidRPr="00574A76">
        <w:rPr>
          <w:i/>
          <w:iCs/>
        </w:rPr>
        <w:t>see</w:t>
      </w:r>
      <w:r w:rsidRPr="00BF66EE">
        <w:t xml:space="preserve"> § 0.457) and of the facts upon which those records are based, including: (1)</w:t>
      </w:r>
      <w:r w:rsidR="000B20F0">
        <w:t> </w:t>
      </w:r>
      <w:r w:rsidRPr="00BF66EE">
        <w:t>Identification of the specific information for which confidential treatment is sought;</w:t>
      </w:r>
      <w:r w:rsidRPr="002A50D7">
        <w:t xml:space="preserve"> </w:t>
      </w:r>
      <w:r w:rsidRPr="00BF66EE">
        <w:t>(2) Identification of the Commission proceeding in which the information was submitted or a description of the circumstances giving rise to the submission; (3) Explanation of the degree to which the information is commercial or financial, or contains a trade secret or is privileged; (4) Explanation of the degree to which the information concerns a service that is subject to competition; (5) Explanation of how disclosure of the information could result in substantial competitive harm; (6) Identification of any measures taken by the submitting party to prevent unauthorized disclosure; (7)</w:t>
      </w:r>
      <w:r w:rsidR="000B20F0">
        <w:t> </w:t>
      </w:r>
      <w:r w:rsidRPr="002A50D7">
        <w:t>I</w:t>
      </w:r>
      <w:r w:rsidRPr="00BF66EE">
        <w:t>dentification of whether the information is available to the public and the extent of any previous disclosure of the information to third parties;</w:t>
      </w:r>
      <w:r w:rsidRPr="002A50D7">
        <w:t xml:space="preserve"> </w:t>
      </w:r>
      <w:r w:rsidRPr="00BF66EE">
        <w:t>(8) Justification of the period during which the submitting party asserts that material should not be available for public disclosure; and (9) Any other information that the party seeking confidential treatment believes may be useful in assessing whether its request for confidentiality should be granted.</w:t>
      </w:r>
    </w:p>
  </w:footnote>
  <w:footnote w:id="6">
    <w:p w:rsidR="00AE633D" w:rsidP="00AE633D" w14:paraId="2D0291B2" w14:textId="77777777">
      <w:pPr>
        <w:pStyle w:val="FootnoteText"/>
      </w:pPr>
      <w:r>
        <w:rPr>
          <w:rStyle w:val="FootnoteReference"/>
        </w:rPr>
        <w:footnoteRef/>
      </w:r>
      <w:r>
        <w:t xml:space="preserve"> </w:t>
      </w:r>
      <w:r w:rsidRPr="00987588">
        <w:t>47 CFR § 0.459</w:t>
      </w:r>
      <w:r>
        <w:t>(c).</w:t>
      </w:r>
    </w:p>
  </w:footnote>
  <w:footnote w:id="7">
    <w:p w:rsidR="00DA7579" w:rsidRPr="002A50D7" w:rsidP="00DA7579" w14:paraId="569C18AD" w14:textId="77777777">
      <w:pPr>
        <w:pStyle w:val="FootnoteText"/>
      </w:pPr>
      <w:r w:rsidRPr="002A50D7">
        <w:rPr>
          <w:rStyle w:val="FootnoteReference"/>
        </w:rPr>
        <w:footnoteRef/>
      </w:r>
      <w:r w:rsidRPr="002A50D7">
        <w:t xml:space="preserve"> 47 CFR § 0.459</w:t>
      </w:r>
      <w:r w:rsidRPr="002104AE">
        <w:t>(a)(1)</w:t>
      </w:r>
      <w:r>
        <w:t>.</w:t>
      </w:r>
    </w:p>
  </w:footnote>
  <w:footnote w:id="8">
    <w:p w:rsidR="00DA7579" w:rsidP="00DA7579" w14:paraId="3D6B9BD6" w14:textId="77777777">
      <w:pPr>
        <w:pStyle w:val="FootnoteText"/>
      </w:pPr>
      <w:r>
        <w:rPr>
          <w:rStyle w:val="FootnoteReference"/>
        </w:rPr>
        <w:footnoteRef/>
      </w:r>
      <w:r>
        <w:t xml:space="preserve"> </w:t>
      </w:r>
      <w:r w:rsidRPr="002A50D7">
        <w:t>47 CFR § 0.459</w:t>
      </w:r>
      <w:r w:rsidRPr="002104AE">
        <w:t>(</w:t>
      </w:r>
      <w:r>
        <w:t>b</w:t>
      </w:r>
      <w:r w:rsidRPr="002104AE">
        <w:t>)(1)</w:t>
      </w:r>
      <w:r>
        <w:t>.</w:t>
      </w:r>
    </w:p>
  </w:footnote>
  <w:footnote w:id="9">
    <w:p w:rsidR="002A2641" w:rsidP="002A2641" w14:paraId="6446254D" w14:textId="77777777">
      <w:pPr>
        <w:pStyle w:val="FootnoteText"/>
      </w:pPr>
      <w:r>
        <w:rPr>
          <w:rStyle w:val="FootnoteReference"/>
        </w:rPr>
        <w:footnoteRef/>
      </w:r>
      <w:r>
        <w:t xml:space="preserve"> </w:t>
      </w:r>
      <w:r w:rsidRPr="002A50D7">
        <w:t>47 CFR § 0.459</w:t>
      </w:r>
      <w:r>
        <w:t>.</w:t>
      </w:r>
    </w:p>
  </w:footnote>
  <w:footnote w:id="10">
    <w:p w:rsidR="00F161BA" w14:paraId="7211DC87" w14:textId="77777777">
      <w:pPr>
        <w:pStyle w:val="FootnoteText"/>
      </w:pPr>
      <w:r>
        <w:rPr>
          <w:rStyle w:val="FootnoteReference"/>
        </w:rPr>
        <w:footnoteRef/>
      </w:r>
      <w:r>
        <w:t xml:space="preserve"> </w:t>
      </w:r>
      <w:r w:rsidRPr="002A50D7">
        <w:t>47 CFR § 0.459</w:t>
      </w:r>
      <w:r>
        <w:t>.</w:t>
      </w:r>
    </w:p>
  </w:footnote>
  <w:footnote w:id="11">
    <w:p w:rsidR="00A910B8" w:rsidP="00FC0589" w14:paraId="324613EA" w14:textId="77777777">
      <w:pPr>
        <w:pStyle w:val="FootnoteText"/>
        <w:spacing w:after="0"/>
      </w:pPr>
      <w:r>
        <w:rPr>
          <w:rStyle w:val="FootnoteReference"/>
        </w:rPr>
        <w:footnoteRef/>
      </w:r>
      <w:r>
        <w:t xml:space="preserve"> </w:t>
      </w:r>
      <w:r w:rsidRPr="00A910B8">
        <w:t>Nonetheless, under section 0.457(g) of the Commission’s regulations, 47 CFR § 0.457(g), materials compiled for law enforcement purposes, such as responses to letters of inquiry, are generally not placed in the Commission’s public files and are not otherwise routinely available for public inspection so long as and to the extent that the Commission determines they meet the criteria set forth in the regulations.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44E0FC7C" w14:textId="7C152C2A">
    <w:pPr>
      <w:tabs>
        <w:tab w:val="center" w:pos="4680"/>
        <w:tab w:val="right" w:pos="9360"/>
      </w:tabs>
    </w:pPr>
    <w:r w:rsidRPr="009838BC">
      <w:rPr>
        <w:b/>
      </w:rPr>
      <w:tab/>
      <w:t>Federal Communications Commission</w:t>
    </w:r>
    <w:r w:rsidRPr="009838BC">
      <w:rPr>
        <w:b/>
      </w:rPr>
      <w:tab/>
    </w:r>
    <w:r w:rsidR="002167EB">
      <w:rPr>
        <w:b/>
      </w:rPr>
      <w:t xml:space="preserve">DA </w:t>
    </w:r>
    <w:r w:rsidR="00191A17">
      <w:rPr>
        <w:b/>
      </w:rPr>
      <w:t>20-</w:t>
    </w:r>
    <w:r w:rsidR="008F72AE">
      <w:rPr>
        <w:b/>
      </w:rPr>
      <w:t>579</w:t>
    </w:r>
  </w:p>
  <w:p w:rsidR="009838BC" w:rsidRPr="009838BC" w:rsidP="009838BC" w14:paraId="064309BA" w14:textId="0FCB6CF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14:paraId="54D8CE87"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6F9EE828" w14:textId="4D3F1059">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9838BC" w:rsidP="009838BC"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14:paraId="4576CF00" w14:textId="77777777">
                    <w:pPr>
                      <w:rPr>
                        <w:rFonts w:ascii="Arial" w:hAnsi="Arial"/>
                        <w:b/>
                      </w:rPr>
                    </w:pPr>
                    <w:r>
                      <w:rPr>
                        <w:rFonts w:ascii="Arial" w:hAnsi="Arial"/>
                        <w:b/>
                      </w:rPr>
                      <w:t>Federal Communications Commission</w:t>
                    </w:r>
                  </w:p>
                  <w:p w:rsidR="009838BC" w:rsidP="009838BC" w14:paraId="79F0086A"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087FCD69"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8192715"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3E3D3BF2" w14:textId="55F3EECE">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3" w:name="_Hlt233824"/>
                          <w:hyperlink r:id="rId2" w:history="1">
                            <w:r w:rsidRPr="00D216CD">
                              <w:rPr>
                                <w:rStyle w:val="Hyperlink"/>
                                <w:rFonts w:ascii="Arial" w:hAnsi="Arial"/>
                                <w:b/>
                                <w:sz w:val="16"/>
                              </w:rPr>
                              <w:t>h</w:t>
                            </w:r>
                            <w:bookmarkEnd w:id="3"/>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14:paraId="2886D7B5" w14:textId="77777777">
                    <w:pPr>
                      <w:spacing w:before="40"/>
                      <w:jc w:val="right"/>
                      <w:rPr>
                        <w:rFonts w:ascii="Arial" w:hAnsi="Arial"/>
                        <w:b/>
                        <w:sz w:val="16"/>
                      </w:rPr>
                    </w:pPr>
                    <w:r>
                      <w:rPr>
                        <w:rFonts w:ascii="Arial" w:hAnsi="Arial"/>
                        <w:b/>
                        <w:sz w:val="16"/>
                      </w:rPr>
                      <w:t>News Media Information 202 / 418-0500</w:t>
                    </w:r>
                  </w:p>
                  <w:p w:rsidR="009838BC" w:rsidP="009838BC" w14:paraId="580E1258" w14:textId="77777777">
                    <w:pPr>
                      <w:jc w:val="right"/>
                      <w:rPr>
                        <w:rFonts w:ascii="Arial" w:hAnsi="Arial"/>
                        <w:b/>
                        <w:sz w:val="16"/>
                      </w:rPr>
                    </w:pPr>
                    <w:r>
                      <w:rPr>
                        <w:rFonts w:ascii="Arial" w:hAnsi="Arial"/>
                        <w:b/>
                        <w:sz w:val="16"/>
                      </w:rPr>
                      <w:t xml:space="preserve">Internet: </w:t>
                    </w:r>
                    <w:bookmarkStart w:id="3" w:name="_Hlt233824"/>
                    <w:hyperlink r:id="rId2" w:history="1">
                      <w:r w:rsidRPr="00D216CD">
                        <w:rPr>
                          <w:rStyle w:val="Hyperlink"/>
                          <w:rFonts w:ascii="Arial" w:hAnsi="Arial"/>
                          <w:b/>
                          <w:sz w:val="16"/>
                        </w:rPr>
                        <w:t>h</w:t>
                      </w:r>
                      <w:bookmarkEnd w:id="3"/>
                      <w:r w:rsidRPr="00D216CD">
                        <w:rPr>
                          <w:rStyle w:val="Hyperlink"/>
                          <w:rFonts w:ascii="Arial" w:hAnsi="Arial"/>
                          <w:b/>
                          <w:sz w:val="16"/>
                        </w:rPr>
                        <w:t>ttps://www.fcc.gov</w:t>
                      </w:r>
                    </w:hyperlink>
                  </w:p>
                  <w:p w:rsidR="009838BC" w:rsidP="009838BC" w14:paraId="2EE2A0C6" w14:textId="77777777">
                    <w:pPr>
                      <w:jc w:val="right"/>
                    </w:pPr>
                    <w:r>
                      <w:rPr>
                        <w:rFonts w:ascii="Arial" w:hAnsi="Arial"/>
                        <w:b/>
                        <w:sz w:val="16"/>
                      </w:rPr>
                      <w:t>TTY: 1-888-835-5322</w:t>
                    </w:r>
                  </w:p>
                </w:txbxContent>
              </v:textbox>
            </v:shape>
          </w:pict>
        </mc:Fallback>
      </mc:AlternateContent>
    </w:r>
  </w:p>
  <w:p w:rsidR="006F7393" w:rsidRPr="009838BC" w:rsidP="009838BC" w14:paraId="4E317EAB"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CE4383"/>
    <w:multiLevelType w:val="hybridMultilevel"/>
    <w:tmpl w:val="3B7A055A"/>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7">
    <w:nsid w:val="68747F59"/>
    <w:multiLevelType w:val="hybridMultilevel"/>
    <w:tmpl w:val="4300A9D6"/>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num w:numId="1">
    <w:abstractNumId w:val="2"/>
  </w:num>
  <w:num w:numId="2">
    <w:abstractNumId w:val="6"/>
  </w:num>
  <w:num w:numId="3">
    <w:abstractNumId w:val="4"/>
  </w:num>
  <w:num w:numId="4">
    <w:abstractNumId w:val="5"/>
  </w:num>
  <w:num w:numId="5">
    <w:abstractNumId w:val="3"/>
  </w:num>
  <w:num w:numId="6">
    <w:abstractNumId w:val="0"/>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658"/>
    <w:rsid w:val="000072CE"/>
    <w:rsid w:val="0001342A"/>
    <w:rsid w:val="00013A8B"/>
    <w:rsid w:val="00021445"/>
    <w:rsid w:val="00036039"/>
    <w:rsid w:val="00037F90"/>
    <w:rsid w:val="0005136C"/>
    <w:rsid w:val="000524B9"/>
    <w:rsid w:val="000875BF"/>
    <w:rsid w:val="00096D8C"/>
    <w:rsid w:val="000A53E3"/>
    <w:rsid w:val="000A6861"/>
    <w:rsid w:val="000A6BFC"/>
    <w:rsid w:val="000B20F0"/>
    <w:rsid w:val="000C0B65"/>
    <w:rsid w:val="000E0B64"/>
    <w:rsid w:val="000E3D42"/>
    <w:rsid w:val="000E3F96"/>
    <w:rsid w:val="000E5884"/>
    <w:rsid w:val="00112E75"/>
    <w:rsid w:val="0011710C"/>
    <w:rsid w:val="00117517"/>
    <w:rsid w:val="00122BD5"/>
    <w:rsid w:val="0012393B"/>
    <w:rsid w:val="0014202A"/>
    <w:rsid w:val="00152768"/>
    <w:rsid w:val="00176E46"/>
    <w:rsid w:val="00191A17"/>
    <w:rsid w:val="001979D9"/>
    <w:rsid w:val="001A7F87"/>
    <w:rsid w:val="001D0C17"/>
    <w:rsid w:val="001D6BCF"/>
    <w:rsid w:val="001E01CA"/>
    <w:rsid w:val="00203F20"/>
    <w:rsid w:val="002060D9"/>
    <w:rsid w:val="002104AE"/>
    <w:rsid w:val="002167EB"/>
    <w:rsid w:val="00226822"/>
    <w:rsid w:val="00234EEF"/>
    <w:rsid w:val="002433A9"/>
    <w:rsid w:val="00253256"/>
    <w:rsid w:val="00257337"/>
    <w:rsid w:val="00260594"/>
    <w:rsid w:val="00272E62"/>
    <w:rsid w:val="00277F6F"/>
    <w:rsid w:val="00285017"/>
    <w:rsid w:val="00291598"/>
    <w:rsid w:val="002960EC"/>
    <w:rsid w:val="002A2641"/>
    <w:rsid w:val="002A2D2E"/>
    <w:rsid w:val="002A50D7"/>
    <w:rsid w:val="002D45B5"/>
    <w:rsid w:val="002E6922"/>
    <w:rsid w:val="002F188E"/>
    <w:rsid w:val="003075AF"/>
    <w:rsid w:val="003101FF"/>
    <w:rsid w:val="00327C82"/>
    <w:rsid w:val="00343749"/>
    <w:rsid w:val="003544AE"/>
    <w:rsid w:val="00357D50"/>
    <w:rsid w:val="0038044D"/>
    <w:rsid w:val="00383B0F"/>
    <w:rsid w:val="003925DC"/>
    <w:rsid w:val="003A72EC"/>
    <w:rsid w:val="003B0550"/>
    <w:rsid w:val="003B694F"/>
    <w:rsid w:val="003F171C"/>
    <w:rsid w:val="00412FC5"/>
    <w:rsid w:val="00422276"/>
    <w:rsid w:val="004242F1"/>
    <w:rsid w:val="00424650"/>
    <w:rsid w:val="00434B05"/>
    <w:rsid w:val="00445A00"/>
    <w:rsid w:val="00451B0F"/>
    <w:rsid w:val="0046125F"/>
    <w:rsid w:val="00487524"/>
    <w:rsid w:val="00496106"/>
    <w:rsid w:val="004B1346"/>
    <w:rsid w:val="004C12D0"/>
    <w:rsid w:val="004C2EE3"/>
    <w:rsid w:val="004C4833"/>
    <w:rsid w:val="004E292B"/>
    <w:rsid w:val="004E4A22"/>
    <w:rsid w:val="00511968"/>
    <w:rsid w:val="00517357"/>
    <w:rsid w:val="00542F58"/>
    <w:rsid w:val="00544E35"/>
    <w:rsid w:val="005515C4"/>
    <w:rsid w:val="005557CC"/>
    <w:rsid w:val="0055614C"/>
    <w:rsid w:val="005573A2"/>
    <w:rsid w:val="00563708"/>
    <w:rsid w:val="00563A11"/>
    <w:rsid w:val="00574A76"/>
    <w:rsid w:val="00585A12"/>
    <w:rsid w:val="005B3C1C"/>
    <w:rsid w:val="005E6360"/>
    <w:rsid w:val="00607BA5"/>
    <w:rsid w:val="00620673"/>
    <w:rsid w:val="00624B70"/>
    <w:rsid w:val="00626EB6"/>
    <w:rsid w:val="00632191"/>
    <w:rsid w:val="006353A3"/>
    <w:rsid w:val="00655D03"/>
    <w:rsid w:val="006571D1"/>
    <w:rsid w:val="006648CF"/>
    <w:rsid w:val="006656F5"/>
    <w:rsid w:val="00683F84"/>
    <w:rsid w:val="00684B61"/>
    <w:rsid w:val="00687A43"/>
    <w:rsid w:val="0069010E"/>
    <w:rsid w:val="006A6A81"/>
    <w:rsid w:val="006A72DA"/>
    <w:rsid w:val="006E26AF"/>
    <w:rsid w:val="006F721A"/>
    <w:rsid w:val="006F7393"/>
    <w:rsid w:val="0070224F"/>
    <w:rsid w:val="007115F7"/>
    <w:rsid w:val="00732306"/>
    <w:rsid w:val="007549E4"/>
    <w:rsid w:val="00755FDA"/>
    <w:rsid w:val="0076105A"/>
    <w:rsid w:val="00785689"/>
    <w:rsid w:val="0079754B"/>
    <w:rsid w:val="007A1E6D"/>
    <w:rsid w:val="00811545"/>
    <w:rsid w:val="008169B7"/>
    <w:rsid w:val="008209EF"/>
    <w:rsid w:val="0082158E"/>
    <w:rsid w:val="00822CE0"/>
    <w:rsid w:val="00823458"/>
    <w:rsid w:val="00837C62"/>
    <w:rsid w:val="00841AB1"/>
    <w:rsid w:val="0088422E"/>
    <w:rsid w:val="008B02AF"/>
    <w:rsid w:val="008C22FD"/>
    <w:rsid w:val="008D22CB"/>
    <w:rsid w:val="008F43FA"/>
    <w:rsid w:val="008F72AE"/>
    <w:rsid w:val="00910F12"/>
    <w:rsid w:val="009159C4"/>
    <w:rsid w:val="00926503"/>
    <w:rsid w:val="00930ECF"/>
    <w:rsid w:val="009460A4"/>
    <w:rsid w:val="00946D39"/>
    <w:rsid w:val="00961762"/>
    <w:rsid w:val="009838BC"/>
    <w:rsid w:val="00987588"/>
    <w:rsid w:val="009A344B"/>
    <w:rsid w:val="009B16FF"/>
    <w:rsid w:val="009B32B3"/>
    <w:rsid w:val="009B6B21"/>
    <w:rsid w:val="009C742B"/>
    <w:rsid w:val="009E3FC0"/>
    <w:rsid w:val="00A0402D"/>
    <w:rsid w:val="00A16200"/>
    <w:rsid w:val="00A20196"/>
    <w:rsid w:val="00A3538E"/>
    <w:rsid w:val="00A45F4F"/>
    <w:rsid w:val="00A600A9"/>
    <w:rsid w:val="00A83A54"/>
    <w:rsid w:val="00A866AC"/>
    <w:rsid w:val="00A910B8"/>
    <w:rsid w:val="00AA55B7"/>
    <w:rsid w:val="00AA5B9E"/>
    <w:rsid w:val="00AA7660"/>
    <w:rsid w:val="00AB2407"/>
    <w:rsid w:val="00AB2D0D"/>
    <w:rsid w:val="00AB53DF"/>
    <w:rsid w:val="00AC5998"/>
    <w:rsid w:val="00AD0C75"/>
    <w:rsid w:val="00AD18F9"/>
    <w:rsid w:val="00AE633D"/>
    <w:rsid w:val="00B04C27"/>
    <w:rsid w:val="00B07E5C"/>
    <w:rsid w:val="00B20363"/>
    <w:rsid w:val="00B31249"/>
    <w:rsid w:val="00B326E3"/>
    <w:rsid w:val="00B3520A"/>
    <w:rsid w:val="00B422A1"/>
    <w:rsid w:val="00B51A9A"/>
    <w:rsid w:val="00B811F7"/>
    <w:rsid w:val="00B9203A"/>
    <w:rsid w:val="00BA5DC6"/>
    <w:rsid w:val="00BA6196"/>
    <w:rsid w:val="00BC5872"/>
    <w:rsid w:val="00BC6D8C"/>
    <w:rsid w:val="00BE01A1"/>
    <w:rsid w:val="00BE3FD3"/>
    <w:rsid w:val="00BE5A8D"/>
    <w:rsid w:val="00BE747F"/>
    <w:rsid w:val="00BF66EE"/>
    <w:rsid w:val="00C02777"/>
    <w:rsid w:val="00C138AD"/>
    <w:rsid w:val="00C165CE"/>
    <w:rsid w:val="00C16AF2"/>
    <w:rsid w:val="00C17673"/>
    <w:rsid w:val="00C26590"/>
    <w:rsid w:val="00C34006"/>
    <w:rsid w:val="00C41752"/>
    <w:rsid w:val="00C426B1"/>
    <w:rsid w:val="00C46187"/>
    <w:rsid w:val="00C51F9E"/>
    <w:rsid w:val="00C77CE0"/>
    <w:rsid w:val="00C82B6B"/>
    <w:rsid w:val="00C90D6A"/>
    <w:rsid w:val="00CB6FCD"/>
    <w:rsid w:val="00CC72B6"/>
    <w:rsid w:val="00CE4923"/>
    <w:rsid w:val="00CE7A15"/>
    <w:rsid w:val="00D0218D"/>
    <w:rsid w:val="00D10C32"/>
    <w:rsid w:val="00D2151C"/>
    <w:rsid w:val="00D216CD"/>
    <w:rsid w:val="00D60883"/>
    <w:rsid w:val="00DA2529"/>
    <w:rsid w:val="00DA3915"/>
    <w:rsid w:val="00DA7579"/>
    <w:rsid w:val="00DB0D6B"/>
    <w:rsid w:val="00DB130A"/>
    <w:rsid w:val="00DC037C"/>
    <w:rsid w:val="00DC10A1"/>
    <w:rsid w:val="00DC116E"/>
    <w:rsid w:val="00DC1CB0"/>
    <w:rsid w:val="00DC655F"/>
    <w:rsid w:val="00DD7EBD"/>
    <w:rsid w:val="00DE1A6E"/>
    <w:rsid w:val="00DE401B"/>
    <w:rsid w:val="00DF1658"/>
    <w:rsid w:val="00DF19E0"/>
    <w:rsid w:val="00DF62B6"/>
    <w:rsid w:val="00E066AA"/>
    <w:rsid w:val="00E07225"/>
    <w:rsid w:val="00E10629"/>
    <w:rsid w:val="00E155B7"/>
    <w:rsid w:val="00E20FF9"/>
    <w:rsid w:val="00E4424F"/>
    <w:rsid w:val="00E46A75"/>
    <w:rsid w:val="00E5409F"/>
    <w:rsid w:val="00E57D19"/>
    <w:rsid w:val="00E9142C"/>
    <w:rsid w:val="00EA748C"/>
    <w:rsid w:val="00EB3F8C"/>
    <w:rsid w:val="00EB4AB7"/>
    <w:rsid w:val="00EC0185"/>
    <w:rsid w:val="00EE1C04"/>
    <w:rsid w:val="00EE62A1"/>
    <w:rsid w:val="00EE7F5B"/>
    <w:rsid w:val="00EF145F"/>
    <w:rsid w:val="00F021FA"/>
    <w:rsid w:val="00F0774C"/>
    <w:rsid w:val="00F161BA"/>
    <w:rsid w:val="00F50C66"/>
    <w:rsid w:val="00F57ACA"/>
    <w:rsid w:val="00F62317"/>
    <w:rsid w:val="00F62E97"/>
    <w:rsid w:val="00F64209"/>
    <w:rsid w:val="00F93BF5"/>
    <w:rsid w:val="00F940BF"/>
    <w:rsid w:val="00F96735"/>
    <w:rsid w:val="00F96F63"/>
    <w:rsid w:val="00FA03A9"/>
    <w:rsid w:val="00FC0589"/>
    <w:rsid w:val="00FC46EA"/>
    <w:rsid w:val="00FD17D6"/>
    <w:rsid w:val="00FE7141"/>
    <w:rsid w:val="00FF59C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A61F2281-ABDA-48AF-B4AD-ADA360F54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Style 5 Char Char,fn,rrfootnote Char Char"/>
    <w:link w:val="FootnoteTextChar1"/>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uiPriority w:val="99"/>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paragraph" w:styleId="BalloonText">
    <w:name w:val="Balloon Text"/>
    <w:basedOn w:val="Normal"/>
    <w:link w:val="BalloonTextChar"/>
    <w:uiPriority w:val="99"/>
    <w:semiHidden/>
    <w:unhideWhenUsed/>
    <w:rsid w:val="00563A11"/>
    <w:rPr>
      <w:rFonts w:ascii="Segoe UI" w:hAnsi="Segoe UI" w:cs="Segoe UI"/>
      <w:sz w:val="18"/>
      <w:szCs w:val="18"/>
    </w:rPr>
  </w:style>
  <w:style w:type="character" w:customStyle="1" w:styleId="BalloonTextChar">
    <w:name w:val="Balloon Text Char"/>
    <w:link w:val="BalloonText"/>
    <w:uiPriority w:val="99"/>
    <w:semiHidden/>
    <w:rsid w:val="00563A11"/>
    <w:rPr>
      <w:rFonts w:ascii="Segoe UI" w:hAnsi="Segoe UI" w:cs="Segoe UI"/>
      <w:snapToGrid w:val="0"/>
      <w:kern w:val="28"/>
      <w:sz w:val="18"/>
      <w:szCs w:val="18"/>
    </w:rPr>
  </w:style>
  <w:style w:type="character" w:customStyle="1" w:styleId="HeaderChar">
    <w:name w:val="Header Char"/>
    <w:link w:val="Header"/>
    <w:uiPriority w:val="99"/>
    <w:rsid w:val="00191A17"/>
    <w:rPr>
      <w:rFonts w:ascii="Arial" w:hAnsi="Arial" w:cs="Arial"/>
      <w:b/>
      <w:snapToGrid w:val="0"/>
      <w:kern w:val="28"/>
      <w:sz w:val="96"/>
      <w:szCs w:val="96"/>
    </w:rPr>
  </w:style>
  <w:style w:type="character" w:styleId="CommentReference">
    <w:name w:val="annotation reference"/>
    <w:uiPriority w:val="99"/>
    <w:semiHidden/>
    <w:unhideWhenUsed/>
    <w:rsid w:val="00EE62A1"/>
    <w:rPr>
      <w:sz w:val="16"/>
      <w:szCs w:val="16"/>
    </w:rPr>
  </w:style>
  <w:style w:type="paragraph" w:styleId="CommentText">
    <w:name w:val="annotation text"/>
    <w:basedOn w:val="Normal"/>
    <w:link w:val="CommentTextChar"/>
    <w:uiPriority w:val="99"/>
    <w:semiHidden/>
    <w:unhideWhenUsed/>
    <w:rsid w:val="00EE62A1"/>
    <w:rPr>
      <w:sz w:val="20"/>
    </w:rPr>
  </w:style>
  <w:style w:type="character" w:customStyle="1" w:styleId="CommentTextChar">
    <w:name w:val="Comment Text Char"/>
    <w:link w:val="CommentText"/>
    <w:uiPriority w:val="99"/>
    <w:semiHidden/>
    <w:rsid w:val="00EE62A1"/>
    <w:rPr>
      <w:snapToGrid w:val="0"/>
      <w:kern w:val="28"/>
    </w:rPr>
  </w:style>
  <w:style w:type="paragraph" w:styleId="CommentSubject">
    <w:name w:val="annotation subject"/>
    <w:basedOn w:val="CommentText"/>
    <w:next w:val="CommentText"/>
    <w:link w:val="CommentSubjectChar"/>
    <w:uiPriority w:val="99"/>
    <w:semiHidden/>
    <w:unhideWhenUsed/>
    <w:rsid w:val="00EE62A1"/>
    <w:rPr>
      <w:b/>
      <w:bCs/>
    </w:rPr>
  </w:style>
  <w:style w:type="character" w:customStyle="1" w:styleId="CommentSubjectChar">
    <w:name w:val="Comment Subject Char"/>
    <w:link w:val="CommentSubject"/>
    <w:uiPriority w:val="99"/>
    <w:semiHidden/>
    <w:rsid w:val="00EE62A1"/>
    <w:rPr>
      <w:b/>
      <w:bCs/>
      <w:snapToGrid w:val="0"/>
      <w:kern w:val="28"/>
    </w:rPr>
  </w:style>
  <w:style w:type="character" w:customStyle="1" w:styleId="FootnoteTextChar1">
    <w:name w:val="Footnote Text Char1"/>
    <w:aliases w:val="Footnote Text Char Char,Footnote Text Char Char Char Char Char Char1,Footnote Text Char Char Char Char1,Footnote Text Char1 Char Char Char Char1,Footnote Text Char1 Char Char1,Style 5 Char Char Char,fn Char,rrfootnote Char Char Char"/>
    <w:link w:val="FootnoteText"/>
    <w:locked/>
    <w:rsid w:val="00DB0D6B"/>
  </w:style>
  <w:style w:type="character" w:customStyle="1" w:styleId="FootnoteTextChar1CharChar">
    <w:name w:val="Footnote Text Char1 Char Char"/>
    <w:aliases w:val="Footnote Text Char Char Char Char,Footnote Text Char Char Char Char Char Char,Footnote Text Char1 Char Char Char Char,Footnote Text Char1 Char Char Char Char Char Char,rrfootnote Char Char Char Char"/>
    <w:rsid w:val="00574A76"/>
    <w:rPr>
      <w:rFonts w:ascii="Times New Roman" w:eastAsia="Times New Roman" w:hAnsi="Times New Roman" w:cs="Times New Roman"/>
      <w:sz w:val="20"/>
      <w:szCs w:val="20"/>
    </w:rPr>
  </w:style>
  <w:style w:type="character" w:customStyle="1" w:styleId="UnresolvedMention">
    <w:name w:val="Unresolved Mention"/>
    <w:uiPriority w:val="99"/>
    <w:semiHidden/>
    <w:unhideWhenUsed/>
    <w:rsid w:val="000A6B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raphael.sznajder@fcc.gov" TargetMode="External" /><Relationship Id="rId6" Type="http://schemas.openxmlformats.org/officeDocument/2006/relationships/hyperlink" Target="mailto:joel.rabinovitz@fcc.gov"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