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E2D78" w:rsidP="00AE2D78" w14:paraId="4C1DCF6F" w14:textId="77777777">
      <w:pPr>
        <w:jc w:val="center"/>
        <w:rPr>
          <w:b/>
          <w:szCs w:val="22"/>
        </w:rPr>
      </w:pPr>
      <w:r>
        <w:rPr>
          <w:b/>
          <w:szCs w:val="22"/>
        </w:rPr>
        <w:t>Before the</w:t>
      </w:r>
    </w:p>
    <w:p w:rsidR="00AE2D78" w:rsidP="00AE2D78" w14:paraId="2EABBA41" w14:textId="77777777">
      <w:pPr>
        <w:jc w:val="center"/>
        <w:rPr>
          <w:b/>
          <w:szCs w:val="22"/>
        </w:rPr>
      </w:pPr>
      <w:r>
        <w:rPr>
          <w:b/>
          <w:szCs w:val="22"/>
        </w:rPr>
        <w:t>Federal Communications Commission</w:t>
      </w:r>
    </w:p>
    <w:p w:rsidR="00AE2D78" w:rsidP="00AE2D78" w14:paraId="0D151CCB" w14:textId="77777777">
      <w:pPr>
        <w:jc w:val="center"/>
        <w:rPr>
          <w:b/>
          <w:szCs w:val="22"/>
        </w:rPr>
      </w:pPr>
      <w:r>
        <w:rPr>
          <w:b/>
          <w:szCs w:val="22"/>
        </w:rPr>
        <w:t>Washington, D.C. 20554</w:t>
      </w:r>
    </w:p>
    <w:p w:rsidR="00AE2D78" w:rsidP="00AE2D78" w14:paraId="7DFE4EAA" w14:textId="77777777">
      <w:pPr>
        <w:rPr>
          <w:szCs w:val="22"/>
        </w:rPr>
      </w:pPr>
    </w:p>
    <w:tbl>
      <w:tblPr>
        <w:tblW w:w="9648" w:type="dxa"/>
        <w:tblLayout w:type="fixed"/>
        <w:tblLook w:val="0000"/>
      </w:tblPr>
      <w:tblGrid>
        <w:gridCol w:w="4698"/>
        <w:gridCol w:w="720"/>
        <w:gridCol w:w="4230"/>
      </w:tblGrid>
      <w:tr w14:paraId="77E3C708" w14:textId="77777777" w:rsidTr="00197841">
        <w:tblPrEx>
          <w:tblW w:w="9648" w:type="dxa"/>
          <w:tblLayout w:type="fixed"/>
          <w:tblLook w:val="0000"/>
        </w:tblPrEx>
        <w:tc>
          <w:tcPr>
            <w:tcW w:w="4698" w:type="dxa"/>
          </w:tcPr>
          <w:p w:rsidR="00AE2D78" w:rsidP="00197841" w14:paraId="201CD56F" w14:textId="77777777">
            <w:pPr>
              <w:ind w:right="-18"/>
              <w:rPr>
                <w:szCs w:val="22"/>
              </w:rPr>
            </w:pPr>
            <w:r>
              <w:rPr>
                <w:szCs w:val="22"/>
              </w:rPr>
              <w:t xml:space="preserve">In re Application of  </w:t>
            </w:r>
          </w:p>
          <w:p w:rsidR="00AE2D78" w:rsidP="00197841" w14:paraId="0D34B89A" w14:textId="77777777">
            <w:pPr>
              <w:ind w:right="-18"/>
              <w:rPr>
                <w:szCs w:val="22"/>
              </w:rPr>
            </w:pPr>
          </w:p>
          <w:p w:rsidR="00AE2D78" w:rsidP="00197841" w14:paraId="3A9AA50B" w14:textId="77777777">
            <w:pPr>
              <w:tabs>
                <w:tab w:val="left" w:pos="0"/>
              </w:tabs>
              <w:suppressAutoHyphens/>
              <w:ind w:left="5040" w:hanging="5040"/>
              <w:rPr>
                <w:b/>
                <w:szCs w:val="22"/>
              </w:rPr>
            </w:pPr>
            <w:r>
              <w:rPr>
                <w:b/>
                <w:szCs w:val="22"/>
              </w:rPr>
              <w:t>Ward Broadcasting Corporation</w:t>
            </w:r>
          </w:p>
          <w:p w:rsidR="00AE2D78" w:rsidP="00197841" w14:paraId="59BA5A35" w14:textId="77777777">
            <w:pPr>
              <w:tabs>
                <w:tab w:val="left" w:pos="0"/>
              </w:tabs>
              <w:suppressAutoHyphens/>
              <w:ind w:left="5040" w:hanging="5040"/>
              <w:rPr>
                <w:szCs w:val="22"/>
              </w:rPr>
            </w:pPr>
          </w:p>
          <w:p w:rsidR="00AE2D78" w:rsidP="00197841" w14:paraId="5D237A78" w14:textId="77777777">
            <w:pPr>
              <w:ind w:right="-18"/>
              <w:rPr>
                <w:szCs w:val="22"/>
              </w:rPr>
            </w:pPr>
            <w:r>
              <w:rPr>
                <w:szCs w:val="22"/>
              </w:rPr>
              <w:t>For Renewal of License for</w:t>
            </w:r>
          </w:p>
          <w:p w:rsidR="00AE2D78" w:rsidP="00197841" w14:paraId="351E37EB" w14:textId="2255FE5E">
            <w:pPr>
              <w:ind w:right="-18"/>
              <w:rPr>
                <w:b/>
                <w:szCs w:val="22"/>
              </w:rPr>
            </w:pPr>
            <w:r>
              <w:rPr>
                <w:szCs w:val="22"/>
              </w:rPr>
              <w:t xml:space="preserve">Station </w:t>
            </w:r>
            <w:r w:rsidR="000D4E69">
              <w:rPr>
                <w:szCs w:val="22"/>
              </w:rPr>
              <w:t>D</w:t>
            </w:r>
            <w:r>
              <w:rPr>
                <w:szCs w:val="22"/>
              </w:rPr>
              <w:t>WTOY(AM)</w:t>
            </w:r>
          </w:p>
          <w:p w:rsidR="00AE2D78" w:rsidP="00197841" w14:paraId="6354028B" w14:textId="77777777">
            <w:pPr>
              <w:ind w:right="-18"/>
              <w:rPr>
                <w:szCs w:val="22"/>
              </w:rPr>
            </w:pPr>
            <w:r>
              <w:rPr>
                <w:szCs w:val="22"/>
              </w:rPr>
              <w:t>Salem, Virginia</w:t>
            </w:r>
          </w:p>
        </w:tc>
        <w:tc>
          <w:tcPr>
            <w:tcW w:w="720" w:type="dxa"/>
          </w:tcPr>
          <w:p w:rsidR="00AE2D78" w:rsidP="00197841" w14:paraId="28F275F9" w14:textId="77777777">
            <w:pPr>
              <w:rPr>
                <w:b/>
                <w:szCs w:val="22"/>
              </w:rPr>
            </w:pPr>
            <w:r>
              <w:rPr>
                <w:b/>
                <w:szCs w:val="22"/>
              </w:rPr>
              <w:t>)</w:t>
            </w:r>
          </w:p>
          <w:p w:rsidR="00AE2D78" w:rsidP="00197841" w14:paraId="78A4A560" w14:textId="77777777">
            <w:pPr>
              <w:rPr>
                <w:b/>
                <w:szCs w:val="22"/>
              </w:rPr>
            </w:pPr>
            <w:r>
              <w:rPr>
                <w:b/>
                <w:szCs w:val="22"/>
              </w:rPr>
              <w:t>)</w:t>
            </w:r>
          </w:p>
          <w:p w:rsidR="00AE2D78" w:rsidP="00197841" w14:paraId="5F693E7F" w14:textId="77777777">
            <w:pPr>
              <w:rPr>
                <w:b/>
                <w:szCs w:val="22"/>
              </w:rPr>
            </w:pPr>
            <w:r>
              <w:rPr>
                <w:b/>
                <w:szCs w:val="22"/>
              </w:rPr>
              <w:t>)</w:t>
            </w:r>
          </w:p>
          <w:p w:rsidR="00AE2D78" w:rsidP="00197841" w14:paraId="638F7A42" w14:textId="77777777">
            <w:pPr>
              <w:rPr>
                <w:b/>
                <w:szCs w:val="22"/>
              </w:rPr>
            </w:pPr>
            <w:r>
              <w:rPr>
                <w:b/>
                <w:szCs w:val="22"/>
              </w:rPr>
              <w:t>)</w:t>
            </w:r>
          </w:p>
          <w:p w:rsidR="00AE2D78" w:rsidP="00197841" w14:paraId="125213F1" w14:textId="77777777">
            <w:pPr>
              <w:rPr>
                <w:b/>
                <w:szCs w:val="22"/>
              </w:rPr>
            </w:pPr>
            <w:r>
              <w:rPr>
                <w:b/>
                <w:szCs w:val="22"/>
              </w:rPr>
              <w:t>)</w:t>
            </w:r>
          </w:p>
          <w:p w:rsidR="00AE2D78" w:rsidP="00197841" w14:paraId="71D3AF7B" w14:textId="77777777">
            <w:pPr>
              <w:rPr>
                <w:b/>
                <w:szCs w:val="22"/>
              </w:rPr>
            </w:pPr>
            <w:r>
              <w:rPr>
                <w:b/>
                <w:szCs w:val="22"/>
              </w:rPr>
              <w:t>)</w:t>
            </w:r>
          </w:p>
          <w:p w:rsidR="00AE2D78" w:rsidP="00197841" w14:paraId="610004F5" w14:textId="77777777">
            <w:pPr>
              <w:rPr>
                <w:b/>
                <w:szCs w:val="22"/>
              </w:rPr>
            </w:pPr>
            <w:r>
              <w:rPr>
                <w:b/>
                <w:szCs w:val="22"/>
              </w:rPr>
              <w:t>)</w:t>
            </w:r>
          </w:p>
        </w:tc>
        <w:tc>
          <w:tcPr>
            <w:tcW w:w="4230" w:type="dxa"/>
          </w:tcPr>
          <w:p w:rsidR="00AE2D78" w:rsidP="00197841" w14:paraId="58CB0DD5" w14:textId="77777777">
            <w:pPr>
              <w:rPr>
                <w:szCs w:val="22"/>
              </w:rPr>
            </w:pPr>
          </w:p>
          <w:p w:rsidR="00AE2D78" w:rsidP="00197841" w14:paraId="00DE94A0" w14:textId="77777777">
            <w:pPr>
              <w:rPr>
                <w:szCs w:val="22"/>
              </w:rPr>
            </w:pPr>
          </w:p>
          <w:p w:rsidR="00AE2D78" w:rsidP="00197841" w14:paraId="75F87558" w14:textId="77777777">
            <w:pPr>
              <w:rPr>
                <w:szCs w:val="22"/>
              </w:rPr>
            </w:pPr>
            <w:r>
              <w:rPr>
                <w:szCs w:val="22"/>
              </w:rPr>
              <w:t>Facility ID No. 29210</w:t>
            </w:r>
          </w:p>
          <w:p w:rsidR="00AE2D78" w:rsidP="00197841" w14:paraId="57BAAC27" w14:textId="530FDB1E">
            <w:pPr>
              <w:rPr>
                <w:szCs w:val="22"/>
              </w:rPr>
            </w:pPr>
            <w:r>
              <w:rPr>
                <w:szCs w:val="22"/>
              </w:rPr>
              <w:t>NAL/Acct. No. MB-2020414100</w:t>
            </w:r>
            <w:r w:rsidR="00CB1BA6">
              <w:rPr>
                <w:szCs w:val="22"/>
              </w:rPr>
              <w:t>02</w:t>
            </w:r>
          </w:p>
          <w:p w:rsidR="00AE2D78" w:rsidRPr="006B0B35" w:rsidP="00197841" w14:paraId="2F6B2ADD" w14:textId="77777777">
            <w:pPr>
              <w:rPr>
                <w:szCs w:val="22"/>
              </w:rPr>
            </w:pPr>
            <w:r>
              <w:rPr>
                <w:szCs w:val="22"/>
              </w:rPr>
              <w:t xml:space="preserve">FRN:  </w:t>
            </w:r>
            <w:r w:rsidRPr="006B0B35">
              <w:rPr>
                <w:szCs w:val="22"/>
              </w:rPr>
              <w:t xml:space="preserve">0021010038 </w:t>
            </w:r>
          </w:p>
          <w:p w:rsidR="00AE2D78" w:rsidP="00197841" w14:paraId="3D5819D5" w14:textId="77777777">
            <w:pPr>
              <w:rPr>
                <w:szCs w:val="22"/>
              </w:rPr>
            </w:pPr>
            <w:r>
              <w:t>File Nos. 0000087659,</w:t>
            </w:r>
            <w:r w:rsidRPr="000D4E69">
              <w:t xml:space="preserve"> </w:t>
            </w:r>
            <w:bookmarkStart w:id="0" w:name="_Hlk41742021"/>
            <w:hyperlink r:id="rId5" w:tgtFrame="lm" w:history="1">
              <w:r w:rsidRPr="000D4E69">
                <w:rPr>
                  <w:rStyle w:val="Hyperlink"/>
                  <w:color w:val="auto"/>
                  <w:u w:val="none"/>
                </w:rPr>
                <w:t>0000105757</w:t>
              </w:r>
            </w:hyperlink>
            <w:bookmarkEnd w:id="0"/>
          </w:p>
        </w:tc>
      </w:tr>
    </w:tbl>
    <w:p w:rsidR="00AE2D78" w:rsidP="00AE2D78" w14:paraId="7857891F" w14:textId="77777777">
      <w:pPr>
        <w:rPr>
          <w:szCs w:val="22"/>
        </w:rPr>
      </w:pPr>
    </w:p>
    <w:p w:rsidR="00AE2D78" w:rsidP="00AE2D78" w14:paraId="513456FB" w14:textId="77777777">
      <w:pPr>
        <w:jc w:val="center"/>
        <w:rPr>
          <w:b/>
          <w:spacing w:val="-2"/>
          <w:szCs w:val="22"/>
        </w:rPr>
      </w:pPr>
      <w:r>
        <w:rPr>
          <w:b/>
          <w:spacing w:val="-2"/>
          <w:szCs w:val="22"/>
        </w:rPr>
        <w:t xml:space="preserve">MEMORANDUM OPINION AND ORDER </w:t>
      </w:r>
    </w:p>
    <w:p w:rsidR="00AE2D78" w:rsidP="00AE2D78" w14:paraId="5FF9CA9A" w14:textId="77777777">
      <w:pPr>
        <w:jc w:val="center"/>
        <w:rPr>
          <w:b/>
          <w:spacing w:val="-2"/>
          <w:szCs w:val="22"/>
        </w:rPr>
      </w:pPr>
      <w:r>
        <w:rPr>
          <w:b/>
          <w:spacing w:val="-2"/>
          <w:szCs w:val="22"/>
        </w:rPr>
        <w:t>AND</w:t>
      </w:r>
    </w:p>
    <w:p w:rsidR="00AE2D78" w:rsidP="00AE2D78" w14:paraId="0CDE539C" w14:textId="77777777">
      <w:pPr>
        <w:jc w:val="center"/>
        <w:rPr>
          <w:b/>
          <w:szCs w:val="22"/>
        </w:rPr>
      </w:pPr>
      <w:r>
        <w:rPr>
          <w:b/>
          <w:spacing w:val="-2"/>
          <w:szCs w:val="22"/>
        </w:rPr>
        <w:t>NOTICE OF APPARENT LIABILITY FOR FORFEITURE</w:t>
      </w:r>
    </w:p>
    <w:p w:rsidR="00AE2D78" w:rsidP="00AE2D78" w14:paraId="483A3D18" w14:textId="77777777">
      <w:pPr>
        <w:rPr>
          <w:szCs w:val="22"/>
        </w:rPr>
      </w:pPr>
    </w:p>
    <w:p w:rsidR="00AE2D78" w:rsidP="00AE2D78" w14:paraId="7D46AF1C" w14:textId="50415F3C">
      <w:pPr>
        <w:tabs>
          <w:tab w:val="left" w:pos="5760"/>
        </w:tabs>
        <w:rPr>
          <w:b/>
          <w:szCs w:val="22"/>
        </w:rPr>
      </w:pPr>
      <w:r>
        <w:rPr>
          <w:b/>
          <w:szCs w:val="22"/>
        </w:rPr>
        <w:t xml:space="preserve">Adopted: </w:t>
      </w:r>
      <w:r w:rsidR="00787F68">
        <w:rPr>
          <w:b/>
          <w:szCs w:val="22"/>
        </w:rPr>
        <w:t xml:space="preserve"> June 03, 2020</w:t>
      </w:r>
      <w:r>
        <w:rPr>
          <w:b/>
          <w:szCs w:val="22"/>
        </w:rPr>
        <w:tab/>
      </w:r>
      <w:r w:rsidR="003344E3">
        <w:rPr>
          <w:b/>
          <w:szCs w:val="22"/>
        </w:rPr>
        <w:tab/>
      </w:r>
      <w:r>
        <w:rPr>
          <w:b/>
          <w:szCs w:val="22"/>
        </w:rPr>
        <w:t xml:space="preserve">Released: </w:t>
      </w:r>
      <w:r w:rsidR="009C4B9E">
        <w:rPr>
          <w:b/>
          <w:szCs w:val="22"/>
        </w:rPr>
        <w:t xml:space="preserve"> Jun</w:t>
      </w:r>
      <w:r w:rsidR="003344E3">
        <w:rPr>
          <w:b/>
          <w:szCs w:val="22"/>
        </w:rPr>
        <w:t>e 04, 2020</w:t>
      </w:r>
    </w:p>
    <w:p w:rsidR="00AE2D78" w:rsidP="00AE2D78" w14:paraId="1BB8CCDF" w14:textId="77777777">
      <w:pPr>
        <w:tabs>
          <w:tab w:val="left" w:pos="5760"/>
        </w:tabs>
        <w:rPr>
          <w:b/>
          <w:szCs w:val="22"/>
        </w:rPr>
      </w:pPr>
    </w:p>
    <w:p w:rsidR="00AE2D78" w:rsidP="00AE2D78" w14:paraId="1B9838B1" w14:textId="77777777">
      <w:pPr>
        <w:tabs>
          <w:tab w:val="left" w:pos="5760"/>
        </w:tabs>
        <w:rPr>
          <w:spacing w:val="-2"/>
          <w:szCs w:val="22"/>
        </w:rPr>
      </w:pPr>
      <w:r>
        <w:rPr>
          <w:szCs w:val="22"/>
        </w:rPr>
        <w:t>By the Chief, Audio Division, Media Bureau</w:t>
      </w:r>
      <w:r>
        <w:rPr>
          <w:spacing w:val="-2"/>
          <w:szCs w:val="22"/>
        </w:rPr>
        <w:t>:</w:t>
      </w:r>
    </w:p>
    <w:p w:rsidR="00AE2D78" w:rsidP="00AE2D78" w14:paraId="39C3A230" w14:textId="77777777">
      <w:pPr>
        <w:tabs>
          <w:tab w:val="left" w:pos="5760"/>
        </w:tabs>
        <w:rPr>
          <w:szCs w:val="22"/>
        </w:rPr>
      </w:pPr>
    </w:p>
    <w:p w:rsidR="00AE2D78" w:rsidP="00AE2D78" w14:paraId="2131D4A5" w14:textId="77777777">
      <w:pPr>
        <w:tabs>
          <w:tab w:val="left" w:pos="500"/>
          <w:tab w:val="left" w:pos="5760"/>
        </w:tabs>
        <w:rPr>
          <w:b/>
          <w:szCs w:val="22"/>
        </w:rPr>
      </w:pPr>
      <w:r>
        <w:rPr>
          <w:b/>
          <w:szCs w:val="22"/>
        </w:rPr>
        <w:t>I.           INTRODUCTION</w:t>
      </w:r>
    </w:p>
    <w:p w:rsidR="00AE2D78" w:rsidP="00AE2D78" w14:paraId="0FB7832E" w14:textId="77777777">
      <w:pPr>
        <w:tabs>
          <w:tab w:val="left" w:pos="5760"/>
        </w:tabs>
        <w:rPr>
          <w:b/>
          <w:szCs w:val="22"/>
        </w:rPr>
      </w:pPr>
    </w:p>
    <w:p w:rsidR="00AE2D78" w:rsidP="00581D3E" w14:paraId="0E3028E5" w14:textId="580C2846">
      <w:pPr>
        <w:pStyle w:val="ParaNum"/>
        <w:spacing w:after="0"/>
      </w:pPr>
      <w:r w:rsidRPr="009D269D">
        <w:t xml:space="preserve">The Media Bureau </w:t>
      </w:r>
      <w:r>
        <w:t xml:space="preserve">(Bureau) </w:t>
      </w:r>
      <w:r w:rsidRPr="009D269D">
        <w:t xml:space="preserve">has before it the application </w:t>
      </w:r>
      <w:r>
        <w:t>(Application)</w:t>
      </w:r>
      <w:r>
        <w:rPr>
          <w:rStyle w:val="FootnoteReference"/>
        </w:rPr>
        <w:footnoteReference w:id="3"/>
      </w:r>
      <w:r>
        <w:t xml:space="preserve"> </w:t>
      </w:r>
      <w:r w:rsidRPr="009D269D">
        <w:t xml:space="preserve">of Ward Broadcasting Corporation (Licensee) for renewal of its license for Station </w:t>
      </w:r>
      <w:r w:rsidR="000D4E69">
        <w:t>D</w:t>
      </w:r>
      <w:r w:rsidRPr="009D269D">
        <w:t xml:space="preserve">WTOY(AM), Salem, Virginia (Station).  In this </w:t>
      </w:r>
      <w:r w:rsidRPr="00E521FC">
        <w:rPr>
          <w:i/>
          <w:iCs/>
        </w:rPr>
        <w:t>Memorandum Opinion and Order and Notice of Apparent Liability for Forfeiture</w:t>
      </w:r>
      <w:r w:rsidRPr="009D269D">
        <w:t xml:space="preserve"> (</w:t>
      </w:r>
      <w:r w:rsidRPr="00E521FC">
        <w:rPr>
          <w:i/>
          <w:iCs/>
        </w:rPr>
        <w:t>NAL</w:t>
      </w:r>
      <w:r>
        <w:t>)</w:t>
      </w:r>
      <w:r>
        <w:rPr>
          <w:rStyle w:val="FootnoteReference"/>
        </w:rPr>
        <w:footnoteReference w:id="4"/>
      </w:r>
      <w:r w:rsidRPr="009D269D">
        <w:t xml:space="preserve"> issued pursuant to </w:t>
      </w:r>
      <w:r>
        <w:t>s</w:t>
      </w:r>
      <w:r w:rsidRPr="009D269D">
        <w:t xml:space="preserve">ections 309(k) and 503(b) of the Communications Act of 1934, as amended (Act), we find that Licensee apparently willfully </w:t>
      </w:r>
      <w:r>
        <w:t xml:space="preserve">and repeatedly </w:t>
      </w:r>
      <w:r w:rsidRPr="009D269D">
        <w:t>violated</w:t>
      </w:r>
      <w:r>
        <w:t>:  (1)</w:t>
      </w:r>
      <w:r w:rsidRPr="009D269D">
        <w:t xml:space="preserve"> </w:t>
      </w:r>
      <w:r>
        <w:t>s</w:t>
      </w:r>
      <w:r w:rsidRPr="009D269D">
        <w:t>ection 73.3539 of the Rules,</w:t>
      </w:r>
      <w:r>
        <w:rPr>
          <w:rStyle w:val="FootnoteReference"/>
        </w:rPr>
        <w:footnoteReference w:id="5"/>
      </w:r>
      <w:r w:rsidRPr="009D269D">
        <w:t xml:space="preserve"> by failing to file a</w:t>
      </w:r>
      <w:r>
        <w:t xml:space="preserve"> timely license renewal application for the Station; and (2) section 301 of the Act,</w:t>
      </w:r>
      <w:r>
        <w:rPr>
          <w:rStyle w:val="FootnoteReference"/>
        </w:rPr>
        <w:footnoteReference w:id="6"/>
      </w:r>
      <w:r>
        <w:t xml:space="preserve"> by engaging in unauthorized operation of the Station after its authorization had expired.  Based upon our review of the record before us, we conclude that Licensee is apparently liable for a monetary forfeiture in the amount of seven thousand dollars ($7,000) </w:t>
      </w:r>
      <w:r w:rsidRPr="008D30C5">
        <w:rPr>
          <w:szCs w:val="22"/>
        </w:rPr>
        <w:t xml:space="preserve">and that the </w:t>
      </w:r>
      <w:r>
        <w:rPr>
          <w:szCs w:val="22"/>
        </w:rPr>
        <w:t>A</w:t>
      </w:r>
      <w:r w:rsidRPr="008D30C5">
        <w:rPr>
          <w:szCs w:val="22"/>
        </w:rPr>
        <w:t xml:space="preserve">pplication should be granted for a period of </w:t>
      </w:r>
      <w:r>
        <w:rPr>
          <w:szCs w:val="22"/>
        </w:rPr>
        <w:t>two</w:t>
      </w:r>
      <w:r w:rsidRPr="008D30C5">
        <w:rPr>
          <w:szCs w:val="22"/>
        </w:rPr>
        <w:t xml:space="preserve"> years instead of a full term of eight years</w:t>
      </w:r>
      <w:r>
        <w:rPr>
          <w:szCs w:val="22"/>
        </w:rPr>
        <w:t>.</w:t>
      </w:r>
    </w:p>
    <w:p w:rsidR="00581D3E" w:rsidP="00581D3E" w14:paraId="2F172EDD" w14:textId="77777777">
      <w:pPr>
        <w:rPr>
          <w:b/>
          <w:szCs w:val="22"/>
        </w:rPr>
      </w:pPr>
    </w:p>
    <w:p w:rsidR="00AE2D78" w:rsidP="00581D3E" w14:paraId="689DA0F8" w14:textId="40D0A0F6">
      <w:pPr>
        <w:numPr>
          <w:ilvl w:val="0"/>
          <w:numId w:val="8"/>
        </w:numPr>
        <w:rPr>
          <w:b/>
          <w:szCs w:val="22"/>
        </w:rPr>
      </w:pPr>
      <w:r>
        <w:rPr>
          <w:b/>
          <w:szCs w:val="22"/>
        </w:rPr>
        <w:t>BACKGROUND</w:t>
      </w:r>
    </w:p>
    <w:p w:rsidR="00AE2D78" w:rsidP="00581D3E" w14:paraId="02354AC0" w14:textId="77777777">
      <w:pPr>
        <w:tabs>
          <w:tab w:val="left" w:pos="0"/>
        </w:tabs>
        <w:suppressAutoHyphens/>
        <w:rPr>
          <w:b/>
          <w:szCs w:val="22"/>
        </w:rPr>
      </w:pPr>
    </w:p>
    <w:p w:rsidR="00581D3E" w:rsidRPr="00581D3E" w:rsidP="00581D3E" w14:paraId="34808387" w14:textId="7863564C">
      <w:pPr>
        <w:pStyle w:val="ParaNum"/>
        <w:spacing w:after="0"/>
        <w:rPr>
          <w:szCs w:val="22"/>
        </w:rPr>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7"/>
      </w:r>
      <w:r>
        <w:t xml:space="preserve">  An application for renewal of </w:t>
      </w:r>
      <w:r>
        <w:t>D</w:t>
      </w:r>
      <w:r>
        <w:t xml:space="preserve">WTOY(AM)’s license should have been filed by June 3, 2019, four months prior to the Station’s license expiration date </w:t>
      </w:r>
      <w:r>
        <w:t>of October 1, 2019,</w:t>
      </w:r>
      <w:r>
        <w:rPr>
          <w:rStyle w:val="FootnoteReference"/>
          <w:color w:val="000000"/>
          <w:szCs w:val="22"/>
        </w:rPr>
        <w:footnoteReference w:id="8"/>
      </w:r>
      <w:r>
        <w:t xml:space="preserve"> but was not.  Accordingly, on October 2, 2019, the staff, by Public Notice,</w:t>
      </w:r>
      <w:r>
        <w:rPr>
          <w:rStyle w:val="FootnoteReference"/>
        </w:rPr>
        <w:footnoteReference w:id="9"/>
      </w:r>
      <w:r>
        <w:t xml:space="preserve"> notified the Licensee that the Station’s license had expired, that all authority to operate the Station was terminated, and </w:t>
      </w:r>
      <w:r>
        <w:rPr>
          <w:szCs w:val="22"/>
        </w:rPr>
        <w:t>that</w:t>
      </w:r>
      <w:r w:rsidRPr="001C60F2">
        <w:rPr>
          <w:szCs w:val="22"/>
        </w:rPr>
        <w:t xml:space="preserve"> the Station’s call letters were deleted from the Commission’s database.  Licensee was</w:t>
      </w:r>
      <w:r>
        <w:rPr>
          <w:szCs w:val="22"/>
        </w:rPr>
        <w:t xml:space="preserve"> therefore on notice</w:t>
      </w:r>
      <w:r w:rsidRPr="001C60F2">
        <w:rPr>
          <w:szCs w:val="22"/>
        </w:rPr>
        <w:t xml:space="preserve"> that any further operation of the Station was unauthorized and must cease immediately.  Upon receipt of notice, on October 30, 2019,</w:t>
      </w:r>
      <w:r>
        <w:rPr>
          <w:szCs w:val="22"/>
        </w:rPr>
        <w:t xml:space="preserve"> </w:t>
      </w:r>
      <w:r w:rsidRPr="001C60F2">
        <w:rPr>
          <w:szCs w:val="22"/>
        </w:rPr>
        <w:t>Licensee filed a license renewal application.</w:t>
      </w:r>
      <w:r>
        <w:rPr>
          <w:szCs w:val="22"/>
          <w:vertAlign w:val="superscript"/>
        </w:rPr>
        <w:footnoteReference w:id="10"/>
      </w:r>
      <w:r w:rsidRPr="001C60F2">
        <w:rPr>
          <w:szCs w:val="22"/>
        </w:rPr>
        <w:t xml:space="preserve">  On that same date, Licensee also filed a Petition for Reconsideration (Petition) </w:t>
      </w:r>
      <w:r>
        <w:rPr>
          <w:szCs w:val="22"/>
        </w:rPr>
        <w:t xml:space="preserve">seeking reconsideration </w:t>
      </w:r>
      <w:r w:rsidRPr="001C60F2">
        <w:rPr>
          <w:szCs w:val="22"/>
        </w:rPr>
        <w:t xml:space="preserve">of the </w:t>
      </w:r>
      <w:r>
        <w:rPr>
          <w:szCs w:val="22"/>
        </w:rPr>
        <w:t xml:space="preserve">staff’s </w:t>
      </w:r>
      <w:r w:rsidRPr="001C60F2">
        <w:rPr>
          <w:szCs w:val="22"/>
        </w:rPr>
        <w:t>cancel</w:t>
      </w:r>
      <w:r>
        <w:rPr>
          <w:szCs w:val="22"/>
        </w:rPr>
        <w:t>lation of the</w:t>
      </w:r>
      <w:r w:rsidRPr="001C60F2">
        <w:rPr>
          <w:szCs w:val="22"/>
        </w:rPr>
        <w:t xml:space="preserve"> license and a request for special temporary authority (STA) to continue Station operations pending consideration of the untimely renewal application.</w:t>
      </w:r>
      <w:r>
        <w:rPr>
          <w:rStyle w:val="FootnoteReference"/>
          <w:szCs w:val="22"/>
        </w:rPr>
        <w:footnoteReference w:id="11"/>
      </w:r>
      <w:r w:rsidRPr="001C60F2">
        <w:rPr>
          <w:szCs w:val="22"/>
        </w:rPr>
        <w:t xml:space="preserve">  The staff granted the STA Request on November 7, 2019</w:t>
      </w:r>
      <w:r>
        <w:rPr>
          <w:szCs w:val="22"/>
        </w:rPr>
        <w:t>;</w:t>
      </w:r>
      <w:r w:rsidRPr="001C60F2">
        <w:rPr>
          <w:szCs w:val="22"/>
        </w:rPr>
        <w:t xml:space="preserve"> it expired on May 7, 2020.</w:t>
      </w:r>
      <w:r>
        <w:rPr>
          <w:rStyle w:val="FootnoteReference"/>
          <w:szCs w:val="22"/>
        </w:rPr>
        <w:footnoteReference w:id="12"/>
      </w:r>
      <w:r>
        <w:rPr>
          <w:szCs w:val="22"/>
        </w:rPr>
        <w:t xml:space="preserve">  </w:t>
      </w:r>
      <w:r w:rsidRPr="001C60F2">
        <w:rPr>
          <w:szCs w:val="22"/>
        </w:rPr>
        <w:t>Licensee filed for extension of the STA on May 4, 2020.</w:t>
      </w:r>
      <w:r>
        <w:rPr>
          <w:rStyle w:val="FootnoteReference"/>
          <w:szCs w:val="22"/>
        </w:rPr>
        <w:footnoteReference w:id="13"/>
      </w:r>
      <w:r w:rsidRPr="001C60F2">
        <w:rPr>
          <w:szCs w:val="22"/>
        </w:rPr>
        <w:t xml:space="preserve">  In the Petition, Licensee state</w:t>
      </w:r>
      <w:r>
        <w:rPr>
          <w:szCs w:val="22"/>
        </w:rPr>
        <w:t>s</w:t>
      </w:r>
      <w:r w:rsidRPr="001C60F2">
        <w:rPr>
          <w:szCs w:val="22"/>
        </w:rPr>
        <w:t xml:space="preserve"> that it failed to file a renewal application because its sole shareholder Irwin L.</w:t>
      </w:r>
      <w:r>
        <w:rPr>
          <w:szCs w:val="22"/>
        </w:rPr>
        <w:t xml:space="preserve"> </w:t>
      </w:r>
      <w:r w:rsidRPr="001C60F2">
        <w:rPr>
          <w:szCs w:val="22"/>
        </w:rPr>
        <w:t>Ward, Sr.</w:t>
      </w:r>
      <w:r>
        <w:rPr>
          <w:szCs w:val="22"/>
        </w:rPr>
        <w:t>,</w:t>
      </w:r>
      <w:r w:rsidRPr="001C60F2">
        <w:rPr>
          <w:szCs w:val="22"/>
        </w:rPr>
        <w:t xml:space="preserve"> </w:t>
      </w:r>
      <w:r w:rsidRPr="001C60F2">
        <w:rPr>
          <w:rFonts w:eastAsia="Times New Roman"/>
          <w:szCs w:val="22"/>
        </w:rPr>
        <w:t>suffered a stroke, was moved into a skilled</w:t>
      </w:r>
      <w:r>
        <w:rPr>
          <w:rFonts w:eastAsia="Times New Roman"/>
          <w:szCs w:val="22"/>
        </w:rPr>
        <w:t xml:space="preserve"> </w:t>
      </w:r>
      <w:r w:rsidRPr="001C60F2">
        <w:rPr>
          <w:rFonts w:eastAsia="Times New Roman"/>
          <w:szCs w:val="22"/>
        </w:rPr>
        <w:t xml:space="preserve">care facility </w:t>
      </w:r>
      <w:r>
        <w:rPr>
          <w:rFonts w:eastAsia="Times New Roman"/>
          <w:szCs w:val="22"/>
        </w:rPr>
        <w:t>in</w:t>
      </w:r>
      <w:r w:rsidRPr="001C60F2">
        <w:rPr>
          <w:rFonts w:eastAsia="Times New Roman"/>
          <w:szCs w:val="22"/>
        </w:rPr>
        <w:t xml:space="preserve"> June 2019</w:t>
      </w:r>
      <w:r>
        <w:rPr>
          <w:rFonts w:eastAsia="Times New Roman"/>
          <w:szCs w:val="22"/>
        </w:rPr>
        <w:t>,</w:t>
      </w:r>
      <w:r w:rsidRPr="001C60F2">
        <w:rPr>
          <w:rFonts w:eastAsia="Times New Roman"/>
          <w:szCs w:val="22"/>
        </w:rPr>
        <w:t xml:space="preserve"> and died on August 18, 2019.</w:t>
      </w:r>
      <w:r>
        <w:rPr>
          <w:rStyle w:val="FootnoteReference"/>
          <w:szCs w:val="22"/>
        </w:rPr>
        <w:footnoteReference w:id="14"/>
      </w:r>
      <w:r w:rsidRPr="001C60F2">
        <w:rPr>
          <w:szCs w:val="22"/>
        </w:rPr>
        <w:t xml:space="preserve">  </w:t>
      </w:r>
    </w:p>
    <w:p w:rsidR="00581D3E" w:rsidP="00581D3E" w14:paraId="4E948F7F" w14:textId="77777777">
      <w:pPr>
        <w:pStyle w:val="ParaNum"/>
        <w:numPr>
          <w:ilvl w:val="0"/>
          <w:numId w:val="0"/>
        </w:numPr>
        <w:tabs>
          <w:tab w:val="left" w:pos="1440"/>
        </w:tabs>
        <w:spacing w:after="0"/>
        <w:rPr>
          <w:b/>
        </w:rPr>
      </w:pPr>
    </w:p>
    <w:p w:rsidR="00AE2D78" w:rsidP="00581D3E" w14:paraId="69E079E4" w14:textId="434BD0C3">
      <w:pPr>
        <w:pStyle w:val="ParaNum"/>
        <w:numPr>
          <w:ilvl w:val="0"/>
          <w:numId w:val="8"/>
        </w:numPr>
        <w:tabs>
          <w:tab w:val="left" w:pos="1440"/>
        </w:tabs>
        <w:spacing w:after="0"/>
        <w:rPr>
          <w:b/>
        </w:rPr>
      </w:pPr>
      <w:r>
        <w:rPr>
          <w:b/>
        </w:rPr>
        <w:t>DISCUSSION</w:t>
      </w:r>
    </w:p>
    <w:p w:rsidR="00581D3E" w:rsidRPr="00581D3E" w:rsidP="00581D3E" w14:paraId="440AD97B" w14:textId="77777777">
      <w:pPr>
        <w:pStyle w:val="ParaNum"/>
        <w:numPr>
          <w:ilvl w:val="0"/>
          <w:numId w:val="0"/>
        </w:numPr>
        <w:spacing w:after="0"/>
        <w:ind w:left="720"/>
      </w:pPr>
    </w:p>
    <w:p w:rsidR="00AE2D78" w:rsidP="00581D3E" w14:paraId="63B1074D" w14:textId="1E6F701E">
      <w:pPr>
        <w:pStyle w:val="ParaNum"/>
        <w:spacing w:after="0"/>
      </w:pPr>
      <w:r>
        <w:rPr>
          <w:i/>
        </w:rPr>
        <w:t xml:space="preserve">Proposed Forfeiture.   </w:t>
      </w:r>
      <w:r>
        <w:t xml:space="preserve">In this case, Licensee has failed to file a timely license renewal application for Station </w:t>
      </w:r>
      <w:r w:rsidR="00581D3E">
        <w:t>D</w:t>
      </w:r>
      <w:r>
        <w:t xml:space="preserve">WTOY(AM), as required by section 73.3539(a) of the Rules.  Moreover, it </w:t>
      </w:r>
      <w:r>
        <w:rPr>
          <w:color w:val="000000"/>
        </w:rPr>
        <w:t>continued operating the Station for se</w:t>
      </w:r>
      <w:bookmarkStart w:id="1" w:name="_GoBack"/>
      <w:bookmarkEnd w:id="1"/>
      <w:r>
        <w:rPr>
          <w:color w:val="000000"/>
        </w:rPr>
        <w:t>veral weeks after the license expired on October 1, 2019, before filing its renewal application and STA Request, in violation of section 301 of the Act.</w:t>
      </w:r>
      <w:r>
        <w:t xml:space="preserve">  Licensees are obligated to comply fully with the Rules, including filing a timely renewal application and maintaining in effect the station’s authorization.</w:t>
      </w:r>
      <w:r>
        <w:rPr>
          <w:rStyle w:val="FootnoteReference"/>
          <w:szCs w:val="22"/>
        </w:rPr>
        <w:footnoteReference w:id="15"/>
      </w:r>
      <w:r>
        <w:t xml:space="preserve">  Here, Licensee did not do so.</w:t>
      </w:r>
    </w:p>
    <w:p w:rsidR="00581D3E" w:rsidP="00581D3E" w14:paraId="7109C249" w14:textId="77777777">
      <w:pPr>
        <w:pStyle w:val="ParaNum"/>
        <w:numPr>
          <w:ilvl w:val="0"/>
          <w:numId w:val="0"/>
        </w:numPr>
        <w:spacing w:after="0"/>
      </w:pPr>
    </w:p>
    <w:p w:rsidR="00AE2D78" w:rsidP="00581D3E" w14:paraId="19720F42" w14:textId="77777777">
      <w:pPr>
        <w:pStyle w:val="ParaNum"/>
        <w:spacing w:after="0"/>
      </w:pPr>
      <w:r w:rsidRPr="008D30C5">
        <w:t xml:space="preserve">Under </w:t>
      </w:r>
      <w:r>
        <w:t>section</w:t>
      </w:r>
      <w:r w:rsidRPr="008D30C5">
        <w:t xml:space="preserve"> 503(b)(1)(B) of the Act, a person who is found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16"/>
      </w:r>
      <w:r w:rsidRPr="008D30C5">
        <w:t xml:space="preserve">  Section 312(f)(1) of the Act defines willful as “the conscious and deliberate commission or omission of [any] act, irrespective of any intent to violate” the law.</w:t>
      </w:r>
      <w:r>
        <w:rPr>
          <w:rStyle w:val="FootnoteReference"/>
          <w:szCs w:val="22"/>
        </w:rPr>
        <w:footnoteReference w:id="17"/>
      </w:r>
      <w:r w:rsidRPr="008D30C5">
        <w:t xml:space="preserve">  The legislative history to </w:t>
      </w:r>
      <w:r>
        <w:t>section</w:t>
      </w:r>
      <w:r w:rsidRPr="008D30C5">
        <w:t xml:space="preserve"> 312(f)(1) of the Act clarifies that this definition of willful applies to both </w:t>
      </w:r>
      <w:r>
        <w:t>section</w:t>
      </w:r>
      <w:r w:rsidRPr="008D30C5">
        <w:t>s 312 and 503(b) of the Act,</w:t>
      </w:r>
      <w:r>
        <w:rPr>
          <w:rStyle w:val="FootnoteReference"/>
          <w:szCs w:val="22"/>
        </w:rPr>
        <w:footnoteReference w:id="18"/>
      </w:r>
      <w:r w:rsidRPr="008D30C5">
        <w:t xml:space="preserve"> and the Commission has so interpreted the term in the </w:t>
      </w:r>
      <w:r>
        <w:t>section</w:t>
      </w:r>
      <w:r w:rsidRPr="008D30C5">
        <w:t xml:space="preserve"> 503(b) context.</w:t>
      </w:r>
      <w:r>
        <w:rPr>
          <w:rStyle w:val="FootnoteReference"/>
          <w:szCs w:val="22"/>
        </w:rPr>
        <w:footnoteReference w:id="19"/>
      </w:r>
      <w:r w:rsidRPr="008D30C5">
        <w:t xml:space="preserve">  Section 312(f)(2) of the Act provides that “[t]he term ‘repeated,’ when used with reference to the commission or omission of any act, means the commission or </w:t>
      </w:r>
      <w:r w:rsidRPr="008D30C5">
        <w:t>omission of such act more than once or, if such commission or omission is continuous, for more than one day.”</w:t>
      </w:r>
      <w:r>
        <w:rPr>
          <w:rStyle w:val="FootnoteReference"/>
          <w:szCs w:val="22"/>
        </w:rPr>
        <w:footnoteReference w:id="20"/>
      </w:r>
      <w:r w:rsidRPr="008D30C5">
        <w:t xml:space="preserve">  </w:t>
      </w:r>
    </w:p>
    <w:p w:rsidR="00AE2D78" w:rsidP="00CB1BA6" w14:paraId="47C01B3C" w14:textId="48F94591">
      <w:pPr>
        <w:pStyle w:val="ParaNum"/>
      </w:pPr>
      <w:r>
        <w:t xml:space="preserve">The Commission's </w:t>
      </w:r>
      <w:r>
        <w:rPr>
          <w:rStyle w:val="Emphasis"/>
        </w:rPr>
        <w:t>Forfeiture Policy Statement</w:t>
      </w:r>
      <w:r>
        <w:t xml:space="preserve"> and section 1.80(b)(8) of the Rules establish a base forfeiture amount of $3,000 for the failure to file a required form.</w:t>
      </w:r>
      <w:r>
        <w:rPr>
          <w:rStyle w:val="FootnoteReference"/>
        </w:rPr>
        <w:footnoteReference w:id="21"/>
      </w:r>
      <w:r>
        <w:t xml:space="preserve">  The guidelines also specify a base forfeiture amount of $10,000 for construction and/or operation without an instrument of authorization for the service.</w:t>
      </w:r>
      <w:r>
        <w:rPr>
          <w:rStyle w:val="FootnoteReference"/>
        </w:rPr>
        <w:footnoteReference w:id="22"/>
      </w:r>
      <w:r>
        <w:t xml:space="preserve">  In determining the appropriate forfeiture amount, we may adjust the base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23"/>
      </w:r>
      <w:r>
        <w:t xml:space="preserve"> </w:t>
      </w:r>
    </w:p>
    <w:p w:rsidR="00AE2D78" w:rsidRPr="00710DF1" w:rsidP="00CB1BA6" w14:paraId="2FE1B8D8" w14:textId="69FBFF14">
      <w:pPr>
        <w:pStyle w:val="ParaNum"/>
      </w:pPr>
      <w:r w:rsidRPr="00710DF1">
        <w:rPr>
          <w:szCs w:val="22"/>
        </w:rPr>
        <w:t xml:space="preserve">Based on our review of the facts and circumstances, we </w:t>
      </w:r>
      <w:r>
        <w:rPr>
          <w:szCs w:val="22"/>
        </w:rPr>
        <w:t xml:space="preserve">tentatively </w:t>
      </w:r>
      <w:r w:rsidRPr="00710DF1">
        <w:rPr>
          <w:szCs w:val="22"/>
        </w:rPr>
        <w:t>find that a $7,000 forfeiture is appropriate.  Licensee</w:t>
      </w:r>
      <w:r>
        <w:t xml:space="preserve"> failed to file a timely license renewal application for the Station and continued operating the Station for several weeks after the license expired on October 1, 2019, before filing the appropriate renewal application and seeking STA to continue to operate.  Nevertheless, because it had previously been licensed to operate the Station, the latter transgression is not comparable to “pirate” operations, which typically have been subject to forfeitures of $10,000 or higher.</w:t>
      </w:r>
      <w:r>
        <w:rPr>
          <w:rStyle w:val="FootnoteReference"/>
        </w:rPr>
        <w:footnoteReference w:id="24"/>
      </w:r>
      <w:r>
        <w:t xml:space="preserve">  Taking into consideration all of the factors required by section 503(b)(2)(E) of the Act and the </w:t>
      </w:r>
      <w:r>
        <w:rPr>
          <w:rStyle w:val="Emphasis"/>
        </w:rPr>
        <w:t>Forfeiture Policy Statement</w:t>
      </w:r>
      <w:r>
        <w:t xml:space="preserve">, we propose a forfeiture for the full $3,000 amount for the </w:t>
      </w:r>
      <w:r w:rsidRPr="00CB1BA6">
        <w:t>failure</w:t>
      </w:r>
      <w:r>
        <w:t xml:space="preserve"> to </w:t>
      </w:r>
      <w:r w:rsidRPr="00CB1BA6">
        <w:t>file</w:t>
      </w:r>
      <w:r>
        <w:t xml:space="preserve"> a </w:t>
      </w:r>
      <w:r w:rsidRPr="00CB1BA6">
        <w:t>timely</w:t>
      </w:r>
      <w:r>
        <w:t xml:space="preserve"> </w:t>
      </w:r>
      <w:r w:rsidRPr="00CB1BA6">
        <w:t>renewal</w:t>
      </w:r>
      <w:r>
        <w:t xml:space="preserve"> application but reduce the proposed forfeiture for the unauthorized operation from the $10,000 base amount to $4,000.  </w:t>
      </w:r>
      <w:r w:rsidRPr="00710DF1">
        <w:rPr>
          <w:szCs w:val="22"/>
        </w:rPr>
        <w:t>It is a licensee’s responsibility to comply with the Rules.</w:t>
      </w:r>
      <w:r>
        <w:rPr>
          <w:rStyle w:val="FootnoteReference"/>
        </w:rPr>
        <w:footnoteReference w:id="25"/>
      </w:r>
      <w:r w:rsidRPr="00710DF1">
        <w:rPr>
          <w:i/>
        </w:rPr>
        <w:t xml:space="preserve"> </w:t>
      </w:r>
      <w:r w:rsidRPr="00710DF1">
        <w:rPr>
          <w:szCs w:val="22"/>
        </w:rPr>
        <w:t xml:space="preserve"> Accordingly, we </w:t>
      </w:r>
      <w:r>
        <w:rPr>
          <w:szCs w:val="22"/>
        </w:rPr>
        <w:t xml:space="preserve">tentatively </w:t>
      </w:r>
      <w:r w:rsidRPr="00710DF1">
        <w:rPr>
          <w:szCs w:val="22"/>
        </w:rPr>
        <w:t xml:space="preserve">find that, considering the record as a whole, a $7,000 forfeiture is appropriate for the violations in this case.    </w:t>
      </w:r>
    </w:p>
    <w:p w:rsidR="00AE2D78" w:rsidP="00CB1BA6" w14:paraId="017D0D77" w14:textId="67085DAF">
      <w:pPr>
        <w:pStyle w:val="ParaNum"/>
      </w:pPr>
      <w:r w:rsidRPr="00D74CC9">
        <w:rPr>
          <w:i/>
        </w:rPr>
        <w:t>License Renewal Application.</w:t>
      </w:r>
      <w:r>
        <w:t xml:space="preserve">  In evaluating an application for license renewal, the Commission’s decision is governed by section 309(k) of the Act.</w:t>
      </w:r>
      <w:r>
        <w:rPr>
          <w:rStyle w:val="FootnoteReference"/>
          <w:szCs w:val="22"/>
        </w:rPr>
        <w:footnoteReference w:id="26"/>
      </w:r>
      <w: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Cs w:val="22"/>
        </w:rPr>
        <w:footnoteReference w:id="27"/>
      </w:r>
      <w:r>
        <w:t xml:space="preserve"> </w:t>
      </w:r>
      <w:r w:rsidRPr="00D74CC9">
        <w:rPr>
          <w:i/>
        </w:rPr>
        <w:t xml:space="preserve"> </w:t>
      </w:r>
      <w:r>
        <w:t xml:space="preserve">If, however, the licensee fails to meet that standard, the Commission may deny the application—after notice and opportunity for a hearing under section 309(e) of the Act—or grant the </w:t>
      </w:r>
      <w:r>
        <w:t>application “on terms and conditions that are appropriate, including a renewal for a term less than the maximum otherwise permitted.”</w:t>
      </w:r>
      <w:r>
        <w:rPr>
          <w:rStyle w:val="FootnoteReference"/>
          <w:szCs w:val="22"/>
        </w:rPr>
        <w:footnoteReference w:id="28"/>
      </w:r>
    </w:p>
    <w:p w:rsidR="00AE2D78" w:rsidRPr="00710DF1" w:rsidP="00CB1BA6" w14:paraId="357A3D49" w14:textId="1A8A3498">
      <w:pPr>
        <w:pStyle w:val="ParaNum"/>
      </w:pPr>
      <w:r>
        <w:t>We find that Licensee’s violation of section 73.3539 of the Rules and section 301 of the Act do not constitute “serious violations” warranting designation of the Application for evidentiary hearing.  Moreover, we find no evidence of violations that, when considered together, constitute a pattern of abuse.</w:t>
      </w:r>
      <w:r>
        <w:rPr>
          <w:rStyle w:val="FootnoteReference"/>
        </w:rPr>
        <w:footnoteReference w:id="29"/>
      </w:r>
      <w:r>
        <w:t xml:space="preserve">  </w:t>
      </w:r>
      <w:r w:rsidRPr="00710DF1">
        <w:rPr>
          <w:spacing w:val="-2"/>
        </w:rPr>
        <w:t>Further, we find that</w:t>
      </w:r>
      <w:r>
        <w:t xml:space="preserve"> the Station served the public interest, convenience, and necessity during the subject license term.  Nonetheless, </w:t>
      </w:r>
      <w:r>
        <w:rPr>
          <w:szCs w:val="22"/>
        </w:rPr>
        <w:t>o</w:t>
      </w:r>
      <w:r w:rsidRPr="00710DF1">
        <w:rPr>
          <w:szCs w:val="22"/>
        </w:rPr>
        <w:t xml:space="preserve">n </w:t>
      </w:r>
      <w:r w:rsidRPr="00710DF1">
        <w:rPr>
          <w:color w:val="000000"/>
          <w:szCs w:val="22"/>
          <w:shd w:val="clear" w:color="auto" w:fill="FFFFFF"/>
        </w:rPr>
        <w:t>the facts presented here, we conclude that a short-term license renewal is the appropriate sanction.</w:t>
      </w:r>
      <w:r>
        <w:rPr>
          <w:rStyle w:val="FootnoteReference"/>
          <w:szCs w:val="22"/>
        </w:rPr>
        <w:footnoteReference w:id="30"/>
      </w:r>
      <w:r w:rsidRPr="00710DF1">
        <w:rPr>
          <w:szCs w:val="22"/>
        </w:rPr>
        <w:t xml:space="preserve">  W</w:t>
      </w:r>
      <w:r w:rsidRPr="00710DF1">
        <w:rPr>
          <w:color w:val="000000"/>
          <w:szCs w:val="22"/>
          <w:shd w:val="clear" w:color="auto" w:fill="FFFFFF"/>
        </w:rPr>
        <w:t xml:space="preserve">e believe that additional measures are necessary in order to ensure that Licensee endeavors in the future to provide the broadcast service it is licensed to provide and comply with its obligations as a licensee.  </w:t>
      </w:r>
      <w:r w:rsidRPr="00710DF1">
        <w:rPr>
          <w:szCs w:val="22"/>
        </w:rPr>
        <w:t xml:space="preserve">Accordingly, pursuant to </w:t>
      </w:r>
      <w:r>
        <w:rPr>
          <w:szCs w:val="22"/>
        </w:rPr>
        <w:t>s</w:t>
      </w:r>
      <w:r w:rsidRPr="00710DF1">
        <w:rPr>
          <w:szCs w:val="22"/>
        </w:rPr>
        <w:t>ection 309(k)(2) of the Act, we will grant the Station a short-term license renewal by separate action upon the conclusion of this forfeiture proceeding, if there are no issues other than the apparent violations addressed herein that would preclude grant of the Application.</w:t>
      </w:r>
      <w:r>
        <w:rPr>
          <w:rStyle w:val="FootnoteReference"/>
          <w:szCs w:val="22"/>
        </w:rPr>
        <w:footnoteReference w:id="31"/>
      </w:r>
      <w:r w:rsidRPr="00710DF1">
        <w:rPr>
          <w:szCs w:val="22"/>
        </w:rPr>
        <w:t xml:space="preserve">  The new license term</w:t>
      </w:r>
      <w:r>
        <w:rPr>
          <w:szCs w:val="22"/>
        </w:rPr>
        <w:t>, if granted,</w:t>
      </w:r>
      <w:r w:rsidRPr="00710DF1">
        <w:rPr>
          <w:szCs w:val="22"/>
        </w:rPr>
        <w:t xml:space="preserve"> will be limited to a period of two years.</w:t>
      </w:r>
      <w:r>
        <w:rPr>
          <w:rStyle w:val="FootnoteReference"/>
          <w:color w:val="000000"/>
          <w:szCs w:val="22"/>
        </w:rPr>
        <w:footnoteReference w:id="32"/>
      </w:r>
      <w:r w:rsidRPr="00710DF1">
        <w:rPr>
          <w:szCs w:val="22"/>
        </w:rPr>
        <w:t xml:space="preserve">  This limited renewal period will afford the Commission an opportunity to review the Station’s compliance with the Act and the FCC’s rules and to take whatever corrective actions, if any, that may be warranted at that time.  </w:t>
      </w:r>
      <w:r>
        <w:t xml:space="preserve">  </w:t>
      </w:r>
    </w:p>
    <w:p w:rsidR="00AE2D78" w:rsidP="00AE2D78" w14:paraId="2D8DF60F" w14:textId="77777777">
      <w:pPr>
        <w:rPr>
          <w:b/>
          <w:szCs w:val="22"/>
        </w:rPr>
      </w:pPr>
      <w:r>
        <w:rPr>
          <w:b/>
          <w:szCs w:val="22"/>
        </w:rPr>
        <w:t>IV.        ORDERING CLAUSES</w:t>
      </w:r>
    </w:p>
    <w:p w:rsidR="00AE2D78" w:rsidP="00AE2D78" w14:paraId="3A2568E7" w14:textId="77777777">
      <w:pPr>
        <w:rPr>
          <w:b/>
          <w:szCs w:val="22"/>
        </w:rPr>
      </w:pPr>
    </w:p>
    <w:p w:rsidR="00AE2D78" w:rsidP="00CB1BA6" w14:paraId="48363C63" w14:textId="77777777">
      <w:pPr>
        <w:pStyle w:val="ParaNum"/>
      </w:pPr>
      <w:r>
        <w:t xml:space="preserve">Accordingly, IT IS ORDERED, pursuant to section 503(b) of the Communications Act of 1934, as amended, and section 1.80 of the FCC’s rules, that Ward Broadcasting Corporation, is hereby NOTIFIED of its APPARENT LIABILITY FOR FORFEITURE in the amount of seven thousand dollars ($7,000) for its apparent willful violation of section 73.3539 of the Rules and its apparent willful and repeated violation of section 301 of the Act. </w:t>
      </w:r>
    </w:p>
    <w:p w:rsidR="00AE2D78" w:rsidP="00CB1BA6" w14:paraId="63B76CF7" w14:textId="77777777">
      <w:pPr>
        <w:pStyle w:val="ParaNum"/>
      </w:pPr>
      <w:r>
        <w:t xml:space="preserve">IT IS FURTHER ORDERED, pursuant to section 1.80 of the Rules, that, within thirty (30) days of the release date of this </w:t>
      </w:r>
      <w:r>
        <w:rPr>
          <w:i/>
        </w:rPr>
        <w:t xml:space="preserve">NAL, </w:t>
      </w:r>
      <w:r>
        <w:t>Ward Broadcasting Corporation SHALL PAY the full amount of the proposed forfeiture or SHALL FILE a written statement seeking reduction or cancellation of the proposed forfeiture.</w:t>
      </w:r>
    </w:p>
    <w:p w:rsidR="00AE2D78" w:rsidRPr="00D74CC9" w:rsidP="00CB1BA6" w14:paraId="0EDC391E" w14:textId="77777777">
      <w:pPr>
        <w:pStyle w:val="ParaNum"/>
      </w:pPr>
      <w:r w:rsidRPr="00D74CC9">
        <w:rPr>
          <w:snapToGrid w:val="0"/>
        </w:rPr>
        <w:t xml:space="preserve">Payment of the Civil Penalty must be made by credit card, ACH (Automated Clearing House) debit from a bank account using the Commission’s Fee Filer (the Commission’s online payment </w:t>
      </w:r>
      <w:r w:rsidRPr="00D74CC9">
        <w:rPr>
          <w:snapToGrid w:val="0"/>
        </w:rPr>
        <w:t>system),</w:t>
      </w:r>
      <w:r>
        <w:rPr>
          <w:rStyle w:val="FootnoteReference"/>
          <w:snapToGrid w:val="0"/>
          <w:kern w:val="28"/>
          <w:szCs w:val="22"/>
        </w:rPr>
        <w:footnoteReference w:id="33"/>
      </w:r>
      <w:r w:rsidRPr="00D74CC9">
        <w:rPr>
          <w:snapToGrid w:val="0"/>
        </w:rPr>
        <w:t xml:space="preserve"> or by wire transfer.  The Commission no longer accepts Civil Penalty payments by check or money order.  Below are instructions that payors should follow based on the form of payment selected:</w:t>
      </w:r>
      <w:r>
        <w:rPr>
          <w:snapToGrid w:val="0"/>
          <w:vertAlign w:val="superscript"/>
        </w:rPr>
        <w:footnoteReference w:id="34"/>
      </w:r>
      <w:r w:rsidRPr="00D74CC9">
        <w:rPr>
          <w:snapToGrid w:val="0"/>
        </w:rPr>
        <w:t xml:space="preserve"> </w:t>
      </w:r>
    </w:p>
    <w:p w:rsidR="00AE2D78" w:rsidRPr="008D30C5" w:rsidP="00AE2D78" w14:paraId="3187F144" w14:textId="77777777">
      <w:pPr>
        <w:widowControl w:val="0"/>
        <w:numPr>
          <w:ilvl w:val="0"/>
          <w:numId w:val="9"/>
        </w:numPr>
        <w:spacing w:after="120"/>
        <w:rPr>
          <w:snapToGrid w:val="0"/>
          <w:kern w:val="28"/>
          <w:szCs w:val="22"/>
        </w:rPr>
      </w:pPr>
      <w:bookmarkStart w:id="2" w:name="_Hlk499800471"/>
      <w:r w:rsidRPr="008D30C5">
        <w:rPr>
          <w:snapToGrid w:val="0"/>
          <w:kern w:val="28"/>
          <w:szCs w:val="22"/>
        </w:rPr>
        <w:t xml:space="preserve">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w:t>
      </w:r>
      <w:r w:rsidRPr="008D30C5">
        <w:rPr>
          <w:szCs w:val="22"/>
        </w:rPr>
        <w:t xml:space="preserve">Failure to provide all required information in Form 159 may result in payment not being recognized as having been received. </w:t>
      </w:r>
      <w:r w:rsidRPr="008D30C5">
        <w:rPr>
          <w:snapToGrid w:val="0"/>
          <w:kern w:val="28"/>
          <w:szCs w:val="22"/>
        </w:rPr>
        <w:t xml:space="preserve"> </w:t>
      </w:r>
      <w:r w:rsidRPr="008D30C5">
        <w:rPr>
          <w:szCs w:val="22"/>
        </w:rPr>
        <w:t>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35"/>
      </w:r>
      <w:r w:rsidRPr="008D30C5">
        <w:rPr>
          <w:szCs w:val="22"/>
        </w:rPr>
        <w:t xml:space="preserve">  </w:t>
      </w:r>
      <w:r w:rsidRPr="008D30C5">
        <w:rPr>
          <w:snapToGrid w:val="0"/>
          <w:kern w:val="28"/>
          <w:szCs w:val="22"/>
        </w:rPr>
        <w:t xml:space="preserve">For additional detail and wire transfer instructions, go to https://www.fcc.gov/licensing-databases/fees/wire-transfer.  </w:t>
      </w:r>
    </w:p>
    <w:p w:rsidR="00AE2D78" w:rsidRPr="008D30C5" w:rsidP="00AE2D78" w14:paraId="473F8E7A" w14:textId="656377B2">
      <w:pPr>
        <w:numPr>
          <w:ilvl w:val="0"/>
          <w:numId w:val="9"/>
        </w:numPr>
        <w:spacing w:after="120"/>
        <w:rPr>
          <w:snapToGrid w:val="0"/>
          <w:kern w:val="28"/>
          <w:szCs w:val="22"/>
        </w:rPr>
      </w:pPr>
      <w:r w:rsidRPr="008D30C5">
        <w:rPr>
          <w:snapToGrid w:val="0"/>
          <w:kern w:val="28"/>
          <w:szCs w:val="22"/>
        </w:rPr>
        <w:t>Payment by credit card must be made by using the Commission’s Fee Filer website at https://apps.fcc.gov/FeeFiler/login.cfm.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AE2D78" w:rsidP="00AE2D78" w14:paraId="6C49B0D0" w14:textId="77777777">
      <w:pPr>
        <w:widowControl w:val="0"/>
        <w:numPr>
          <w:ilvl w:val="0"/>
          <w:numId w:val="9"/>
        </w:numPr>
        <w:rPr>
          <w:snapToGrid w:val="0"/>
          <w:kern w:val="28"/>
          <w:szCs w:val="22"/>
        </w:rPr>
      </w:pPr>
      <w:r w:rsidRPr="008D30C5">
        <w:rPr>
          <w:snapToGrid w:val="0"/>
          <w:kern w:val="28"/>
          <w:szCs w:val="22"/>
        </w:rPr>
        <w:t>Payment by ACH must be made by using the Commission’s Fee Filer website at https://apps.fcc.gov/FeeFiler/login.cfm.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w:t>
      </w:r>
      <w:r>
        <w:rPr>
          <w:snapToGrid w:val="0"/>
          <w:kern w:val="28"/>
          <w:szCs w:val="22"/>
        </w:rPr>
        <w:t>,</w:t>
      </w:r>
      <w:r w:rsidRPr="008D30C5">
        <w:rPr>
          <w:snapToGrid w:val="0"/>
          <w:kern w:val="28"/>
          <w:szCs w:val="22"/>
        </w:rPr>
        <w:t xml:space="preserve"> and verify with that financial institution that the designated account has authorization to accept ACH transactions</w:t>
      </w:r>
      <w:bookmarkEnd w:id="2"/>
      <w:r>
        <w:rPr>
          <w:snapToGrid w:val="0"/>
          <w:kern w:val="28"/>
          <w:szCs w:val="22"/>
        </w:rPr>
        <w:t>.</w:t>
      </w:r>
    </w:p>
    <w:p w:rsidR="00AE2D78" w:rsidRPr="008D30C5" w:rsidP="00AE2D78" w14:paraId="62111B3D" w14:textId="77777777">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AE2D78" w:rsidRPr="008D30C5" w:rsidP="00CB1BA6" w14:paraId="454EE0C8" w14:textId="1708E0C0">
      <w:pPr>
        <w:pStyle w:val="ParaNum"/>
      </w:pPr>
      <w:r w:rsidRPr="008D30C5">
        <w:t>The response, if any, must be mailed to Office of the Secretary, Federal Communications Commission, 445 12</w:t>
      </w:r>
      <w:r w:rsidRPr="009D269D">
        <w:t>th</w:t>
      </w:r>
      <w:r w:rsidRPr="008D30C5">
        <w:t xml:space="preserve"> Street, S.W., Washington DC 20554, ATTN:  Albert Shuldiner, Chief, Audio Division, Media Bureau, </w:t>
      </w:r>
      <w:hyperlink r:id="rId6" w:history="1">
        <w:r w:rsidRPr="00C75785" w:rsidR="00B40D6E">
          <w:rPr>
            <w:rStyle w:val="Hyperlink"/>
          </w:rPr>
          <w:t>Albert.Shuldiner@fcc.gov</w:t>
        </w:r>
      </w:hyperlink>
      <w:r w:rsidR="00B40D6E">
        <w:t xml:space="preserve">, </w:t>
      </w:r>
      <w:r w:rsidRPr="008D30C5">
        <w:t>and MUST INCLUDE the NAL/Acct. No. referenced above.</w:t>
      </w:r>
    </w:p>
    <w:p w:rsidR="00AE2D78" w:rsidRPr="008D30C5" w:rsidP="00CB1BA6" w14:paraId="7E122887" w14:textId="62A7605D">
      <w:pPr>
        <w:pStyle w:val="ParaNum"/>
      </w:pPr>
      <w:r w:rsidRPr="008D30C5">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AE2D78" w:rsidRPr="008D30C5" w:rsidP="00CB1BA6" w14:paraId="19A9B503" w14:textId="03CD166E">
      <w:pPr>
        <w:pStyle w:val="ParaNum"/>
      </w:pPr>
      <w:r w:rsidRPr="008D30C5">
        <w:t xml:space="preserve">Requests for full payment of the forfeiture proposed in this </w:t>
      </w:r>
      <w:r w:rsidRPr="008D30C5">
        <w:rPr>
          <w:i/>
        </w:rPr>
        <w:t>NAL</w:t>
      </w:r>
      <w:r w:rsidRPr="008D30C5">
        <w:t xml:space="preserve"> under the installment plan should be sent to:  Associate Managing Director-Financial Operations, 445 12th Street, S.W., Room 1-A625, Washington, DC 20554</w:t>
      </w:r>
      <w:r w:rsidR="004A4379">
        <w:t xml:space="preserve">, </w:t>
      </w:r>
      <w:hyperlink r:id="rId7" w:history="1">
        <w:r w:rsidRPr="00C75785" w:rsidR="0074666D">
          <w:rPr>
            <w:rStyle w:val="Hyperlink"/>
          </w:rPr>
          <w:t>ARINQUIRIES@fcc.gov</w:t>
        </w:r>
      </w:hyperlink>
      <w:r w:rsidRPr="008D30C5">
        <w:t>.</w:t>
      </w:r>
      <w:r>
        <w:rPr>
          <w:rStyle w:val="FootnoteReference"/>
          <w:szCs w:val="22"/>
        </w:rPr>
        <w:footnoteReference w:id="36"/>
      </w:r>
      <w:r>
        <w:tab/>
      </w:r>
      <w:r>
        <w:tab/>
      </w:r>
      <w:r w:rsidRPr="008D30C5">
        <w:tab/>
      </w:r>
    </w:p>
    <w:p w:rsidR="00A40554" w:rsidP="00A83757" w14:paraId="52C66F66" w14:textId="54422167">
      <w:pPr>
        <w:pStyle w:val="ParaNum"/>
      </w:pPr>
      <w:r>
        <w:t>IT IS FURTHER ORDERED,</w:t>
      </w:r>
      <w:r w:rsidRPr="008D30C5">
        <w:t xml:space="preserve"> </w:t>
      </w:r>
      <w:r>
        <w:t>that the Petition for Reconsideration filed by Ward Broadcasting Corporation on October 30, 2019, IS GRANTED.</w:t>
      </w:r>
      <w:r w:rsidR="005C2209">
        <w:t xml:space="preserve"> </w:t>
      </w:r>
    </w:p>
    <w:p w:rsidR="00AE2D78" w:rsidP="00CB1BA6" w14:paraId="6005A4FB" w14:textId="77777777">
      <w:pPr>
        <w:pStyle w:val="ParaNum"/>
      </w:pPr>
      <w:r>
        <w:t>IT IS FURTHER ORDERED, that call sign WTOY(AM), IS REINSTATED.</w:t>
      </w:r>
    </w:p>
    <w:p w:rsidR="00AE2D78" w:rsidP="00E23B79" w14:paraId="53972732" w14:textId="5C958817">
      <w:pPr>
        <w:pStyle w:val="ParaNum"/>
      </w:pPr>
      <w:r w:rsidRPr="008D30C5">
        <w:t>IT IS FURTHER ORDERED</w:t>
      </w:r>
      <w:r>
        <w:t>,</w:t>
      </w:r>
      <w:r w:rsidRPr="008D30C5">
        <w:t xml:space="preserve"> that a copy of this Order shall be sent, by First Class and Certified Mail, Return Receipt Requested, to </w:t>
      </w:r>
      <w:r>
        <w:t>Ward Broadcasting Corporation, 80 Gracie Court, Evington, VA 24550, and to its counsel Dennis J. Kelly, Esq., P.O. Box 41177, Washington, DC 20018.</w:t>
      </w:r>
    </w:p>
    <w:p w:rsidR="00AE2D78" w:rsidP="00CB1BA6" w14:paraId="68C78639" w14:textId="77777777">
      <w:pPr>
        <w:keepLines/>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AE2D78" w:rsidP="00CB1BA6" w14:paraId="49752979" w14:textId="77777777">
      <w:pPr>
        <w:keepLines/>
        <w:tabs>
          <w:tab w:val="left" w:pos="0"/>
        </w:tabs>
        <w:suppressAutoHyphens/>
        <w:jc w:val="both"/>
        <w:rPr>
          <w:szCs w:val="22"/>
        </w:rPr>
      </w:pPr>
    </w:p>
    <w:p w:rsidR="00AE2D78" w:rsidP="00CB1BA6" w14:paraId="2EC4EEF5" w14:textId="77777777">
      <w:pPr>
        <w:keepLines/>
        <w:tabs>
          <w:tab w:val="left" w:pos="0"/>
        </w:tabs>
        <w:suppressAutoHyphens/>
        <w:jc w:val="both"/>
        <w:rPr>
          <w:szCs w:val="22"/>
        </w:rPr>
      </w:pPr>
    </w:p>
    <w:p w:rsidR="00AE2D78" w:rsidP="00CB1BA6" w14:paraId="54100B56" w14:textId="77777777">
      <w:pPr>
        <w:keepLines/>
        <w:tabs>
          <w:tab w:val="left" w:pos="0"/>
        </w:tabs>
        <w:suppressAutoHyphens/>
        <w:jc w:val="both"/>
        <w:rPr>
          <w:szCs w:val="22"/>
        </w:rPr>
      </w:pPr>
    </w:p>
    <w:p w:rsidR="00AE2D78" w:rsidP="00CB1BA6" w14:paraId="068FD663" w14:textId="77777777">
      <w:pPr>
        <w:keepLines/>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t xml:space="preserve"> Albert Shuldiner</w:t>
      </w:r>
    </w:p>
    <w:p w:rsidR="00AE2D78" w:rsidP="00CB1BA6" w14:paraId="572035E8" w14:textId="77777777">
      <w:pPr>
        <w:keepLines/>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t xml:space="preserve"> Chief, Audio Division</w:t>
      </w:r>
    </w:p>
    <w:p w:rsidR="00AE2D78" w:rsidP="00CB1BA6" w14:paraId="09C0E9FD" w14:textId="77777777">
      <w:pPr>
        <w:keepLines/>
        <w:tabs>
          <w:tab w:val="left" w:pos="0"/>
        </w:tabs>
        <w:suppressAutoHyphens/>
        <w:jc w:val="both"/>
      </w:pPr>
      <w:r>
        <w:rPr>
          <w:szCs w:val="22"/>
        </w:rPr>
        <w:tab/>
      </w:r>
      <w:r>
        <w:rPr>
          <w:szCs w:val="22"/>
        </w:rPr>
        <w:tab/>
      </w:r>
      <w:r>
        <w:rPr>
          <w:szCs w:val="22"/>
        </w:rPr>
        <w:tab/>
      </w:r>
      <w:r>
        <w:rPr>
          <w:szCs w:val="22"/>
        </w:rPr>
        <w:tab/>
      </w:r>
      <w:r>
        <w:rPr>
          <w:szCs w:val="22"/>
        </w:rPr>
        <w:tab/>
      </w:r>
      <w:r>
        <w:rPr>
          <w:szCs w:val="22"/>
        </w:rPr>
        <w:tab/>
        <w:t xml:space="preserve"> Media Bureau</w:t>
      </w:r>
    </w:p>
    <w:p w:rsidR="00412FC5" w:rsidRPr="00AE2D78" w:rsidP="00AE2D78" w14:paraId="5EC7F50B" w14:textId="77777777"/>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1856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EB4C5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E4D718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C098A0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AFC494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2D78" w14:paraId="38108375" w14:textId="77777777">
      <w:r>
        <w:separator/>
      </w:r>
    </w:p>
  </w:footnote>
  <w:footnote w:type="continuationSeparator" w:id="1">
    <w:p w:rsidR="00AE2D78" w:rsidP="00C721AC" w14:paraId="6B322D11" w14:textId="77777777">
      <w:pPr>
        <w:spacing w:before="120"/>
        <w:rPr>
          <w:sz w:val="20"/>
        </w:rPr>
      </w:pPr>
      <w:r>
        <w:rPr>
          <w:sz w:val="20"/>
        </w:rPr>
        <w:t xml:space="preserve">(Continued from previous page)  </w:t>
      </w:r>
      <w:r>
        <w:rPr>
          <w:sz w:val="20"/>
        </w:rPr>
        <w:separator/>
      </w:r>
    </w:p>
  </w:footnote>
  <w:footnote w:type="continuationNotice" w:id="2">
    <w:p w:rsidR="00AE2D78" w:rsidP="00C721AC" w14:paraId="07610967" w14:textId="4BE5A032">
      <w:pPr>
        <w:jc w:val="right"/>
        <w:rPr>
          <w:sz w:val="20"/>
        </w:rPr>
      </w:pPr>
    </w:p>
  </w:footnote>
  <w:footnote w:id="3">
    <w:p w:rsidR="00CB1BA6" w14:paraId="66838E9E" w14:textId="5D32A399">
      <w:pPr>
        <w:pStyle w:val="FootnoteText"/>
      </w:pPr>
      <w:r>
        <w:rPr>
          <w:rStyle w:val="FootnoteReference"/>
        </w:rPr>
        <w:footnoteRef/>
      </w:r>
      <w:r>
        <w:t xml:space="preserve"> File No. 0000087659.  On February 10, 2020, Licensee filed an amendment to the Application.  File No. </w:t>
      </w:r>
      <w:r w:rsidRPr="004029B5">
        <w:t>0000105757</w:t>
      </w:r>
      <w:r>
        <w:t>.</w:t>
      </w:r>
    </w:p>
  </w:footnote>
  <w:footnote w:id="4">
    <w:p w:rsidR="00AE2D78" w:rsidRPr="00222234" w:rsidP="00AE2D78" w14:paraId="6C00995C" w14:textId="77777777">
      <w:pPr>
        <w:pStyle w:val="Footer"/>
        <w:spacing w:after="120"/>
        <w:rPr>
          <w:sz w:val="20"/>
        </w:rPr>
      </w:pPr>
      <w:r>
        <w:rPr>
          <w:rStyle w:val="FootnoteReference"/>
        </w:rPr>
        <w:footnoteRef/>
      </w:r>
      <w:r>
        <w:t xml:space="preserve"> </w:t>
      </w:r>
      <w:r w:rsidRPr="00A52908">
        <w:rPr>
          <w:sz w:val="20"/>
        </w:rPr>
        <w:t xml:space="preserve">This </w:t>
      </w:r>
      <w:r w:rsidRPr="00A52908">
        <w:rPr>
          <w:i/>
          <w:sz w:val="20"/>
        </w:rPr>
        <w:t>NAL</w:t>
      </w:r>
      <w:r w:rsidRPr="00A52908">
        <w:rPr>
          <w:sz w:val="20"/>
        </w:rPr>
        <w:t xml:space="preserve"> is issued pursuant to </w:t>
      </w:r>
      <w:r>
        <w:rPr>
          <w:sz w:val="20"/>
        </w:rPr>
        <w:t>s</w:t>
      </w:r>
      <w:r w:rsidRPr="00A52908">
        <w:rPr>
          <w:sz w:val="20"/>
        </w:rPr>
        <w:t xml:space="preserve">ections 309(k) and 503(b) of the Communications Act of 1934, as amended (Act), and </w:t>
      </w:r>
      <w:r>
        <w:rPr>
          <w:sz w:val="20"/>
        </w:rPr>
        <w:t>s</w:t>
      </w:r>
      <w:r w:rsidRPr="00A52908">
        <w:rPr>
          <w:sz w:val="20"/>
        </w:rPr>
        <w:t>ection 1.80 of the FCC’s rules</w:t>
      </w:r>
      <w:r>
        <w:rPr>
          <w:sz w:val="20"/>
        </w:rPr>
        <w:t xml:space="preserve"> (Rules)</w:t>
      </w:r>
      <w:r w:rsidRPr="00A52908">
        <w:rPr>
          <w:sz w:val="20"/>
        </w:rPr>
        <w:t xml:space="preserve">.  </w:t>
      </w:r>
      <w:r w:rsidRPr="00A52908">
        <w:rPr>
          <w:i/>
          <w:sz w:val="20"/>
        </w:rPr>
        <w:t xml:space="preserve">See </w:t>
      </w:r>
      <w:r w:rsidRPr="00A52908">
        <w:rPr>
          <w:sz w:val="20"/>
        </w:rPr>
        <w:t xml:space="preserve">47 U.S.C. §§ 309(k), 503(b); 47 CFR § 1.80.  The Bureau has delegated authority to issue the </w:t>
      </w:r>
      <w:r w:rsidRPr="00A52908">
        <w:rPr>
          <w:i/>
          <w:sz w:val="20"/>
        </w:rPr>
        <w:t>NAL</w:t>
      </w:r>
      <w:r w:rsidRPr="00A52908">
        <w:rPr>
          <w:sz w:val="20"/>
        </w:rPr>
        <w:t xml:space="preserve"> under </w:t>
      </w:r>
      <w:r>
        <w:rPr>
          <w:sz w:val="20"/>
        </w:rPr>
        <w:t>s</w:t>
      </w:r>
      <w:r w:rsidRPr="00A52908">
        <w:rPr>
          <w:sz w:val="20"/>
        </w:rPr>
        <w:t xml:space="preserve">ection 0.283 of the </w:t>
      </w:r>
      <w:r>
        <w:rPr>
          <w:sz w:val="20"/>
        </w:rPr>
        <w:t>Rules</w:t>
      </w:r>
      <w:r w:rsidRPr="00A52908">
        <w:rPr>
          <w:sz w:val="20"/>
        </w:rPr>
        <w:t xml:space="preserve">.  </w:t>
      </w:r>
      <w:r w:rsidRPr="00A52908">
        <w:rPr>
          <w:i/>
          <w:sz w:val="20"/>
        </w:rPr>
        <w:t>See</w:t>
      </w:r>
      <w:r w:rsidRPr="00A52908">
        <w:rPr>
          <w:sz w:val="20"/>
        </w:rPr>
        <w:t xml:space="preserve"> 47 CFR § 0.283.  </w:t>
      </w:r>
    </w:p>
  </w:footnote>
  <w:footnote w:id="5">
    <w:p w:rsidR="00AE2D78" w:rsidP="00AE2D78" w14:paraId="6E083C9B" w14:textId="77777777">
      <w:pPr>
        <w:pStyle w:val="FootnoteText"/>
      </w:pPr>
      <w:r>
        <w:rPr>
          <w:rStyle w:val="FootnoteReference"/>
        </w:rPr>
        <w:footnoteRef/>
      </w:r>
      <w:r>
        <w:t xml:space="preserve"> </w:t>
      </w:r>
      <w:r>
        <w:rPr>
          <w:i/>
        </w:rPr>
        <w:t xml:space="preserve">See </w:t>
      </w:r>
      <w:r>
        <w:t>47 CFR § 73.3539.</w:t>
      </w:r>
    </w:p>
  </w:footnote>
  <w:footnote w:id="6">
    <w:p w:rsidR="00AE2D78" w:rsidP="00AE2D78" w14:paraId="4D09EC96" w14:textId="77777777">
      <w:pPr>
        <w:pStyle w:val="FootnoteText"/>
      </w:pPr>
      <w:r>
        <w:rPr>
          <w:rStyle w:val="FootnoteReference"/>
        </w:rPr>
        <w:footnoteRef/>
      </w:r>
      <w:r>
        <w:t xml:space="preserve"> </w:t>
      </w:r>
      <w:r>
        <w:rPr>
          <w:i/>
        </w:rPr>
        <w:t>See</w:t>
      </w:r>
      <w:r>
        <w:t xml:space="preserve"> 47 U.S.C. § 301.</w:t>
      </w:r>
    </w:p>
  </w:footnote>
  <w:footnote w:id="7">
    <w:p w:rsidR="00AE2D78" w:rsidP="00AE2D78" w14:paraId="10C60E16" w14:textId="42977667">
      <w:pPr>
        <w:pStyle w:val="FootnoteText"/>
      </w:pPr>
      <w:r>
        <w:rPr>
          <w:rStyle w:val="FootnoteReference"/>
        </w:rPr>
        <w:footnoteRef/>
      </w:r>
      <w:r>
        <w:t xml:space="preserve"> 47 CFR § 73.3539(a).</w:t>
      </w:r>
    </w:p>
  </w:footnote>
  <w:footnote w:id="8">
    <w:p w:rsidR="00AE2D78" w:rsidP="00AE2D78" w14:paraId="1917226F" w14:textId="77777777">
      <w:pPr>
        <w:pStyle w:val="FootnoteText"/>
      </w:pPr>
      <w:r>
        <w:rPr>
          <w:rStyle w:val="FootnoteReference"/>
        </w:rPr>
        <w:footnoteRef/>
      </w:r>
      <w:r>
        <w:t xml:space="preserve"> </w:t>
      </w:r>
      <w:r>
        <w:rPr>
          <w:i/>
        </w:rPr>
        <w:t>See</w:t>
      </w:r>
      <w:r>
        <w:t xml:space="preserve"> 47 CFR §§ 73.1020, 73.3539(a).</w:t>
      </w:r>
    </w:p>
  </w:footnote>
  <w:footnote w:id="9">
    <w:p w:rsidR="00AE2D78" w:rsidRPr="00D2667A" w:rsidP="00AE2D78" w14:paraId="2790B7E5" w14:textId="77777777">
      <w:pPr>
        <w:pStyle w:val="FootnoteText"/>
      </w:pPr>
      <w:r>
        <w:rPr>
          <w:rStyle w:val="FootnoteReference"/>
        </w:rPr>
        <w:footnoteRef/>
      </w:r>
      <w:r>
        <w:t xml:space="preserve"> </w:t>
      </w:r>
      <w:r>
        <w:rPr>
          <w:i/>
          <w:iCs/>
        </w:rPr>
        <w:t>See Broadcast Actions</w:t>
      </w:r>
      <w:r w:rsidRPr="00CB1BA6">
        <w:t>,</w:t>
      </w:r>
      <w:r>
        <w:rPr>
          <w:i/>
          <w:iCs/>
        </w:rPr>
        <w:t xml:space="preserve"> </w:t>
      </w:r>
      <w:r>
        <w:t>Public Notice, Report No. 49587 (rel. Oct. 7, 2019).</w:t>
      </w:r>
    </w:p>
  </w:footnote>
  <w:footnote w:id="10">
    <w:p w:rsidR="00AE2D78" w:rsidP="00AE2D78" w14:paraId="75EB8F2D" w14:textId="24843836">
      <w:pPr>
        <w:pStyle w:val="FootnoteText"/>
      </w:pPr>
      <w:r>
        <w:rPr>
          <w:rStyle w:val="FootnoteReference"/>
        </w:rPr>
        <w:footnoteRef/>
      </w:r>
      <w:r>
        <w:t xml:space="preserve"> </w:t>
      </w:r>
      <w:r w:rsidR="00CB1BA6">
        <w:rPr>
          <w:i/>
          <w:iCs/>
        </w:rPr>
        <w:t xml:space="preserve">See </w:t>
      </w:r>
      <w:r w:rsidR="00CB1BA6">
        <w:t xml:space="preserve">n.1, </w:t>
      </w:r>
      <w:r w:rsidR="00CB1BA6">
        <w:rPr>
          <w:i/>
          <w:iCs/>
        </w:rPr>
        <w:t>supra.</w:t>
      </w:r>
    </w:p>
  </w:footnote>
  <w:footnote w:id="11">
    <w:p w:rsidR="00AE2D78" w:rsidRPr="0049479B" w:rsidP="00AE2D78" w14:paraId="68E09A05" w14:textId="77777777">
      <w:pPr>
        <w:pStyle w:val="FootnoteText"/>
      </w:pPr>
      <w:r>
        <w:rPr>
          <w:rStyle w:val="FootnoteReference"/>
        </w:rPr>
        <w:footnoteRef/>
      </w:r>
      <w:r>
        <w:t xml:space="preserve"> </w:t>
      </w:r>
      <w:r>
        <w:rPr>
          <w:i/>
        </w:rPr>
        <w:t>See</w:t>
      </w:r>
      <w:r>
        <w:t xml:space="preserve"> File No. BLSTA-20191030AAN (STA Request). </w:t>
      </w:r>
    </w:p>
  </w:footnote>
  <w:footnote w:id="12">
    <w:p w:rsidR="00AE2D78" w:rsidP="00AE2D78" w14:paraId="0B81A895" w14:textId="77777777">
      <w:pPr>
        <w:pStyle w:val="FootnoteText"/>
      </w:pPr>
      <w:r>
        <w:rPr>
          <w:rStyle w:val="FootnoteReference"/>
        </w:rPr>
        <w:footnoteRef/>
      </w:r>
      <w:r>
        <w:t xml:space="preserve"> </w:t>
      </w:r>
      <w:r w:rsidRPr="00581D3E">
        <w:rPr>
          <w:i/>
          <w:iCs/>
        </w:rPr>
        <w:t>Letter from Albert Shuldiner, Chief, Audio Division, Media Bureau, FCC, to Dennis J. Kelly, Counsel for Ward Broadcasting Corporation</w:t>
      </w:r>
      <w:r>
        <w:t xml:space="preserve"> (Nov. 7, 2019).</w:t>
      </w:r>
    </w:p>
  </w:footnote>
  <w:footnote w:id="13">
    <w:p w:rsidR="00AE2D78" w:rsidP="00AE2D78" w14:paraId="082D0BC9" w14:textId="77777777">
      <w:pPr>
        <w:pStyle w:val="FootnoteText"/>
      </w:pPr>
      <w:r>
        <w:rPr>
          <w:rStyle w:val="FootnoteReference"/>
        </w:rPr>
        <w:footnoteRef/>
      </w:r>
      <w:r>
        <w:t xml:space="preserve"> </w:t>
      </w:r>
      <w:r>
        <w:rPr>
          <w:i/>
          <w:iCs/>
        </w:rPr>
        <w:t xml:space="preserve">See </w:t>
      </w:r>
      <w:r>
        <w:t>File No. BELSTA-20200504AAR.</w:t>
      </w:r>
    </w:p>
  </w:footnote>
  <w:footnote w:id="14">
    <w:p w:rsidR="00AE2D78" w:rsidP="00AE2D78" w14:paraId="4329E594" w14:textId="77777777">
      <w:pPr>
        <w:pStyle w:val="FootnoteText"/>
      </w:pPr>
      <w:r>
        <w:rPr>
          <w:rStyle w:val="FootnoteReference"/>
        </w:rPr>
        <w:footnoteRef/>
      </w:r>
      <w:r>
        <w:t xml:space="preserve"> </w:t>
      </w:r>
      <w:r>
        <w:rPr>
          <w:i/>
        </w:rPr>
        <w:t xml:space="preserve">See </w:t>
      </w:r>
      <w:r>
        <w:rPr>
          <w:iCs/>
        </w:rPr>
        <w:t>Petition</w:t>
      </w:r>
      <w:r>
        <w:rPr>
          <w:i/>
        </w:rPr>
        <w:t xml:space="preserve"> </w:t>
      </w:r>
      <w:r>
        <w:t>at 2.</w:t>
      </w:r>
    </w:p>
  </w:footnote>
  <w:footnote w:id="15">
    <w:p w:rsidR="00AE2D78" w:rsidP="00AE2D78" w14:paraId="39592426" w14:textId="77777777">
      <w:pPr>
        <w:pStyle w:val="FootnoteText"/>
      </w:pPr>
      <w:r>
        <w:rPr>
          <w:rStyle w:val="FootnoteReference"/>
        </w:rPr>
        <w:footnoteRef/>
      </w:r>
      <w:r>
        <w:t xml:space="preserve"> </w:t>
      </w:r>
      <w:r>
        <w:rPr>
          <w:i/>
        </w:rPr>
        <w:t xml:space="preserve">See, e.g., </w:t>
      </w:r>
      <w:r>
        <w:rPr>
          <w:i/>
        </w:rPr>
        <w:t>Hemmingford</w:t>
      </w:r>
      <w:r>
        <w:rPr>
          <w:i/>
        </w:rPr>
        <w:t xml:space="preserve"> Media, Inc</w:t>
      </w:r>
      <w:r>
        <w:t xml:space="preserve">., Forfeiture Order, 14 FCC </w:t>
      </w:r>
      <w:r>
        <w:t>Rcd</w:t>
      </w:r>
      <w:r>
        <w:t xml:space="preserve"> 2940, 2941-2 (CIB 1999) (responsibility for complying with terms of station license “rests solely and exclusively with the licensee”) (citing </w:t>
      </w:r>
      <w:r>
        <w:rPr>
          <w:i/>
        </w:rPr>
        <w:t>Empire Broad. Corp</w:t>
      </w:r>
      <w:r>
        <w:t>., Memorandum Opinion and Order, 25 FCC 2d 68 (1970)).</w:t>
      </w:r>
    </w:p>
  </w:footnote>
  <w:footnote w:id="16">
    <w:p w:rsidR="00AE2D78" w:rsidRPr="006F7D37" w:rsidP="00AE2D78" w14:paraId="2BCCA74A" w14:textId="77777777">
      <w:pPr>
        <w:pStyle w:val="Footer"/>
        <w:spacing w:after="120"/>
        <w:rPr>
          <w:sz w:val="20"/>
        </w:rPr>
      </w:pPr>
      <w:r w:rsidRPr="006F7D37">
        <w:rPr>
          <w:rStyle w:val="FootnoteReference"/>
        </w:rPr>
        <w:footnoteRef/>
      </w:r>
      <w:r w:rsidRPr="006F7D37">
        <w:rPr>
          <w:sz w:val="20"/>
        </w:rPr>
        <w:t xml:space="preserve"> 47 U.S.C. § 503(b)(1)(B).  </w:t>
      </w:r>
      <w:r w:rsidRPr="006F7D37">
        <w:rPr>
          <w:i/>
          <w:sz w:val="20"/>
        </w:rPr>
        <w:t>S</w:t>
      </w:r>
      <w:r w:rsidRPr="006F7D37">
        <w:rPr>
          <w:i/>
          <w:iCs/>
          <w:sz w:val="20"/>
        </w:rPr>
        <w:t>ee also</w:t>
      </w:r>
      <w:r w:rsidRPr="006F7D37">
        <w:rPr>
          <w:sz w:val="20"/>
        </w:rPr>
        <w:t xml:space="preserve"> 47 CFR §1.80(a)(1).</w:t>
      </w:r>
    </w:p>
  </w:footnote>
  <w:footnote w:id="17">
    <w:p w:rsidR="00AE2D78" w:rsidRPr="006F7D37" w:rsidP="00AE2D78" w14:paraId="653A816C" w14:textId="77777777">
      <w:pPr>
        <w:pStyle w:val="Footer"/>
        <w:spacing w:after="120"/>
        <w:rPr>
          <w:sz w:val="20"/>
        </w:rPr>
      </w:pPr>
      <w:r w:rsidRPr="006F7D37">
        <w:rPr>
          <w:rStyle w:val="FootnoteReference"/>
        </w:rPr>
        <w:footnoteRef/>
      </w:r>
      <w:r w:rsidRPr="006F7D37">
        <w:rPr>
          <w:sz w:val="20"/>
        </w:rPr>
        <w:t xml:space="preserve"> 47 U.S.C. § 312(f)(1).</w:t>
      </w:r>
    </w:p>
  </w:footnote>
  <w:footnote w:id="18">
    <w:p w:rsidR="00AE2D78" w:rsidRPr="006F7D37" w:rsidP="00AE2D78" w14:paraId="1083E747" w14:textId="77777777">
      <w:pPr>
        <w:pStyle w:val="Footer"/>
        <w:spacing w:after="120"/>
        <w:rPr>
          <w:sz w:val="20"/>
        </w:rPr>
      </w:pPr>
      <w:r w:rsidRPr="006F7D37">
        <w:rPr>
          <w:rStyle w:val="FootnoteReference"/>
        </w:rPr>
        <w:footnoteRef/>
      </w:r>
      <w:r w:rsidRPr="006F7D37">
        <w:rPr>
          <w:i/>
          <w:sz w:val="20"/>
        </w:rPr>
        <w:t xml:space="preserve"> See</w:t>
      </w:r>
      <w:r w:rsidRPr="006F7D37">
        <w:rPr>
          <w:sz w:val="20"/>
        </w:rPr>
        <w:t xml:space="preserve"> H.R. Rep. No. 97-765, 97</w:t>
      </w:r>
      <w:r w:rsidRPr="006F7D37">
        <w:rPr>
          <w:sz w:val="20"/>
          <w:vertAlign w:val="superscript"/>
        </w:rPr>
        <w:t>th</w:t>
      </w:r>
      <w:r w:rsidRPr="006F7D37">
        <w:rPr>
          <w:sz w:val="20"/>
        </w:rPr>
        <w:t xml:space="preserve"> Cong. 2d Sess. 51 (1982).</w:t>
      </w:r>
    </w:p>
  </w:footnote>
  <w:footnote w:id="19">
    <w:p w:rsidR="00AE2D78" w:rsidRPr="006F7D37" w:rsidP="00AE2D78" w14:paraId="2F4C3682" w14:textId="77777777">
      <w:pPr>
        <w:pStyle w:val="Footer"/>
        <w:spacing w:after="120"/>
        <w:rPr>
          <w:sz w:val="20"/>
        </w:rPr>
      </w:pPr>
      <w:r w:rsidRPr="006F7D37">
        <w:rPr>
          <w:rStyle w:val="FootnoteReference"/>
        </w:rPr>
        <w:footnoteRef/>
      </w:r>
      <w:r w:rsidRPr="006F7D37">
        <w:rPr>
          <w:i/>
          <w:iCs/>
          <w:sz w:val="20"/>
        </w:rPr>
        <w:t xml:space="preserve"> See Southern California Broad. Co.</w:t>
      </w:r>
      <w:r w:rsidRPr="006F7D37">
        <w:rPr>
          <w:sz w:val="20"/>
        </w:rPr>
        <w:t xml:space="preserve">, Memorandum Opinion and Order, 6 FCC </w:t>
      </w:r>
      <w:r w:rsidRPr="006F7D37">
        <w:rPr>
          <w:sz w:val="20"/>
        </w:rPr>
        <w:t>Rcd</w:t>
      </w:r>
      <w:r w:rsidRPr="006F7D37">
        <w:rPr>
          <w:sz w:val="20"/>
        </w:rPr>
        <w:t xml:space="preserve"> 4387, 4388, para</w:t>
      </w:r>
      <w:r>
        <w:rPr>
          <w:sz w:val="20"/>
        </w:rPr>
        <w:t>.</w:t>
      </w:r>
      <w:r w:rsidRPr="006F7D37">
        <w:rPr>
          <w:sz w:val="20"/>
        </w:rPr>
        <w:t>5 (1991).</w:t>
      </w:r>
    </w:p>
  </w:footnote>
  <w:footnote w:id="20">
    <w:p w:rsidR="00AE2D78" w:rsidRPr="006F7D37" w:rsidP="00AE2D78" w14:paraId="19D3D70C" w14:textId="77777777">
      <w:pPr>
        <w:pStyle w:val="Footer"/>
        <w:spacing w:after="120"/>
        <w:rPr>
          <w:sz w:val="20"/>
        </w:rPr>
      </w:pPr>
      <w:r w:rsidRPr="006F7D37">
        <w:rPr>
          <w:rStyle w:val="FootnoteReference"/>
        </w:rPr>
        <w:footnoteRef/>
      </w:r>
      <w:r w:rsidRPr="006F7D37">
        <w:rPr>
          <w:sz w:val="20"/>
        </w:rPr>
        <w:t xml:space="preserve"> 47 U.S.C. § 312(f)(2). </w:t>
      </w:r>
    </w:p>
  </w:footnote>
  <w:footnote w:id="21">
    <w:p w:rsidR="00AE2D78" w:rsidRPr="00CF021F" w:rsidP="00AE2D78" w14:paraId="6EED9537" w14:textId="58F62FE8">
      <w:pPr>
        <w:spacing w:after="120"/>
        <w:rPr>
          <w:rFonts w:eastAsia="Times New Roman"/>
          <w:sz w:val="20"/>
        </w:rPr>
      </w:pPr>
      <w:r>
        <w:rPr>
          <w:rStyle w:val="FootnoteReference"/>
        </w:rPr>
        <w:footnoteRef/>
      </w:r>
      <w:r>
        <w:t xml:space="preserve"> </w:t>
      </w:r>
      <w:r w:rsidRPr="00CF021F">
        <w:rPr>
          <w:rFonts w:eastAsia="Times New Roman"/>
          <w:i/>
          <w:iCs/>
          <w:sz w:val="20"/>
        </w:rPr>
        <w:t xml:space="preserve">See </w:t>
      </w:r>
      <w:hyperlink r:id="rId1" w:anchor="co_pp_sp_4493_17113" w:history="1">
        <w:r w:rsidRPr="00CF021F">
          <w:rPr>
            <w:rFonts w:eastAsia="Times New Roman"/>
            <w:i/>
            <w:iCs/>
            <w:sz w:val="20"/>
          </w:rPr>
          <w:t>Forfeiture Policy Statement and Amendment of Section 1.80(b) of the Rules to Incorporate the Forfeiture Guidelines</w:t>
        </w:r>
        <w:r w:rsidRPr="00CB1BA6">
          <w:rPr>
            <w:rFonts w:eastAsia="Times New Roman"/>
            <w:sz w:val="20"/>
          </w:rPr>
          <w:t>,</w:t>
        </w:r>
        <w:r w:rsidRPr="00CF021F">
          <w:rPr>
            <w:rFonts w:eastAsia="Times New Roman"/>
            <w:sz w:val="20"/>
          </w:rPr>
          <w:t xml:space="preserve"> Report and Order, 12 FCC </w:t>
        </w:r>
        <w:r w:rsidRPr="00CF021F">
          <w:rPr>
            <w:rFonts w:eastAsia="Times New Roman"/>
            <w:sz w:val="20"/>
          </w:rPr>
          <w:t>Rcd</w:t>
        </w:r>
        <w:r w:rsidRPr="00CF021F">
          <w:rPr>
            <w:rFonts w:eastAsia="Times New Roman"/>
            <w:sz w:val="20"/>
          </w:rPr>
          <w:t xml:space="preserve"> 17087, 17113-15 (1997)</w:t>
        </w:r>
      </w:hyperlink>
      <w:r w:rsidRPr="00CF021F">
        <w:rPr>
          <w:rFonts w:eastAsia="Times New Roman"/>
          <w:sz w:val="20"/>
        </w:rPr>
        <w:t xml:space="preserve"> (</w:t>
      </w:r>
      <w:r w:rsidRPr="00CF021F">
        <w:rPr>
          <w:rFonts w:eastAsia="Times New Roman"/>
          <w:i/>
          <w:iCs/>
          <w:sz w:val="20"/>
        </w:rPr>
        <w:t>Forfeiture</w:t>
      </w:r>
      <w:r w:rsidRPr="00CF021F">
        <w:rPr>
          <w:rFonts w:eastAsia="Times New Roman"/>
          <w:i/>
          <w:iCs/>
          <w:sz w:val="24"/>
          <w:szCs w:val="24"/>
        </w:rPr>
        <w:t xml:space="preserve"> </w:t>
      </w:r>
      <w:r w:rsidRPr="00CF021F">
        <w:rPr>
          <w:rFonts w:eastAsia="Times New Roman"/>
          <w:i/>
          <w:iCs/>
          <w:sz w:val="20"/>
        </w:rPr>
        <w:t>Policy Statement</w:t>
      </w:r>
      <w:r w:rsidRPr="00CF021F">
        <w:rPr>
          <w:rFonts w:eastAsia="Times New Roman"/>
          <w:sz w:val="20"/>
        </w:rPr>
        <w:t xml:space="preserve">), </w:t>
      </w:r>
      <w:r w:rsidRPr="00CF021F">
        <w:rPr>
          <w:rFonts w:eastAsia="Times New Roman"/>
          <w:i/>
          <w:iCs/>
          <w:sz w:val="20"/>
        </w:rPr>
        <w:t>recon. denied</w:t>
      </w:r>
      <w:r w:rsidRPr="00CF021F">
        <w:rPr>
          <w:rFonts w:eastAsia="Times New Roman"/>
          <w:sz w:val="20"/>
        </w:rPr>
        <w:t xml:space="preserve">, </w:t>
      </w:r>
      <w:hyperlink r:id="rId2" w:history="1">
        <w:r w:rsidRPr="00CF021F">
          <w:rPr>
            <w:rFonts w:eastAsia="Times New Roman"/>
            <w:sz w:val="20"/>
          </w:rPr>
          <w:t xml:space="preserve">15 FCC </w:t>
        </w:r>
        <w:r w:rsidRPr="00CF021F">
          <w:rPr>
            <w:rFonts w:eastAsia="Times New Roman"/>
            <w:sz w:val="20"/>
          </w:rPr>
          <w:t>Rcd</w:t>
        </w:r>
        <w:r w:rsidRPr="00CF021F">
          <w:rPr>
            <w:rFonts w:eastAsia="Times New Roman"/>
            <w:sz w:val="20"/>
          </w:rPr>
          <w:t xml:space="preserve"> 303 (1999)</w:t>
        </w:r>
      </w:hyperlink>
      <w:r w:rsidRPr="00CF021F">
        <w:rPr>
          <w:rFonts w:eastAsia="Times New Roman"/>
          <w:sz w:val="20"/>
        </w:rPr>
        <w:t xml:space="preserve">; </w:t>
      </w:r>
      <w:hyperlink r:id="rId3" w:anchor="co_pp_6ad60000aeea7" w:history="1">
        <w:r w:rsidRPr="00CF021F">
          <w:rPr>
            <w:rFonts w:eastAsia="Times New Roman"/>
            <w:sz w:val="20"/>
          </w:rPr>
          <w:t>47 CFR § 1.80(b)(</w:t>
        </w:r>
        <w:r>
          <w:rPr>
            <w:rFonts w:eastAsia="Times New Roman"/>
            <w:sz w:val="20"/>
          </w:rPr>
          <w:t>8</w:t>
        </w:r>
        <w:r w:rsidRPr="00CF021F">
          <w:rPr>
            <w:rFonts w:eastAsia="Times New Roman"/>
            <w:sz w:val="20"/>
          </w:rPr>
          <w:t>)</w:t>
        </w:r>
      </w:hyperlink>
      <w:r w:rsidRPr="00CF021F">
        <w:rPr>
          <w:rFonts w:eastAsia="Times New Roman"/>
          <w:sz w:val="20"/>
        </w:rPr>
        <w:t>, note to paragraph (b)(</w:t>
      </w:r>
      <w:r>
        <w:rPr>
          <w:rFonts w:eastAsia="Times New Roman"/>
          <w:sz w:val="20"/>
        </w:rPr>
        <w:t>8</w:t>
      </w:r>
      <w:r w:rsidRPr="00CF021F">
        <w:rPr>
          <w:rFonts w:eastAsia="Times New Roman"/>
          <w:sz w:val="20"/>
        </w:rPr>
        <w:t>), Section I.</w:t>
      </w:r>
    </w:p>
  </w:footnote>
  <w:footnote w:id="22">
    <w:p w:rsidR="00AE2D78" w:rsidRPr="00CF021F" w:rsidP="00AE2D78" w14:paraId="2B823F1D" w14:textId="77777777">
      <w:pPr>
        <w:shd w:val="clear" w:color="auto" w:fill="FFFFFF"/>
        <w:spacing w:after="120"/>
        <w:rPr>
          <w:rFonts w:eastAsia="Times New Roman"/>
          <w:color w:val="000000"/>
          <w:sz w:val="20"/>
        </w:rPr>
      </w:pPr>
      <w:r>
        <w:rPr>
          <w:rStyle w:val="FootnoteReference"/>
        </w:rPr>
        <w:footnoteRef/>
      </w:r>
      <w:r>
        <w:t xml:space="preserve"> </w:t>
      </w:r>
      <w:r w:rsidRPr="00CF021F">
        <w:rPr>
          <w:rFonts w:eastAsia="Times New Roman"/>
          <w:color w:val="000000"/>
          <w:sz w:val="20"/>
        </w:rPr>
        <w:t>A broadcast station requires an authorization from the Commission to operate.</w:t>
      </w:r>
      <w:r>
        <w:rPr>
          <w:rFonts w:eastAsia="Times New Roman"/>
          <w:color w:val="000000"/>
          <w:sz w:val="20"/>
        </w:rPr>
        <w:t xml:space="preserve"> </w:t>
      </w:r>
      <w:r w:rsidRPr="00CF021F">
        <w:rPr>
          <w:rFonts w:eastAsia="Times New Roman"/>
          <w:color w:val="000000"/>
          <w:sz w:val="20"/>
        </w:rPr>
        <w:t xml:space="preserve"> </w:t>
      </w:r>
      <w:r w:rsidRPr="00CF021F">
        <w:rPr>
          <w:rFonts w:eastAsia="Times New Roman"/>
          <w:i/>
          <w:iCs/>
          <w:color w:val="000000"/>
          <w:sz w:val="20"/>
        </w:rPr>
        <w:t>See</w:t>
      </w:r>
      <w:r w:rsidRPr="00CF021F">
        <w:rPr>
          <w:rFonts w:eastAsia="Times New Roman"/>
          <w:color w:val="000000"/>
          <w:sz w:val="20"/>
        </w:rPr>
        <w:t xml:space="preserve"> 47 U.S.C. § 301.</w:t>
      </w:r>
    </w:p>
  </w:footnote>
  <w:footnote w:id="23">
    <w:p w:rsidR="00AE2D78" w:rsidRPr="00CF021F" w:rsidP="00AE2D78" w14:paraId="3EBC172C" w14:textId="49DF3AED">
      <w:pPr>
        <w:spacing w:after="120"/>
        <w:rPr>
          <w:rFonts w:eastAsia="Times New Roman"/>
          <w:sz w:val="20"/>
        </w:rPr>
      </w:pPr>
      <w:r w:rsidRPr="00CF021F">
        <w:rPr>
          <w:rStyle w:val="FootnoteReference"/>
        </w:rPr>
        <w:footnoteRef/>
      </w:r>
      <w:r w:rsidRPr="00CF021F">
        <w:rPr>
          <w:sz w:val="20"/>
        </w:rPr>
        <w:t xml:space="preserve"> </w:t>
      </w:r>
      <w:hyperlink r:id="rId4" w:anchor="co_pp_a79d0000944d2" w:history="1">
        <w:r w:rsidRPr="00CF021F">
          <w:rPr>
            <w:rFonts w:eastAsia="Times New Roman"/>
            <w:sz w:val="20"/>
          </w:rPr>
          <w:t>47 U.S.C. § 503(b)(2)(</w:t>
        </w:r>
        <w:r>
          <w:rPr>
            <w:rFonts w:eastAsia="Times New Roman"/>
            <w:sz w:val="20"/>
          </w:rPr>
          <w:t>E</w:t>
        </w:r>
        <w:r w:rsidRPr="00CF021F">
          <w:rPr>
            <w:rFonts w:eastAsia="Times New Roman"/>
            <w:sz w:val="20"/>
          </w:rPr>
          <w:t>)</w:t>
        </w:r>
      </w:hyperlink>
      <w:r w:rsidRPr="00CF021F">
        <w:rPr>
          <w:rFonts w:eastAsia="Times New Roman"/>
          <w:sz w:val="20"/>
        </w:rPr>
        <w:t xml:space="preserve">; </w:t>
      </w:r>
      <w:r w:rsidRPr="00CF021F">
        <w:rPr>
          <w:rFonts w:eastAsia="Times New Roman"/>
          <w:i/>
          <w:iCs/>
          <w:sz w:val="20"/>
        </w:rPr>
        <w:t xml:space="preserve">see also </w:t>
      </w:r>
      <w:hyperlink r:id="rId5" w:anchor="co_pp_sp_4493_17100" w:history="1">
        <w:r w:rsidRPr="00CF021F">
          <w:rPr>
            <w:rFonts w:eastAsia="Times New Roman"/>
            <w:i/>
            <w:iCs/>
            <w:sz w:val="20"/>
          </w:rPr>
          <w:t>Forfeiture Policy Statement</w:t>
        </w:r>
        <w:r w:rsidRPr="00CB1BA6">
          <w:rPr>
            <w:rFonts w:eastAsia="Times New Roman"/>
            <w:sz w:val="20"/>
          </w:rPr>
          <w:t>,</w:t>
        </w:r>
        <w:r w:rsidRPr="00CF021F">
          <w:rPr>
            <w:rFonts w:eastAsia="Times New Roman"/>
            <w:sz w:val="20"/>
          </w:rPr>
          <w:t xml:space="preserve"> 12 FCC </w:t>
        </w:r>
        <w:r w:rsidRPr="00CF021F">
          <w:rPr>
            <w:rFonts w:eastAsia="Times New Roman"/>
            <w:sz w:val="20"/>
          </w:rPr>
          <w:t>Rcd</w:t>
        </w:r>
        <w:r w:rsidRPr="00CF021F">
          <w:rPr>
            <w:rFonts w:eastAsia="Times New Roman"/>
            <w:sz w:val="20"/>
          </w:rPr>
          <w:t xml:space="preserve"> at 17100;</w:t>
        </w:r>
      </w:hyperlink>
      <w:r w:rsidRPr="00CF021F">
        <w:rPr>
          <w:rFonts w:eastAsia="Times New Roman"/>
          <w:sz w:val="20"/>
        </w:rPr>
        <w:t xml:space="preserve"> </w:t>
      </w:r>
      <w:hyperlink r:id="rId3" w:anchor="co_pp_6ad60000aeea7" w:history="1">
        <w:r w:rsidRPr="00CF021F">
          <w:rPr>
            <w:rFonts w:eastAsia="Times New Roman"/>
            <w:sz w:val="20"/>
          </w:rPr>
          <w:t>47 C.F.R. § 1.80(b)(</w:t>
        </w:r>
        <w:r>
          <w:rPr>
            <w:rFonts w:eastAsia="Times New Roman"/>
            <w:sz w:val="20"/>
          </w:rPr>
          <w:t>8</w:t>
        </w:r>
        <w:r w:rsidRPr="00CF021F">
          <w:rPr>
            <w:rFonts w:eastAsia="Times New Roman"/>
            <w:sz w:val="20"/>
          </w:rPr>
          <w:t>)</w:t>
        </w:r>
      </w:hyperlink>
      <w:r w:rsidRPr="00CF021F">
        <w:rPr>
          <w:rFonts w:eastAsia="Times New Roman"/>
          <w:sz w:val="20"/>
        </w:rPr>
        <w:t>.</w:t>
      </w:r>
    </w:p>
  </w:footnote>
  <w:footnote w:id="24">
    <w:p w:rsidR="008049A8" w:rsidRPr="008049A8" w14:paraId="03759AD4" w14:textId="0194B97A">
      <w:pPr>
        <w:pStyle w:val="FootnoteText"/>
      </w:pPr>
      <w:r>
        <w:rPr>
          <w:rStyle w:val="FootnoteReference"/>
        </w:rPr>
        <w:footnoteRef/>
      </w:r>
      <w:r>
        <w:t xml:space="preserve"> </w:t>
      </w:r>
      <w:r>
        <w:rPr>
          <w:i/>
          <w:iCs/>
        </w:rPr>
        <w:t xml:space="preserve">See </w:t>
      </w:r>
      <w:r>
        <w:t>47 CFR § 1.80</w:t>
      </w:r>
      <w:r w:rsidR="0046477F">
        <w:t>, note</w:t>
      </w:r>
      <w:r w:rsidR="009C5E1D">
        <w:t xml:space="preserve"> to paragraph (b)(8), sec. I, Base</w:t>
      </w:r>
      <w:r w:rsidR="00177E7D">
        <w:t xml:space="preserve"> Amounts for Section 503 Forfeitures</w:t>
      </w:r>
      <w:r w:rsidR="002D40C2">
        <w:t>.</w:t>
      </w:r>
    </w:p>
  </w:footnote>
  <w:footnote w:id="25">
    <w:p w:rsidR="00AE2D78" w:rsidP="00AE2D78" w14:paraId="50D1D271" w14:textId="77777777">
      <w:pPr>
        <w:pStyle w:val="FootnoteText"/>
      </w:pPr>
      <w:r>
        <w:rPr>
          <w:rStyle w:val="FootnoteReference"/>
        </w:rPr>
        <w:footnoteRef/>
      </w:r>
      <w:r>
        <w:t xml:space="preserve"> </w:t>
      </w:r>
      <w:r>
        <w:rPr>
          <w:rStyle w:val="Emphasis"/>
        </w:rPr>
        <w:t>See, e.g., Chisholm Trail Commc'ns, LLC</w:t>
      </w:r>
      <w:r>
        <w:t xml:space="preserve">, Memorandum Opinion and Order and Notice of Apparent Liability for Forfeiture, 33 FCC </w:t>
      </w:r>
      <w:r>
        <w:t>Rcd</w:t>
      </w:r>
      <w:r>
        <w:t xml:space="preserve"> 107 (MB 2018) (</w:t>
      </w:r>
      <w:r>
        <w:rPr>
          <w:rStyle w:val="cosearchterm"/>
        </w:rPr>
        <w:t>$7,000</w:t>
      </w:r>
      <w:r>
        <w:t xml:space="preserve"> forfeiture assessed where licensee was issued a two-year renewal, failed to timely file renewal application, and continued station operations after expiration of license).</w:t>
      </w:r>
    </w:p>
  </w:footnote>
  <w:footnote w:id="26">
    <w:p w:rsidR="00AE2D78" w:rsidP="00AE2D78" w14:paraId="1C8322A1" w14:textId="77777777">
      <w:pPr>
        <w:pStyle w:val="FootnoteText"/>
      </w:pPr>
      <w:r>
        <w:rPr>
          <w:rStyle w:val="FootnoteReference"/>
        </w:rPr>
        <w:footnoteRef/>
      </w:r>
      <w:r>
        <w:rPr>
          <w:i/>
        </w:rPr>
        <w:t xml:space="preserve"> </w:t>
      </w:r>
      <w:r>
        <w:t>47 U.S.C. § 309(k).</w:t>
      </w:r>
    </w:p>
  </w:footnote>
  <w:footnote w:id="27">
    <w:p w:rsidR="00AE2D78" w:rsidP="00AE2D78" w14:paraId="6DD42B57" w14:textId="77777777">
      <w:pPr>
        <w:pStyle w:val="FootnoteText"/>
      </w:pPr>
      <w:r>
        <w:rPr>
          <w:rStyle w:val="FootnoteReference"/>
        </w:rPr>
        <w:footnoteRef/>
      </w:r>
      <w:r>
        <w:t xml:space="preserve"> 47 U.S.C. § 309(k)(1).  The renewal standard was amended to read as described by Section 204(a) of the </w:t>
      </w:r>
      <w:smartTag w:uri="urn:schemas-microsoft-com:office:smarttags" w:element="PersonName">
        <w:r>
          <w:t>Telecommunications</w:t>
        </w:r>
      </w:smartTag>
      <w:r>
        <w:t xml:space="preserve"> Act of 1996, Pub. L. No. 104-104, 110 Stat. 56 (1996).   S</w:t>
      </w:r>
      <w:r>
        <w:rPr>
          <w:i/>
        </w:rPr>
        <w:t xml:space="preserve">ee Implementation of Sections 204(a) and 204(c) of the </w:t>
      </w:r>
      <w:smartTag w:uri="urn:schemas-microsoft-com:office:smarttags" w:element="PersonName">
        <w:r>
          <w:rPr>
            <w:i/>
          </w:rPr>
          <w:t>Telecommunications</w:t>
        </w:r>
      </w:smartTag>
      <w:r>
        <w:rPr>
          <w:i/>
        </w:rPr>
        <w:t xml:space="preserve"> Act of 1996 (Broadcast License Renewal Procedures)</w:t>
      </w:r>
      <w:r>
        <w:t xml:space="preserve">, Order, 11 FCC </w:t>
      </w:r>
      <w:r>
        <w:t>Rcd</w:t>
      </w:r>
      <w:r>
        <w:t xml:space="preserve"> 6363 (1996).</w:t>
      </w:r>
    </w:p>
  </w:footnote>
  <w:footnote w:id="28">
    <w:p w:rsidR="00AE2D78" w:rsidP="00AE2D78" w14:paraId="7F8F92ED" w14:textId="77777777">
      <w:pPr>
        <w:pStyle w:val="Footer"/>
        <w:spacing w:after="120"/>
        <w:rPr>
          <w:sz w:val="20"/>
        </w:rPr>
      </w:pPr>
      <w:r>
        <w:rPr>
          <w:rStyle w:val="FootnoteReference"/>
        </w:rPr>
        <w:footnoteRef/>
      </w:r>
      <w:r>
        <w:rPr>
          <w:sz w:val="20"/>
        </w:rPr>
        <w:t xml:space="preserve"> 47 U.S.C. §§ 309(k)(2), 309(k)(3).</w:t>
      </w:r>
    </w:p>
  </w:footnote>
  <w:footnote w:id="29">
    <w:p w:rsidR="00AE2D78" w:rsidRPr="00F32824" w:rsidP="00AE2D78" w14:paraId="420484B6" w14:textId="3D7C40D3">
      <w:pPr>
        <w:pStyle w:val="Footer"/>
        <w:spacing w:after="120"/>
        <w:rPr>
          <w:sz w:val="20"/>
        </w:rPr>
      </w:pPr>
      <w:r>
        <w:rPr>
          <w:rStyle w:val="FootnoteReference"/>
        </w:rPr>
        <w:footnoteRef/>
      </w:r>
      <w:r>
        <w:t xml:space="preserve"> </w:t>
      </w:r>
      <w:r>
        <w:rPr>
          <w:sz w:val="20"/>
        </w:rPr>
        <w:t xml:space="preserve">For example, we do not find here that Licensee’s operation of the Station “was conducted in an exceedingly careless, inept and negligent manner and that the licensee is either incapable of correcting or unwilling to correct the operating deficiencies.”  </w:t>
      </w:r>
      <w:r>
        <w:rPr>
          <w:i/>
          <w:sz w:val="20"/>
        </w:rPr>
        <w:t>See Heart of the Black Hills Stations</w:t>
      </w:r>
      <w:r>
        <w:rPr>
          <w:sz w:val="20"/>
        </w:rPr>
        <w:t xml:space="preserve">, Decision, 32 FCC 2d 196, 198 (1971).  Nor do we find on the record here that “the number, nature and extent” of the violations indicate that “the licensee cannot be relied upon to operate [the Station] in the future in accordance with the requirements of its licenses and the Commission's Rules.”  </w:t>
      </w:r>
      <w:r>
        <w:rPr>
          <w:i/>
          <w:sz w:val="20"/>
        </w:rPr>
        <w:t>Id.</w:t>
      </w:r>
      <w:r>
        <w:rPr>
          <w:sz w:val="20"/>
        </w:rPr>
        <w:t xml:space="preserve"> at 200.  </w:t>
      </w:r>
      <w:r>
        <w:rPr>
          <w:i/>
          <w:sz w:val="20"/>
        </w:rPr>
        <w:t>Compare</w:t>
      </w:r>
      <w:r w:rsidR="00A40554">
        <w:rPr>
          <w:i/>
          <w:sz w:val="20"/>
        </w:rPr>
        <w:t xml:space="preserve"> with</w:t>
      </w:r>
      <w:r>
        <w:rPr>
          <w:i/>
          <w:sz w:val="20"/>
        </w:rPr>
        <w:t xml:space="preserve"> Center for Study and Application of Black Economic Development</w:t>
      </w:r>
      <w:r>
        <w:rPr>
          <w:sz w:val="20"/>
        </w:rPr>
        <w:t xml:space="preserve">, Hearing Designation Order, 6 FCC </w:t>
      </w:r>
      <w:r>
        <w:rPr>
          <w:sz w:val="20"/>
        </w:rPr>
        <w:t>Rcd</w:t>
      </w:r>
      <w:r>
        <w:rPr>
          <w:sz w:val="20"/>
        </w:rPr>
        <w:t xml:space="preserve"> 4622 (1991), </w:t>
      </w:r>
      <w:r>
        <w:rPr>
          <w:i/>
          <w:sz w:val="20"/>
        </w:rPr>
        <w:t>Calvary Educational Broad. Network, Inc</w:t>
      </w:r>
      <w:r>
        <w:rPr>
          <w:sz w:val="20"/>
        </w:rPr>
        <w:t xml:space="preserve">., Hearing Designation Order, 7 FCC </w:t>
      </w:r>
      <w:r>
        <w:rPr>
          <w:sz w:val="20"/>
        </w:rPr>
        <w:t>Rcd</w:t>
      </w:r>
      <w:r>
        <w:rPr>
          <w:sz w:val="20"/>
        </w:rPr>
        <w:t xml:space="preserve"> 4037 (1992).</w:t>
      </w:r>
    </w:p>
  </w:footnote>
  <w:footnote w:id="30">
    <w:p w:rsidR="005C2209" w:rsidRPr="00203CC8" w:rsidP="005C2209" w14:paraId="24AA4C9E" w14:textId="77777777">
      <w:pPr>
        <w:pStyle w:val="FootnoteText"/>
      </w:pPr>
      <w:r>
        <w:rPr>
          <w:rStyle w:val="FootnoteReference"/>
        </w:rPr>
        <w:footnoteRef/>
      </w:r>
      <w:r>
        <w:t xml:space="preserve"> </w:t>
      </w:r>
      <w:r>
        <w:rPr>
          <w:i/>
          <w:iCs/>
        </w:rPr>
        <w:t>See, e.g.</w:t>
      </w:r>
      <w:r w:rsidRPr="00CB1BA6">
        <w:t>,</w:t>
      </w:r>
      <w:r>
        <w:rPr>
          <w:i/>
          <w:iCs/>
        </w:rPr>
        <w:t xml:space="preserve"> Crawford County Community Radio, Inc., </w:t>
      </w:r>
      <w:r>
        <w:t xml:space="preserve">Memorandum Opinion and Order and Notice of Apparent Liability for Forfeiture, 25 FCC </w:t>
      </w:r>
      <w:r>
        <w:t>Rcd</w:t>
      </w:r>
      <w:r>
        <w:t xml:space="preserve"> 16329, 16333 (MB 2010) (petition for reconsideration granted; call sign reinstated; renewal application granted; and </w:t>
      </w:r>
      <w:r>
        <w:rPr>
          <w:rStyle w:val="cosearchterm"/>
        </w:rPr>
        <w:t>$13,000</w:t>
      </w:r>
      <w:r>
        <w:t xml:space="preserve"> forfeiture assessed where licensee failed to timely file renewal application, and continued station operations for 22 months after expiration of license).   </w:t>
      </w:r>
    </w:p>
  </w:footnote>
  <w:footnote w:id="31">
    <w:p w:rsidR="00AE2D78" w:rsidRPr="001C2556" w:rsidP="00AE2D78" w14:paraId="42640246" w14:textId="77777777">
      <w:pPr>
        <w:pStyle w:val="FootnoteText"/>
      </w:pPr>
      <w:r w:rsidRPr="001C2556">
        <w:rPr>
          <w:rStyle w:val="FootnoteReference"/>
        </w:rPr>
        <w:footnoteRef/>
      </w:r>
      <w:r w:rsidRPr="001C2556">
        <w:t xml:space="preserve"> </w:t>
      </w:r>
      <w:r w:rsidRPr="001C2556">
        <w:rPr>
          <w:i/>
        </w:rPr>
        <w:t>See</w:t>
      </w:r>
      <w:r w:rsidRPr="001C2556">
        <w:t xml:space="preserve"> 47 U.S.C. § 309(k)(2).</w:t>
      </w:r>
    </w:p>
  </w:footnote>
  <w:footnote w:id="32">
    <w:p w:rsidR="00AE2D78" w:rsidRPr="001C2556" w:rsidP="00AE2D78" w14:paraId="11B80E33" w14:textId="77777777">
      <w:pPr>
        <w:pStyle w:val="Footer"/>
        <w:spacing w:after="120"/>
        <w:rPr>
          <w:sz w:val="20"/>
        </w:rPr>
      </w:pPr>
      <w:r w:rsidRPr="001C2556">
        <w:rPr>
          <w:rStyle w:val="FootnoteReference"/>
        </w:rPr>
        <w:footnoteRef/>
      </w:r>
      <w:r w:rsidRPr="001C2556">
        <w:rPr>
          <w:sz w:val="20"/>
        </w:rPr>
        <w:t xml:space="preserve"> </w:t>
      </w:r>
      <w:r w:rsidRPr="001C2556">
        <w:rPr>
          <w:i/>
          <w:sz w:val="20"/>
        </w:rPr>
        <w:t xml:space="preserve">See, e.g., </w:t>
      </w:r>
      <w:r>
        <w:rPr>
          <w:i/>
          <w:sz w:val="20"/>
        </w:rPr>
        <w:t>Rama Commc’ns, Inc.</w:t>
      </w:r>
      <w:r w:rsidRPr="00CB1BA6">
        <w:rPr>
          <w:iCs/>
          <w:sz w:val="20"/>
        </w:rPr>
        <w:t>,</w:t>
      </w:r>
      <w:r>
        <w:rPr>
          <w:i/>
          <w:sz w:val="20"/>
        </w:rPr>
        <w:t xml:space="preserve"> </w:t>
      </w:r>
      <w:r w:rsidRPr="001C2556">
        <w:rPr>
          <w:sz w:val="20"/>
        </w:rPr>
        <w:t xml:space="preserve">Memorandum Opinion and Order and Notice of Apparent Liability, </w:t>
      </w:r>
      <w:r>
        <w:rPr>
          <w:sz w:val="20"/>
        </w:rPr>
        <w:t>31</w:t>
      </w:r>
      <w:r w:rsidRPr="001C2556">
        <w:rPr>
          <w:sz w:val="20"/>
        </w:rPr>
        <w:t xml:space="preserve"> FCC </w:t>
      </w:r>
      <w:r w:rsidRPr="001C2556">
        <w:rPr>
          <w:sz w:val="20"/>
        </w:rPr>
        <w:t>Rcd</w:t>
      </w:r>
      <w:r w:rsidRPr="001C2556">
        <w:rPr>
          <w:sz w:val="20"/>
        </w:rPr>
        <w:t xml:space="preserve"> </w:t>
      </w:r>
      <w:r>
        <w:rPr>
          <w:sz w:val="20"/>
        </w:rPr>
        <w:t>6939</w:t>
      </w:r>
      <w:r w:rsidRPr="001C2556">
        <w:rPr>
          <w:sz w:val="20"/>
        </w:rPr>
        <w:t xml:space="preserve"> (MB 201</w:t>
      </w:r>
      <w:r>
        <w:rPr>
          <w:sz w:val="20"/>
        </w:rPr>
        <w:t>6</w:t>
      </w:r>
      <w:r w:rsidRPr="001C2556">
        <w:rPr>
          <w:sz w:val="20"/>
        </w:rPr>
        <w:t>) (</w:t>
      </w:r>
      <w:r>
        <w:rPr>
          <w:sz w:val="20"/>
        </w:rPr>
        <w:t>two</w:t>
      </w:r>
      <w:r w:rsidRPr="001C2556">
        <w:rPr>
          <w:sz w:val="20"/>
        </w:rPr>
        <w:t>-year renewal granted for failing to prepare issues</w:t>
      </w:r>
      <w:r>
        <w:rPr>
          <w:sz w:val="20"/>
        </w:rPr>
        <w:t xml:space="preserve"> and p</w:t>
      </w:r>
      <w:r w:rsidRPr="001C2556">
        <w:rPr>
          <w:sz w:val="20"/>
        </w:rPr>
        <w:t>rograms lists during the license term).</w:t>
      </w:r>
    </w:p>
  </w:footnote>
  <w:footnote w:id="33">
    <w:p w:rsidR="00AE2D78" w:rsidRPr="00AB0947" w:rsidP="00AE2D78" w14:paraId="5D057B0A" w14:textId="77777777">
      <w:pPr>
        <w:pStyle w:val="FootnoteText"/>
        <w:rPr>
          <w:rFonts w:eastAsia="Calibri"/>
        </w:rPr>
      </w:pPr>
      <w:r>
        <w:rPr>
          <w:rStyle w:val="FootnoteReference"/>
        </w:rPr>
        <w:footnoteRef/>
      </w:r>
      <w:r>
        <w:t xml:space="preserve"> </w:t>
      </w:r>
      <w:r w:rsidRPr="00AB0947">
        <w:t>Payments made using the Commission’s Fee Filer system do not require the submission of an FCC Form 159.</w:t>
      </w:r>
    </w:p>
  </w:footnote>
  <w:footnote w:id="34">
    <w:p w:rsidR="00AE2D78" w:rsidRPr="00AB0947" w:rsidP="00AE2D78" w14:paraId="364E1789" w14:textId="77777777">
      <w:pPr>
        <w:pStyle w:val="FootnoteText"/>
      </w:pPr>
      <w:r w:rsidRPr="00AB0947">
        <w:rPr>
          <w:rStyle w:val="FootnoteReference"/>
        </w:rPr>
        <w:footnoteRef/>
      </w:r>
      <w:r w:rsidRPr="00AB0947">
        <w:t xml:space="preserve"> For questions regarding payment procedures, please contact the Financial Operations Group Help Desk by phone at 1-877-480-3201 (option #6), or by e</w:t>
      </w:r>
      <w:r>
        <w:t>-</w:t>
      </w:r>
      <w:r w:rsidRPr="00AB0947">
        <w:t>mail at ARINQUIRIES@fcc.gov.</w:t>
      </w:r>
    </w:p>
  </w:footnote>
  <w:footnote w:id="35">
    <w:p w:rsidR="00AE2D78" w:rsidRPr="00AB0947" w:rsidP="00AE2D78" w14:paraId="6CE9A1A2" w14:textId="77777777">
      <w:pPr>
        <w:pStyle w:val="FootnoteText"/>
        <w:rPr>
          <w:rFonts w:ascii="Calibri" w:hAnsi="Calibri"/>
        </w:rPr>
      </w:pPr>
      <w:r w:rsidRPr="00AB0947">
        <w:rPr>
          <w:rStyle w:val="FootnoteReference"/>
        </w:rPr>
        <w:footnoteRef/>
      </w:r>
      <w:r w:rsidRPr="00AB0947">
        <w:t xml:space="preserve"> Instructions for completing the form may be obtained at http://www.fcc.gov/Forms/Form159/159.pdf. </w:t>
      </w:r>
    </w:p>
  </w:footnote>
  <w:footnote w:id="36">
    <w:p w:rsidR="00AE2D78" w:rsidP="00AE2D78" w14:paraId="59EAACE6" w14:textId="77777777">
      <w:pPr>
        <w:pStyle w:val="Footer"/>
        <w:spacing w:after="120"/>
        <w:rPr>
          <w:sz w:val="20"/>
        </w:rPr>
      </w:pPr>
      <w:r w:rsidRPr="001C2556">
        <w:rPr>
          <w:rStyle w:val="FootnoteReference"/>
        </w:rPr>
        <w:footnoteRef/>
      </w:r>
      <w:r w:rsidRPr="001C2556">
        <w:rPr>
          <w:sz w:val="20"/>
        </w:rPr>
        <w:t xml:space="preserve"> </w:t>
      </w:r>
      <w:r w:rsidRPr="001C2556">
        <w:rPr>
          <w:i/>
          <w:sz w:val="20"/>
        </w:rPr>
        <w:t>See</w:t>
      </w:r>
      <w:r w:rsidRPr="001C2556">
        <w:rPr>
          <w:sz w:val="20"/>
        </w:rPr>
        <w:t xml:space="preserve"> 47 CF</w:t>
      </w:r>
      <w:r>
        <w:rPr>
          <w:sz w:val="20"/>
        </w:rPr>
        <w:t>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DE7946" w14:textId="5C5D1A2D">
    <w:pPr>
      <w:pStyle w:val="Header"/>
      <w:rPr>
        <w:b w:val="0"/>
      </w:rPr>
    </w:pPr>
    <w:r>
      <w:tab/>
      <w:t>Federal Communications Commission</w:t>
    </w:r>
    <w:r>
      <w:tab/>
    </w:r>
    <w:r w:rsidR="00AE2D78">
      <w:t>DA 20-</w:t>
    </w:r>
    <w:r w:rsidR="00BB5E1D">
      <w:t>584</w:t>
    </w:r>
  </w:p>
  <w:p w:rsidR="00D25FB5" w14:paraId="13DF1905" w14:textId="23E82E0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0CF9D3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F4F556" w14:textId="13A52E0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D78">
      <w:rPr>
        <w:spacing w:val="-2"/>
      </w:rPr>
      <w:t>DA 20-</w:t>
    </w:r>
    <w:r w:rsidR="00BB5E1D">
      <w:rPr>
        <w:spacing w:val="-2"/>
      </w:rPr>
      <w:t>584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924E4FEC"/>
    <w:lvl w:ilvl="0">
      <w:start w:val="1"/>
      <w:numFmt w:val="decimal"/>
      <w:lvlText w:val="%1."/>
      <w:lvlJc w:val="left"/>
      <w:pPr>
        <w:tabs>
          <w:tab w:val="num" w:pos="1160"/>
        </w:tabs>
        <w:ind w:left="8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8"/>
    <w:rsid w:val="00036039"/>
    <w:rsid w:val="00037F90"/>
    <w:rsid w:val="00076929"/>
    <w:rsid w:val="000875BF"/>
    <w:rsid w:val="00096D8C"/>
    <w:rsid w:val="000A2A51"/>
    <w:rsid w:val="000C0B65"/>
    <w:rsid w:val="000D4E69"/>
    <w:rsid w:val="000E05FE"/>
    <w:rsid w:val="000E3D42"/>
    <w:rsid w:val="000F3BFA"/>
    <w:rsid w:val="00122BD5"/>
    <w:rsid w:val="00133F79"/>
    <w:rsid w:val="00177E7D"/>
    <w:rsid w:val="00194A66"/>
    <w:rsid w:val="00197841"/>
    <w:rsid w:val="001C2556"/>
    <w:rsid w:val="001C60F2"/>
    <w:rsid w:val="001D6BCF"/>
    <w:rsid w:val="001E01CA"/>
    <w:rsid w:val="00201D9D"/>
    <w:rsid w:val="00203CC8"/>
    <w:rsid w:val="00222234"/>
    <w:rsid w:val="00275CF5"/>
    <w:rsid w:val="0028301F"/>
    <w:rsid w:val="00285017"/>
    <w:rsid w:val="002A2D2E"/>
    <w:rsid w:val="002C00E8"/>
    <w:rsid w:val="002D40C2"/>
    <w:rsid w:val="003344E3"/>
    <w:rsid w:val="00343749"/>
    <w:rsid w:val="003660ED"/>
    <w:rsid w:val="003B0550"/>
    <w:rsid w:val="003B694F"/>
    <w:rsid w:val="003F171C"/>
    <w:rsid w:val="004029B5"/>
    <w:rsid w:val="00403C7A"/>
    <w:rsid w:val="00412FC5"/>
    <w:rsid w:val="00422276"/>
    <w:rsid w:val="004242F1"/>
    <w:rsid w:val="00445A00"/>
    <w:rsid w:val="00451B0F"/>
    <w:rsid w:val="0046477F"/>
    <w:rsid w:val="0049479B"/>
    <w:rsid w:val="004A4379"/>
    <w:rsid w:val="004C2EE3"/>
    <w:rsid w:val="004E4A22"/>
    <w:rsid w:val="00505710"/>
    <w:rsid w:val="00511968"/>
    <w:rsid w:val="00537BD6"/>
    <w:rsid w:val="0055614C"/>
    <w:rsid w:val="00566D06"/>
    <w:rsid w:val="00581D3E"/>
    <w:rsid w:val="005C2209"/>
    <w:rsid w:val="005E14C2"/>
    <w:rsid w:val="005E1FDE"/>
    <w:rsid w:val="00607BA5"/>
    <w:rsid w:val="0061180A"/>
    <w:rsid w:val="00626EB6"/>
    <w:rsid w:val="00655D03"/>
    <w:rsid w:val="00683388"/>
    <w:rsid w:val="00683F84"/>
    <w:rsid w:val="006A6A81"/>
    <w:rsid w:val="006B0B35"/>
    <w:rsid w:val="006F7393"/>
    <w:rsid w:val="006F7D37"/>
    <w:rsid w:val="0070224F"/>
    <w:rsid w:val="00710DF1"/>
    <w:rsid w:val="007115F7"/>
    <w:rsid w:val="0074666D"/>
    <w:rsid w:val="00785689"/>
    <w:rsid w:val="00787F68"/>
    <w:rsid w:val="0079754B"/>
    <w:rsid w:val="007A1E6D"/>
    <w:rsid w:val="007B0EB2"/>
    <w:rsid w:val="007B1D07"/>
    <w:rsid w:val="008049A8"/>
    <w:rsid w:val="00810B6F"/>
    <w:rsid w:val="00822CE0"/>
    <w:rsid w:val="00841AB1"/>
    <w:rsid w:val="008C68F1"/>
    <w:rsid w:val="008D30C5"/>
    <w:rsid w:val="00910EC5"/>
    <w:rsid w:val="00921803"/>
    <w:rsid w:val="00926503"/>
    <w:rsid w:val="009726D8"/>
    <w:rsid w:val="0097716D"/>
    <w:rsid w:val="009C4B9E"/>
    <w:rsid w:val="009C5E1D"/>
    <w:rsid w:val="009D269D"/>
    <w:rsid w:val="009D7308"/>
    <w:rsid w:val="009F76DB"/>
    <w:rsid w:val="00A32C3B"/>
    <w:rsid w:val="00A40554"/>
    <w:rsid w:val="00A45F4F"/>
    <w:rsid w:val="00A52908"/>
    <w:rsid w:val="00A600A9"/>
    <w:rsid w:val="00A7009C"/>
    <w:rsid w:val="00A83757"/>
    <w:rsid w:val="00AA55B7"/>
    <w:rsid w:val="00AA5B9E"/>
    <w:rsid w:val="00AB0947"/>
    <w:rsid w:val="00AB2407"/>
    <w:rsid w:val="00AB53DF"/>
    <w:rsid w:val="00AE2D78"/>
    <w:rsid w:val="00B07E5C"/>
    <w:rsid w:val="00B40D6E"/>
    <w:rsid w:val="00B811F7"/>
    <w:rsid w:val="00BA5DC6"/>
    <w:rsid w:val="00BA6196"/>
    <w:rsid w:val="00BB5E1D"/>
    <w:rsid w:val="00BC6D8C"/>
    <w:rsid w:val="00BD3CD6"/>
    <w:rsid w:val="00C34006"/>
    <w:rsid w:val="00C36B4C"/>
    <w:rsid w:val="00C426B1"/>
    <w:rsid w:val="00C61CB8"/>
    <w:rsid w:val="00C66160"/>
    <w:rsid w:val="00C721AC"/>
    <w:rsid w:val="00C75785"/>
    <w:rsid w:val="00C90D6A"/>
    <w:rsid w:val="00CA247E"/>
    <w:rsid w:val="00CA6D21"/>
    <w:rsid w:val="00CB1BA6"/>
    <w:rsid w:val="00CC72B6"/>
    <w:rsid w:val="00CD7225"/>
    <w:rsid w:val="00CF021F"/>
    <w:rsid w:val="00CF56A8"/>
    <w:rsid w:val="00D0218D"/>
    <w:rsid w:val="00D25FB5"/>
    <w:rsid w:val="00D2667A"/>
    <w:rsid w:val="00D44223"/>
    <w:rsid w:val="00D55DAF"/>
    <w:rsid w:val="00D74CC9"/>
    <w:rsid w:val="00DA04C7"/>
    <w:rsid w:val="00DA2529"/>
    <w:rsid w:val="00DB130A"/>
    <w:rsid w:val="00DB2EBB"/>
    <w:rsid w:val="00DC10A1"/>
    <w:rsid w:val="00DC655F"/>
    <w:rsid w:val="00DD0B59"/>
    <w:rsid w:val="00DD7E8F"/>
    <w:rsid w:val="00DD7EBD"/>
    <w:rsid w:val="00DF62B6"/>
    <w:rsid w:val="00E07225"/>
    <w:rsid w:val="00E23B79"/>
    <w:rsid w:val="00E521FC"/>
    <w:rsid w:val="00E5409F"/>
    <w:rsid w:val="00E77E92"/>
    <w:rsid w:val="00EE6488"/>
    <w:rsid w:val="00EF47D7"/>
    <w:rsid w:val="00F021FA"/>
    <w:rsid w:val="00F32824"/>
    <w:rsid w:val="00F60863"/>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2FBF0ED-D588-4EA6-818D-BB7AC6D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D78"/>
    <w:rPr>
      <w:rFonts w:eastAsia="SimSun"/>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3,Footnote Text Char4 Char1 Char,Footnote Text Char4 Char1 Char Char Char Char,Footnote Text Char7 Char,Footnote Text Char7 Char Char Char Char,f"/>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rsid w:val="009D7308"/>
    <w:rPr>
      <w:snapToGrid w:val="0"/>
      <w:kern w:val="28"/>
      <w:sz w:val="22"/>
    </w:rPr>
  </w:style>
  <w:style w:type="paragraph" w:styleId="BalloonText">
    <w:name w:val="Balloon Text"/>
    <w:basedOn w:val="Normal"/>
    <w:link w:val="BalloonTextChar"/>
    <w:rsid w:val="00AE2D78"/>
    <w:rPr>
      <w:rFonts w:ascii="Segoe UI" w:hAnsi="Segoe UI" w:cs="Segoe UI"/>
      <w:sz w:val="18"/>
      <w:szCs w:val="18"/>
    </w:rPr>
  </w:style>
  <w:style w:type="character" w:customStyle="1" w:styleId="BalloonTextChar">
    <w:name w:val="Balloon Text Char"/>
    <w:basedOn w:val="DefaultParagraphFont"/>
    <w:link w:val="BalloonText"/>
    <w:rsid w:val="00AE2D78"/>
    <w:rPr>
      <w:rFonts w:ascii="Segoe UI" w:hAnsi="Segoe UI" w:cs="Segoe UI"/>
      <w:snapToGrid w:val="0"/>
      <w:kern w:val="28"/>
      <w:sz w:val="18"/>
      <w:szCs w:val="18"/>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ink w:val="FootnoteText"/>
    <w:rsid w:val="00AE2D78"/>
  </w:style>
  <w:style w:type="character" w:customStyle="1" w:styleId="ParaNumChar">
    <w:name w:val="ParaNum Char"/>
    <w:link w:val="ParaNum"/>
    <w:locked/>
    <w:rsid w:val="00AE2D78"/>
    <w:rPr>
      <w:snapToGrid w:val="0"/>
      <w:kern w:val="28"/>
      <w:sz w:val="22"/>
    </w:rPr>
  </w:style>
  <w:style w:type="character" w:styleId="Emphasis">
    <w:name w:val="Emphasis"/>
    <w:uiPriority w:val="20"/>
    <w:qFormat/>
    <w:rsid w:val="00AE2D78"/>
    <w:rPr>
      <w:i/>
      <w:iCs/>
    </w:rPr>
  </w:style>
  <w:style w:type="character" w:customStyle="1" w:styleId="cosearchterm">
    <w:name w:val="co_searchterm"/>
    <w:rsid w:val="00AE2D78"/>
  </w:style>
  <w:style w:type="character" w:styleId="CommentReference">
    <w:name w:val="annotation reference"/>
    <w:basedOn w:val="DefaultParagraphFont"/>
    <w:rsid w:val="00AE2D78"/>
    <w:rPr>
      <w:sz w:val="16"/>
      <w:szCs w:val="16"/>
    </w:rPr>
  </w:style>
  <w:style w:type="paragraph" w:styleId="CommentText">
    <w:name w:val="annotation text"/>
    <w:basedOn w:val="Normal"/>
    <w:link w:val="CommentTextChar"/>
    <w:rsid w:val="00AE2D78"/>
    <w:rPr>
      <w:sz w:val="20"/>
    </w:rPr>
  </w:style>
  <w:style w:type="character" w:customStyle="1" w:styleId="CommentTextChar">
    <w:name w:val="Comment Text Char"/>
    <w:basedOn w:val="DefaultParagraphFont"/>
    <w:link w:val="CommentText"/>
    <w:rsid w:val="00AE2D78"/>
    <w:rPr>
      <w:rFonts w:eastAsia="SimSun"/>
    </w:rPr>
  </w:style>
  <w:style w:type="paragraph" w:styleId="CommentSubject">
    <w:name w:val="annotation subject"/>
    <w:basedOn w:val="CommentText"/>
    <w:next w:val="CommentText"/>
    <w:link w:val="CommentSubjectChar"/>
    <w:rsid w:val="00C61CB8"/>
    <w:rPr>
      <w:b/>
      <w:bCs/>
    </w:rPr>
  </w:style>
  <w:style w:type="character" w:customStyle="1" w:styleId="CommentSubjectChar">
    <w:name w:val="Comment Subject Char"/>
    <w:basedOn w:val="CommentTextChar"/>
    <w:link w:val="CommentSubject"/>
    <w:rsid w:val="00C61CB8"/>
    <w:rPr>
      <w:rFonts w:eastAsia="SimSun"/>
      <w:b/>
      <w:bCs/>
    </w:rPr>
  </w:style>
  <w:style w:type="character" w:customStyle="1" w:styleId="UnresolvedMention">
    <w:name w:val="Unresolved Mention"/>
    <w:basedOn w:val="DefaultParagraphFont"/>
    <w:uiPriority w:val="99"/>
    <w:semiHidden/>
    <w:unhideWhenUsed/>
    <w:rsid w:val="0050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nterpriseefiling.fcc.gov/dataentry/public/tv/draftCopy.html?displayType=html&amp;appKey=25076f917025da3f01703179cb370b5f&amp;id=25076f917025da3f01703179cb370b5f&amp;goBack=N" TargetMode="External" /><Relationship Id="rId6" Type="http://schemas.openxmlformats.org/officeDocument/2006/relationships/hyperlink" Target="mailto:Albert.Shuldiner@fcc.gov" TargetMode="External" /><Relationship Id="rId7" Type="http://schemas.openxmlformats.org/officeDocument/2006/relationships/hyperlink" Target="mailto:ARINQUIRIES@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97263097&amp;pubNum=0004493&amp;originatingDoc=I7d944119fdff11dfaa23bccc834e9520&amp;refType=CA&amp;fi=co_pp_sp_4493_17113&amp;originationContext=document&amp;transitionType=DocumentItem&amp;contextData=(sc.Search)" TargetMode="External" /><Relationship Id="rId2" Type="http://schemas.openxmlformats.org/officeDocument/2006/relationships/hyperlink" Target="https://1.next.westlaw.com/Link/Document/FullText?findType=Y&amp;serNum=1999290806&amp;pubNum=0004493&amp;originatingDoc=I7d944119fdff11dfaa23bccc834e9520&amp;refType=CA&amp;originationContext=document&amp;transitionType=DocumentItem&amp;contextData=(sc.Search)" TargetMode="External" /><Relationship Id="rId3" Type="http://schemas.openxmlformats.org/officeDocument/2006/relationships/hyperlink" Target="https://1.next.westlaw.com/Link/Document/FullText?findType=L&amp;pubNum=1000547&amp;cite=47CFRS1.80&amp;originatingDoc=I7d944119fdff11dfaa23bccc834e9520&amp;refType=RB&amp;originationContext=document&amp;transitionType=DocumentItem&amp;contextData=(sc.Search)" TargetMode="External" /><Relationship Id="rId4" Type="http://schemas.openxmlformats.org/officeDocument/2006/relationships/hyperlink" Target="https://1.next.westlaw.com/Link/Document/FullText?findType=L&amp;pubNum=1000546&amp;cite=47USCAS503&amp;originatingDoc=I7d944119fdff11dfaa23bccc834e9520&amp;refType=RB&amp;originationContext=document&amp;transitionType=DocumentItem&amp;contextData=(sc.Search)" TargetMode="External" /><Relationship Id="rId5" Type="http://schemas.openxmlformats.org/officeDocument/2006/relationships/hyperlink" Target="https://1.next.westlaw.com/Link/Document/FullText?findType=Y&amp;serNum=1997263097&amp;pubNum=4493&amp;originatingDoc=I7d944119fdff11dfaa23bccc834e9520&amp;refType=CA&amp;fi=co_pp_sp_4493_17100&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