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oxmlPackage1.xlsx" ContentType="application/vnd.openxmlformats-officedocument.spreadsheetml.sheet"/>
  <Override PartName="/word/embeddings/ooxmlPackage2.xlsx" ContentType="application/vnd.openxmlformats-officedocument.spreadsheetml.sheet"/>
  <Override PartName="/word/embeddings/ooxmlPackage3.xlsx" ContentType="application/vnd.openxmlformats-officedocument.spreadsheetml.sheet"/>
  <Override PartName="/word/embeddings/ooxmlPackage4.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723D3" w:rsidP="00876677" w14:paraId="7319315A" w14:textId="7A6ED994">
      <w:pPr>
        <w:pStyle w:val="AppendixHeading1"/>
        <w:ind w:left="0"/>
      </w:pPr>
      <w:r>
        <w:br/>
      </w:r>
      <w:r w:rsidR="002F0562">
        <w:t xml:space="preserve">Economic </w:t>
      </w:r>
      <w:r w:rsidR="0066396A">
        <w:t>Analyses Supporting the Proposed Adjustment Factor</w:t>
      </w:r>
    </w:p>
    <w:p w:rsidR="00BD0059" w:rsidP="00F85A6C" w14:paraId="094BA23F" w14:textId="58D329C9">
      <w:pPr>
        <w:pStyle w:val="ParaNum"/>
        <w:numPr>
          <w:ilvl w:val="0"/>
          <w:numId w:val="14"/>
        </w:numPr>
        <w:tabs>
          <w:tab w:val="clear" w:pos="3690"/>
        </w:tabs>
        <w:ind w:left="0"/>
      </w:pPr>
      <w:r>
        <w:t xml:space="preserve">In the </w:t>
      </w:r>
      <w:r w:rsidRPr="00FC592C">
        <w:rPr>
          <w:i/>
          <w:iCs/>
        </w:rPr>
        <w:t>5G Fund NPRM and Order</w:t>
      </w:r>
      <w:r>
        <w:t xml:space="preserve">, </w:t>
      </w:r>
      <w:r w:rsidR="00091848">
        <w:t xml:space="preserve">the Commission </w:t>
      </w:r>
      <w:r>
        <w:t xml:space="preserve">proposed </w:t>
      </w:r>
      <w:r w:rsidR="00091848">
        <w:t>incorporating</w:t>
      </w:r>
      <w:r>
        <w:t xml:space="preserve"> an adjustment factor</w:t>
      </w:r>
      <w:r w:rsidRPr="00FC592C">
        <w:rPr>
          <w:i/>
          <w:iCs/>
        </w:rPr>
        <w:t xml:space="preserve"> </w:t>
      </w:r>
      <w:r w:rsidRPr="00551918">
        <w:t>that would assign a weight to specific geographic areas in the 5G Fund auction design</w:t>
      </w:r>
      <w:r>
        <w:t xml:space="preserve"> as well </w:t>
      </w:r>
      <w:r w:rsidR="00603D77">
        <w:t xml:space="preserve">as in </w:t>
      </w:r>
      <w:r>
        <w:t xml:space="preserve">the disaggregation of legacy </w:t>
      </w:r>
      <w:r w:rsidR="00887F91">
        <w:t xml:space="preserve">high-cost </w:t>
      </w:r>
      <w:r>
        <w:t>support</w:t>
      </w:r>
      <w:r w:rsidRPr="00551918">
        <w:t>.</w:t>
      </w:r>
      <w:r>
        <w:rPr>
          <w:rStyle w:val="FootnoteReference"/>
        </w:rPr>
        <w:footnoteReference w:id="3"/>
      </w:r>
      <w:r w:rsidRPr="00551918">
        <w:t xml:space="preserve">  The </w:t>
      </w:r>
      <w:r>
        <w:t xml:space="preserve">adjustment </w:t>
      </w:r>
      <w:r w:rsidRPr="00551918">
        <w:t>factor</w:t>
      </w:r>
      <w:r>
        <w:t xml:space="preserve"> </w:t>
      </w:r>
      <w:r w:rsidRPr="00551918">
        <w:t xml:space="preserve">would ensure that the 5G Fund </w:t>
      </w:r>
      <w:r>
        <w:t>support and legacy support are</w:t>
      </w:r>
      <w:r w:rsidRPr="00551918">
        <w:t xml:space="preserve"> distributed to geographically and economically diverse areas.</w:t>
      </w:r>
      <w:r>
        <w:rPr>
          <w:rStyle w:val="FootnoteReference"/>
        </w:rPr>
        <w:footnoteReference w:id="4"/>
      </w:r>
      <w:r w:rsidRPr="00551918">
        <w:t xml:space="preserve">  The </w:t>
      </w:r>
      <w:r>
        <w:t xml:space="preserve">Commission </w:t>
      </w:r>
      <w:r w:rsidRPr="00551918">
        <w:t xml:space="preserve">directed the Office and </w:t>
      </w:r>
      <w:r>
        <w:t xml:space="preserve">the </w:t>
      </w:r>
      <w:r w:rsidRPr="00551918">
        <w:t xml:space="preserve">Bureau to propose specific values for the adjustment factor and </w:t>
      </w:r>
      <w:r w:rsidR="00887F91">
        <w:t xml:space="preserve">to </w:t>
      </w:r>
      <w:r w:rsidR="001E39A4">
        <w:t>explain</w:t>
      </w:r>
      <w:r w:rsidRPr="00551918">
        <w:t xml:space="preserve"> the underlying </w:t>
      </w:r>
      <w:r>
        <w:t>analyses</w:t>
      </w:r>
      <w:r w:rsidRPr="00551918">
        <w:t xml:space="preserve"> used to develop the weights.</w:t>
      </w:r>
      <w:r>
        <w:rPr>
          <w:rStyle w:val="FootnoteReference"/>
        </w:rPr>
        <w:footnoteReference w:id="5"/>
      </w:r>
      <w:r w:rsidRPr="00551918">
        <w:t xml:space="preserve">  </w:t>
      </w:r>
      <w:r>
        <w:t>This appendix presents the technical descriptions of three economic analyses that inform our determination of the specific proposed adjustment factor values.</w:t>
      </w:r>
      <w:r w:rsidR="008E0870">
        <w:t xml:space="preserve">  The final datasets used in the three analyses are available for comment.</w:t>
      </w:r>
    </w:p>
    <w:p w:rsidR="008638EC" w:rsidP="008638EC" w14:paraId="4473FF7A" w14:textId="1D837B52">
      <w:pPr>
        <w:pStyle w:val="Heading1"/>
        <w:numPr>
          <w:ilvl w:val="0"/>
          <w:numId w:val="19"/>
        </w:numPr>
      </w:pPr>
      <w:r>
        <w:t xml:space="preserve">Entry Model </w:t>
      </w:r>
      <w:r w:rsidR="00CE189B">
        <w:t>A</w:t>
      </w:r>
      <w:r>
        <w:t xml:space="preserve">djustment </w:t>
      </w:r>
      <w:r w:rsidR="00CE189B">
        <w:t>F</w:t>
      </w:r>
      <w:r>
        <w:t>actor</w:t>
      </w:r>
    </w:p>
    <w:p w:rsidR="00A47720" w:rsidRPr="00984EC1" w:rsidP="00F85A6C" w14:paraId="3C54EA4F" w14:textId="7AAD2B7D">
      <w:pPr>
        <w:pStyle w:val="ParaNum"/>
        <w:numPr>
          <w:ilvl w:val="0"/>
          <w:numId w:val="14"/>
        </w:numPr>
        <w:tabs>
          <w:tab w:val="num" w:pos="-1530"/>
          <w:tab w:val="clear" w:pos="3690"/>
        </w:tabs>
        <w:ind w:left="0"/>
      </w:pPr>
      <w:r w:rsidRPr="7EBF36DC">
        <w:t xml:space="preserve">In this section, we present a simple entry model that estimates how various characteristics of a geographic area </w:t>
      </w:r>
      <w:r w:rsidR="00887F91">
        <w:t xml:space="preserve">affect </w:t>
      </w:r>
      <w:r w:rsidRPr="7EBF36DC">
        <w:t xml:space="preserve">the likelihood that a carrier </w:t>
      </w:r>
      <w:r>
        <w:t>will choose to offer</w:t>
      </w:r>
      <w:r w:rsidRPr="7EBF36DC">
        <w:t xml:space="preserve"> service in that area.  Under the basic assumption that firms are profit-driven, economic theory </w:t>
      </w:r>
      <w:r>
        <w:t>predicts</w:t>
      </w:r>
      <w:r w:rsidRPr="7EBF36DC">
        <w:t xml:space="preserve"> that firms will enter </w:t>
      </w:r>
      <w:r w:rsidRPr="7EBF36DC" w:rsidR="00887F91">
        <w:t xml:space="preserve">only </w:t>
      </w:r>
      <w:r w:rsidRPr="7EBF36DC">
        <w:t xml:space="preserve">those areas in which expected revenues </w:t>
      </w:r>
      <w:r>
        <w:t xml:space="preserve">(including subsidies) </w:t>
      </w:r>
      <w:r w:rsidRPr="7EBF36DC">
        <w:t>are greater than expected costs.</w:t>
      </w:r>
      <w:r>
        <w:rPr>
          <w:rStyle w:val="FootnoteReference"/>
        </w:rPr>
        <w:footnoteReference w:id="6"/>
      </w:r>
      <w:r w:rsidRPr="7EBF36DC">
        <w:t xml:space="preserve">  Building on this </w:t>
      </w:r>
      <w:r>
        <w:t>basic assumption</w:t>
      </w:r>
      <w:r w:rsidRPr="7EBF36DC">
        <w:t>, we use wireless carriers’ reported coverage as a proxy for the expected profitability or “attractiveness” of any given area.  In order to understand what drives any given area’s attractiveness, we consider demographic characteristics, terrain and land use information, and universal service funding.</w:t>
      </w:r>
      <w:r>
        <w:rPr>
          <w:rStyle w:val="FootnoteReference"/>
        </w:rPr>
        <w:footnoteReference w:id="7"/>
      </w:r>
      <w:r w:rsidRPr="7EBF36DC">
        <w:t xml:space="preserve">  We model the number of </w:t>
      </w:r>
      <w:r>
        <w:t xml:space="preserve">wireless </w:t>
      </w:r>
      <w:r w:rsidRPr="7EBF36DC">
        <w:t xml:space="preserve">carriers providing service in an area as a function of these variables, which allows us to understand </w:t>
      </w:r>
      <w:r w:rsidR="00887F91">
        <w:t xml:space="preserve">whether, </w:t>
      </w:r>
      <w:r w:rsidRPr="7EBF36DC">
        <w:t xml:space="preserve">and </w:t>
      </w:r>
      <w:r w:rsidR="00887F91">
        <w:t xml:space="preserve">if so </w:t>
      </w:r>
      <w:r w:rsidRPr="7EBF36DC">
        <w:t>how</w:t>
      </w:r>
      <w:r w:rsidR="00887F91">
        <w:t>,</w:t>
      </w:r>
      <w:r w:rsidRPr="7EBF36DC">
        <w:t xml:space="preserve"> each variable </w:t>
      </w:r>
      <w:r>
        <w:t xml:space="preserve">affects </w:t>
      </w:r>
      <w:r w:rsidRPr="7EBF36DC">
        <w:t xml:space="preserve">the attractiveness of </w:t>
      </w:r>
      <w:r>
        <w:t>a</w:t>
      </w:r>
      <w:r w:rsidRPr="7EBF36DC">
        <w:t xml:space="preserve"> geographic area.  Using the model’s estimates, we </w:t>
      </w:r>
      <w:r>
        <w:t>then</w:t>
      </w:r>
      <w:r w:rsidRPr="7EBF36DC">
        <w:t xml:space="preserve"> calculate the </w:t>
      </w:r>
      <w:r>
        <w:t>adjustment</w:t>
      </w:r>
      <w:r w:rsidRPr="7EBF36DC">
        <w:t xml:space="preserve"> factor</w:t>
      </w:r>
      <w:r>
        <w:t xml:space="preserve"> that is necessary to make the areas equally attractive to prospective entrants</w:t>
      </w:r>
      <w:r w:rsidR="001E39A4">
        <w:t>, and</w:t>
      </w:r>
      <w:r>
        <w:t xml:space="preserve"> </w:t>
      </w:r>
      <w:r w:rsidR="001E39A4">
        <w:t xml:space="preserve">holding all other factors that determine attractiveness equal, we </w:t>
      </w:r>
      <w:r>
        <w:t>set the probabilities of deploying service</w:t>
      </w:r>
      <w:r w:rsidRPr="7EBF36DC">
        <w:t xml:space="preserve"> </w:t>
      </w:r>
      <w:r>
        <w:t xml:space="preserve">equally </w:t>
      </w:r>
      <w:r w:rsidRPr="7EBF36DC">
        <w:t xml:space="preserve">across geographic areas </w:t>
      </w:r>
      <w:r>
        <w:t xml:space="preserve">that </w:t>
      </w:r>
      <w:r w:rsidRPr="7EBF36DC">
        <w:t xml:space="preserve">differ </w:t>
      </w:r>
      <w:r>
        <w:t xml:space="preserve">only </w:t>
      </w:r>
      <w:r w:rsidR="001E39A4">
        <w:t>by</w:t>
      </w:r>
      <w:r w:rsidRPr="7EBF36DC">
        <w:t xml:space="preserve"> income and terrain.</w:t>
      </w:r>
    </w:p>
    <w:p w:rsidR="00A47720" w:rsidP="00043DED" w14:paraId="20ADACB2" w14:textId="336C1089">
      <w:pPr>
        <w:pStyle w:val="ParaNum"/>
        <w:tabs>
          <w:tab w:val="clear" w:pos="1080"/>
        </w:tabs>
      </w:pPr>
      <w:r w:rsidRPr="7EBF36DC">
        <w:t xml:space="preserve">The analysis is conducted at the </w:t>
      </w:r>
      <w:r>
        <w:t>C</w:t>
      </w:r>
      <w:r w:rsidRPr="7EBF36DC">
        <w:t>ensus block group level,</w:t>
      </w:r>
      <w:r>
        <w:rPr>
          <w:rStyle w:val="FootnoteReference"/>
        </w:rPr>
        <w:footnoteReference w:id="8"/>
      </w:r>
      <w:r w:rsidRPr="7EBF36DC">
        <w:t xml:space="preserve"> and uses coverage data from each of the four national carriers.</w:t>
      </w:r>
      <w:r>
        <w:rPr>
          <w:rStyle w:val="FootnoteReference"/>
        </w:rPr>
        <w:footnoteReference w:id="9"/>
      </w:r>
      <w:r w:rsidRPr="7EBF36DC">
        <w:t xml:space="preserve">  A carrier is </w:t>
      </w:r>
      <w:r>
        <w:t>consider</w:t>
      </w:r>
      <w:r w:rsidRPr="7EBF36DC">
        <w:t xml:space="preserve">ed to have entered a </w:t>
      </w:r>
      <w:r>
        <w:t>C</w:t>
      </w:r>
      <w:r w:rsidRPr="7EBF36DC">
        <w:t xml:space="preserve">ensus block group if </w:t>
      </w:r>
      <w:r>
        <w:t>it</w:t>
      </w:r>
      <w:r w:rsidRPr="7EBF36DC">
        <w:t xml:space="preserve"> </w:t>
      </w:r>
      <w:r w:rsidRPr="7EBF36DC">
        <w:t>cover</w:t>
      </w:r>
      <w:r>
        <w:t>s</w:t>
      </w:r>
      <w:r w:rsidRPr="7EBF36DC">
        <w:t xml:space="preserve"> at least 75% of the land area in the </w:t>
      </w:r>
      <w:r>
        <w:t>C</w:t>
      </w:r>
      <w:r w:rsidRPr="7EBF36DC">
        <w:t>ensus block group with 4G LTE</w:t>
      </w:r>
      <w:r w:rsidRPr="00984EC1">
        <w:rPr>
          <w:szCs w:val="22"/>
        </w:rPr>
        <w:t>.</w:t>
      </w:r>
      <w:r>
        <w:rPr>
          <w:rStyle w:val="FootnoteReference"/>
        </w:rPr>
        <w:footnoteReference w:id="10"/>
      </w:r>
      <w:r w:rsidRPr="7EBF36DC">
        <w:t xml:space="preserve">  We include in our sample those </w:t>
      </w:r>
      <w:r>
        <w:t>C</w:t>
      </w:r>
      <w:r w:rsidRPr="7EBF36DC">
        <w:t>ensus block groups that contain at least 50% rural blocks</w:t>
      </w:r>
      <w:r>
        <w:rPr>
          <w:szCs w:val="22"/>
        </w:rPr>
        <w:t xml:space="preserve"> </w:t>
      </w:r>
      <w:r w:rsidRPr="001A5B25">
        <w:rPr>
          <w:szCs w:val="22"/>
        </w:rPr>
        <w:t>by land area</w:t>
      </w:r>
      <w:r w:rsidRPr="00E53090">
        <w:t>,</w:t>
      </w:r>
      <w:r>
        <w:rPr>
          <w:rStyle w:val="FootnoteReference"/>
        </w:rPr>
        <w:footnoteReference w:id="11"/>
      </w:r>
      <w:r w:rsidRPr="00F96E5A">
        <w:t xml:space="preserve"> and</w:t>
      </w:r>
      <w:r w:rsidRPr="7EBF36DC">
        <w:t xml:space="preserve"> </w:t>
      </w:r>
      <w:r w:rsidR="00A25D16">
        <w:t xml:space="preserve">that </w:t>
      </w:r>
      <w:r w:rsidRPr="7EBF36DC">
        <w:t>have population densities of less than 100 persons per square mile</w:t>
      </w:r>
      <w:r>
        <w:rPr>
          <w:rStyle w:val="FootnoteReference"/>
        </w:rPr>
        <w:footnoteReference w:id="12"/>
      </w:r>
      <w:r w:rsidRPr="7EBF36DC">
        <w:t xml:space="preserve"> </w:t>
      </w:r>
      <w:r w:rsidRPr="001A5B25">
        <w:t>and GDP</w:t>
      </w:r>
      <w:r>
        <w:t>s</w:t>
      </w:r>
      <w:r w:rsidRPr="001A5B25">
        <w:t xml:space="preserve"> of less than $100 million</w:t>
      </w:r>
      <w:r w:rsidR="00423D81">
        <w:t xml:space="preserve"> per square mile</w:t>
      </w:r>
      <w:r w:rsidR="00A25D16">
        <w:t>;</w:t>
      </w:r>
      <w:r>
        <w:rPr>
          <w:rStyle w:val="FootnoteReference"/>
        </w:rPr>
        <w:footnoteReference w:id="13"/>
      </w:r>
      <w:r>
        <w:t xml:space="preserve"> </w:t>
      </w:r>
      <w:r w:rsidR="00A25D16">
        <w:t xml:space="preserve">this procedure yields </w:t>
      </w:r>
      <w:r w:rsidRPr="7EBF36DC">
        <w:t>28,519 observations.</w:t>
      </w:r>
      <w:r>
        <w:rPr>
          <w:rStyle w:val="FootnoteReference"/>
        </w:rPr>
        <w:footnoteReference w:id="14"/>
      </w:r>
      <w:r w:rsidRPr="7EBF36DC">
        <w:t xml:space="preserve">  Summary statistics are presented in Fig</w:t>
      </w:r>
      <w:r>
        <w:rPr>
          <w:szCs w:val="22"/>
        </w:rPr>
        <w:t xml:space="preserve">. </w:t>
      </w:r>
      <w:r w:rsidRPr="7EBF36DC">
        <w:t>B-1.</w:t>
      </w:r>
    </w:p>
    <w:p w:rsidR="00A47720" w:rsidP="00043DED" w14:paraId="41C6F3E4" w14:textId="35219449">
      <w:pPr>
        <w:pStyle w:val="ParaNum"/>
        <w:widowControl/>
        <w:tabs>
          <w:tab w:val="clear" w:pos="1080"/>
        </w:tabs>
      </w:pPr>
      <w:r w:rsidRPr="00960C09">
        <w:rPr>
          <w:i/>
          <w:iCs/>
        </w:rPr>
        <w:t>Analysis</w:t>
      </w:r>
      <w:r>
        <w:t xml:space="preserve">.  Carriers are expected to enter geographic areas when the incremental revenues from deploying are expected to exceed the incremental costs.  In determining where to deploy, carriers likely consider demographic characteristics which may serve as demand proxies (i.e., population, level of economic activity, etc.), the costs associated with deploying coverage in the area, and the number of competitors also providing coverage.  For example, providing service to 1000 individuals in a densely populated area with flat terrain is </w:t>
      </w:r>
      <w:r w:rsidR="0088032E">
        <w:t xml:space="preserve">likely less costly </w:t>
      </w:r>
      <w:r>
        <w:t>than providing equivalent service to 1000 individuals over a larger more sparsely populated geographic area with mountainous terrain.  The areas with high</w:t>
      </w:r>
      <w:r w:rsidR="0088032E">
        <w:t>er</w:t>
      </w:r>
      <w:r>
        <w:t xml:space="preserve"> demand and low</w:t>
      </w:r>
      <w:r w:rsidR="0088032E">
        <w:t>er</w:t>
      </w:r>
      <w:r>
        <w:t xml:space="preserve"> costs are thus more attractive to carriers, and therefore </w:t>
      </w:r>
      <w:r w:rsidR="002917DA">
        <w:t xml:space="preserve">they </w:t>
      </w:r>
      <w:r>
        <w:t xml:space="preserve">likely have a greater number of mobile providers than </w:t>
      </w:r>
      <w:r w:rsidR="0083102C">
        <w:t xml:space="preserve">mountainous </w:t>
      </w:r>
      <w:r>
        <w:t>areas with demand.</w:t>
      </w:r>
      <w:bookmarkStart w:id="4" w:name="_Hlk24639581"/>
      <w:bookmarkEnd w:id="4"/>
    </w:p>
    <w:p w:rsidR="00A47720" w:rsidP="00043DED" w14:paraId="088759C2" w14:textId="64427854">
      <w:pPr>
        <w:pStyle w:val="ParaNum"/>
        <w:tabs>
          <w:tab w:val="clear" w:pos="1080"/>
        </w:tabs>
      </w:pPr>
      <w:r w:rsidRPr="7EBF36DC">
        <w:t xml:space="preserve">We fit an ordered logit model for the number of entrants on </w:t>
      </w:r>
      <w:r>
        <w:t>C</w:t>
      </w:r>
      <w:r w:rsidRPr="7EBF36DC">
        <w:t xml:space="preserve">ensus block group characteristics that reasonably </w:t>
      </w:r>
      <w:r w:rsidRPr="7EBF36DC" w:rsidR="004F5188">
        <w:t xml:space="preserve">could </w:t>
      </w:r>
      <w:r w:rsidRPr="7EBF36DC">
        <w:t>impact the attractiveness of entry.</w:t>
      </w:r>
      <w:r>
        <w:rPr>
          <w:vertAlign w:val="superscript"/>
        </w:rPr>
        <w:footnoteReference w:id="15"/>
      </w:r>
      <w:r w:rsidRPr="7EBF36DC">
        <w:t xml:space="preserve">  Ordered logit models are used when there is a categorical outcome where </w:t>
      </w:r>
      <w:r>
        <w:t xml:space="preserve">category </w:t>
      </w:r>
      <w:r w:rsidRPr="7EBF36DC">
        <w:t xml:space="preserve">values have </w:t>
      </w:r>
      <w:r>
        <w:t>a meaningful sequential order</w:t>
      </w:r>
      <w:r w:rsidRPr="7EBF36DC">
        <w:t>.</w:t>
      </w:r>
      <w:r>
        <w:rPr>
          <w:vertAlign w:val="superscript"/>
        </w:rPr>
        <w:footnoteReference w:id="16"/>
      </w:r>
      <w:r w:rsidRPr="7EBF36DC">
        <w:t xml:space="preserve">  In this case, the outcome of interest is the number of carriers providing coverage in a </w:t>
      </w:r>
      <w:r>
        <w:t>C</w:t>
      </w:r>
      <w:r w:rsidRPr="7EBF36DC">
        <w:t xml:space="preserve">ensus block group, and so the ordering is straightforward—one entrant implies more </w:t>
      </w:r>
      <w:r>
        <w:t>carriers providing service</w:t>
      </w:r>
      <w:r w:rsidRPr="7EBF36DC">
        <w:t xml:space="preserve"> than zero, two entrants implies more </w:t>
      </w:r>
      <w:r>
        <w:t>carriers providing service</w:t>
      </w:r>
      <w:r w:rsidRPr="7EBF36DC">
        <w:t xml:space="preserve"> than one, etc.  We model the number of entrants as being determined by </w:t>
      </w:r>
      <w:r>
        <w:t>a</w:t>
      </w:r>
      <w:r w:rsidRPr="7EBF36DC">
        <w:t xml:space="preserve"> </w:t>
      </w:r>
      <w:r>
        <w:t xml:space="preserve">latent </w:t>
      </w:r>
      <w:r w:rsidRPr="7EBF36DC">
        <w:t xml:space="preserve">attractiveness </w:t>
      </w:r>
      <w:r>
        <w:t>value for each C</w:t>
      </w:r>
      <w:r w:rsidRPr="7EBF36DC">
        <w:t xml:space="preserve">ensus block group.  </w:t>
      </w:r>
      <w:r>
        <w:t>The model estimates the attractiveness thresholds required to induce entry by an additional mobile provider in each Census block group as shown below.</w:t>
      </w:r>
    </w:p>
    <w:p w:rsidR="00A47720" w:rsidP="00A47720" w14:paraId="4B8B187B" w14:textId="6BAC9C8A">
      <w:pPr>
        <w:pStyle w:val="ParaNum"/>
        <w:numPr>
          <w:ilvl w:val="0"/>
          <w:numId w:val="0"/>
        </w:numPr>
        <w:spacing w:after="240"/>
        <w:ind w:left="720"/>
        <w:rPr>
          <w:szCs w:val="22"/>
        </w:rPr>
      </w:pPr>
      <m:oMathPara>
        <m:oMath>
          <m:sSub>
            <m:sSubPr>
              <m:ctrlPr>
                <w:rPr>
                  <w:rFonts w:ascii="Cambria Math" w:hAnsi="Cambria Math"/>
                  <w:szCs w:val="22"/>
                </w:rPr>
              </m:ctrlPr>
            </m:sSubPr>
            <m:e>
              <m:r>
                <m:rPr>
                  <m:nor/>
                </m:rPr>
                <w:rPr>
                  <w:szCs w:val="22"/>
                </w:rPr>
                <m:t>Number of Entrants</m:t>
              </m:r>
            </m:e>
            <m:sub>
              <m:r>
                <w:rPr>
                  <w:rFonts w:ascii="Cambria Math" w:hAnsi="Cambria Math"/>
                  <w:szCs w:val="22"/>
                </w:rPr>
                <m:t>i</m:t>
              </m:r>
            </m:sub>
          </m:sSub>
          <m:r>
            <m:rPr>
              <m:sty m:val="p"/>
              <m:aln/>
            </m:rPr>
            <w:rPr>
              <w:rFonts w:ascii="Cambria Math" w:hAnsi="Cambria Math"/>
              <w:szCs w:val="22"/>
            </w:rPr>
            <m:t xml:space="preserve">=0  </m:t>
          </m:r>
          <m:r>
            <m:rPr>
              <m:nor/>
            </m:rPr>
            <w:rPr>
              <w:szCs w:val="22"/>
            </w:rPr>
            <m:t>if</m:t>
          </m:r>
          <m:r>
            <m:rPr>
              <m:sty m:val="p"/>
            </m:rPr>
            <w:rPr>
              <w:rFonts w:ascii="Cambria Math" w:hAnsi="Cambria Math"/>
              <w:szCs w:val="22"/>
            </w:rPr>
            <m:t xml:space="preserve"> </m:t>
          </m:r>
          <m:sSub>
            <m:sSubPr>
              <m:ctrlPr>
                <w:rPr>
                  <w:rFonts w:ascii="Cambria Math" w:hAnsi="Cambria Math"/>
                  <w:szCs w:val="22"/>
                </w:rPr>
              </m:ctrlPr>
            </m:sSubPr>
            <m:e>
              <m:r>
                <m:rPr>
                  <m:nor/>
                </m:rPr>
                <w:rPr>
                  <w:szCs w:val="22"/>
                </w:rPr>
                <m:t>Attractiveness</m:t>
              </m:r>
            </m:e>
            <m:sub>
              <m:r>
                <w:rPr>
                  <w:rFonts w:ascii="Cambria Math" w:hAnsi="Cambria Math"/>
                  <w:szCs w:val="22"/>
                </w:rPr>
                <m:t>i</m:t>
              </m:r>
            </m:sub>
          </m:sSub>
          <m:r>
            <m:rPr>
              <m:sty m:val="p"/>
            </m:rPr>
            <w:rPr>
              <w:rFonts w:ascii="Cambria Math" w:hAnsi="Cambria Math"/>
              <w:szCs w:val="22"/>
            </w:rPr>
            <m:t>&lt;</m:t>
          </m:r>
          <m:sSub>
            <m:sSubPr>
              <m:ctrlPr>
                <w:rPr>
                  <w:rFonts w:ascii="Cambria Math" w:hAnsi="Cambria Math"/>
                  <w:szCs w:val="22"/>
                </w:rPr>
              </m:ctrlPr>
            </m:sSubPr>
            <m:e>
              <m:r>
                <m:rPr>
                  <m:nor/>
                </m:rPr>
                <w:rPr>
                  <w:szCs w:val="22"/>
                </w:rPr>
                <m:t>Threshold</m:t>
              </m:r>
            </m:e>
            <m:sub>
              <m:r>
                <m:rPr>
                  <m:sty m:val="p"/>
                </m:rPr>
                <w:rPr>
                  <w:rFonts w:ascii="Cambria Math" w:hAnsi="Cambria Math"/>
                  <w:szCs w:val="22"/>
                </w:rPr>
                <m:t>1</m:t>
              </m:r>
            </m:sub>
          </m:sSub>
          <m:r>
            <m:rPr>
              <m:sty m:val="p"/>
            </m:rPr>
            <w:rPr>
              <w:rFonts w:ascii="Cambria Math" w:hAnsi="Cambria Math"/>
              <w:szCs w:val="22"/>
            </w:rPr>
            <w:br/>
          </m:r>
        </m:oMath>
        <m:oMath>
          <m:r>
            <m:rPr>
              <m:sty m:val="p"/>
              <m:aln/>
            </m:rPr>
            <w:rPr>
              <w:rFonts w:ascii="Cambria Math" w:hAnsi="Cambria Math"/>
              <w:szCs w:val="22"/>
            </w:rPr>
            <m:t xml:space="preserve">=1  </m:t>
          </m:r>
          <m:r>
            <m:rPr>
              <m:nor/>
            </m:rPr>
            <w:rPr>
              <w:szCs w:val="22"/>
            </w:rPr>
            <m:t xml:space="preserve">if </m:t>
          </m:r>
          <m:sSub>
            <m:sSubPr>
              <m:ctrlPr>
                <w:rPr>
                  <w:rFonts w:ascii="Cambria Math" w:hAnsi="Cambria Math"/>
                  <w:szCs w:val="22"/>
                </w:rPr>
              </m:ctrlPr>
            </m:sSubPr>
            <m:e>
              <m:r>
                <m:rPr>
                  <m:nor/>
                </m:rPr>
                <w:rPr>
                  <w:szCs w:val="22"/>
                </w:rPr>
                <m:t>Attractiveness</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m:rPr>
                  <m:nor/>
                </m:rPr>
                <w:rPr>
                  <w:szCs w:val="22"/>
                </w:rPr>
                <m:t>Threshold</m:t>
              </m:r>
            </m:e>
            <m:sub>
              <m:r>
                <m:rPr>
                  <m:sty m:val="p"/>
                </m:rPr>
                <w:rPr>
                  <w:rFonts w:ascii="Cambria Math" w:hAnsi="Cambria Math"/>
                  <w:szCs w:val="22"/>
                </w:rPr>
                <m:t>1</m:t>
              </m:r>
            </m:sub>
          </m:sSub>
          <m:r>
            <m:rPr>
              <m:sty m:val="p"/>
            </m:rPr>
            <w:rPr>
              <w:rFonts w:ascii="Cambria Math" w:hAnsi="Cambria Math"/>
              <w:szCs w:val="22"/>
            </w:rPr>
            <m:t xml:space="preserve"> &amp;</m:t>
          </m:r>
          <m:sSub>
            <m:sSubPr>
              <m:ctrlPr>
                <w:rPr>
                  <w:rFonts w:ascii="Cambria Math" w:hAnsi="Cambria Math"/>
                  <w:szCs w:val="22"/>
                </w:rPr>
              </m:ctrlPr>
            </m:sSubPr>
            <m:e>
              <m:r>
                <m:rPr>
                  <m:nor/>
                </m:rPr>
                <w:rPr>
                  <w:szCs w:val="22"/>
                </w:rPr>
                <m:t xml:space="preserve"> Attractiveness</m:t>
              </m:r>
            </m:e>
            <m:sub>
              <m:r>
                <w:rPr>
                  <w:rFonts w:ascii="Cambria Math" w:hAnsi="Cambria Math"/>
                  <w:szCs w:val="22"/>
                </w:rPr>
                <m:t>i</m:t>
              </m:r>
            </m:sub>
          </m:sSub>
          <m:r>
            <m:rPr>
              <m:sty m:val="p"/>
            </m:rPr>
            <w:rPr>
              <w:rFonts w:ascii="Cambria Math" w:hAnsi="Cambria Math"/>
              <w:szCs w:val="22"/>
            </w:rPr>
            <m:t>&lt;</m:t>
          </m:r>
          <m:sSub>
            <m:sSubPr>
              <m:ctrlPr>
                <w:rPr>
                  <w:rFonts w:ascii="Cambria Math" w:hAnsi="Cambria Math"/>
                  <w:szCs w:val="22"/>
                </w:rPr>
              </m:ctrlPr>
            </m:sSubPr>
            <m:e>
              <m:r>
                <m:rPr>
                  <m:nor/>
                </m:rPr>
                <w:rPr>
                  <w:szCs w:val="22"/>
                </w:rPr>
                <m:t>Threshold</m:t>
              </m:r>
            </m:e>
            <m:sub>
              <m:r>
                <m:rPr>
                  <m:sty m:val="p"/>
                </m:rPr>
                <w:rPr>
                  <w:rFonts w:ascii="Cambria Math" w:hAnsi="Cambria Math"/>
                  <w:szCs w:val="22"/>
                </w:rPr>
                <m:t>2</m:t>
              </m:r>
            </m:sub>
          </m:sSub>
          <m:r>
            <m:rPr>
              <m:sty m:val="p"/>
            </m:rPr>
            <w:rPr>
              <w:rFonts w:ascii="Cambria Math" w:hAnsi="Cambria Math"/>
              <w:szCs w:val="22"/>
            </w:rPr>
            <w:br/>
          </m:r>
        </m:oMath>
        <m:oMath>
          <m:r>
            <m:rPr>
              <m:sty m:val="p"/>
              <m:aln/>
            </m:rPr>
            <w:rPr>
              <w:rFonts w:ascii="Cambria Math" w:hAnsi="Cambria Math"/>
              <w:szCs w:val="22"/>
            </w:rPr>
            <m:t xml:space="preserve">=2  </m:t>
          </m:r>
          <m:r>
            <m:rPr>
              <m:nor/>
            </m:rPr>
            <w:rPr>
              <w:szCs w:val="22"/>
            </w:rPr>
            <m:t>if</m:t>
          </m:r>
          <m:r>
            <m:rPr>
              <m:sty m:val="p"/>
            </m:rPr>
            <w:rPr>
              <w:rFonts w:ascii="Cambria Math" w:hAnsi="Cambria Math"/>
              <w:szCs w:val="22"/>
            </w:rPr>
            <m:t xml:space="preserve"> </m:t>
          </m:r>
          <m:sSub>
            <m:sSubPr>
              <m:ctrlPr>
                <w:rPr>
                  <w:rFonts w:ascii="Cambria Math" w:hAnsi="Cambria Math"/>
                  <w:szCs w:val="22"/>
                </w:rPr>
              </m:ctrlPr>
            </m:sSubPr>
            <m:e>
              <m:r>
                <m:rPr>
                  <m:nor/>
                </m:rPr>
                <w:rPr>
                  <w:szCs w:val="22"/>
                </w:rPr>
                <m:t>Attractiveness</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m:rPr>
                  <m:nor/>
                </m:rPr>
                <w:rPr>
                  <w:szCs w:val="22"/>
                </w:rPr>
                <m:t>Threshold</m:t>
              </m:r>
            </m:e>
            <m:sub>
              <m:r>
                <m:rPr>
                  <m:sty m:val="p"/>
                </m:rPr>
                <w:rPr>
                  <w:rFonts w:ascii="Cambria Math" w:hAnsi="Cambria Math"/>
                  <w:szCs w:val="22"/>
                </w:rPr>
                <m:t>2</m:t>
              </m:r>
            </m:sub>
          </m:sSub>
          <m:r>
            <m:rPr>
              <m:sty m:val="p"/>
            </m:rPr>
            <w:rPr>
              <w:rFonts w:ascii="Cambria Math" w:hAnsi="Cambria Math"/>
              <w:szCs w:val="22"/>
            </w:rPr>
            <m:t xml:space="preserve"> &amp; </m:t>
          </m:r>
          <m:sSub>
            <m:sSubPr>
              <m:ctrlPr>
                <w:rPr>
                  <w:rFonts w:ascii="Cambria Math" w:hAnsi="Cambria Math"/>
                  <w:szCs w:val="22"/>
                </w:rPr>
              </m:ctrlPr>
            </m:sSubPr>
            <m:e>
              <m:r>
                <m:rPr>
                  <m:nor/>
                </m:rPr>
                <w:rPr>
                  <w:szCs w:val="22"/>
                </w:rPr>
                <m:t>Attractiveness</m:t>
              </m:r>
            </m:e>
            <m:sub>
              <m:r>
                <w:rPr>
                  <w:rFonts w:ascii="Cambria Math" w:hAnsi="Cambria Math"/>
                  <w:szCs w:val="22"/>
                </w:rPr>
                <m:t>i</m:t>
              </m:r>
            </m:sub>
          </m:sSub>
          <m:r>
            <m:rPr>
              <m:sty m:val="p"/>
            </m:rPr>
            <w:rPr>
              <w:rFonts w:ascii="Cambria Math" w:hAnsi="Cambria Math"/>
              <w:szCs w:val="22"/>
            </w:rPr>
            <m:t>&lt;</m:t>
          </m:r>
          <m:sSub>
            <m:sSubPr>
              <m:ctrlPr>
                <w:rPr>
                  <w:rFonts w:ascii="Cambria Math" w:hAnsi="Cambria Math"/>
                  <w:szCs w:val="22"/>
                </w:rPr>
              </m:ctrlPr>
            </m:sSubPr>
            <m:e>
              <m:r>
                <m:rPr>
                  <m:nor/>
                </m:rPr>
                <w:rPr>
                  <w:szCs w:val="22"/>
                </w:rPr>
                <m:t>Threshold</m:t>
              </m:r>
            </m:e>
            <m:sub>
              <m:r>
                <m:rPr>
                  <m:sty m:val="p"/>
                </m:rPr>
                <w:rPr>
                  <w:rFonts w:ascii="Cambria Math" w:hAnsi="Cambria Math"/>
                  <w:szCs w:val="22"/>
                </w:rPr>
                <m:t>3</m:t>
              </m:r>
            </m:sub>
          </m:sSub>
          <m:r>
            <m:rPr>
              <m:sty m:val="p"/>
            </m:rPr>
            <w:rPr>
              <w:rFonts w:ascii="Cambria Math" w:hAnsi="Cambria Math"/>
              <w:szCs w:val="22"/>
            </w:rPr>
            <w:br/>
          </m:r>
        </m:oMath>
        <m:oMath>
          <m:r>
            <m:rPr>
              <m:sty m:val="p"/>
              <m:aln/>
            </m:rPr>
            <w:rPr>
              <w:rFonts w:ascii="Cambria Math" w:hAnsi="Cambria Math"/>
              <w:szCs w:val="22"/>
            </w:rPr>
            <m:t xml:space="preserve">=3  </m:t>
          </m:r>
          <m:r>
            <m:rPr>
              <m:nor/>
            </m:rPr>
            <w:rPr>
              <w:szCs w:val="22"/>
            </w:rPr>
            <m:t>if</m:t>
          </m:r>
          <m:r>
            <m:rPr>
              <m:sty m:val="p"/>
            </m:rPr>
            <w:rPr>
              <w:rFonts w:ascii="Cambria Math" w:hAnsi="Cambria Math"/>
              <w:szCs w:val="22"/>
            </w:rPr>
            <m:t xml:space="preserve"> </m:t>
          </m:r>
          <m:sSub>
            <m:sSubPr>
              <m:ctrlPr>
                <w:rPr>
                  <w:rFonts w:ascii="Cambria Math" w:hAnsi="Cambria Math"/>
                  <w:szCs w:val="22"/>
                </w:rPr>
              </m:ctrlPr>
            </m:sSubPr>
            <m:e>
              <m:r>
                <m:rPr>
                  <m:nor/>
                </m:rPr>
                <w:rPr>
                  <w:szCs w:val="22"/>
                </w:rPr>
                <m:t>Attractiveness</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m:rPr>
                  <m:nor/>
                </m:rPr>
                <w:rPr>
                  <w:szCs w:val="22"/>
                </w:rPr>
                <m:t>Threshold</m:t>
              </m:r>
            </m:e>
            <m:sub>
              <m:r>
                <m:rPr>
                  <m:sty m:val="p"/>
                </m:rPr>
                <w:rPr>
                  <w:rFonts w:ascii="Cambria Math" w:hAnsi="Cambria Math"/>
                  <w:szCs w:val="22"/>
                </w:rPr>
                <m:t>3</m:t>
              </m:r>
            </m:sub>
          </m:sSub>
          <m:r>
            <m:rPr>
              <m:sty m:val="p"/>
            </m:rPr>
            <w:rPr>
              <w:rFonts w:ascii="Cambria Math" w:hAnsi="Cambria Math"/>
              <w:szCs w:val="22"/>
            </w:rPr>
            <m:t xml:space="preserve"> &amp; </m:t>
          </m:r>
          <m:sSub>
            <m:sSubPr>
              <m:ctrlPr>
                <w:rPr>
                  <w:rFonts w:ascii="Cambria Math" w:hAnsi="Cambria Math"/>
                  <w:szCs w:val="22"/>
                </w:rPr>
              </m:ctrlPr>
            </m:sSubPr>
            <m:e>
              <m:r>
                <m:rPr>
                  <m:nor/>
                </m:rPr>
                <w:rPr>
                  <w:szCs w:val="22"/>
                </w:rPr>
                <m:t>Attractiveness</m:t>
              </m:r>
            </m:e>
            <m:sub>
              <m:r>
                <w:rPr>
                  <w:rFonts w:ascii="Cambria Math" w:hAnsi="Cambria Math"/>
                  <w:szCs w:val="22"/>
                </w:rPr>
                <m:t>i</m:t>
              </m:r>
            </m:sub>
          </m:sSub>
          <m:r>
            <m:rPr>
              <m:sty m:val="p"/>
            </m:rPr>
            <w:rPr>
              <w:rFonts w:ascii="Cambria Math" w:hAnsi="Cambria Math"/>
              <w:szCs w:val="22"/>
            </w:rPr>
            <m:t>&lt;</m:t>
          </m:r>
          <m:sSub>
            <m:sSubPr>
              <m:ctrlPr>
                <w:rPr>
                  <w:rFonts w:ascii="Cambria Math" w:hAnsi="Cambria Math"/>
                  <w:szCs w:val="22"/>
                </w:rPr>
              </m:ctrlPr>
            </m:sSubPr>
            <m:e>
              <m:r>
                <m:rPr>
                  <m:nor/>
                </m:rPr>
                <w:rPr>
                  <w:szCs w:val="22"/>
                </w:rPr>
                <m:t>Threshold</m:t>
              </m:r>
            </m:e>
            <m:sub>
              <m:r>
                <m:rPr>
                  <m:sty m:val="p"/>
                </m:rPr>
                <w:rPr>
                  <w:rFonts w:ascii="Cambria Math" w:hAnsi="Cambria Math"/>
                  <w:szCs w:val="22"/>
                </w:rPr>
                <m:t>4</m:t>
              </m:r>
            </m:sub>
          </m:sSub>
          <m:r>
            <m:rPr>
              <m:sty m:val="p"/>
            </m:rPr>
            <w:rPr>
              <w:rFonts w:ascii="Cambria Math" w:hAnsi="Cambria Math"/>
              <w:szCs w:val="22"/>
            </w:rPr>
            <w:br/>
          </m:r>
        </m:oMath>
        <m:oMath>
          <m:r>
            <m:rPr>
              <m:sty m:val="p"/>
              <m:aln/>
            </m:rPr>
            <w:rPr>
              <w:rFonts w:ascii="Cambria Math" w:hAnsi="Cambria Math"/>
              <w:szCs w:val="22"/>
            </w:rPr>
            <m:t xml:space="preserve">=4  </m:t>
          </m:r>
          <m:r>
            <m:rPr>
              <m:nor/>
            </m:rPr>
            <w:rPr>
              <w:szCs w:val="22"/>
            </w:rPr>
            <m:t>if</m:t>
          </m:r>
          <m:r>
            <m:rPr>
              <m:sty m:val="p"/>
            </m:rPr>
            <w:rPr>
              <w:rFonts w:ascii="Cambria Math" w:hAnsi="Cambria Math"/>
              <w:szCs w:val="22"/>
            </w:rPr>
            <m:t xml:space="preserve"> </m:t>
          </m:r>
          <m:sSub>
            <m:sSubPr>
              <m:ctrlPr>
                <w:rPr>
                  <w:rFonts w:ascii="Cambria Math" w:hAnsi="Cambria Math"/>
                  <w:szCs w:val="22"/>
                </w:rPr>
              </m:ctrlPr>
            </m:sSubPr>
            <m:e>
              <m:r>
                <m:rPr>
                  <m:nor/>
                </m:rPr>
                <w:rPr>
                  <w:szCs w:val="22"/>
                </w:rPr>
                <m:t>Attractiveness</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m:rPr>
                  <m:nor/>
                </m:rPr>
                <w:rPr>
                  <w:szCs w:val="22"/>
                </w:rPr>
                <m:t>Threshold</m:t>
              </m:r>
            </m:e>
            <m:sub>
              <m:r>
                <m:rPr>
                  <m:sty m:val="p"/>
                </m:rPr>
                <w:rPr>
                  <w:rFonts w:ascii="Cambria Math" w:hAnsi="Cambria Math"/>
                  <w:szCs w:val="22"/>
                </w:rPr>
                <m:t>4</m:t>
              </m:r>
            </m:sub>
          </m:sSub>
          <m:r>
            <m:rPr>
              <m:sty m:val="p"/>
            </m:rPr>
            <w:rPr>
              <w:rFonts w:ascii="Cambria Math" w:hAnsi="Cambria Math"/>
              <w:szCs w:val="22"/>
            </w:rPr>
            <m:t>.</m:t>
          </m:r>
        </m:oMath>
      </m:oMathPara>
    </w:p>
    <w:p w:rsidR="00A47720" w:rsidRPr="00960C09" w:rsidP="00043DED" w14:paraId="3236F895" w14:textId="75F501D1">
      <w:pPr>
        <w:pStyle w:val="ParaNum"/>
        <w:tabs>
          <w:tab w:val="clear" w:pos="1080"/>
        </w:tabs>
        <w:rPr>
          <w:szCs w:val="22"/>
        </w:rPr>
      </w:pPr>
      <w:r>
        <w:t xml:space="preserve">While we do not observe a Census block group’s attractiveness value, we can estimate the thresholds beyond which a Census block group would likely induce entry from a given number of carriers, as well as the impact of Census block group characteristics on attractiveness.  The model assumes that the unobserved latent attractiveness of any given Census block group is the following linear function of revenue factors, cost factors, USF funding and </w:t>
      </w:r>
      <w:r w:rsidRPr="00652391">
        <w:rPr>
          <w:szCs w:val="22"/>
        </w:rPr>
        <w:t xml:space="preserve">an idiosyncratic error term specific to census block group </w:t>
      </w:r>
      <m:oMath>
        <m:r>
          <w:rPr>
            <w:rFonts w:ascii="Cambria Math" w:hAnsi="Cambria Math"/>
            <w:szCs w:val="22"/>
          </w:rPr>
          <m:t>i</m:t>
        </m:r>
      </m:oMath>
      <w:r>
        <w:t xml:space="preserve"> represented by </w:t>
      </w:r>
      <m:oMath>
        <m:sSub>
          <m:sSubPr>
            <m:ctrlPr>
              <w:rPr>
                <w:rFonts w:ascii="Cambria Math" w:hAnsi="Cambria Math"/>
                <w:szCs w:val="22"/>
              </w:rPr>
            </m:ctrlPr>
          </m:sSubPr>
          <m:e>
            <m:r>
              <w:rPr>
                <w:rFonts w:ascii="Cambria Math" w:hAnsi="Cambria Math"/>
                <w:szCs w:val="22"/>
              </w:rPr>
              <m:t>ϵ</m:t>
            </m:r>
          </m:e>
          <m:sub>
            <m:r>
              <w:rPr>
                <w:rFonts w:ascii="Cambria Math" w:hAnsi="Cambria Math"/>
                <w:szCs w:val="22"/>
              </w:rPr>
              <m:t>i</m:t>
            </m:r>
          </m:sub>
        </m:sSub>
      </m:oMath>
      <w:r>
        <w:t>.</w:t>
      </w:r>
    </w:p>
    <w:p w:rsidR="00A47720" w:rsidRPr="00652391" w:rsidP="00A47720" w14:paraId="01EB3410" w14:textId="77777777">
      <w:pPr>
        <w:pStyle w:val="ParaNum"/>
        <w:numPr>
          <w:ilvl w:val="0"/>
          <w:numId w:val="0"/>
        </w:numPr>
        <w:ind w:left="720"/>
        <w:rPr>
          <w:szCs w:val="22"/>
        </w:rPr>
      </w:pPr>
      <m:oMathPara>
        <m:oMath>
          <m:sSub>
            <m:sSubPr>
              <m:ctrlPr>
                <w:rPr>
                  <w:rFonts w:ascii="Cambria Math" w:hAnsi="Cambria Math"/>
                  <w:szCs w:val="22"/>
                </w:rPr>
              </m:ctrlPr>
            </m:sSubPr>
            <m:e>
              <m:r>
                <m:rPr>
                  <m:nor/>
                </m:rPr>
                <w:rPr>
                  <w:szCs w:val="22"/>
                </w:rPr>
                <m:t>Attractiveness</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sSub>
                <m:sSubPr>
                  <m:ctrlPr>
                    <w:rPr>
                      <w:rFonts w:ascii="Cambria Math" w:hAnsi="Cambria Math"/>
                      <w:szCs w:val="22"/>
                    </w:rPr>
                  </m:ctrlPr>
                </m:sSubPr>
                <m:e>
                  <m:r>
                    <w:rPr>
                      <w:rFonts w:ascii="Cambria Math" w:hAnsi="Cambria Math"/>
                      <w:szCs w:val="22"/>
                    </w:rPr>
                    <m:t>β</m:t>
                  </m:r>
                </m:e>
                <m:sub>
                  <m:r>
                    <m:rPr>
                      <m:sty m:val="p"/>
                    </m:rPr>
                    <w:rPr>
                      <w:rFonts w:ascii="Cambria Math" w:hAnsi="Cambria Math"/>
                      <w:szCs w:val="22"/>
                    </w:rPr>
                    <m:t>0</m:t>
                  </m:r>
                </m:sub>
              </m:sSub>
              <m:r>
                <m:rPr>
                  <m:sty m:val="p"/>
                </m:rPr>
                <w:rPr>
                  <w:rFonts w:ascii="Cambria Math" w:hAnsi="Cambria Math"/>
                  <w:szCs w:val="22"/>
                </w:rPr>
                <m:t xml:space="preserve">+ </m:t>
              </m:r>
              <m:r>
                <w:rPr>
                  <w:rFonts w:ascii="Cambria Math" w:hAnsi="Cambria Math"/>
                  <w:szCs w:val="22"/>
                </w:rPr>
                <m:t>β</m:t>
              </m:r>
            </m:e>
            <m:sub>
              <m:r>
                <m:rPr>
                  <m:sty m:val="p"/>
                </m:rPr>
                <w:rPr>
                  <w:rFonts w:ascii="Cambria Math" w:hAnsi="Cambria Math"/>
                  <w:szCs w:val="22"/>
                </w:rPr>
                <m:t>1</m:t>
              </m:r>
            </m:sub>
          </m:sSub>
          <m:sSub>
            <m:sSubPr>
              <m:ctrlPr>
                <w:rPr>
                  <w:rFonts w:ascii="Cambria Math" w:hAnsi="Cambria Math"/>
                  <w:szCs w:val="22"/>
                </w:rPr>
              </m:ctrlPr>
            </m:sSubPr>
            <m:e>
              <m:r>
                <m:rPr>
                  <m:nor/>
                </m:rPr>
                <w:rPr>
                  <w:szCs w:val="22"/>
                </w:rPr>
                <m:t>Population Density</m:t>
              </m:r>
            </m:e>
            <m:sub>
              <m:r>
                <w:rPr>
                  <w:rFonts w:ascii="Cambria Math" w:hAnsi="Cambria Math"/>
                  <w:szCs w:val="22"/>
                </w:rPr>
                <m:t>i</m:t>
              </m:r>
            </m:sub>
          </m:sSub>
          <m:r>
            <m:rPr>
              <m:sty m:val="p"/>
            </m:rPr>
            <w:rPr>
              <w:rFonts w:ascii="Cambria Math" w:hAnsi="Cambria Math"/>
              <w:szCs w:val="22"/>
            </w:rPr>
            <m:t xml:space="preserve">+ </m:t>
          </m:r>
          <m:sSub>
            <m:sSubPr>
              <m:ctrlPr>
                <w:rPr>
                  <w:rFonts w:ascii="Cambria Math" w:hAnsi="Cambria Math"/>
                  <w:szCs w:val="22"/>
                </w:rPr>
              </m:ctrlPr>
            </m:sSubPr>
            <m:e>
              <m:r>
                <w:rPr>
                  <w:rFonts w:ascii="Cambria Math" w:hAnsi="Cambria Math"/>
                  <w:szCs w:val="22"/>
                </w:rPr>
                <m:t>β</m:t>
              </m:r>
            </m:e>
            <m:sub>
              <m:r>
                <m:rPr>
                  <m:sty m:val="p"/>
                </m:rPr>
                <w:rPr>
                  <w:rFonts w:ascii="Cambria Math" w:hAnsi="Cambria Math"/>
                  <w:szCs w:val="22"/>
                </w:rPr>
                <m:t>2</m:t>
              </m:r>
            </m:sub>
          </m:sSub>
          <m:sSub>
            <m:sSubPr>
              <m:ctrlPr>
                <w:rPr>
                  <w:rFonts w:ascii="Cambria Math" w:hAnsi="Cambria Math"/>
                  <w:szCs w:val="22"/>
                </w:rPr>
              </m:ctrlPr>
            </m:sSubPr>
            <m:e>
              <m:r>
                <m:rPr>
                  <m:nor/>
                </m:rPr>
                <w:rPr>
                  <w:szCs w:val="22"/>
                </w:rPr>
                <m:t>Road Density</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β</m:t>
              </m:r>
            </m:e>
            <m:sub>
              <m:r>
                <m:rPr>
                  <m:sty m:val="p"/>
                </m:rPr>
                <w:rPr>
                  <w:rFonts w:ascii="Cambria Math" w:hAnsi="Cambria Math"/>
                  <w:szCs w:val="22"/>
                </w:rPr>
                <m:t>3</m:t>
              </m:r>
            </m:sub>
          </m:sSub>
          <m:sSub>
            <m:sSubPr>
              <m:ctrlPr>
                <w:rPr>
                  <w:rFonts w:ascii="Cambria Math" w:hAnsi="Cambria Math"/>
                  <w:szCs w:val="22"/>
                </w:rPr>
              </m:ctrlPr>
            </m:sSubPr>
            <m:e>
              <m:r>
                <m:rPr>
                  <m:nor/>
                </m:rPr>
                <w:rPr>
                  <w:szCs w:val="22"/>
                </w:rPr>
                <m:t>GDP Density</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γ</m:t>
              </m:r>
            </m:e>
            <m:sub>
              <m:r>
                <m:rPr>
                  <m:sty m:val="p"/>
                </m:rPr>
                <w:rPr>
                  <w:rFonts w:ascii="Cambria Math" w:hAnsi="Cambria Math"/>
                  <w:szCs w:val="22"/>
                </w:rPr>
                <m:t>1</m:t>
              </m:r>
            </m:sub>
          </m:sSub>
          <m:func>
            <m:funcPr>
              <m:ctrlPr>
                <w:rPr>
                  <w:rFonts w:ascii="Cambria Math" w:hAnsi="Cambria Math"/>
                  <w:szCs w:val="22"/>
                </w:rPr>
              </m:ctrlPr>
            </m:funcPr>
            <m:fName>
              <m:r>
                <m:rPr>
                  <m:sty m:val="p"/>
                </m:rPr>
                <w:rPr>
                  <w:rFonts w:ascii="Cambria Math" w:hAnsi="Cambria Math"/>
                  <w:szCs w:val="22"/>
                </w:rPr>
                <m:t>log</m:t>
              </m:r>
            </m:fName>
            <m:e>
              <m:r>
                <m:rPr>
                  <m:sty m:val="p"/>
                </m:rPr>
                <w:rPr>
                  <w:rFonts w:ascii="Cambria Math" w:hAnsi="Cambria Math"/>
                  <w:szCs w:val="22"/>
                </w:rPr>
                <m:t>(</m:t>
              </m:r>
              <m:sSub>
                <m:sSubPr>
                  <m:ctrlPr>
                    <w:rPr>
                      <w:rFonts w:ascii="Cambria Math" w:hAnsi="Cambria Math"/>
                      <w:szCs w:val="22"/>
                    </w:rPr>
                  </m:ctrlPr>
                </m:sSubPr>
                <m:e>
                  <m:r>
                    <m:rPr>
                      <m:nor/>
                    </m:rPr>
                    <w:rPr>
                      <w:szCs w:val="22"/>
                    </w:rPr>
                    <m:t>Income</m:t>
                  </m:r>
                </m:e>
                <m:sub>
                  <m:r>
                    <w:rPr>
                      <w:rFonts w:ascii="Cambria Math" w:hAnsi="Cambria Math"/>
                      <w:szCs w:val="22"/>
                    </w:rPr>
                    <m:t>i</m:t>
                  </m:r>
                </m:sub>
              </m:sSub>
              <m:r>
                <m:rPr>
                  <m:sty m:val="p"/>
                </m:rPr>
                <w:rPr>
                  <w:rFonts w:ascii="Cambria Math" w:hAnsi="Cambria Math"/>
                  <w:szCs w:val="22"/>
                </w:rPr>
                <m:t>)</m:t>
              </m:r>
            </m:e>
          </m:func>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γ</m:t>
              </m:r>
            </m:e>
            <m:sub>
              <m:r>
                <m:rPr>
                  <m:sty m:val="p"/>
                </m:rPr>
                <w:rPr>
                  <w:rFonts w:ascii="Cambria Math" w:hAnsi="Cambria Math"/>
                  <w:szCs w:val="22"/>
                </w:rPr>
                <m:t>2</m:t>
              </m:r>
            </m:sub>
          </m:sSub>
          <m:r>
            <m:rPr>
              <m:sty m:val="p"/>
            </m:rPr>
            <w:rPr>
              <w:rFonts w:ascii="Cambria Math" w:hAnsi="Cambria Math"/>
              <w:szCs w:val="22"/>
            </w:rPr>
            <m:t xml:space="preserve">Dense </m:t>
          </m:r>
          <m:sSub>
            <m:sSubPr>
              <m:ctrlPr>
                <w:rPr>
                  <w:rFonts w:ascii="Cambria Math" w:hAnsi="Cambria Math"/>
                  <w:szCs w:val="22"/>
                </w:rPr>
              </m:ctrlPr>
            </m:sSubPr>
            <m:e>
              <m:r>
                <m:rPr>
                  <m:nor/>
                </m:rPr>
                <w:rPr>
                  <w:szCs w:val="22"/>
                </w:rPr>
                <m:t>Clutter</m:t>
              </m:r>
            </m:e>
            <m:sub>
              <m:r>
                <w:rPr>
                  <w:rFonts w:ascii="Cambria Math" w:hAnsi="Cambria Math"/>
                  <w:szCs w:val="22"/>
                </w:rPr>
                <m:t>i</m:t>
              </m:r>
            </m:sub>
          </m:sSub>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ϕ</m:t>
              </m:r>
            </m:e>
            <m:sub>
              <m:r>
                <w:rPr>
                  <w:rFonts w:ascii="Cambria Math" w:hAnsi="Cambria Math"/>
                  <w:szCs w:val="22"/>
                </w:rPr>
                <m:t>US</m:t>
              </m:r>
              <m:sSub>
                <m:sSubPr>
                  <m:ctrlPr>
                    <w:rPr>
                      <w:rFonts w:ascii="Cambria Math" w:hAnsi="Cambria Math"/>
                      <w:szCs w:val="22"/>
                    </w:rPr>
                  </m:ctrlPr>
                </m:sSubPr>
                <m:e>
                  <m:r>
                    <w:rPr>
                      <w:rFonts w:ascii="Cambria Math" w:hAnsi="Cambria Math"/>
                      <w:szCs w:val="22"/>
                    </w:rPr>
                    <m:t>F</m:t>
                  </m:r>
                </m:e>
                <m:sub>
                  <m:r>
                    <w:rPr>
                      <w:rFonts w:ascii="Cambria Math" w:hAnsi="Cambria Math"/>
                      <w:szCs w:val="22"/>
                    </w:rPr>
                    <m:t>i</m:t>
                  </m:r>
                </m:sub>
              </m:sSub>
            </m:sub>
          </m:sSub>
          <m:sSub>
            <m:sSubPr>
              <m:ctrlPr>
                <w:rPr>
                  <w:rFonts w:ascii="Cambria Math" w:hAnsi="Cambria Math"/>
                  <w:szCs w:val="22"/>
                </w:rPr>
              </m:ctrlPr>
            </m:sSubPr>
            <m:e>
              <m:r>
                <m:rPr>
                  <m:nor/>
                </m:rPr>
                <w:rPr>
                  <w:szCs w:val="22"/>
                </w:rPr>
                <m:t xml:space="preserve"> + </m:t>
              </m:r>
              <m:sSub>
                <m:sSubPr>
                  <m:ctrlPr>
                    <w:rPr>
                      <w:rFonts w:ascii="Cambria Math" w:hAnsi="Cambria Math"/>
                      <w:szCs w:val="22"/>
                    </w:rPr>
                  </m:ctrlPr>
                </m:sSubPr>
                <m:e>
                  <m:r>
                    <w:rPr>
                      <w:rFonts w:ascii="Cambria Math" w:hAnsi="Cambria Math"/>
                      <w:szCs w:val="22"/>
                    </w:rPr>
                    <m:t>f</m:t>
                  </m:r>
                </m:e>
                <m:sub>
                  <m:r>
                    <w:rPr>
                      <w:rFonts w:ascii="Cambria Math" w:hAnsi="Cambria Math"/>
                      <w:szCs w:val="22"/>
                    </w:rPr>
                    <m:t>terrain</m:t>
                  </m:r>
                </m:sub>
              </m:sSub>
              <m:d>
                <m:dPr>
                  <m:ctrlPr>
                    <w:rPr>
                      <w:rFonts w:ascii="Cambria Math" w:hAnsi="Cambria Math"/>
                      <w:szCs w:val="22"/>
                    </w:rPr>
                  </m:ctrlPr>
                </m:dPr>
                <m:e>
                  <m:sSub>
                    <m:sSubPr>
                      <m:ctrlPr>
                        <w:rPr>
                          <w:rFonts w:ascii="Cambria Math" w:hAnsi="Cambria Math"/>
                          <w:szCs w:val="22"/>
                        </w:rPr>
                      </m:ctrlPr>
                    </m:sSubPr>
                    <m:e>
                      <m:r>
                        <m:rPr>
                          <m:nor/>
                        </m:rPr>
                        <w:rPr>
                          <w:szCs w:val="22"/>
                        </w:rPr>
                        <m:t>Terrain</m:t>
                      </m:r>
                    </m:e>
                    <m:sub>
                      <m:r>
                        <w:rPr>
                          <w:rFonts w:ascii="Cambria Math" w:hAnsi="Cambria Math"/>
                          <w:szCs w:val="22"/>
                        </w:rPr>
                        <m:t>i</m:t>
                      </m:r>
                    </m:sub>
                  </m:sSub>
                </m:e>
              </m:d>
              <m:r>
                <m:rPr>
                  <m:sty m:val="p"/>
                </m:rPr>
                <w:rPr>
                  <w:rFonts w:ascii="Cambria Math" w:hAnsi="Cambria Math"/>
                  <w:szCs w:val="22"/>
                </w:rPr>
                <m:t xml:space="preserve"> +</m:t>
              </m:r>
              <m:r>
                <m:rPr>
                  <m:nor/>
                </m:rPr>
                <w:rPr>
                  <w:szCs w:val="22"/>
                </w:rPr>
                <m:t xml:space="preserve"> ϵ</m:t>
              </m:r>
            </m:e>
            <m:sub>
              <m:r>
                <w:rPr>
                  <w:rFonts w:ascii="Cambria Math" w:hAnsi="Cambria Math"/>
                  <w:szCs w:val="22"/>
                </w:rPr>
                <m:t>i</m:t>
              </m:r>
            </m:sub>
          </m:sSub>
          <m:r>
            <m:rPr>
              <m:sty m:val="p"/>
            </m:rPr>
            <w:rPr>
              <w:rFonts w:ascii="Cambria Math" w:hAnsi="Cambria Math"/>
              <w:szCs w:val="22"/>
            </w:rPr>
            <m:t>,</m:t>
          </m:r>
        </m:oMath>
      </m:oMathPara>
    </w:p>
    <w:p w:rsidR="00A47720" w:rsidRPr="005573F2" w:rsidP="00043DED" w14:paraId="37390BAD" w14:textId="77777777">
      <w:pPr>
        <w:pStyle w:val="ParaNum"/>
        <w:widowControl/>
        <w:tabs>
          <w:tab w:val="clear" w:pos="1080"/>
        </w:tabs>
      </w:pPr>
      <w:r w:rsidRPr="7EBF36DC">
        <w:t xml:space="preserve">Census block groups vary significantly in land area.  To account for this, the variables that proxy for demand—population, road miles, and local GDP—enter the latent attractiveness equation </w:t>
      </w:r>
      <w:r>
        <w:t>as per square mile</w:t>
      </w:r>
      <w:r w:rsidRPr="7EBF36DC">
        <w:t xml:space="preserve"> densities</w:t>
      </w:r>
      <w:r w:rsidRPr="00615678">
        <w:t>.</w:t>
      </w:r>
      <w:r w:rsidRPr="005573F2">
        <w:rPr>
          <w:szCs w:val="22"/>
        </w:rPr>
        <w:t xml:space="preserve">  </w:t>
      </w:r>
      <w:r>
        <w:t>These demand density variables help characterize the potential additional subscribers that</w:t>
      </w:r>
      <w:r w:rsidRPr="00351A19">
        <w:t xml:space="preserve"> carriers </w:t>
      </w:r>
      <w:r>
        <w:t>could gain by providing service in these areas.  Further, we include the natural log</w:t>
      </w:r>
      <w:r w:rsidRPr="00351A19">
        <w:t xml:space="preserve"> of </w:t>
      </w:r>
      <w:r>
        <w:t>median household income to capture the differences in entry related</w:t>
      </w:r>
      <w:r w:rsidRPr="00351A19">
        <w:t xml:space="preserve"> </w:t>
      </w:r>
      <w:r>
        <w:t>to differences in income across areas.  In addition, t</w:t>
      </w:r>
      <w:r w:rsidRPr="7EBF36DC">
        <w:t xml:space="preserve">he percentage of land area covered by </w:t>
      </w:r>
      <w:r>
        <w:t>dense clutter</w:t>
      </w:r>
      <w:r w:rsidRPr="7EBF36DC">
        <w:t xml:space="preserve"> captures the effect of clutter on network deployment costs.  Finally, universal service funding enters the model in two ways: i) dummy </w:t>
      </w:r>
      <w:r w:rsidRPr="7EBF36DC">
        <w:t xml:space="preserve">variables are included for the number of national carriers receiving funding in the block group; and ii) a separate variable indicates whether a regional carrier receives funding in the </w:t>
      </w:r>
      <w:r>
        <w:t>C</w:t>
      </w:r>
      <w:r w:rsidRPr="7EBF36DC">
        <w:t>ensus block group.</w:t>
      </w:r>
      <w:r>
        <w:rPr>
          <w:vertAlign w:val="superscript"/>
        </w:rPr>
        <w:footnoteReference w:id="17"/>
      </w:r>
      <w:r w:rsidRPr="7EBF36DC">
        <w:rPr>
          <w:vertAlign w:val="superscript"/>
        </w:rPr>
        <w:t xml:space="preserve"> </w:t>
      </w:r>
      <w:r w:rsidRPr="005573F2">
        <w:rPr>
          <w:szCs w:val="22"/>
        </w:rPr>
        <w:t xml:space="preserve"> </w:t>
      </w:r>
    </w:p>
    <w:p w:rsidR="00A47720" w:rsidRPr="00984EC1" w:rsidP="00043DED" w14:paraId="2281B8BB" w14:textId="0FC7A840">
      <w:pPr>
        <w:pStyle w:val="ParaNum"/>
        <w:tabs>
          <w:tab w:val="clear" w:pos="1080"/>
        </w:tabs>
      </w:pPr>
      <w:r w:rsidRPr="7EBF36DC">
        <w:t>We note that propagation models</w:t>
      </w:r>
      <w:r>
        <w:t xml:space="preserve"> exhibit</w:t>
      </w:r>
      <w:r w:rsidRPr="7EBF36DC">
        <w:t xml:space="preserve"> a nonlinear relationship between terrain roughness and signal propagation.</w:t>
      </w:r>
      <w:r>
        <w:rPr>
          <w:vertAlign w:val="superscript"/>
        </w:rPr>
        <w:footnoteReference w:id="18"/>
      </w:r>
      <w:r w:rsidRPr="7EBF36DC">
        <w:t xml:space="preserve">  It is ex-ante unclear how this relationship will translate to carriers’ entry decisions, and for this reason, our base</w:t>
      </w:r>
      <w:r>
        <w:t>line</w:t>
      </w:r>
      <w:r w:rsidRPr="7EBF36DC">
        <w:t xml:space="preserve"> specification uses a piecewise linear spline to flexibly estimate the relationship between terrain roughness and entry appeal.  </w:t>
      </w:r>
      <w:r>
        <w:t xml:space="preserve">A linear spline allows the linear slope parameter of an explanatory variable (e.g., the coefficient β) to </w:t>
      </w:r>
      <w:r w:rsidR="00645550">
        <w:t xml:space="preserve">vary </w:t>
      </w:r>
      <w:r>
        <w:t>across different ranges of values of that explanatory variable.  Finally</w:t>
      </w:r>
      <w:r w:rsidRPr="7EBF36DC">
        <w:t xml:space="preserve">, </w:t>
      </w:r>
      <w:r>
        <w:t>if holding all else equal</w:t>
      </w:r>
      <w:r w:rsidRPr="7EBF36DC">
        <w:t xml:space="preserve">, </w:t>
      </w:r>
      <w:r>
        <w:t xml:space="preserve">we expect that </w:t>
      </w:r>
      <w:r w:rsidRPr="7EBF36DC">
        <w:t>l</w:t>
      </w:r>
      <w:r>
        <w:t xml:space="preserve">arge area Census block groups would </w:t>
      </w:r>
      <w:r w:rsidRPr="004C0324">
        <w:t xml:space="preserve">require carriers to make a greater number of coverage decisions than small </w:t>
      </w:r>
      <w:r>
        <w:t>area</w:t>
      </w:r>
      <w:r w:rsidRPr="004C0324">
        <w:t xml:space="preserve"> </w:t>
      </w:r>
      <w:r>
        <w:t xml:space="preserve">Census </w:t>
      </w:r>
      <w:r w:rsidRPr="004C0324">
        <w:t>block groups</w:t>
      </w:r>
      <w:r>
        <w:t>, and therefore our baseline specification weights observations by land area.</w:t>
      </w:r>
      <w:r>
        <w:rPr>
          <w:rStyle w:val="FootnoteReference"/>
        </w:rPr>
        <w:footnoteReference w:id="19"/>
      </w:r>
      <w:r>
        <w:t xml:space="preserve">  </w:t>
      </w:r>
    </w:p>
    <w:p w:rsidR="00A47720" w:rsidRPr="00984EC1" w:rsidP="00043DED" w14:paraId="65988FFC" w14:textId="77777777">
      <w:pPr>
        <w:pStyle w:val="ParaNum"/>
        <w:tabs>
          <w:tab w:val="clear" w:pos="1080"/>
        </w:tabs>
      </w:pPr>
      <w:bookmarkStart w:id="7" w:name="_Hlk29199454"/>
      <w:r w:rsidRPr="7EBF36DC">
        <w:rPr>
          <w:i/>
          <w:iCs/>
        </w:rPr>
        <w:t>Adjustment Factor</w:t>
      </w:r>
      <w:r w:rsidRPr="00615678">
        <w:rPr>
          <w:szCs w:val="22"/>
        </w:rPr>
        <w:t xml:space="preserve">.  </w:t>
      </w:r>
      <w:r>
        <w:rPr>
          <w:szCs w:val="22"/>
        </w:rPr>
        <w:t xml:space="preserve">To calculate </w:t>
      </w:r>
      <w:r w:rsidRPr="7EBF36DC">
        <w:t>the adjustment factor</w:t>
      </w:r>
      <w:r>
        <w:rPr>
          <w:szCs w:val="22"/>
        </w:rPr>
        <w:t xml:space="preserve">, </w:t>
      </w:r>
      <w:r>
        <w:t>we</w:t>
      </w:r>
      <w:r w:rsidRPr="7EBF36DC">
        <w:t xml:space="preserve"> solve for the </w:t>
      </w:r>
      <w:r>
        <w:t xml:space="preserve">adjustment to the </w:t>
      </w:r>
      <w:r w:rsidRPr="7EBF36DC">
        <w:t xml:space="preserve">land area </w:t>
      </w:r>
      <w:r>
        <w:t>in each Census block group</w:t>
      </w:r>
      <w:r w:rsidRPr="7EBF36DC">
        <w:t xml:space="preserve"> </w:t>
      </w:r>
      <w:r>
        <w:t>necessary to</w:t>
      </w:r>
      <w:r w:rsidRPr="7EBF36DC">
        <w:t xml:space="preserve"> </w:t>
      </w:r>
      <w:r>
        <w:t>equalize</w:t>
      </w:r>
      <w:r w:rsidRPr="7EBF36DC">
        <w:t xml:space="preserve"> the </w:t>
      </w:r>
      <w:r>
        <w:t xml:space="preserve">differences in </w:t>
      </w:r>
      <w:r w:rsidRPr="7EBF36DC">
        <w:t xml:space="preserve">latent attractiveness values </w:t>
      </w:r>
      <w:r>
        <w:t>(i.e., entry probabilities) due solely to terrain, clutter, and income differences</w:t>
      </w:r>
      <w:r w:rsidRPr="7EBF36DC">
        <w:t>.</w:t>
      </w:r>
      <w:r>
        <w:rPr>
          <w:vertAlign w:val="superscript"/>
        </w:rPr>
        <w:footnoteReference w:id="20"/>
      </w:r>
      <w:r w:rsidRPr="00984EC1">
        <w:rPr>
          <w:szCs w:val="22"/>
        </w:rPr>
        <w:t xml:space="preserve"> </w:t>
      </w:r>
      <w:r>
        <w:rPr>
          <w:szCs w:val="22"/>
        </w:rPr>
        <w:t xml:space="preserve"> </w:t>
      </w:r>
      <w:r>
        <w:t>For example</w:t>
      </w:r>
      <w:r w:rsidRPr="7EBF36DC">
        <w:t>, if holding all else equal, mountainous areas with low median household income</w:t>
      </w:r>
      <w:r>
        <w:t>s</w:t>
      </w:r>
      <w:r w:rsidRPr="7EBF36DC">
        <w:t xml:space="preserve"> need to be three times smaller than flat areas with high median household income</w:t>
      </w:r>
      <w:r>
        <w:t>s</w:t>
      </w:r>
      <w:r w:rsidRPr="7EBF36DC">
        <w:t xml:space="preserve"> to induce the same </w:t>
      </w:r>
      <w:r>
        <w:t>number of expected entrants</w:t>
      </w:r>
      <w:r w:rsidRPr="7EBF36DC">
        <w:t>, then the mountainous-low</w:t>
      </w:r>
      <w:r>
        <w:t xml:space="preserve"> income</w:t>
      </w:r>
      <w:r w:rsidRPr="7EBF36DC">
        <w:t xml:space="preserve"> category will have an adjustment factor three times that of the flat-high</w:t>
      </w:r>
      <w:r>
        <w:t xml:space="preserve"> income</w:t>
      </w:r>
      <w:r w:rsidRPr="7EBF36DC">
        <w:t xml:space="preserve"> category.</w:t>
      </w:r>
      <w:bookmarkEnd w:id="7"/>
      <w:r w:rsidRPr="00984EC1">
        <w:rPr>
          <w:szCs w:val="22"/>
        </w:rPr>
        <w:t xml:space="preserve">  </w:t>
      </w:r>
    </w:p>
    <w:p w:rsidR="00A47720" w:rsidRPr="004E3EEC" w:rsidP="00043DED" w14:paraId="28D89D46" w14:textId="5E57D940">
      <w:pPr>
        <w:pStyle w:val="ParaNum"/>
        <w:tabs>
          <w:tab w:val="clear" w:pos="1080"/>
        </w:tabs>
      </w:pPr>
      <w:r w:rsidRPr="7EBF36DC">
        <w:t xml:space="preserve">We begin by constructing a representative block group for each category </w:t>
      </w:r>
      <m:oMath>
        <m:r>
          <w:rPr>
            <w:rFonts w:ascii="Cambria Math" w:hAnsi="Cambria Math"/>
            <w:szCs w:val="22"/>
          </w:rPr>
          <m:t>i</m:t>
        </m:r>
      </m:oMath>
      <w:r w:rsidRPr="7EBF36DC">
        <w:t xml:space="preserve">.  The representative block groups differ only in terrain roughness, </w:t>
      </w:r>
      <w:r>
        <w:t>clutter</w:t>
      </w:r>
      <w:r w:rsidRPr="7EBF36DC">
        <w:t xml:space="preserve">, and median household income.  All other variables are set equal across categories.  Next, we use the model estimates to assign </w:t>
      </w:r>
      <w:r>
        <w:t>predicted</w:t>
      </w:r>
      <w:r w:rsidRPr="7EBF36DC">
        <w:t xml:space="preserve"> attractiveness values (</w:t>
      </w:r>
      <m:oMath>
        <m:acc>
          <m:accPr>
            <m:ctrlPr>
              <w:rPr>
                <w:rFonts w:ascii="Cambria Math" w:hAnsi="Cambria Math"/>
                <w:szCs w:val="22"/>
              </w:rPr>
            </m:ctrlPr>
          </m:accPr>
          <m:e>
            <m:sSub>
              <m:sSubPr>
                <m:ctrlPr>
                  <w:rPr>
                    <w:rFonts w:ascii="Cambria Math" w:hAnsi="Cambria Math"/>
                    <w:szCs w:val="22"/>
                  </w:rPr>
                </m:ctrlPr>
              </m:sSubPr>
              <m:e>
                <m:r>
                  <w:rPr>
                    <w:rFonts w:ascii="Cambria Math" w:hAnsi="Cambria Math"/>
                    <w:szCs w:val="22"/>
                  </w:rPr>
                  <m:t>A</m:t>
                </m:r>
              </m:e>
              <m:sub>
                <m:r>
                  <w:rPr>
                    <w:rFonts w:ascii="Cambria Math" w:hAnsi="Cambria Math"/>
                    <w:szCs w:val="22"/>
                  </w:rPr>
                  <m:t>i</m:t>
                </m:r>
              </m:sub>
            </m:sSub>
          </m:e>
        </m:acc>
      </m:oMath>
      <w:r w:rsidRPr="7EBF36DC">
        <w:t>) to each representative block group</w:t>
      </w:r>
      <w:r>
        <w:t xml:space="preserve"> from the model</w:t>
      </w:r>
      <w:r w:rsidRPr="7EBF36DC">
        <w:t xml:space="preserve">, and </w:t>
      </w:r>
      <w:r w:rsidR="00645550">
        <w:t xml:space="preserve">we </w:t>
      </w:r>
      <w:r w:rsidRPr="7EBF36DC">
        <w:t>set the baseline attractiveness value (</w:t>
      </w:r>
      <m:oMath>
        <m:sSup>
          <m:sSupPr>
            <m:ctrlPr>
              <w:rPr>
                <w:rFonts w:ascii="Cambria Math" w:hAnsi="Cambria Math"/>
                <w:szCs w:val="22"/>
              </w:rPr>
            </m:ctrlPr>
          </m:sSupPr>
          <m:e>
            <m:r>
              <w:rPr>
                <w:rFonts w:ascii="Cambria Math" w:hAnsi="Cambria Math"/>
                <w:szCs w:val="22"/>
              </w:rPr>
              <m:t>A</m:t>
            </m:r>
          </m:e>
          <m:sup>
            <m:r>
              <m:rPr>
                <m:sty m:val="p"/>
              </m:rPr>
              <w:rPr>
                <w:rFonts w:ascii="Cambria Math" w:hAnsi="Cambria Math"/>
                <w:szCs w:val="22"/>
              </w:rPr>
              <m:t>*</m:t>
            </m:r>
          </m:sup>
        </m:sSup>
      </m:oMath>
      <w:r w:rsidRPr="7EBF36DC">
        <w:t xml:space="preserve">) equal to the largest of </w:t>
      </w:r>
      <w:r>
        <w:t>these</w:t>
      </w:r>
      <w:r w:rsidRPr="7EBF36DC">
        <w:t xml:space="preserve"> values.</w:t>
      </w:r>
      <w:r>
        <w:rPr>
          <w:vertAlign w:val="superscript"/>
        </w:rPr>
        <w:footnoteReference w:id="21"/>
      </w:r>
      <w:r w:rsidRPr="004E3EEC">
        <w:rPr>
          <w:szCs w:val="22"/>
        </w:rPr>
        <w:t xml:space="preserve"> </w:t>
      </w:r>
      <w:r>
        <w:rPr>
          <w:szCs w:val="22"/>
        </w:rPr>
        <w:t xml:space="preserve"> </w:t>
      </w:r>
      <w:r w:rsidRPr="7EBF36DC">
        <w:t xml:space="preserve">Finally, we solve for the set of constants </w:t>
      </w:r>
      <m:oMath>
        <m:r>
          <w:rPr>
            <w:rFonts w:ascii="Cambria Math" w:hAnsi="Cambria Math"/>
            <w:szCs w:val="22"/>
          </w:rPr>
          <m:t>m</m:t>
        </m:r>
        <m:r>
          <m:rPr>
            <m:sty m:val="p"/>
          </m:rPr>
          <w:rPr>
            <w:rFonts w:ascii="Cambria Math" w:hAnsi="Cambria Math"/>
            <w:szCs w:val="22"/>
          </w:rPr>
          <m:t>,</m:t>
        </m:r>
      </m:oMath>
      <w:r w:rsidRPr="7EBF36DC">
        <w:t xml:space="preserve"> which when multiplied by the demand density </w:t>
      </w:r>
      <w:r>
        <w:t>variables (population density, road mile density, and GDP Density)</w:t>
      </w:r>
      <w:r w:rsidRPr="004671D4">
        <w:t xml:space="preserve">, offset the </w:t>
      </w:r>
      <w:r>
        <w:t>category specific income, clutter</w:t>
      </w:r>
      <w:r w:rsidRPr="004E3EEC">
        <w:rPr>
          <w:szCs w:val="22"/>
        </w:rPr>
        <w:t xml:space="preserve"> </w:t>
      </w:r>
      <w:r w:rsidRPr="7EBF36DC">
        <w:t xml:space="preserve">and terrain </w:t>
      </w:r>
      <w:r>
        <w:t>differences</w:t>
      </w:r>
      <w:r w:rsidRPr="7EBF36DC">
        <w:t xml:space="preserve"> </w:t>
      </w:r>
      <w:r>
        <w:t>so that</w:t>
      </w:r>
      <w:r w:rsidRPr="7EBF36DC">
        <w:t xml:space="preserve"> the latent attractiveness values </w:t>
      </w:r>
      <w:r>
        <w:t xml:space="preserve">all </w:t>
      </w:r>
      <w:r w:rsidRPr="7EBF36DC">
        <w:t xml:space="preserve">equal </w:t>
      </w:r>
      <m:oMath>
        <m:sSup>
          <m:sSupPr>
            <m:ctrlPr>
              <w:rPr>
                <w:rFonts w:ascii="Cambria Math" w:hAnsi="Cambria Math"/>
                <w:szCs w:val="22"/>
              </w:rPr>
            </m:ctrlPr>
          </m:sSupPr>
          <m:e>
            <m:r>
              <w:rPr>
                <w:rFonts w:ascii="Cambria Math" w:hAnsi="Cambria Math"/>
                <w:szCs w:val="22"/>
              </w:rPr>
              <m:t>A</m:t>
            </m:r>
          </m:e>
          <m:sup>
            <m:r>
              <m:rPr>
                <m:sty m:val="p"/>
              </m:rPr>
              <w:rPr>
                <w:rFonts w:ascii="Cambria Math" w:hAnsi="Cambria Math"/>
                <w:szCs w:val="22"/>
              </w:rPr>
              <m:t>*</m:t>
            </m:r>
          </m:sup>
        </m:sSup>
      </m:oMath>
      <w:r w:rsidRPr="004E3EEC">
        <w:rPr>
          <w:szCs w:val="22"/>
        </w:rPr>
        <w:t xml:space="preserve">.  </w:t>
      </w:r>
      <w:r w:rsidRPr="7EBF36DC">
        <w:t xml:space="preserve">The estimated adjustment factor for category </w:t>
      </w:r>
      <m:oMath>
        <m:r>
          <w:rPr>
            <w:rFonts w:ascii="Cambria Math" w:hAnsi="Cambria Math"/>
            <w:szCs w:val="22"/>
          </w:rPr>
          <m:t>i</m:t>
        </m:r>
      </m:oMath>
      <w:r w:rsidRPr="7EBF36DC">
        <w:t xml:space="preserve"> is the </w:t>
      </w:r>
      <m:oMath>
        <m:sSub>
          <m:sSubPr>
            <m:ctrlPr>
              <w:rPr>
                <w:rFonts w:ascii="Cambria Math" w:hAnsi="Cambria Math"/>
                <w:szCs w:val="22"/>
              </w:rPr>
            </m:ctrlPr>
          </m:sSubPr>
          <m:e>
            <m:r>
              <w:rPr>
                <w:rFonts w:ascii="Cambria Math" w:hAnsi="Cambria Math"/>
                <w:szCs w:val="22"/>
              </w:rPr>
              <m:t>m</m:t>
            </m:r>
          </m:e>
          <m:sub>
            <m:r>
              <w:rPr>
                <w:rFonts w:ascii="Cambria Math" w:hAnsi="Cambria Math"/>
                <w:szCs w:val="22"/>
              </w:rPr>
              <m:t>i</m:t>
            </m:r>
          </m:sub>
        </m:sSub>
      </m:oMath>
      <w:r w:rsidRPr="7EBF36DC">
        <w:t xml:space="preserve"> that solves:</w:t>
      </w:r>
    </w:p>
    <w:p w:rsidR="00A47720" w:rsidRPr="004E3EEC" w:rsidP="00A47720" w14:paraId="19166165" w14:textId="77777777">
      <w:pPr>
        <w:spacing w:after="120"/>
        <w:rPr>
          <w:szCs w:val="22"/>
        </w:rPr>
      </w:pPr>
      <m:oMathPara>
        <m:oMath>
          <m:sSup>
            <m:sSupPr>
              <m:ctrlPr>
                <w:rPr>
                  <w:rFonts w:ascii="Cambria Math" w:hAnsi="Cambria Math"/>
                  <w:i/>
                  <w:szCs w:val="22"/>
                </w:rPr>
              </m:ctrlPr>
            </m:sSupPr>
            <m:e>
              <m:r>
                <w:rPr>
                  <w:rFonts w:ascii="Cambria Math" w:hAnsi="Cambria Math"/>
                  <w:szCs w:val="22"/>
                </w:rPr>
                <m:t>A</m:t>
              </m:r>
            </m:e>
            <m:sup>
              <m:r>
                <w:rPr>
                  <w:rFonts w:ascii="Cambria Math" w:hAnsi="Cambria Math"/>
                  <w:szCs w:val="22"/>
                </w:rPr>
                <m:t>*</m:t>
              </m:r>
            </m:sup>
          </m:sSup>
          <m:r>
            <w:rPr>
              <w:rFonts w:ascii="Cambria Math" w:hAnsi="Cambria Math"/>
              <w:szCs w:val="22"/>
            </w:rPr>
            <m:t xml:space="preserve"> = </m:t>
          </m:r>
          <m:sSub>
            <m:sSubPr>
              <m:ctrlPr>
                <w:rPr>
                  <w:rFonts w:ascii="Cambria Math" w:hAnsi="Cambria Math"/>
                  <w:i/>
                  <w:szCs w:val="22"/>
                </w:rPr>
              </m:ctrlPr>
            </m:sSubPr>
            <m:e>
              <m:r>
                <w:rPr>
                  <w:rFonts w:ascii="Cambria Math" w:hAnsi="Cambria Math"/>
                  <w:szCs w:val="22"/>
                </w:rPr>
                <m:t>β</m:t>
              </m:r>
            </m:e>
            <m:sub>
              <m:r>
                <w:rPr>
                  <w:rFonts w:ascii="Cambria Math" w:hAnsi="Cambria Math"/>
                  <w:szCs w:val="22"/>
                </w:rPr>
                <m:t>1</m:t>
              </m:r>
            </m:sub>
          </m:sSub>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m</m:t>
                  </m:r>
                </m:e>
                <m:sub>
                  <m:r>
                    <w:rPr>
                      <w:rFonts w:ascii="Cambria Math" w:hAnsi="Cambria Math"/>
                      <w:szCs w:val="22"/>
                    </w:rPr>
                    <m:t>i</m:t>
                  </m:r>
                </m:sub>
              </m:sSub>
              <m:r>
                <w:rPr>
                  <w:rFonts w:ascii="Cambria Math" w:hAnsi="Cambria Math"/>
                  <w:szCs w:val="22"/>
                </w:rPr>
                <m:t>×</m:t>
              </m:r>
              <m:acc>
                <m:accPr>
                  <m:chr m:val="̃"/>
                  <m:ctrlPr>
                    <w:rPr>
                      <w:rFonts w:ascii="Cambria Math" w:hAnsi="Cambria Math"/>
                      <w:i/>
                      <w:szCs w:val="22"/>
                    </w:rPr>
                  </m:ctrlPr>
                </m:accPr>
                <m:e>
                  <m:r>
                    <m:rPr>
                      <m:nor/>
                    </m:rPr>
                    <w:rPr>
                      <w:szCs w:val="22"/>
                    </w:rPr>
                    <m:t>pop den</m:t>
                  </m:r>
                </m:e>
              </m:acc>
            </m:e>
          </m:d>
          <m:r>
            <w:rPr>
              <w:rFonts w:ascii="Cambria Math" w:hAnsi="Cambria Math"/>
              <w:szCs w:val="22"/>
            </w:rPr>
            <m:t>+</m:t>
          </m:r>
          <m:sSub>
            <m:sSubPr>
              <m:ctrlPr>
                <w:rPr>
                  <w:rFonts w:ascii="Cambria Math" w:hAnsi="Cambria Math"/>
                  <w:i/>
                  <w:szCs w:val="22"/>
                </w:rPr>
              </m:ctrlPr>
            </m:sSubPr>
            <m:e>
              <m:r>
                <w:rPr>
                  <w:rFonts w:ascii="Cambria Math" w:hAnsi="Cambria Math"/>
                  <w:szCs w:val="22"/>
                </w:rPr>
                <m:t>β</m:t>
              </m:r>
            </m:e>
            <m:sub>
              <m:r>
                <w:rPr>
                  <w:rFonts w:ascii="Cambria Math" w:hAnsi="Cambria Math"/>
                  <w:szCs w:val="22"/>
                </w:rPr>
                <m:t>2</m:t>
              </m:r>
            </m:sub>
          </m:sSub>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m</m:t>
                  </m:r>
                </m:e>
                <m:sub>
                  <m:r>
                    <w:rPr>
                      <w:rFonts w:ascii="Cambria Math" w:hAnsi="Cambria Math"/>
                      <w:szCs w:val="22"/>
                    </w:rPr>
                    <m:t>i</m:t>
                  </m:r>
                </m:sub>
              </m:sSub>
              <m:r>
                <w:rPr>
                  <w:rFonts w:ascii="Cambria Math" w:hAnsi="Cambria Math"/>
                  <w:szCs w:val="22"/>
                </w:rPr>
                <m:t>×</m:t>
              </m:r>
              <m:acc>
                <m:accPr>
                  <m:chr m:val="̃"/>
                  <m:ctrlPr>
                    <w:rPr>
                      <w:rFonts w:ascii="Cambria Math" w:hAnsi="Cambria Math"/>
                      <w:i/>
                      <w:szCs w:val="22"/>
                    </w:rPr>
                  </m:ctrlPr>
                </m:accPr>
                <m:e>
                  <m:r>
                    <m:rPr>
                      <m:nor/>
                    </m:rPr>
                    <w:rPr>
                      <w:szCs w:val="22"/>
                    </w:rPr>
                    <m:t>road  den</m:t>
                  </m:r>
                </m:e>
              </m:acc>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β</m:t>
              </m:r>
            </m:e>
            <m:sub>
              <m:r>
                <w:rPr>
                  <w:rFonts w:ascii="Cambria Math" w:hAnsi="Cambria Math"/>
                  <w:szCs w:val="22"/>
                </w:rPr>
                <m:t>3</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m</m:t>
              </m:r>
            </m:e>
            <m:sub>
              <m:r>
                <w:rPr>
                  <w:rFonts w:ascii="Cambria Math" w:hAnsi="Cambria Math"/>
                  <w:szCs w:val="22"/>
                </w:rPr>
                <m:t>i</m:t>
              </m:r>
            </m:sub>
          </m:sSub>
          <m:r>
            <w:rPr>
              <w:rFonts w:ascii="Cambria Math" w:hAnsi="Cambria Math"/>
              <w:szCs w:val="22"/>
            </w:rPr>
            <m:t>×</m:t>
          </m:r>
          <m:acc>
            <m:accPr>
              <m:chr m:val="̃"/>
              <m:ctrlPr>
                <w:rPr>
                  <w:rFonts w:ascii="Cambria Math" w:hAnsi="Cambria Math"/>
                  <w:i/>
                  <w:szCs w:val="22"/>
                </w:rPr>
              </m:ctrlPr>
            </m:accPr>
            <m:e>
              <m:r>
                <m:rPr>
                  <m:nor/>
                </m:rPr>
                <w:rPr>
                  <w:szCs w:val="22"/>
                </w:rPr>
                <m:t>GDP den</m:t>
              </m:r>
            </m:e>
          </m:acc>
          <m:r>
            <w:rPr>
              <w:rFonts w:ascii="Cambria Math" w:hAnsi="Cambria Math"/>
              <w:szCs w:val="22"/>
            </w:rPr>
            <m:t>)+</m:t>
          </m:r>
          <m:sSub>
            <m:sSubPr>
              <m:ctrlPr>
                <w:rPr>
                  <w:rFonts w:ascii="Cambria Math" w:hAnsi="Cambria Math"/>
                  <w:i/>
                  <w:szCs w:val="22"/>
                </w:rPr>
              </m:ctrlPr>
            </m:sSubPr>
            <m:e>
              <m:r>
                <w:rPr>
                  <w:rFonts w:ascii="Cambria Math" w:hAnsi="Cambria Math"/>
                  <w:szCs w:val="22"/>
                </w:rPr>
                <m:t>C</m:t>
              </m:r>
            </m:e>
            <m:sub>
              <m:r>
                <w:rPr>
                  <w:rFonts w:ascii="Cambria Math" w:hAnsi="Cambria Math"/>
                  <w:szCs w:val="22"/>
                </w:rPr>
                <m:t>i</m:t>
              </m:r>
            </m:sub>
          </m:sSub>
          <m:r>
            <w:rPr>
              <w:rFonts w:ascii="Cambria Math" w:hAnsi="Cambria Math"/>
              <w:szCs w:val="22"/>
            </w:rPr>
            <m:t>,,</m:t>
          </m:r>
        </m:oMath>
      </m:oMathPara>
    </w:p>
    <w:p w:rsidR="00A47720" w:rsidRPr="00652391" w:rsidP="00AA60E8" w14:paraId="0AA326CD" w14:textId="77777777">
      <w:pPr>
        <w:spacing w:after="120"/>
      </w:pPr>
      <w:r w:rsidRPr="004D2EDA">
        <w:rPr>
          <w:sz w:val="22"/>
          <w:szCs w:val="22"/>
        </w:rPr>
        <w:t xml:space="preserve">where </w:t>
      </w:r>
      <m:oMath>
        <m:acc>
          <m:accPr>
            <m:chr m:val="̃"/>
            <m:ctrlPr>
              <w:rPr>
                <w:rFonts w:ascii="Cambria Math" w:hAnsi="Cambria Math"/>
                <w:i/>
                <w:sz w:val="22"/>
                <w:szCs w:val="21"/>
              </w:rPr>
            </m:ctrlPr>
          </m:accPr>
          <m:e>
            <m:r>
              <m:rPr>
                <m:nor/>
              </m:rPr>
              <w:rPr>
                <w:sz w:val="22"/>
                <w:szCs w:val="21"/>
              </w:rPr>
              <m:t>pop den</m:t>
            </m:r>
          </m:e>
        </m:acc>
      </m:oMath>
      <w:r w:rsidRPr="004D2EDA">
        <w:rPr>
          <w:sz w:val="22"/>
          <w:szCs w:val="21"/>
        </w:rPr>
        <w:t xml:space="preserve">, </w:t>
      </w:r>
      <m:oMath>
        <m:acc>
          <m:accPr>
            <m:chr m:val="̃"/>
            <m:ctrlPr>
              <w:rPr>
                <w:rFonts w:ascii="Cambria Math" w:hAnsi="Cambria Math"/>
                <w:i/>
                <w:sz w:val="22"/>
                <w:szCs w:val="21"/>
              </w:rPr>
            </m:ctrlPr>
          </m:accPr>
          <m:e>
            <m:r>
              <m:rPr>
                <m:nor/>
              </m:rPr>
              <w:rPr>
                <w:sz w:val="22"/>
                <w:szCs w:val="21"/>
              </w:rPr>
              <m:t>road den</m:t>
            </m:r>
          </m:e>
        </m:acc>
      </m:oMath>
      <w:r w:rsidRPr="004D2EDA">
        <w:rPr>
          <w:sz w:val="22"/>
          <w:szCs w:val="21"/>
        </w:rPr>
        <w:t xml:space="preserve">, and </w:t>
      </w:r>
      <m:oMath>
        <m:acc>
          <m:accPr>
            <m:chr m:val="̃"/>
            <m:ctrlPr>
              <w:rPr>
                <w:rFonts w:ascii="Cambria Math" w:hAnsi="Cambria Math"/>
                <w:i/>
                <w:sz w:val="22"/>
                <w:szCs w:val="21"/>
              </w:rPr>
            </m:ctrlPr>
          </m:accPr>
          <m:e>
            <m:r>
              <m:rPr>
                <m:nor/>
              </m:rPr>
              <w:rPr>
                <w:sz w:val="22"/>
                <w:szCs w:val="21"/>
              </w:rPr>
              <m:t>GDP den</m:t>
            </m:r>
          </m:e>
        </m:acc>
      </m:oMath>
      <w:r w:rsidRPr="004D2EDA">
        <w:rPr>
          <w:sz w:val="18"/>
          <w:szCs w:val="22"/>
        </w:rPr>
        <w:t xml:space="preserve"> </w:t>
      </w:r>
      <w:r w:rsidRPr="004D2EDA">
        <w:rPr>
          <w:sz w:val="22"/>
          <w:szCs w:val="22"/>
        </w:rPr>
        <w:t xml:space="preserve">are the median values of population density, road mile density, and local GDP density in the sample.  The remaining variables in the latent attractiveness equation enter </w:t>
      </w:r>
      <w:r w:rsidRPr="004D2EDA">
        <w:rPr>
          <w:sz w:val="22"/>
          <w:szCs w:val="22"/>
        </w:rPr>
        <w:t xml:space="preserve">through </w:t>
      </w: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m:t>
            </m:r>
          </m:sub>
        </m:sSub>
        <m:r>
          <w:rPr>
            <w:rFonts w:ascii="Cambria Math" w:hAnsi="Cambria Math"/>
            <w:sz w:val="22"/>
            <w:szCs w:val="22"/>
          </w:rPr>
          <m:t>,</m:t>
        </m:r>
      </m:oMath>
      <w:r w:rsidRPr="004D2EDA">
        <w:rPr>
          <w:sz w:val="22"/>
          <w:szCs w:val="22"/>
        </w:rPr>
        <w:t xml:space="preserve"> a category-specific term that contains the category-specific median values of terrain roughness, clutter, and median household income.</w:t>
      </w:r>
      <w:r>
        <w:rPr>
          <w:rStyle w:val="FootnoteReference"/>
        </w:rPr>
        <w:footnoteReference w:id="22"/>
      </w:r>
    </w:p>
    <w:p w:rsidR="00A47720" w:rsidP="00043DED" w14:paraId="30144869" w14:textId="77777777">
      <w:pPr>
        <w:pStyle w:val="ParaNum"/>
        <w:tabs>
          <w:tab w:val="clear" w:pos="1080"/>
        </w:tabs>
      </w:pPr>
      <w:r>
        <w:t xml:space="preserve">Solving for the multiplier </w:t>
      </w:r>
      <m:oMath>
        <m:sSub>
          <m:sSubPr>
            <m:ctrlPr>
              <w:rPr>
                <w:rFonts w:ascii="Cambria Math" w:hAnsi="Cambria Math"/>
                <w:i/>
              </w:rPr>
            </m:ctrlPr>
          </m:sSubPr>
          <m:e>
            <m:r>
              <w:rPr>
                <w:rFonts w:ascii="Cambria Math" w:hAnsi="Cambria Math"/>
                <w:sz w:val="20"/>
              </w:rPr>
              <m:t>m</m:t>
            </m:r>
          </m:e>
          <m:sub>
            <m:r>
              <w:rPr>
                <w:rFonts w:ascii="Cambria Math" w:hAnsi="Cambria Math"/>
                <w:sz w:val="20"/>
              </w:rPr>
              <m:t>i</m:t>
            </m:r>
          </m:sub>
        </m:sSub>
      </m:oMath>
      <w:r w:rsidRPr="7EBF36DC">
        <w:rPr>
          <w:sz w:val="20"/>
        </w:rPr>
        <w:t xml:space="preserve"> </w:t>
      </w:r>
      <w:r>
        <w:t>in each category we find:</w:t>
      </w:r>
    </w:p>
    <w:p w:rsidR="00A47720" w:rsidP="00A47720" w14:paraId="152AB7FE" w14:textId="77777777">
      <w:pPr>
        <w:pStyle w:val="ParaNum"/>
        <w:numPr>
          <w:ilvl w:val="0"/>
          <w:numId w:val="0"/>
        </w:numPr>
        <w:spacing w:after="240"/>
        <w:ind w:left="720"/>
      </w:pPr>
      <m:oMathPara>
        <m:oMathParaPr>
          <m:jc m:val="center"/>
        </m:oMathParaPr>
        <m:oMath>
          <m:sSup>
            <m:sSupPr>
              <m:ctrlPr>
                <w:rPr>
                  <w:rFonts w:ascii="Cambria Math" w:hAnsi="Cambria Math"/>
                </w:rPr>
              </m:ctrlPr>
            </m:sSupPr>
            <m:e>
              <m:r>
                <w:rPr>
                  <w:rFonts w:ascii="Cambria Math" w:hAnsi="Cambria Math"/>
                </w:rPr>
                <m:t>A</m:t>
              </m:r>
            </m:e>
            <m:sup>
              <m:r>
                <m:rPr>
                  <m:sty m:val="p"/>
                </m:rPr>
                <w:rPr>
                  <w:rFonts w:ascii="Cambria Math" w:hAnsi="Cambria Math"/>
                </w:rPr>
                <m:t>*</m:t>
              </m:r>
            </m:sup>
          </m:sSup>
          <m:r>
            <m:rPr>
              <m:sty m:val="p"/>
            </m:rPr>
            <w:rPr>
              <w:rFonts w:ascii="Cambria Math" w:hAnsi="Cambria Math"/>
            </w:rPr>
            <m:t xml:space="preserve"> = </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d>
            <m:dPr>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rPr>
                    <m:t>i</m:t>
                  </m:r>
                </m:sub>
              </m:sSub>
              <m:r>
                <m:rPr>
                  <m:sty m:val="p"/>
                </m:rPr>
                <w:rPr>
                  <w:rFonts w:ascii="Cambria Math" w:hAnsi="Cambria Math"/>
                </w:rPr>
                <m:t>×</m:t>
              </m:r>
              <m:acc>
                <m:accPr>
                  <m:chr m:val="̃"/>
                  <m:ctrlPr>
                    <w:rPr>
                      <w:rFonts w:ascii="Cambria Math" w:hAnsi="Cambria Math"/>
                    </w:rPr>
                  </m:ctrlPr>
                </m:accPr>
                <m:e>
                  <m:r>
                    <m:rPr>
                      <m:nor/>
                    </m:rPr>
                    <m:t>pop den</m:t>
                  </m:r>
                </m:e>
              </m:acc>
            </m:e>
          </m:d>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d>
            <m:dPr>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rPr>
                    <m:t>i</m:t>
                  </m:r>
                </m:sub>
              </m:sSub>
              <m:r>
                <m:rPr>
                  <m:sty m:val="p"/>
                </m:rPr>
                <w:rPr>
                  <w:rFonts w:ascii="Cambria Math" w:hAnsi="Cambria Math"/>
                </w:rPr>
                <m:t>×</m:t>
              </m:r>
              <m:acc>
                <m:accPr>
                  <m:chr m:val="̃"/>
                  <m:ctrlPr>
                    <w:rPr>
                      <w:rFonts w:ascii="Cambria Math" w:hAnsi="Cambria Math"/>
                    </w:rPr>
                  </m:ctrlPr>
                </m:accPr>
                <m:e>
                  <m:r>
                    <m:rPr>
                      <m:nor/>
                    </m:rPr>
                    <m:t>road  den</m:t>
                  </m:r>
                </m:e>
              </m:acc>
            </m:e>
          </m:d>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i</m:t>
              </m:r>
            </m:sub>
          </m:sSub>
          <m:r>
            <m:rPr>
              <m:sty m:val="p"/>
            </m:rPr>
            <w:rPr>
              <w:rFonts w:ascii="Cambria Math" w:hAnsi="Cambria Math"/>
            </w:rPr>
            <m:t>×</m:t>
          </m:r>
          <m:acc>
            <m:accPr>
              <m:chr m:val="̃"/>
              <m:ctrlPr>
                <w:rPr>
                  <w:rFonts w:ascii="Cambria Math" w:hAnsi="Cambria Math"/>
                  <w:sz w:val="20"/>
                </w:rPr>
              </m:ctrlPr>
            </m:accPr>
            <m:e>
              <m:ctrlPr>
                <w:rPr>
                  <w:rFonts w:ascii="Cambria Math" w:hAnsi="Cambria Math"/>
                </w:rPr>
              </m:ctrlPr>
              <m:r>
                <m:rPr>
                  <m:nor/>
                </m:rPr>
                <m:t>GDP den</m:t>
              </m:r>
            </m:e>
          </m:acc>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i</m:t>
              </m:r>
            </m:sub>
          </m:sSub>
          <m:r>
            <m:rPr>
              <m:sty m:val="p"/>
            </m:rPr>
            <w:rPr>
              <w:rFonts w:ascii="Cambria Math" w:hAnsi="Cambria Math"/>
            </w:rPr>
            <w:br/>
          </m:r>
        </m:oMath>
        <m:oMath>
          <m:sSup>
            <m:sSupPr>
              <m:ctrlPr>
                <w:rPr>
                  <w:rFonts w:ascii="Cambria Math" w:hAnsi="Cambria Math"/>
                </w:rPr>
              </m:ctrlPr>
            </m:sSupPr>
            <m:e>
              <m:r>
                <w:rPr>
                  <w:rFonts w:ascii="Cambria Math" w:hAnsi="Cambria Math"/>
                </w:rPr>
                <m:t>A</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i</m:t>
              </m:r>
            </m:sub>
          </m:sSub>
          <m:d>
            <m:dPr>
              <m:ctrlPr>
                <w:rPr>
                  <w:rFonts w:ascii="Cambria Math" w:hAnsi="Cambria Math"/>
                </w:rPr>
              </m:ctrlPr>
            </m:dPr>
            <m:e>
              <m:sSub>
                <m:sSubPr>
                  <m:ctrlPr>
                    <w:rPr>
                      <w:rFonts w:ascii="Cambria Math" w:hAnsi="Cambria Math"/>
                    </w:rPr>
                  </m:ctrlPr>
                </m:sSubPr>
                <m:e>
                  <m:r>
                    <w:rPr>
                      <w:rFonts w:ascii="Cambria Math" w:hAnsi="Cambria Math"/>
                    </w:rPr>
                    <m:t>β</m:t>
                  </m:r>
                </m:e>
                <m:sub>
                  <m:r>
                    <m:rPr>
                      <m:sty m:val="p"/>
                    </m:rPr>
                    <w:rPr>
                      <w:rFonts w:ascii="Cambria Math" w:hAnsi="Cambria Math"/>
                    </w:rPr>
                    <m:t>1</m:t>
                  </m:r>
                </m:sub>
              </m:sSub>
              <m:d>
                <m:dPr>
                  <m:ctrlPr>
                    <w:rPr>
                      <w:rFonts w:ascii="Cambria Math" w:hAnsi="Cambria Math"/>
                    </w:rPr>
                  </m:ctrlPr>
                </m:dPr>
                <m:e>
                  <m:acc>
                    <m:accPr>
                      <m:chr m:val="̃"/>
                      <m:ctrlPr>
                        <w:rPr>
                          <w:rFonts w:ascii="Cambria Math" w:hAnsi="Cambria Math"/>
                        </w:rPr>
                      </m:ctrlPr>
                    </m:accPr>
                    <m:e>
                      <m:r>
                        <m:rPr>
                          <m:nor/>
                        </m:rPr>
                        <m:t>pop den</m:t>
                      </m:r>
                    </m:e>
                  </m:acc>
                </m:e>
              </m:d>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d>
                <m:dPr>
                  <m:ctrlPr>
                    <w:rPr>
                      <w:rFonts w:ascii="Cambria Math" w:hAnsi="Cambria Math"/>
                    </w:rPr>
                  </m:ctrlPr>
                </m:dPr>
                <m:e>
                  <m:acc>
                    <m:accPr>
                      <m:chr m:val="̃"/>
                      <m:ctrlPr>
                        <w:rPr>
                          <w:rFonts w:ascii="Cambria Math" w:hAnsi="Cambria Math"/>
                        </w:rPr>
                      </m:ctrlPr>
                    </m:accPr>
                    <m:e>
                      <m:r>
                        <m:rPr>
                          <m:nor/>
                        </m:rPr>
                        <m:t>road  den</m:t>
                      </m:r>
                    </m:e>
                  </m:acc>
                </m:e>
              </m:d>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3</m:t>
                  </m:r>
                </m:sub>
              </m:sSub>
              <m:d>
                <m:dPr>
                  <m:ctrlPr>
                    <w:rPr>
                      <w:rFonts w:ascii="Cambria Math" w:hAnsi="Cambria Math"/>
                    </w:rPr>
                  </m:ctrlPr>
                </m:dPr>
                <m:e>
                  <m:acc>
                    <m:accPr>
                      <m:chr m:val="̃"/>
                      <m:ctrlPr>
                        <w:rPr>
                          <w:rFonts w:ascii="Cambria Math" w:hAnsi="Cambria Math"/>
                          <w:sz w:val="20"/>
                        </w:rPr>
                      </m:ctrlPr>
                    </m:accPr>
                    <m:e>
                      <m:ctrlPr>
                        <w:rPr>
                          <w:rFonts w:ascii="Cambria Math" w:hAnsi="Cambria Math"/>
                        </w:rPr>
                      </m:ctrlPr>
                      <m:r>
                        <m:rPr>
                          <m:nor/>
                        </m:rPr>
                        <m:t>GDP den</m:t>
                      </m:r>
                    </m:e>
                  </m:acc>
                </m:e>
              </m:d>
            </m:e>
          </m:d>
          <m:r>
            <m:rPr>
              <m:sty m:val="p"/>
            </m:rPr>
            <w:rPr>
              <w:rFonts w:ascii="Cambria Math" w:hAnsi="Cambria Math"/>
            </w:rPr>
            <m:t xml:space="preserve"> </m:t>
          </m:r>
          <m:r>
            <m:rPr>
              <m:sty m:val="p"/>
            </m:rPr>
            <w:rPr>
              <w:rFonts w:ascii="Cambria Math" w:hAnsi="Cambria Math"/>
            </w:rPr>
            <w:br/>
          </m:r>
        </m:oMath>
        <m:oMath>
          <m:sSub>
            <m:sSubPr>
              <m:ctrlPr>
                <w:rPr>
                  <w:rFonts w:ascii="Cambria Math" w:hAnsi="Cambria Math"/>
                </w:rPr>
              </m:ctrlPr>
            </m:sSubPr>
            <m:e>
              <m:r>
                <w:rPr>
                  <w:rFonts w:ascii="Cambria Math" w:hAnsi="Cambria Math"/>
                </w:rPr>
                <m:t>m</m:t>
              </m:r>
            </m:e>
            <m:sub>
              <m:r>
                <w:rPr>
                  <w:rFonts w:ascii="Cambria Math" w:hAnsi="Cambria Math"/>
                </w:rPr>
                <m:t>i</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sSup>
                    <m:sSupPr>
                      <m:ctrlPr>
                        <w:rPr>
                          <w:rFonts w:ascii="Cambria Math" w:hAnsi="Cambria Math"/>
                        </w:rPr>
                      </m:ctrlPr>
                    </m:sSupPr>
                    <m:e>
                      <m:r>
                        <w:rPr>
                          <w:rFonts w:ascii="Cambria Math" w:hAnsi="Cambria Math"/>
                        </w:rPr>
                        <m:t>A</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i</m:t>
                      </m:r>
                      <m:r>
                        <m:rPr>
                          <m:sty m:val="p"/>
                        </m:rPr>
                        <w:rPr>
                          <w:rFonts w:ascii="Cambria Math" w:hAnsi="Cambria Math"/>
                        </w:rPr>
                        <m:t xml:space="preserve"> </m:t>
                      </m:r>
                    </m:sub>
                  </m:sSub>
                </m:e>
              </m:d>
            </m:num>
            <m:den>
              <m:sSub>
                <m:sSubPr>
                  <m:ctrlPr>
                    <w:rPr>
                      <w:rFonts w:ascii="Cambria Math" w:hAnsi="Cambria Math"/>
                    </w:rPr>
                  </m:ctrlPr>
                </m:sSubPr>
                <m:e>
                  <m:r>
                    <w:rPr>
                      <w:rFonts w:ascii="Cambria Math" w:hAnsi="Cambria Math"/>
                    </w:rPr>
                    <m:t>β</m:t>
                  </m:r>
                </m:e>
                <m:sub>
                  <m:r>
                    <m:rPr>
                      <m:sty m:val="p"/>
                    </m:rPr>
                    <w:rPr>
                      <w:rFonts w:ascii="Cambria Math" w:hAnsi="Cambria Math"/>
                    </w:rPr>
                    <m:t>1</m:t>
                  </m:r>
                </m:sub>
              </m:sSub>
              <m:d>
                <m:dPr>
                  <m:ctrlPr>
                    <w:rPr>
                      <w:rFonts w:ascii="Cambria Math" w:hAnsi="Cambria Math"/>
                    </w:rPr>
                  </m:ctrlPr>
                </m:dPr>
                <m:e>
                  <m:acc>
                    <m:accPr>
                      <m:chr m:val="̃"/>
                      <m:ctrlPr>
                        <w:rPr>
                          <w:rFonts w:ascii="Cambria Math" w:hAnsi="Cambria Math"/>
                        </w:rPr>
                      </m:ctrlPr>
                    </m:accPr>
                    <m:e>
                      <m:r>
                        <m:rPr>
                          <m:nor/>
                        </m:rPr>
                        <m:t>pop den</m:t>
                      </m:r>
                    </m:e>
                  </m:acc>
                </m:e>
              </m:d>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d>
                <m:dPr>
                  <m:ctrlPr>
                    <w:rPr>
                      <w:rFonts w:ascii="Cambria Math" w:hAnsi="Cambria Math"/>
                    </w:rPr>
                  </m:ctrlPr>
                </m:dPr>
                <m:e>
                  <m:acc>
                    <m:accPr>
                      <m:chr m:val="̃"/>
                      <m:ctrlPr>
                        <w:rPr>
                          <w:rFonts w:ascii="Cambria Math" w:hAnsi="Cambria Math"/>
                        </w:rPr>
                      </m:ctrlPr>
                    </m:accPr>
                    <m:e>
                      <m:r>
                        <m:rPr>
                          <m:nor/>
                        </m:rPr>
                        <m:t>road  den</m:t>
                      </m:r>
                    </m:e>
                  </m:acc>
                </m:e>
              </m:d>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3</m:t>
                  </m:r>
                </m:sub>
              </m:sSub>
              <m:d>
                <m:dPr>
                  <m:ctrlPr>
                    <w:rPr>
                      <w:rFonts w:ascii="Cambria Math" w:hAnsi="Cambria Math"/>
                    </w:rPr>
                  </m:ctrlPr>
                </m:dPr>
                <m:e>
                  <m:acc>
                    <m:accPr>
                      <m:chr m:val="̃"/>
                      <m:ctrlPr>
                        <w:rPr>
                          <w:rFonts w:ascii="Cambria Math" w:hAnsi="Cambria Math"/>
                          <w:sz w:val="20"/>
                        </w:rPr>
                      </m:ctrlPr>
                    </m:accPr>
                    <m:e>
                      <m:ctrlPr>
                        <w:rPr>
                          <w:rFonts w:ascii="Cambria Math" w:hAnsi="Cambria Math"/>
                        </w:rPr>
                      </m:ctrlPr>
                      <m:r>
                        <m:rPr>
                          <m:nor/>
                        </m:rPr>
                        <m:t>GDP den</m:t>
                      </m:r>
                    </m:e>
                  </m:acc>
                </m:e>
              </m:d>
            </m:den>
          </m:f>
        </m:oMath>
      </m:oMathPara>
    </w:p>
    <w:p w:rsidR="00A47720" w:rsidRPr="00652391" w:rsidP="00043DED" w14:paraId="22E14891" w14:textId="77777777">
      <w:pPr>
        <w:pStyle w:val="ParaNum"/>
        <w:tabs>
          <w:tab w:val="clear" w:pos="1080"/>
        </w:tabs>
      </w:pPr>
      <w:r w:rsidRPr="00652391">
        <w:t xml:space="preserve">To illustrate the procedure, we present the following numerical example.  Suppose after estimation we find </w:t>
      </w:r>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=5</m:t>
        </m:r>
      </m:oMath>
      <w:r w:rsidRPr="00652391">
        <w:t xml:space="preserve">, </w:t>
      </w:r>
      <m:oMath>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=4</m:t>
        </m:r>
      </m:oMath>
      <w:r w:rsidRPr="00652391">
        <w:t xml:space="preserve">, </w:t>
      </w:r>
      <m:oMath>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=2</m:t>
        </m:r>
      </m:oMath>
      <w:r w:rsidRPr="00652391">
        <w:t xml:space="preserve"> and </w:t>
      </w:r>
      <m:oMath>
        <m:sSub>
          <m:sSubPr>
            <m:ctrlPr>
              <w:rPr>
                <w:rFonts w:ascii="Cambria Math" w:hAnsi="Cambria Math"/>
                <w:i/>
              </w:rPr>
            </m:ctrlPr>
          </m:sSubPr>
          <m:e>
            <m:r>
              <w:rPr>
                <w:rFonts w:ascii="Cambria Math" w:hAnsi="Cambria Math"/>
              </w:rPr>
              <m:t>C</m:t>
            </m:r>
          </m:e>
          <m:sub>
            <m:r>
              <m:rPr>
                <m:nor/>
              </m:rPr>
              <m:t>Flat, High</m:t>
            </m:r>
          </m:sub>
        </m:sSub>
        <m:r>
          <w:rPr>
            <w:rFonts w:ascii="Cambria Math" w:hAnsi="Cambria Math"/>
          </w:rPr>
          <m:t>=250</m:t>
        </m:r>
      </m:oMath>
      <w:r w:rsidRPr="00652391">
        <w:t xml:space="preserve">, </w:t>
      </w:r>
      <m:oMath>
        <m:sSub>
          <m:sSubPr>
            <m:ctrlPr>
              <w:rPr>
                <w:rFonts w:ascii="Cambria Math" w:hAnsi="Cambria Math"/>
                <w:i/>
              </w:rPr>
            </m:ctrlPr>
          </m:sSubPr>
          <m:e>
            <m:r>
              <w:rPr>
                <w:rFonts w:ascii="Cambria Math" w:hAnsi="Cambria Math"/>
              </w:rPr>
              <m:t>C</m:t>
            </m:r>
          </m:e>
          <m:sub>
            <m:r>
              <m:rPr>
                <m:nor/>
              </m:rPr>
              <m:t>Flat, Med</m:t>
            </m:r>
          </m:sub>
        </m:sSub>
        <m:r>
          <w:rPr>
            <w:rFonts w:ascii="Cambria Math" w:hAnsi="Cambria Math"/>
          </w:rPr>
          <m:t xml:space="preserve">= </m:t>
        </m:r>
        <m:r>
          <m:rPr>
            <m:nor/>
          </m:rPr>
          <m:t>200</m:t>
        </m:r>
      </m:oMath>
      <w:r w:rsidRPr="00652391">
        <w:t xml:space="preserve">, </w:t>
      </w:r>
      <m:oMath>
        <m:sSub>
          <m:sSubPr>
            <m:ctrlPr>
              <w:rPr>
                <w:rFonts w:ascii="Cambria Math" w:hAnsi="Cambria Math"/>
                <w:i/>
              </w:rPr>
            </m:ctrlPr>
          </m:sSubPr>
          <m:e>
            <m:r>
              <w:rPr>
                <w:rFonts w:ascii="Cambria Math" w:hAnsi="Cambria Math"/>
              </w:rPr>
              <m:t>C</m:t>
            </m:r>
          </m:e>
          <m:sub>
            <m:r>
              <m:rPr>
                <m:nor/>
              </m:rPr>
              <m:t>Flat, Low</m:t>
            </m:r>
          </m:sub>
        </m:sSub>
        <m:r>
          <w:rPr>
            <w:rFonts w:ascii="Cambria Math" w:hAnsi="Cambria Math"/>
          </w:rPr>
          <m:t xml:space="preserve">= </m:t>
        </m:r>
        <m:r>
          <m:rPr>
            <m:nor/>
          </m:rPr>
          <m:t>150</m:t>
        </m:r>
      </m:oMath>
      <w:r w:rsidRPr="00652391">
        <w:t xml:space="preserve">, …, and </w:t>
      </w:r>
      <m:oMath>
        <m:sSub>
          <m:sSubPr>
            <m:ctrlPr>
              <w:rPr>
                <w:rFonts w:ascii="Cambria Math" w:hAnsi="Cambria Math"/>
                <w:i/>
              </w:rPr>
            </m:ctrlPr>
          </m:sSubPr>
          <m:e>
            <m:r>
              <w:rPr>
                <w:rFonts w:ascii="Cambria Math" w:hAnsi="Cambria Math"/>
              </w:rPr>
              <m:t>C</m:t>
            </m:r>
          </m:e>
          <m:sub>
            <m:r>
              <m:rPr>
                <m:nor/>
              </m:rPr>
              <m:t>Mountainous, Low</m:t>
            </m:r>
          </m:sub>
        </m:sSub>
        <m:r>
          <w:rPr>
            <w:rFonts w:ascii="Cambria Math" w:hAnsi="Cambria Math"/>
          </w:rPr>
          <m:t xml:space="preserve">= </m:t>
        </m:r>
        <m:r>
          <m:rPr>
            <m:nor/>
          </m:rPr>
          <m:t>50</m:t>
        </m:r>
      </m:oMath>
      <w:r w:rsidRPr="00652391">
        <w:t>.  Then, if the median values</w:t>
      </w:r>
      <w:r>
        <w:t xml:space="preserve"> of</w:t>
      </w:r>
      <w:r w:rsidRPr="00652391">
        <w:t xml:space="preserve"> </w:t>
      </w:r>
      <m:oMath>
        <m:acc>
          <m:accPr>
            <m:chr m:val="̃"/>
            <m:ctrlPr>
              <w:rPr>
                <w:rFonts w:ascii="Cambria Math" w:hAnsi="Cambria Math"/>
                <w:i/>
              </w:rPr>
            </m:ctrlPr>
          </m:accPr>
          <m:e>
            <m:r>
              <m:rPr>
                <m:nor/>
              </m:rPr>
              <m:t>pop den</m:t>
            </m:r>
          </m:e>
        </m:acc>
      </m:oMath>
      <w:r w:rsidRPr="00652391">
        <w:t xml:space="preserve">, </w:t>
      </w:r>
      <m:oMath>
        <m:acc>
          <m:accPr>
            <m:chr m:val="̃"/>
            <m:ctrlPr>
              <w:rPr>
                <w:rFonts w:ascii="Cambria Math" w:hAnsi="Cambria Math"/>
                <w:i/>
              </w:rPr>
            </m:ctrlPr>
          </m:accPr>
          <m:e>
            <m:r>
              <m:rPr>
                <m:nor/>
              </m:rPr>
              <m:t>road den</m:t>
            </m:r>
          </m:e>
        </m:acc>
      </m:oMath>
      <w:r w:rsidRPr="00651386">
        <w:t>, and  </w:t>
      </w:r>
      <m:oMath>
        <m:acc>
          <m:accPr>
            <m:chr m:val="̃"/>
            <m:ctrlPr>
              <w:rPr>
                <w:rFonts w:ascii="Cambria Math" w:hAnsi="Cambria Math"/>
                <w:i/>
              </w:rPr>
            </m:ctrlPr>
          </m:accPr>
          <m:e>
            <m:r>
              <m:rPr>
                <m:nor/>
              </m:rPr>
              <m:t>GDP den</m:t>
            </m:r>
          </m:e>
        </m:acc>
      </m:oMath>
      <w:r w:rsidRPr="7EBF36DC">
        <w:rPr>
          <w:sz w:val="20"/>
        </w:rPr>
        <w:t xml:space="preserve"> </w:t>
      </w:r>
      <w:r w:rsidRPr="00652391">
        <w:t>are equal to 20, 15, and 10 respectively, we can construct the  </w:t>
      </w:r>
      <m:oMath>
        <m:acc>
          <m:accPr>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i</m:t>
                </m:r>
              </m:sub>
            </m:sSub>
          </m:e>
        </m:acc>
      </m:oMath>
      <w:r w:rsidRPr="00652391">
        <w:t xml:space="preserve">’s: </w:t>
      </w:r>
    </w:p>
    <w:p w:rsidR="00A47720" w:rsidRPr="00652391" w:rsidP="00A47720" w14:paraId="37A9AC7B" w14:textId="77777777">
      <w:pPr>
        <w:pStyle w:val="ParaNum"/>
        <w:numPr>
          <w:ilvl w:val="0"/>
          <w:numId w:val="0"/>
        </w:numPr>
        <w:ind w:left="720"/>
      </w:pPr>
      <m:oMathPara>
        <m:oMath>
          <m:sSub>
            <m:sSubPr>
              <m:ctrlPr>
                <w:rPr>
                  <w:rFonts w:ascii="Cambria Math" w:hAnsi="Cambria Math"/>
                </w:rPr>
              </m:ctrlPr>
            </m:sSubPr>
            <m:e>
              <m:acc>
                <m:accPr>
                  <m:ctrlPr>
                    <w:rPr>
                      <w:rFonts w:ascii="Cambria Math" w:hAnsi="Cambria Math"/>
                    </w:rPr>
                  </m:ctrlPr>
                </m:accPr>
                <m:e>
                  <m:r>
                    <w:rPr>
                      <w:rFonts w:ascii="Cambria Math" w:hAnsi="Cambria Math"/>
                    </w:rPr>
                    <m:t>A</m:t>
                  </m:r>
                </m:e>
              </m:acc>
            </m:e>
            <m:sub>
              <m:r>
                <m:rPr>
                  <m:nor/>
                </m:rPr>
                <m:t>Flat, High</m:t>
              </m:r>
            </m:sub>
          </m:sSub>
          <m:r>
            <m:rPr>
              <m:sty m:val="p"/>
              <m:aln/>
            </m:rPr>
            <w:rPr>
              <w:rFonts w:ascii="Cambria Math" w:hAnsi="Cambria Math"/>
            </w:rPr>
            <m:t>=5</m:t>
          </m:r>
          <m:d>
            <m:dPr>
              <m:ctrlPr>
                <w:rPr>
                  <w:rFonts w:ascii="Cambria Math" w:hAnsi="Cambria Math"/>
                </w:rPr>
              </m:ctrlPr>
            </m:dPr>
            <m:e>
              <m:r>
                <m:rPr>
                  <m:sty m:val="p"/>
                </m:rPr>
                <w:rPr>
                  <w:rFonts w:ascii="Cambria Math" w:hAnsi="Cambria Math"/>
                </w:rPr>
                <m:t>20</m:t>
              </m:r>
            </m:e>
          </m:d>
          <m:r>
            <m:rPr>
              <m:sty m:val="p"/>
            </m:rPr>
            <w:rPr>
              <w:rFonts w:ascii="Cambria Math" w:hAnsi="Cambria Math"/>
            </w:rPr>
            <m:t>+4(15)+2</m:t>
          </m:r>
          <m:d>
            <m:dPr>
              <m:ctrlPr>
                <w:rPr>
                  <w:rFonts w:ascii="Cambria Math" w:hAnsi="Cambria Math"/>
                </w:rPr>
              </m:ctrlPr>
            </m:dPr>
            <m:e>
              <m:r>
                <m:rPr>
                  <m:sty m:val="p"/>
                </m:rPr>
                <w:rPr>
                  <w:rFonts w:ascii="Cambria Math" w:hAnsi="Cambria Math"/>
                </w:rPr>
                <m:t>10</m:t>
              </m:r>
            </m:e>
          </m:d>
          <m:r>
            <m:rPr>
              <m:sty m:val="p"/>
            </m:rPr>
            <w:rPr>
              <w:rFonts w:ascii="Cambria Math" w:hAnsi="Cambria Math"/>
            </w:rPr>
            <m:t>+250=430</m:t>
          </m:r>
          <m:r>
            <m:rPr>
              <m:sty m:val="p"/>
            </m:rPr>
            <w:rPr>
              <w:rFonts w:ascii="Cambria Math" w:hAnsi="Cambria Math"/>
            </w:rPr>
            <w:br/>
          </m:r>
        </m:oMath>
        <m:oMath>
          <m:sSub>
            <m:sSubPr>
              <m:ctrlPr>
                <w:rPr>
                  <w:rFonts w:ascii="Cambria Math" w:hAnsi="Cambria Math"/>
                </w:rPr>
              </m:ctrlPr>
            </m:sSubPr>
            <m:e>
              <m:acc>
                <m:accPr>
                  <m:ctrlPr>
                    <w:rPr>
                      <w:rFonts w:ascii="Cambria Math" w:hAnsi="Cambria Math"/>
                    </w:rPr>
                  </m:ctrlPr>
                </m:accPr>
                <m:e>
                  <m:r>
                    <w:rPr>
                      <w:rFonts w:ascii="Cambria Math" w:hAnsi="Cambria Math"/>
                    </w:rPr>
                    <m:t>A</m:t>
                  </m:r>
                </m:e>
              </m:acc>
            </m:e>
            <m:sub>
              <m:r>
                <m:rPr>
                  <m:nor/>
                </m:rPr>
                <m:t>Flat, Med</m:t>
              </m:r>
            </m:sub>
          </m:sSub>
          <m:r>
            <m:rPr>
              <m:sty m:val="p"/>
            </m:rPr>
            <w:rPr>
              <w:rFonts w:ascii="Cambria Math" w:hAnsi="Cambria Math"/>
            </w:rPr>
            <m:t>=5</m:t>
          </m:r>
          <m:d>
            <m:dPr>
              <m:ctrlPr>
                <w:rPr>
                  <w:rFonts w:ascii="Cambria Math" w:hAnsi="Cambria Math"/>
                </w:rPr>
              </m:ctrlPr>
            </m:dPr>
            <m:e>
              <m:r>
                <m:rPr>
                  <m:sty m:val="p"/>
                </m:rPr>
                <w:rPr>
                  <w:rFonts w:ascii="Cambria Math" w:hAnsi="Cambria Math"/>
                </w:rPr>
                <m:t>20</m:t>
              </m:r>
            </m:e>
          </m:d>
          <m:r>
            <m:rPr>
              <m:sty m:val="p"/>
            </m:rPr>
            <w:rPr>
              <w:rFonts w:ascii="Cambria Math" w:hAnsi="Cambria Math"/>
            </w:rPr>
            <m:t>+4(15)+2</m:t>
          </m:r>
          <m:d>
            <m:dPr>
              <m:ctrlPr>
                <w:rPr>
                  <w:rFonts w:ascii="Cambria Math" w:hAnsi="Cambria Math"/>
                </w:rPr>
              </m:ctrlPr>
            </m:dPr>
            <m:e>
              <m:r>
                <m:rPr>
                  <m:sty m:val="p"/>
                </m:rPr>
                <w:rPr>
                  <w:rFonts w:ascii="Cambria Math" w:hAnsi="Cambria Math"/>
                </w:rPr>
                <m:t>10</m:t>
              </m:r>
            </m:e>
          </m:d>
          <m:r>
            <m:rPr>
              <m:sty m:val="p"/>
            </m:rPr>
            <w:rPr>
              <w:rFonts w:ascii="Cambria Math" w:hAnsi="Cambria Math"/>
            </w:rPr>
            <m:t>+200=380</m:t>
          </m:r>
          <m:r>
            <m:rPr>
              <m:sty m:val="p"/>
            </m:rPr>
            <w:rPr>
              <w:rFonts w:ascii="Cambria Math" w:hAnsi="Cambria Math"/>
            </w:rPr>
            <w:br/>
          </m:r>
        </m:oMath>
        <m:oMath>
          <m:sSub>
            <m:sSubPr>
              <m:ctrlPr>
                <w:rPr>
                  <w:rFonts w:ascii="Cambria Math" w:hAnsi="Cambria Math"/>
                </w:rPr>
              </m:ctrlPr>
            </m:sSubPr>
            <m:e>
              <m:acc>
                <m:accPr>
                  <m:ctrlPr>
                    <w:rPr>
                      <w:rFonts w:ascii="Cambria Math" w:hAnsi="Cambria Math"/>
                    </w:rPr>
                  </m:ctrlPr>
                </m:accPr>
                <m:e>
                  <m:r>
                    <w:rPr>
                      <w:rFonts w:ascii="Cambria Math" w:hAnsi="Cambria Math"/>
                    </w:rPr>
                    <m:t>A</m:t>
                  </m:r>
                </m:e>
              </m:acc>
            </m:e>
            <m:sub>
              <m:r>
                <m:rPr>
                  <m:nor/>
                </m:rPr>
                <m:t>Flat, Low</m:t>
              </m:r>
            </m:sub>
          </m:sSub>
          <m:r>
            <m:rPr>
              <m:sty m:val="p"/>
            </m:rPr>
            <w:rPr>
              <w:rFonts w:ascii="Cambria Math" w:hAnsi="Cambria Math"/>
            </w:rPr>
            <m:t>=5</m:t>
          </m:r>
          <m:d>
            <m:dPr>
              <m:ctrlPr>
                <w:rPr>
                  <w:rFonts w:ascii="Cambria Math" w:hAnsi="Cambria Math"/>
                </w:rPr>
              </m:ctrlPr>
            </m:dPr>
            <m:e>
              <m:r>
                <m:rPr>
                  <m:sty m:val="p"/>
                </m:rPr>
                <w:rPr>
                  <w:rFonts w:ascii="Cambria Math" w:hAnsi="Cambria Math"/>
                </w:rPr>
                <m:t>20</m:t>
              </m:r>
            </m:e>
          </m:d>
          <m:r>
            <m:rPr>
              <m:sty m:val="p"/>
            </m:rPr>
            <w:rPr>
              <w:rFonts w:ascii="Cambria Math" w:hAnsi="Cambria Math"/>
            </w:rPr>
            <m:t>+4(15)+2</m:t>
          </m:r>
          <m:d>
            <m:dPr>
              <m:ctrlPr>
                <w:rPr>
                  <w:rFonts w:ascii="Cambria Math" w:hAnsi="Cambria Math"/>
                </w:rPr>
              </m:ctrlPr>
            </m:dPr>
            <m:e>
              <m:r>
                <m:rPr>
                  <m:sty m:val="p"/>
                </m:rPr>
                <w:rPr>
                  <w:rFonts w:ascii="Cambria Math" w:hAnsi="Cambria Math"/>
                </w:rPr>
                <m:t>10</m:t>
              </m:r>
            </m:e>
          </m:d>
          <m:r>
            <m:rPr>
              <m:sty m:val="p"/>
            </m:rPr>
            <w:rPr>
              <w:rFonts w:ascii="Cambria Math" w:hAnsi="Cambria Math"/>
            </w:rPr>
            <m:t>+150=330</m:t>
          </m:r>
          <m:r>
            <m:rPr>
              <m:sty m:val="p"/>
            </m:rPr>
            <w:rPr>
              <w:rFonts w:ascii="Cambria Math" w:hAnsi="Cambria Math"/>
            </w:rPr>
            <w:br/>
          </m:r>
        </m:oMath>
        <m:oMath>
          <m:r>
            <m:rPr>
              <m:sty m:val="p"/>
              <m:aln/>
            </m:rPr>
            <w:rPr>
              <w:rFonts w:ascii="Cambria Math" w:hAnsi="Cambria Math"/>
            </w:rPr>
            <m:t>⋮</m:t>
          </m:r>
          <m:r>
            <m:rPr>
              <m:sty m:val="p"/>
            </m:rPr>
            <w:rPr>
              <w:rFonts w:ascii="Cambria Math" w:hAnsi="Cambria Math"/>
            </w:rPr>
            <w:br/>
          </m:r>
        </m:oMath>
        <m:oMath>
          <m:sSub>
            <m:sSubPr>
              <m:ctrlPr>
                <w:rPr>
                  <w:rFonts w:ascii="Cambria Math" w:hAnsi="Cambria Math"/>
                </w:rPr>
              </m:ctrlPr>
            </m:sSubPr>
            <m:e>
              <m:acc>
                <m:accPr>
                  <m:ctrlPr>
                    <w:rPr>
                      <w:rFonts w:ascii="Cambria Math" w:hAnsi="Cambria Math"/>
                    </w:rPr>
                  </m:ctrlPr>
                </m:accPr>
                <m:e>
                  <m:r>
                    <w:rPr>
                      <w:rFonts w:ascii="Cambria Math" w:hAnsi="Cambria Math"/>
                    </w:rPr>
                    <m:t>A</m:t>
                  </m:r>
                </m:e>
              </m:acc>
            </m:e>
            <m:sub>
              <m:r>
                <m:rPr>
                  <m:nor/>
                </m:rPr>
                <m:t>Mountainous, Low</m:t>
              </m:r>
            </m:sub>
          </m:sSub>
          <m:r>
            <m:rPr>
              <m:sty m:val="p"/>
              <m:aln/>
            </m:rPr>
            <w:rPr>
              <w:rFonts w:ascii="Cambria Math" w:hAnsi="Cambria Math"/>
            </w:rPr>
            <m:t>=5</m:t>
          </m:r>
          <m:d>
            <m:dPr>
              <m:ctrlPr>
                <w:rPr>
                  <w:rFonts w:ascii="Cambria Math" w:hAnsi="Cambria Math"/>
                </w:rPr>
              </m:ctrlPr>
            </m:dPr>
            <m:e>
              <m:r>
                <m:rPr>
                  <m:sty m:val="p"/>
                </m:rPr>
                <w:rPr>
                  <w:rFonts w:ascii="Cambria Math" w:hAnsi="Cambria Math"/>
                </w:rPr>
                <m:t>20</m:t>
              </m:r>
            </m:e>
          </m:d>
          <m:r>
            <m:rPr>
              <m:sty m:val="p"/>
            </m:rPr>
            <w:rPr>
              <w:rFonts w:ascii="Cambria Math" w:hAnsi="Cambria Math"/>
            </w:rPr>
            <m:t>+4(15)+2</m:t>
          </m:r>
          <m:d>
            <m:dPr>
              <m:ctrlPr>
                <w:rPr>
                  <w:rFonts w:ascii="Cambria Math" w:hAnsi="Cambria Math"/>
                </w:rPr>
              </m:ctrlPr>
            </m:dPr>
            <m:e>
              <m:r>
                <m:rPr>
                  <m:sty m:val="p"/>
                </m:rPr>
                <w:rPr>
                  <w:rFonts w:ascii="Cambria Math" w:hAnsi="Cambria Math"/>
                </w:rPr>
                <m:t>10</m:t>
              </m:r>
            </m:e>
          </m:d>
          <m:r>
            <m:rPr>
              <m:sty m:val="p"/>
            </m:rPr>
            <w:rPr>
              <w:rFonts w:ascii="Cambria Math" w:hAnsi="Cambria Math"/>
            </w:rPr>
            <m:t>+50=230.</m:t>
          </m:r>
        </m:oMath>
      </m:oMathPara>
    </w:p>
    <w:p w:rsidR="00A47720" w:rsidRPr="004C0324" w:rsidP="00043DED" w14:paraId="034AC14E" w14:textId="77777777">
      <w:pPr>
        <w:pStyle w:val="ParaNum"/>
        <w:tabs>
          <w:tab w:val="clear" w:pos="1080"/>
        </w:tabs>
      </w:pPr>
      <w:r w:rsidRPr="005D5618">
        <w:t>In this scenario</w:t>
      </w:r>
      <w:r>
        <w:t>,</w:t>
      </w:r>
      <w:r w:rsidRPr="005D5618">
        <w:t xml:space="preserve"> </w:t>
      </w:r>
      <w:r>
        <w:t xml:space="preserve">the flat terrain-high income category has the highest latent attractiveness value, thus </w:t>
      </w: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m:t>
        </m:r>
        <m:sSub>
          <m:sSubPr>
            <m:ctrlPr>
              <w:rPr>
                <w:rFonts w:ascii="Cambria Math" w:hAnsi="Cambria Math"/>
                <w:i/>
              </w:rPr>
            </m:ctrlPr>
          </m:sSubPr>
          <m:e>
            <m:acc>
              <m:accPr>
                <m:ctrlPr>
                  <w:rPr>
                    <w:rFonts w:ascii="Cambria Math" w:hAnsi="Cambria Math"/>
                    <w:i/>
                  </w:rPr>
                </m:ctrlPr>
              </m:accPr>
              <m:e>
                <m:r>
                  <w:rPr>
                    <w:rFonts w:ascii="Cambria Math" w:hAnsi="Cambria Math"/>
                  </w:rPr>
                  <m:t>A</m:t>
                </m:r>
              </m:e>
            </m:acc>
          </m:e>
          <m:sub>
            <m:r>
              <m:rPr>
                <m:nor/>
              </m:rPr>
              <w:rPr>
                <w:rFonts w:ascii="Cambria Math" w:hAnsi="Cambria Math"/>
              </w:rPr>
              <m:t>Flat, High</m:t>
            </m:r>
          </m:sub>
        </m:sSub>
      </m:oMath>
      <w:r>
        <w:t xml:space="preserve"> and, as a result, the adjustment factor for the flat-high income category is normalized to 1.  With </w:t>
      </w: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m:t>
        </m:r>
      </m:oMath>
      <w:r>
        <w:t xml:space="preserve">established, we can now calculate adjustment factors for the remaining categories.  Under our example values, the largest adjustment factor is associated with the mountainous-low median household income category, which is calculated as follows: </w:t>
      </w:r>
    </w:p>
    <w:p w:rsidR="00A47720" w:rsidRPr="00652391" w:rsidP="00A47720" w14:paraId="65E67FE9" w14:textId="77777777">
      <w:pPr>
        <w:pStyle w:val="ParaNum"/>
        <w:numPr>
          <w:ilvl w:val="0"/>
          <w:numId w:val="0"/>
        </w:numPr>
        <w:ind w:left="720"/>
        <w:rPr>
          <w:szCs w:val="22"/>
        </w:rPr>
      </w:pPr>
      <m:oMathPara>
        <m:oMath>
          <m:sSub>
            <m:sSubPr>
              <m:ctrlPr>
                <w:rPr>
                  <w:rFonts w:ascii="Cambria Math" w:hAnsi="Cambria Math"/>
                  <w:szCs w:val="22"/>
                </w:rPr>
              </m:ctrlPr>
            </m:sSubPr>
            <m:e>
              <m:r>
                <w:rPr>
                  <w:rFonts w:ascii="Cambria Math" w:hAnsi="Cambria Math"/>
                  <w:szCs w:val="22"/>
                </w:rPr>
                <m:t>m</m:t>
              </m:r>
            </m:e>
            <m:sub>
              <m:r>
                <m:rPr>
                  <m:nor/>
                </m:rPr>
                <w:rPr>
                  <w:szCs w:val="22"/>
                </w:rPr>
                <m:t>Mountainous, Low</m:t>
              </m:r>
            </m:sub>
          </m:sSub>
          <m:r>
            <m:rPr>
              <m:sty m:val="p"/>
            </m:rPr>
            <w:rPr>
              <w:rFonts w:ascii="Cambria Math" w:hAnsi="Cambria Math"/>
              <w:szCs w:val="22"/>
            </w:rPr>
            <m:t>=</m:t>
          </m:r>
          <m:f>
            <m:fPr>
              <m:ctrlPr>
                <w:rPr>
                  <w:rFonts w:ascii="Cambria Math" w:hAnsi="Cambria Math"/>
                  <w:szCs w:val="22"/>
                </w:rPr>
              </m:ctrlPr>
            </m:fPr>
            <m:num>
              <m:d>
                <m:dPr>
                  <m:ctrlPr>
                    <w:rPr>
                      <w:rFonts w:ascii="Cambria Math" w:hAnsi="Cambria Math"/>
                      <w:szCs w:val="22"/>
                    </w:rPr>
                  </m:ctrlPr>
                </m:dPr>
                <m:e>
                  <m:sSup>
                    <m:sSupPr>
                      <m:ctrlPr>
                        <w:rPr>
                          <w:rFonts w:ascii="Cambria Math" w:hAnsi="Cambria Math"/>
                          <w:szCs w:val="22"/>
                        </w:rPr>
                      </m:ctrlPr>
                    </m:sSupPr>
                    <m:e>
                      <m:r>
                        <w:rPr>
                          <w:rFonts w:ascii="Cambria Math" w:hAnsi="Cambria Math"/>
                          <w:szCs w:val="22"/>
                        </w:rPr>
                        <m:t>A</m:t>
                      </m:r>
                    </m:e>
                    <m:sup>
                      <m:r>
                        <m:rPr>
                          <m:sty m:val="p"/>
                        </m:rPr>
                        <w:rPr>
                          <w:rFonts w:ascii="Cambria Math" w:hAnsi="Cambria Math"/>
                          <w:szCs w:val="22"/>
                        </w:rPr>
                        <m:t>*</m:t>
                      </m:r>
                    </m:sup>
                  </m:sSup>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C</m:t>
                      </m:r>
                    </m:e>
                    <m:sub>
                      <m:r>
                        <w:rPr>
                          <w:rFonts w:ascii="Cambria Math" w:hAnsi="Cambria Math"/>
                          <w:szCs w:val="22"/>
                        </w:rPr>
                        <m:t>i</m:t>
                      </m:r>
                      <m:r>
                        <m:rPr>
                          <m:sty m:val="p"/>
                        </m:rPr>
                        <w:rPr>
                          <w:rFonts w:ascii="Cambria Math" w:hAnsi="Cambria Math"/>
                          <w:szCs w:val="22"/>
                        </w:rPr>
                        <m:t xml:space="preserve"> </m:t>
                      </m:r>
                    </m:sub>
                  </m:sSub>
                </m:e>
              </m:d>
            </m:num>
            <m:den>
              <m:sSub>
                <m:sSubPr>
                  <m:ctrlPr>
                    <w:rPr>
                      <w:rFonts w:ascii="Cambria Math" w:hAnsi="Cambria Math"/>
                      <w:szCs w:val="22"/>
                    </w:rPr>
                  </m:ctrlPr>
                </m:sSubPr>
                <m:e>
                  <m:r>
                    <w:rPr>
                      <w:rFonts w:ascii="Cambria Math" w:hAnsi="Cambria Math"/>
                      <w:szCs w:val="22"/>
                    </w:rPr>
                    <m:t>β</m:t>
                  </m:r>
                </m:e>
                <m:sub>
                  <m:r>
                    <m:rPr>
                      <m:sty m:val="p"/>
                    </m:rPr>
                    <w:rPr>
                      <w:rFonts w:ascii="Cambria Math" w:hAnsi="Cambria Math"/>
                      <w:szCs w:val="22"/>
                    </w:rPr>
                    <m:t>1</m:t>
                  </m:r>
                </m:sub>
              </m:sSub>
              <m:d>
                <m:dPr>
                  <m:ctrlPr>
                    <w:rPr>
                      <w:rFonts w:ascii="Cambria Math" w:hAnsi="Cambria Math"/>
                      <w:szCs w:val="22"/>
                    </w:rPr>
                  </m:ctrlPr>
                </m:dPr>
                <m:e>
                  <m:acc>
                    <m:accPr>
                      <m:chr m:val="̃"/>
                      <m:ctrlPr>
                        <w:rPr>
                          <w:rFonts w:ascii="Cambria Math" w:hAnsi="Cambria Math"/>
                          <w:szCs w:val="22"/>
                        </w:rPr>
                      </m:ctrlPr>
                    </m:accPr>
                    <m:e>
                      <m:r>
                        <m:rPr>
                          <m:nor/>
                        </m:rPr>
                        <w:rPr>
                          <w:szCs w:val="22"/>
                        </w:rPr>
                        <m:t>pop den</m:t>
                      </m:r>
                    </m:e>
                  </m:acc>
                </m:e>
              </m:d>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β</m:t>
                  </m:r>
                </m:e>
                <m:sub>
                  <m:r>
                    <m:rPr>
                      <m:sty m:val="p"/>
                    </m:rPr>
                    <w:rPr>
                      <w:rFonts w:ascii="Cambria Math" w:hAnsi="Cambria Math"/>
                      <w:szCs w:val="22"/>
                    </w:rPr>
                    <m:t>2</m:t>
                  </m:r>
                </m:sub>
              </m:sSub>
              <m:d>
                <m:dPr>
                  <m:ctrlPr>
                    <w:rPr>
                      <w:rFonts w:ascii="Cambria Math" w:hAnsi="Cambria Math"/>
                      <w:szCs w:val="22"/>
                    </w:rPr>
                  </m:ctrlPr>
                </m:dPr>
                <m:e>
                  <m:acc>
                    <m:accPr>
                      <m:chr m:val="̃"/>
                      <m:ctrlPr>
                        <w:rPr>
                          <w:rFonts w:ascii="Cambria Math" w:hAnsi="Cambria Math"/>
                          <w:szCs w:val="22"/>
                        </w:rPr>
                      </m:ctrlPr>
                    </m:accPr>
                    <m:e>
                      <m:r>
                        <m:rPr>
                          <m:nor/>
                        </m:rPr>
                        <w:rPr>
                          <w:szCs w:val="22"/>
                        </w:rPr>
                        <m:t>road  den</m:t>
                      </m:r>
                    </m:e>
                  </m:acc>
                </m:e>
              </m:d>
              <m:r>
                <m:rPr>
                  <m:sty m:val="p"/>
                </m:rPr>
                <w:rPr>
                  <w:rFonts w:ascii="Cambria Math" w:hAnsi="Cambria Math"/>
                  <w:szCs w:val="22"/>
                </w:rPr>
                <m:t xml:space="preserve">+ </m:t>
              </m:r>
              <m:sSub>
                <m:sSubPr>
                  <m:ctrlPr>
                    <w:rPr>
                      <w:rFonts w:ascii="Cambria Math" w:hAnsi="Cambria Math"/>
                      <w:szCs w:val="22"/>
                    </w:rPr>
                  </m:ctrlPr>
                </m:sSubPr>
                <m:e>
                  <m:r>
                    <w:rPr>
                      <w:rFonts w:ascii="Cambria Math" w:hAnsi="Cambria Math"/>
                      <w:szCs w:val="22"/>
                    </w:rPr>
                    <m:t>β</m:t>
                  </m:r>
                </m:e>
                <m:sub>
                  <m:r>
                    <m:rPr>
                      <m:sty m:val="p"/>
                    </m:rPr>
                    <w:rPr>
                      <w:rFonts w:ascii="Cambria Math" w:hAnsi="Cambria Math"/>
                      <w:szCs w:val="22"/>
                    </w:rPr>
                    <m:t>3</m:t>
                  </m:r>
                </m:sub>
              </m:sSub>
              <m:d>
                <m:dPr>
                  <m:ctrlPr>
                    <w:rPr>
                      <w:rFonts w:ascii="Cambria Math" w:hAnsi="Cambria Math"/>
                      <w:szCs w:val="22"/>
                    </w:rPr>
                  </m:ctrlPr>
                </m:dPr>
                <m:e>
                  <m:acc>
                    <m:accPr>
                      <m:chr m:val="̃"/>
                      <m:ctrlPr>
                        <w:rPr>
                          <w:rFonts w:ascii="Cambria Math" w:hAnsi="Cambria Math"/>
                          <w:szCs w:val="22"/>
                        </w:rPr>
                      </m:ctrlPr>
                    </m:accPr>
                    <m:e>
                      <m:r>
                        <m:rPr>
                          <m:nor/>
                        </m:rPr>
                        <w:rPr>
                          <w:szCs w:val="22"/>
                        </w:rPr>
                        <m:t>GDP den</m:t>
                      </m:r>
                    </m:e>
                  </m:acc>
                </m:e>
              </m:d>
            </m:den>
          </m:f>
          <m:r>
            <m:rPr>
              <m:sty m:val="p"/>
            </m:rPr>
            <w:rPr>
              <w:rFonts w:ascii="Cambria Math" w:hAnsi="Cambria Math"/>
              <w:szCs w:val="22"/>
            </w:rPr>
            <m:t>=</m:t>
          </m:r>
          <m:f>
            <m:fPr>
              <m:ctrlPr>
                <w:rPr>
                  <w:rFonts w:ascii="Cambria Math" w:hAnsi="Cambria Math"/>
                  <w:szCs w:val="22"/>
                </w:rPr>
              </m:ctrlPr>
            </m:fPr>
            <m:num>
              <m:r>
                <m:rPr>
                  <m:sty m:val="p"/>
                </m:rPr>
                <w:rPr>
                  <w:rFonts w:ascii="Cambria Math" w:hAnsi="Cambria Math"/>
                  <w:szCs w:val="22"/>
                </w:rPr>
                <m:t>430-50</m:t>
              </m:r>
            </m:num>
            <m:den>
              <m:r>
                <m:rPr>
                  <m:sty m:val="p"/>
                </m:rPr>
                <w:rPr>
                  <w:rFonts w:ascii="Cambria Math" w:hAnsi="Cambria Math"/>
                  <w:szCs w:val="22"/>
                </w:rPr>
                <m:t>5</m:t>
              </m:r>
              <m:d>
                <m:dPr>
                  <m:ctrlPr>
                    <w:rPr>
                      <w:rFonts w:ascii="Cambria Math" w:hAnsi="Cambria Math"/>
                      <w:szCs w:val="22"/>
                    </w:rPr>
                  </m:ctrlPr>
                </m:dPr>
                <m:e>
                  <m:r>
                    <m:rPr>
                      <m:sty m:val="p"/>
                    </m:rPr>
                    <w:rPr>
                      <w:rFonts w:ascii="Cambria Math" w:hAnsi="Cambria Math"/>
                      <w:szCs w:val="22"/>
                    </w:rPr>
                    <m:t>20</m:t>
                  </m:r>
                </m:e>
              </m:d>
              <m:r>
                <m:rPr>
                  <m:sty m:val="p"/>
                </m:rPr>
                <w:rPr>
                  <w:rFonts w:ascii="Cambria Math" w:hAnsi="Cambria Math"/>
                  <w:szCs w:val="22"/>
                </w:rPr>
                <m:t>+4(15)+2</m:t>
              </m:r>
              <m:d>
                <m:dPr>
                  <m:ctrlPr>
                    <w:rPr>
                      <w:rFonts w:ascii="Cambria Math" w:hAnsi="Cambria Math"/>
                      <w:szCs w:val="22"/>
                    </w:rPr>
                  </m:ctrlPr>
                </m:dPr>
                <m:e>
                  <m:r>
                    <m:rPr>
                      <m:sty m:val="p"/>
                    </m:rPr>
                    <w:rPr>
                      <w:rFonts w:ascii="Cambria Math" w:hAnsi="Cambria Math"/>
                      <w:szCs w:val="22"/>
                    </w:rPr>
                    <m:t>10</m:t>
                  </m:r>
                </m:e>
              </m:d>
            </m:den>
          </m:f>
          <m:r>
            <m:rPr>
              <m:sty m:val="p"/>
            </m:rPr>
            <w:rPr>
              <w:rFonts w:ascii="Cambria Math" w:hAnsi="Cambria Math"/>
              <w:szCs w:val="22"/>
            </w:rPr>
            <m:t>=</m:t>
          </m:r>
          <m:f>
            <m:fPr>
              <m:ctrlPr>
                <w:rPr>
                  <w:rFonts w:ascii="Cambria Math" w:hAnsi="Cambria Math"/>
                  <w:szCs w:val="22"/>
                </w:rPr>
              </m:ctrlPr>
            </m:fPr>
            <m:num>
              <m:r>
                <m:rPr>
                  <m:sty m:val="p"/>
                </m:rPr>
                <w:rPr>
                  <w:rFonts w:ascii="Cambria Math" w:hAnsi="Cambria Math"/>
                  <w:szCs w:val="22"/>
                </w:rPr>
                <m:t>380</m:t>
              </m:r>
            </m:num>
            <m:den>
              <m:r>
                <m:rPr>
                  <m:sty m:val="p"/>
                </m:rPr>
                <w:rPr>
                  <w:rFonts w:ascii="Cambria Math" w:hAnsi="Cambria Math"/>
                  <w:szCs w:val="22"/>
                </w:rPr>
                <m:t>180</m:t>
              </m:r>
            </m:den>
          </m:f>
          <m:r>
            <m:rPr>
              <m:sty m:val="p"/>
            </m:rPr>
            <w:rPr>
              <w:rFonts w:ascii="Cambria Math" w:hAnsi="Cambria Math"/>
              <w:szCs w:val="22"/>
            </w:rPr>
            <m:t>=2.11.</m:t>
          </m:r>
        </m:oMath>
      </m:oMathPara>
    </w:p>
    <w:p w:rsidR="00A47720" w:rsidRPr="00984EC1" w:rsidP="00043DED" w14:paraId="56C5FECA" w14:textId="6F9C62A9">
      <w:pPr>
        <w:pStyle w:val="ParaNum"/>
        <w:widowControl/>
        <w:tabs>
          <w:tab w:val="clear" w:pos="1080"/>
        </w:tabs>
      </w:pPr>
      <w:r w:rsidRPr="7EBF36DC">
        <w:rPr>
          <w:i/>
          <w:iCs/>
        </w:rPr>
        <w:t>Results</w:t>
      </w:r>
      <w:r w:rsidRPr="00615678">
        <w:rPr>
          <w:szCs w:val="22"/>
        </w:rPr>
        <w:t xml:space="preserve">.  </w:t>
      </w:r>
      <w:r w:rsidRPr="7EBF36DC">
        <w:t>Fig</w:t>
      </w:r>
      <w:r>
        <w:rPr>
          <w:szCs w:val="22"/>
        </w:rPr>
        <w:t>.</w:t>
      </w:r>
      <w:r w:rsidRPr="00984EC1">
        <w:rPr>
          <w:szCs w:val="22"/>
        </w:rPr>
        <w:t xml:space="preserve"> </w:t>
      </w:r>
      <w:r w:rsidRPr="7EBF36DC">
        <w:t>B-2 presents estimation results from twelve specifications of the model.  Columns 1-10 present ordered logit estimates in which the dependent variable is the number of entrants in the census block group.  Our base</w:t>
      </w:r>
      <w:r>
        <w:t>line</w:t>
      </w:r>
      <w:r w:rsidRPr="7EBF36DC">
        <w:t xml:space="preserve"> specification is displayed in column 1.  Column 2 aggregates regional carriers’ </w:t>
      </w:r>
      <w:r>
        <w:t xml:space="preserve">coverage areas </w:t>
      </w:r>
      <w:r w:rsidRPr="7EBF36DC">
        <w:t xml:space="preserve">and considers them as a fifth potential entrant.  Columns 3 and 4 add interactions between the demand density variables.  Column 5 assumes that the terrain roughness effect has a logarithmic form.  Columns 6 and 7 alter the population density population restriction whereby column 6 includes block groups with up to 500 persons per square mile and column 7 limits the sample to block groups with less than 20 persons per square mile.  Column 8 uses the population density restriction in column 7 in lieu of land area weights.  Columns 9 and 10 alter the coverage threshold by which census block groups are determined to be served, using 50% and 90% respectively.  Columns 11 and 12 are simple logit specifications where the dependent variable is a dummy indicating the </w:t>
      </w:r>
      <w:r>
        <w:t>C</w:t>
      </w:r>
      <w:r w:rsidRPr="7EBF36DC">
        <w:t>ensus block group has one or more entrants.  Column 11 is the logit analog of the base</w:t>
      </w:r>
      <w:r>
        <w:t>line</w:t>
      </w:r>
      <w:r w:rsidRPr="7EBF36DC">
        <w:t xml:space="preserve"> model, while column 12 considers the regional carriers as potential entrants.  In addition to coefficients for the independent variables, Fig</w:t>
      </w:r>
      <w:r>
        <w:rPr>
          <w:szCs w:val="22"/>
        </w:rPr>
        <w:t>.</w:t>
      </w:r>
      <w:r w:rsidRPr="00984EC1">
        <w:rPr>
          <w:szCs w:val="22"/>
        </w:rPr>
        <w:t xml:space="preserve"> </w:t>
      </w:r>
      <w:r w:rsidRPr="7EBF36DC">
        <w:t>B-</w:t>
      </w:r>
      <w:r w:rsidRPr="7EBF36DC">
        <w:t xml:space="preserve">2 </w:t>
      </w:r>
      <w:r>
        <w:t>also</w:t>
      </w:r>
      <w:r w:rsidRPr="7EBF36DC">
        <w:t xml:space="preserve"> lists </w:t>
      </w:r>
      <w:r>
        <w:t xml:space="preserve">the estimated </w:t>
      </w:r>
      <w:r w:rsidRPr="7EBF36DC">
        <w:t xml:space="preserve">threshold </w:t>
      </w:r>
      <w:r>
        <w:t>values</w:t>
      </w:r>
      <w:r w:rsidRPr="7EBF36DC">
        <w:t xml:space="preserve">, which are </w:t>
      </w:r>
      <w:r>
        <w:t>the levels of latent attractiveness necessary to induce deployment by an additional provider</w:t>
      </w:r>
      <w:r w:rsidRPr="7EBF36DC">
        <w:t>.</w:t>
      </w:r>
      <w:r>
        <w:rPr>
          <w:vertAlign w:val="superscript"/>
        </w:rPr>
        <w:footnoteReference w:id="23"/>
      </w:r>
      <w:r w:rsidRPr="00984EC1">
        <w:rPr>
          <w:szCs w:val="22"/>
        </w:rPr>
        <w:t xml:space="preserve">  </w:t>
      </w:r>
    </w:p>
    <w:p w:rsidR="00A47720" w:rsidRPr="00652391" w:rsidP="00043DED" w14:paraId="04CC6081" w14:textId="77777777">
      <w:pPr>
        <w:pStyle w:val="ParaNum"/>
        <w:tabs>
          <w:tab w:val="clear" w:pos="1080"/>
        </w:tabs>
      </w:pPr>
      <w:r>
        <w:t xml:space="preserve">The estimated coefficients on the population, road mile, and local GDP density variables are positive and statistically significant in all specifications, indicating that Census block groups become more attractive to entrants when demand density increases and that our model is capturing factors relevant to carriers’ entry decisions.  Similarly, log income is positive and significant in all specifications, indicating that, all else equal, wealthy areas are more likely to be covered.  The negative and significant dense clutter coefficient indicates that entry is less likely in high clutter areas with greater signal propagation losses.  The estimates also suggest that the multiple carriers receiving universal service funding dummy variable is capturing otherwise unobserved characteristics that make an area “difficult to serve.”  Areas where multiple national carriers have received funding are likely to have fewer national carriers enter, however this effect disappears when we consider service as a binary outcome.  The coefficient on the indicator for a regional carrier receiving funding in the area is also negative and significant.  When regional carriers are included in the analysis, the coefficient decreases in magnitude, suggesting that the areas are unlikely to induce entry by multiple carriers.  </w:t>
      </w:r>
    </w:p>
    <w:p w:rsidR="00A47720" w:rsidRPr="00984EC1" w:rsidP="00043DED" w14:paraId="2F9EF587" w14:textId="77777777">
      <w:pPr>
        <w:pStyle w:val="ParaNum"/>
        <w:tabs>
          <w:tab w:val="clear" w:pos="1080"/>
        </w:tabs>
      </w:pPr>
      <w:r>
        <w:t xml:space="preserve">Fig. B-3 shows the linear spline estimates of terrain roughness on block group attractiveness for the baseline specification.  We find a negative relationship between terrain roughness and block group attractiveness with the marginal effects decreasing as terrain roughness increases.  The shape of the non-linear relationship is robust across specifications. </w:t>
      </w:r>
    </w:p>
    <w:p w:rsidR="00A47720" w:rsidP="00043DED" w14:paraId="003E0C85" w14:textId="1ABDE871">
      <w:pPr>
        <w:pStyle w:val="ParaNum"/>
        <w:tabs>
          <w:tab w:val="clear" w:pos="1080"/>
        </w:tabs>
      </w:pPr>
      <w:r w:rsidRPr="7EBF36DC">
        <w:t>Fig</w:t>
      </w:r>
      <w:r>
        <w:rPr>
          <w:szCs w:val="22"/>
        </w:rPr>
        <w:t>.</w:t>
      </w:r>
      <w:r w:rsidRPr="00984EC1">
        <w:rPr>
          <w:szCs w:val="22"/>
        </w:rPr>
        <w:t xml:space="preserve"> </w:t>
      </w:r>
      <w:r w:rsidRPr="7EBF36DC">
        <w:t xml:space="preserve">B-4 presents </w:t>
      </w:r>
      <w:r>
        <w:t>the adjustment factor estimates for each category and the corresponding 95% confidence intervals produced by our baseline specification.</w:t>
      </w:r>
      <w:r>
        <w:rPr>
          <w:rStyle w:val="FootnoteReference"/>
        </w:rPr>
        <w:footnoteReference w:id="24"/>
      </w:r>
      <w:r>
        <w:t xml:space="preserve">  We generate the adjustment factors using terrain values of 10m, 70m, and 150m, and median household income values of </w:t>
      </w:r>
      <w:r w:rsidRPr="004C0324">
        <w:t>$</w:t>
      </w:r>
      <w:r>
        <w:t>25,000</w:t>
      </w:r>
      <w:r w:rsidRPr="004C0324">
        <w:t>, $</w:t>
      </w:r>
      <w:r>
        <w:t>35,000</w:t>
      </w:r>
      <w:r w:rsidRPr="004C0324">
        <w:t>, and $</w:t>
      </w:r>
      <w:r>
        <w:t>65,000.</w:t>
      </w:r>
      <w:r>
        <w:rPr>
          <w:rStyle w:val="FootnoteReference"/>
        </w:rPr>
        <w:footnoteReference w:id="25"/>
      </w:r>
      <w:r>
        <w:t xml:space="preserve">  The baseline specification produces factors ranging from 1 to 4.06.  Fig. B-5 presents the adjustment factors associated with each specification.  Across all specifications, the largest factor is attributed to the mountainous-low median household income category.  Top adjustment factors range from 3.08 to 4.29 with a median value of 3.84.  The estimated adjustment factors are generally stable across specifications.  The largest changes occur when we include interaction terms between demand density variables and when the sample is restricted to block groups with less than 20 persons per square mile.</w:t>
      </w:r>
    </w:p>
    <w:p w:rsidR="00A47720" w:rsidRPr="00043DED" w:rsidP="00D46996" w14:paraId="41F7E0FD" w14:textId="77777777">
      <w:pPr>
        <w:keepNext/>
        <w:spacing w:after="120"/>
        <w:jc w:val="center"/>
        <w:rPr>
          <w:b/>
          <w:sz w:val="22"/>
          <w:szCs w:val="22"/>
        </w:rPr>
      </w:pPr>
      <w:r w:rsidRPr="00043DED">
        <w:rPr>
          <w:b/>
          <w:sz w:val="22"/>
          <w:szCs w:val="22"/>
        </w:rPr>
        <w:t>Fig. B-1: Summary Statistics</w:t>
      </w:r>
    </w:p>
    <w:tbl>
      <w:tblPr>
        <w:tblW w:w="9360" w:type="dxa"/>
        <w:jc w:val="center"/>
        <w:tblLook w:val="04A0"/>
      </w:tblPr>
      <w:tblGrid>
        <w:gridCol w:w="2306"/>
        <w:gridCol w:w="1814"/>
        <w:gridCol w:w="1310"/>
        <w:gridCol w:w="1310"/>
        <w:gridCol w:w="1310"/>
        <w:gridCol w:w="1310"/>
      </w:tblGrid>
      <w:tr w14:paraId="1F62BD3E" w14:textId="77777777" w:rsidTr="00890D29">
        <w:tblPrEx>
          <w:tblW w:w="9360" w:type="dxa"/>
          <w:jc w:val="center"/>
          <w:tblLook w:val="04A0"/>
        </w:tblPrEx>
        <w:trPr>
          <w:trHeight w:val="360"/>
          <w:jc w:val="center"/>
        </w:trPr>
        <w:tc>
          <w:tcPr>
            <w:tcW w:w="1976" w:type="dxa"/>
            <w:tcBorders>
              <w:top w:val="single" w:sz="8" w:space="0" w:color="auto"/>
              <w:left w:val="nil"/>
              <w:bottom w:val="double" w:sz="6" w:space="0" w:color="auto"/>
              <w:right w:val="nil"/>
            </w:tcBorders>
            <w:shd w:val="clear" w:color="auto" w:fill="auto"/>
            <w:vAlign w:val="center"/>
            <w:hideMark/>
          </w:tcPr>
          <w:p w:rsidR="00A47720" w:rsidRPr="007D7C65" w:rsidP="00043DED" w14:paraId="70B0D83F" w14:textId="77777777">
            <w:pPr>
              <w:keepNext/>
              <w:keepLines/>
              <w:rPr>
                <w:color w:val="000000"/>
                <w:sz w:val="16"/>
                <w:szCs w:val="16"/>
              </w:rPr>
            </w:pPr>
            <w:r w:rsidRPr="007D7C65">
              <w:rPr>
                <w:color w:val="000000"/>
                <w:sz w:val="16"/>
                <w:szCs w:val="16"/>
              </w:rPr>
              <w:t>Variable</w:t>
            </w:r>
          </w:p>
        </w:tc>
        <w:tc>
          <w:tcPr>
            <w:tcW w:w="1554" w:type="dxa"/>
            <w:tcBorders>
              <w:top w:val="single" w:sz="8" w:space="0" w:color="auto"/>
              <w:left w:val="nil"/>
              <w:bottom w:val="double" w:sz="6" w:space="0" w:color="auto"/>
              <w:right w:val="nil"/>
            </w:tcBorders>
            <w:shd w:val="clear" w:color="auto" w:fill="auto"/>
            <w:noWrap/>
            <w:vAlign w:val="center"/>
            <w:hideMark/>
          </w:tcPr>
          <w:p w:rsidR="00A47720" w:rsidRPr="007D7C65" w:rsidP="00043DED" w14:paraId="4B64EEEF" w14:textId="77777777">
            <w:pPr>
              <w:keepNext/>
              <w:keepLines/>
              <w:jc w:val="center"/>
              <w:rPr>
                <w:color w:val="000000"/>
                <w:sz w:val="16"/>
                <w:szCs w:val="16"/>
              </w:rPr>
            </w:pPr>
            <w:r w:rsidRPr="007D7C65">
              <w:rPr>
                <w:color w:val="000000"/>
                <w:sz w:val="16"/>
                <w:szCs w:val="16"/>
              </w:rPr>
              <w:t>Obs</w:t>
            </w:r>
            <w:r>
              <w:rPr>
                <w:color w:val="000000"/>
                <w:sz w:val="16"/>
                <w:szCs w:val="16"/>
              </w:rPr>
              <w:t>ervations</w:t>
            </w:r>
          </w:p>
        </w:tc>
        <w:tc>
          <w:tcPr>
            <w:tcW w:w="1122" w:type="dxa"/>
            <w:tcBorders>
              <w:top w:val="single" w:sz="8" w:space="0" w:color="auto"/>
              <w:left w:val="nil"/>
              <w:bottom w:val="double" w:sz="6" w:space="0" w:color="auto"/>
              <w:right w:val="nil"/>
            </w:tcBorders>
            <w:shd w:val="clear" w:color="auto" w:fill="auto"/>
            <w:noWrap/>
            <w:vAlign w:val="center"/>
            <w:hideMark/>
          </w:tcPr>
          <w:p w:rsidR="00A47720" w:rsidRPr="007D7C65" w:rsidP="00043DED" w14:paraId="7A2F1F03" w14:textId="77777777">
            <w:pPr>
              <w:keepNext/>
              <w:keepLines/>
              <w:jc w:val="center"/>
              <w:rPr>
                <w:color w:val="000000"/>
                <w:sz w:val="16"/>
                <w:szCs w:val="16"/>
              </w:rPr>
            </w:pPr>
            <w:r w:rsidRPr="007D7C65">
              <w:rPr>
                <w:color w:val="000000"/>
                <w:sz w:val="16"/>
                <w:szCs w:val="16"/>
              </w:rPr>
              <w:t>Mean</w:t>
            </w:r>
          </w:p>
        </w:tc>
        <w:tc>
          <w:tcPr>
            <w:tcW w:w="1122" w:type="dxa"/>
            <w:tcBorders>
              <w:top w:val="single" w:sz="8" w:space="0" w:color="auto"/>
              <w:left w:val="nil"/>
              <w:bottom w:val="double" w:sz="6" w:space="0" w:color="auto"/>
              <w:right w:val="nil"/>
            </w:tcBorders>
            <w:shd w:val="clear" w:color="auto" w:fill="auto"/>
            <w:noWrap/>
            <w:vAlign w:val="center"/>
            <w:hideMark/>
          </w:tcPr>
          <w:p w:rsidR="00A47720" w:rsidRPr="007D7C65" w:rsidP="00043DED" w14:paraId="7CC5AE45" w14:textId="77777777">
            <w:pPr>
              <w:keepNext/>
              <w:keepLines/>
              <w:jc w:val="center"/>
              <w:rPr>
                <w:color w:val="000000"/>
                <w:sz w:val="16"/>
                <w:szCs w:val="16"/>
              </w:rPr>
            </w:pPr>
            <w:r w:rsidRPr="007D7C65">
              <w:rPr>
                <w:color w:val="000000"/>
                <w:sz w:val="16"/>
                <w:szCs w:val="16"/>
              </w:rPr>
              <w:t>Std. Dev.</w:t>
            </w:r>
          </w:p>
        </w:tc>
        <w:tc>
          <w:tcPr>
            <w:tcW w:w="1122" w:type="dxa"/>
            <w:tcBorders>
              <w:top w:val="single" w:sz="8" w:space="0" w:color="auto"/>
              <w:left w:val="nil"/>
              <w:bottom w:val="double" w:sz="6" w:space="0" w:color="auto"/>
              <w:right w:val="nil"/>
            </w:tcBorders>
            <w:shd w:val="clear" w:color="auto" w:fill="auto"/>
            <w:noWrap/>
            <w:vAlign w:val="center"/>
            <w:hideMark/>
          </w:tcPr>
          <w:p w:rsidR="00A47720" w:rsidRPr="007D7C65" w:rsidP="00043DED" w14:paraId="46BB9AC1" w14:textId="77777777">
            <w:pPr>
              <w:keepNext/>
              <w:keepLines/>
              <w:jc w:val="center"/>
              <w:rPr>
                <w:color w:val="000000"/>
                <w:sz w:val="16"/>
                <w:szCs w:val="16"/>
              </w:rPr>
            </w:pPr>
            <w:r w:rsidRPr="007D7C65">
              <w:rPr>
                <w:color w:val="000000"/>
                <w:sz w:val="16"/>
                <w:szCs w:val="16"/>
              </w:rPr>
              <w:t>Min</w:t>
            </w:r>
          </w:p>
        </w:tc>
        <w:tc>
          <w:tcPr>
            <w:tcW w:w="1122" w:type="dxa"/>
            <w:tcBorders>
              <w:top w:val="single" w:sz="8" w:space="0" w:color="auto"/>
              <w:left w:val="nil"/>
              <w:bottom w:val="double" w:sz="6" w:space="0" w:color="auto"/>
              <w:right w:val="nil"/>
            </w:tcBorders>
            <w:shd w:val="clear" w:color="auto" w:fill="auto"/>
            <w:noWrap/>
            <w:vAlign w:val="center"/>
            <w:hideMark/>
          </w:tcPr>
          <w:p w:rsidR="00A47720" w:rsidRPr="007D7C65" w:rsidP="00043DED" w14:paraId="262CCA89" w14:textId="77777777">
            <w:pPr>
              <w:keepNext/>
              <w:keepLines/>
              <w:jc w:val="center"/>
              <w:rPr>
                <w:color w:val="000000"/>
                <w:sz w:val="16"/>
                <w:szCs w:val="16"/>
              </w:rPr>
            </w:pPr>
            <w:r w:rsidRPr="007D7C65">
              <w:rPr>
                <w:color w:val="000000"/>
                <w:sz w:val="16"/>
                <w:szCs w:val="16"/>
              </w:rPr>
              <w:t>Max</w:t>
            </w:r>
          </w:p>
        </w:tc>
      </w:tr>
      <w:tr w14:paraId="4532F2BD" w14:textId="77777777" w:rsidTr="00890D29">
        <w:tblPrEx>
          <w:tblW w:w="9360" w:type="dxa"/>
          <w:jc w:val="center"/>
          <w:tblLook w:val="04A0"/>
        </w:tblPrEx>
        <w:trPr>
          <w:trHeight w:val="515"/>
          <w:jc w:val="center"/>
        </w:trPr>
        <w:tc>
          <w:tcPr>
            <w:tcW w:w="1976" w:type="dxa"/>
            <w:tcBorders>
              <w:top w:val="nil"/>
              <w:left w:val="nil"/>
              <w:bottom w:val="nil"/>
              <w:right w:val="nil"/>
            </w:tcBorders>
            <w:shd w:val="clear" w:color="auto" w:fill="auto"/>
            <w:vAlign w:val="center"/>
            <w:hideMark/>
          </w:tcPr>
          <w:p w:rsidR="00A47720" w:rsidRPr="007D7C65" w:rsidP="00043DED" w14:paraId="2A02B457" w14:textId="77777777">
            <w:pPr>
              <w:keepNext/>
              <w:keepLines/>
              <w:rPr>
                <w:color w:val="000000"/>
                <w:sz w:val="16"/>
                <w:szCs w:val="16"/>
              </w:rPr>
            </w:pPr>
            <w:r w:rsidRPr="007D7C65">
              <w:rPr>
                <w:color w:val="000000"/>
                <w:sz w:val="16"/>
                <w:szCs w:val="16"/>
              </w:rPr>
              <w:t>Population Density</w:t>
            </w:r>
          </w:p>
        </w:tc>
        <w:tc>
          <w:tcPr>
            <w:tcW w:w="1554" w:type="dxa"/>
            <w:tcBorders>
              <w:top w:val="nil"/>
              <w:left w:val="nil"/>
              <w:bottom w:val="nil"/>
              <w:right w:val="nil"/>
            </w:tcBorders>
            <w:shd w:val="clear" w:color="auto" w:fill="auto"/>
            <w:noWrap/>
            <w:vAlign w:val="center"/>
            <w:hideMark/>
          </w:tcPr>
          <w:p w:rsidR="00A47720" w:rsidRPr="007D7C65" w:rsidP="00043DED" w14:paraId="44CD25A7" w14:textId="77777777">
            <w:pPr>
              <w:keepNext/>
              <w:keepLines/>
              <w:jc w:val="center"/>
              <w:rPr>
                <w:color w:val="000000"/>
                <w:sz w:val="16"/>
                <w:szCs w:val="16"/>
              </w:rPr>
            </w:pPr>
            <w:r w:rsidRPr="007D7C65">
              <w:rPr>
                <w:color w:val="000000"/>
                <w:sz w:val="16"/>
                <w:szCs w:val="16"/>
              </w:rPr>
              <w:t>28,519</w:t>
            </w:r>
          </w:p>
        </w:tc>
        <w:tc>
          <w:tcPr>
            <w:tcW w:w="1122" w:type="dxa"/>
            <w:tcBorders>
              <w:top w:val="nil"/>
              <w:left w:val="nil"/>
              <w:bottom w:val="nil"/>
              <w:right w:val="nil"/>
            </w:tcBorders>
            <w:shd w:val="clear" w:color="auto" w:fill="auto"/>
            <w:noWrap/>
            <w:vAlign w:val="center"/>
            <w:hideMark/>
          </w:tcPr>
          <w:p w:rsidR="00A47720" w:rsidRPr="007D7C65" w:rsidP="00043DED" w14:paraId="0D2A4C6A" w14:textId="77777777">
            <w:pPr>
              <w:keepNext/>
              <w:keepLines/>
              <w:jc w:val="center"/>
              <w:rPr>
                <w:color w:val="000000"/>
                <w:sz w:val="16"/>
                <w:szCs w:val="16"/>
              </w:rPr>
            </w:pPr>
            <w:r w:rsidRPr="007D7C65">
              <w:rPr>
                <w:color w:val="000000"/>
                <w:sz w:val="16"/>
                <w:szCs w:val="16"/>
              </w:rPr>
              <w:t>40.2</w:t>
            </w:r>
          </w:p>
        </w:tc>
        <w:tc>
          <w:tcPr>
            <w:tcW w:w="1122" w:type="dxa"/>
            <w:tcBorders>
              <w:top w:val="nil"/>
              <w:left w:val="nil"/>
              <w:bottom w:val="nil"/>
              <w:right w:val="nil"/>
            </w:tcBorders>
            <w:shd w:val="clear" w:color="auto" w:fill="auto"/>
            <w:noWrap/>
            <w:vAlign w:val="center"/>
            <w:hideMark/>
          </w:tcPr>
          <w:p w:rsidR="00A47720" w:rsidRPr="007D7C65" w:rsidP="00043DED" w14:paraId="2AC242B2" w14:textId="77777777">
            <w:pPr>
              <w:keepNext/>
              <w:keepLines/>
              <w:jc w:val="center"/>
              <w:rPr>
                <w:color w:val="000000"/>
                <w:sz w:val="16"/>
                <w:szCs w:val="16"/>
              </w:rPr>
            </w:pPr>
            <w:r w:rsidRPr="007D7C65">
              <w:rPr>
                <w:color w:val="000000"/>
                <w:sz w:val="16"/>
                <w:szCs w:val="16"/>
              </w:rPr>
              <w:t>27.32</w:t>
            </w:r>
          </w:p>
        </w:tc>
        <w:tc>
          <w:tcPr>
            <w:tcW w:w="1122" w:type="dxa"/>
            <w:tcBorders>
              <w:top w:val="nil"/>
              <w:left w:val="nil"/>
              <w:bottom w:val="nil"/>
              <w:right w:val="nil"/>
            </w:tcBorders>
            <w:shd w:val="clear" w:color="auto" w:fill="auto"/>
            <w:noWrap/>
            <w:vAlign w:val="center"/>
            <w:hideMark/>
          </w:tcPr>
          <w:p w:rsidR="00A47720" w:rsidRPr="007D7C65" w:rsidP="00043DED" w14:paraId="79856560" w14:textId="77777777">
            <w:pPr>
              <w:keepNext/>
              <w:keepLines/>
              <w:jc w:val="center"/>
              <w:rPr>
                <w:color w:val="000000"/>
                <w:sz w:val="16"/>
                <w:szCs w:val="16"/>
              </w:rPr>
            </w:pPr>
            <w:r w:rsidRPr="007D7C65">
              <w:rPr>
                <w:color w:val="000000"/>
                <w:sz w:val="16"/>
                <w:szCs w:val="16"/>
              </w:rPr>
              <w:t>0</w:t>
            </w:r>
          </w:p>
        </w:tc>
        <w:tc>
          <w:tcPr>
            <w:tcW w:w="1122" w:type="dxa"/>
            <w:tcBorders>
              <w:top w:val="nil"/>
              <w:left w:val="nil"/>
              <w:bottom w:val="nil"/>
              <w:right w:val="nil"/>
            </w:tcBorders>
            <w:shd w:val="clear" w:color="auto" w:fill="auto"/>
            <w:noWrap/>
            <w:vAlign w:val="center"/>
            <w:hideMark/>
          </w:tcPr>
          <w:p w:rsidR="00A47720" w:rsidRPr="007D7C65" w:rsidP="00043DED" w14:paraId="0D8F155B" w14:textId="77777777">
            <w:pPr>
              <w:keepNext/>
              <w:keepLines/>
              <w:jc w:val="center"/>
              <w:rPr>
                <w:color w:val="000000"/>
                <w:sz w:val="16"/>
                <w:szCs w:val="16"/>
              </w:rPr>
            </w:pPr>
            <w:r w:rsidRPr="007D7C65">
              <w:rPr>
                <w:color w:val="000000"/>
                <w:sz w:val="16"/>
                <w:szCs w:val="16"/>
              </w:rPr>
              <w:t>100.00</w:t>
            </w:r>
          </w:p>
        </w:tc>
      </w:tr>
      <w:tr w14:paraId="33168791" w14:textId="77777777" w:rsidTr="00890D29">
        <w:tblPrEx>
          <w:tblW w:w="9360" w:type="dxa"/>
          <w:jc w:val="center"/>
          <w:tblLook w:val="04A0"/>
        </w:tblPrEx>
        <w:trPr>
          <w:trHeight w:val="515"/>
          <w:jc w:val="center"/>
        </w:trPr>
        <w:tc>
          <w:tcPr>
            <w:tcW w:w="1976" w:type="dxa"/>
            <w:tcBorders>
              <w:top w:val="nil"/>
              <w:left w:val="nil"/>
              <w:bottom w:val="nil"/>
              <w:right w:val="nil"/>
            </w:tcBorders>
            <w:shd w:val="clear" w:color="auto" w:fill="auto"/>
            <w:vAlign w:val="center"/>
            <w:hideMark/>
          </w:tcPr>
          <w:p w:rsidR="00A47720" w:rsidRPr="007D7C65" w:rsidP="00043DED" w14:paraId="4E971CB8" w14:textId="77777777">
            <w:pPr>
              <w:keepNext/>
              <w:keepLines/>
              <w:rPr>
                <w:color w:val="000000"/>
                <w:sz w:val="16"/>
                <w:szCs w:val="16"/>
              </w:rPr>
            </w:pPr>
            <w:r w:rsidRPr="007D7C65">
              <w:rPr>
                <w:color w:val="000000"/>
                <w:sz w:val="16"/>
                <w:szCs w:val="16"/>
              </w:rPr>
              <w:t>Road Mile Density</w:t>
            </w:r>
          </w:p>
        </w:tc>
        <w:tc>
          <w:tcPr>
            <w:tcW w:w="1554" w:type="dxa"/>
            <w:tcBorders>
              <w:top w:val="nil"/>
              <w:left w:val="nil"/>
              <w:bottom w:val="nil"/>
              <w:right w:val="nil"/>
            </w:tcBorders>
            <w:shd w:val="clear" w:color="auto" w:fill="auto"/>
            <w:noWrap/>
            <w:vAlign w:val="center"/>
            <w:hideMark/>
          </w:tcPr>
          <w:p w:rsidR="00A47720" w:rsidRPr="007D7C65" w:rsidP="00043DED" w14:paraId="16359371" w14:textId="77777777">
            <w:pPr>
              <w:keepNext/>
              <w:keepLines/>
              <w:jc w:val="center"/>
              <w:rPr>
                <w:color w:val="000000"/>
                <w:sz w:val="16"/>
                <w:szCs w:val="16"/>
              </w:rPr>
            </w:pPr>
            <w:r w:rsidRPr="007D7C65">
              <w:rPr>
                <w:color w:val="000000"/>
                <w:sz w:val="16"/>
                <w:szCs w:val="16"/>
              </w:rPr>
              <w:t>28,519</w:t>
            </w:r>
          </w:p>
        </w:tc>
        <w:tc>
          <w:tcPr>
            <w:tcW w:w="1122" w:type="dxa"/>
            <w:tcBorders>
              <w:top w:val="nil"/>
              <w:left w:val="nil"/>
              <w:bottom w:val="nil"/>
              <w:right w:val="nil"/>
            </w:tcBorders>
            <w:shd w:val="clear" w:color="auto" w:fill="auto"/>
            <w:noWrap/>
            <w:vAlign w:val="center"/>
            <w:hideMark/>
          </w:tcPr>
          <w:p w:rsidR="00A47720" w:rsidRPr="007D7C65" w:rsidP="00043DED" w14:paraId="20660C4D" w14:textId="77777777">
            <w:pPr>
              <w:keepNext/>
              <w:keepLines/>
              <w:jc w:val="center"/>
              <w:rPr>
                <w:color w:val="000000"/>
                <w:sz w:val="16"/>
                <w:szCs w:val="16"/>
              </w:rPr>
            </w:pPr>
            <w:r w:rsidRPr="007D7C65">
              <w:rPr>
                <w:color w:val="000000"/>
                <w:sz w:val="16"/>
                <w:szCs w:val="16"/>
              </w:rPr>
              <w:t>2.49</w:t>
            </w:r>
          </w:p>
        </w:tc>
        <w:tc>
          <w:tcPr>
            <w:tcW w:w="1122" w:type="dxa"/>
            <w:tcBorders>
              <w:top w:val="nil"/>
              <w:left w:val="nil"/>
              <w:bottom w:val="nil"/>
              <w:right w:val="nil"/>
            </w:tcBorders>
            <w:shd w:val="clear" w:color="auto" w:fill="auto"/>
            <w:noWrap/>
            <w:vAlign w:val="center"/>
            <w:hideMark/>
          </w:tcPr>
          <w:p w:rsidR="00A47720" w:rsidRPr="007D7C65" w:rsidP="00043DED" w14:paraId="05F2ACEF" w14:textId="77777777">
            <w:pPr>
              <w:keepNext/>
              <w:keepLines/>
              <w:jc w:val="center"/>
              <w:rPr>
                <w:color w:val="000000"/>
                <w:sz w:val="16"/>
                <w:szCs w:val="16"/>
              </w:rPr>
            </w:pPr>
            <w:r w:rsidRPr="007D7C65">
              <w:rPr>
                <w:color w:val="000000"/>
                <w:sz w:val="16"/>
                <w:szCs w:val="16"/>
              </w:rPr>
              <w:t>0.88</w:t>
            </w:r>
          </w:p>
        </w:tc>
        <w:tc>
          <w:tcPr>
            <w:tcW w:w="1122" w:type="dxa"/>
            <w:tcBorders>
              <w:top w:val="nil"/>
              <w:left w:val="nil"/>
              <w:bottom w:val="nil"/>
              <w:right w:val="nil"/>
            </w:tcBorders>
            <w:shd w:val="clear" w:color="auto" w:fill="auto"/>
            <w:noWrap/>
            <w:vAlign w:val="center"/>
            <w:hideMark/>
          </w:tcPr>
          <w:p w:rsidR="00A47720" w:rsidRPr="007D7C65" w:rsidP="00043DED" w14:paraId="49E100D3" w14:textId="77777777">
            <w:pPr>
              <w:keepNext/>
              <w:keepLines/>
              <w:jc w:val="center"/>
              <w:rPr>
                <w:color w:val="000000"/>
                <w:sz w:val="16"/>
                <w:szCs w:val="16"/>
              </w:rPr>
            </w:pPr>
            <w:r w:rsidRPr="007D7C65">
              <w:rPr>
                <w:color w:val="000000"/>
                <w:sz w:val="16"/>
                <w:szCs w:val="16"/>
              </w:rPr>
              <w:t>0</w:t>
            </w:r>
          </w:p>
        </w:tc>
        <w:tc>
          <w:tcPr>
            <w:tcW w:w="1122" w:type="dxa"/>
            <w:tcBorders>
              <w:top w:val="nil"/>
              <w:left w:val="nil"/>
              <w:bottom w:val="nil"/>
              <w:right w:val="nil"/>
            </w:tcBorders>
            <w:shd w:val="clear" w:color="auto" w:fill="auto"/>
            <w:noWrap/>
            <w:vAlign w:val="center"/>
            <w:hideMark/>
          </w:tcPr>
          <w:p w:rsidR="00A47720" w:rsidRPr="007D7C65" w:rsidP="00043DED" w14:paraId="57E97ABD" w14:textId="77777777">
            <w:pPr>
              <w:keepNext/>
              <w:keepLines/>
              <w:jc w:val="center"/>
              <w:rPr>
                <w:color w:val="000000"/>
                <w:sz w:val="16"/>
                <w:szCs w:val="16"/>
              </w:rPr>
            </w:pPr>
            <w:r w:rsidRPr="007D7C65">
              <w:rPr>
                <w:color w:val="000000"/>
                <w:sz w:val="16"/>
                <w:szCs w:val="16"/>
              </w:rPr>
              <w:t>11.93</w:t>
            </w:r>
          </w:p>
        </w:tc>
      </w:tr>
      <w:tr w14:paraId="2ABEF7DA" w14:textId="77777777" w:rsidTr="00890D29">
        <w:tblPrEx>
          <w:tblW w:w="9360" w:type="dxa"/>
          <w:jc w:val="center"/>
          <w:tblLook w:val="04A0"/>
        </w:tblPrEx>
        <w:trPr>
          <w:trHeight w:val="515"/>
          <w:jc w:val="center"/>
        </w:trPr>
        <w:tc>
          <w:tcPr>
            <w:tcW w:w="1976" w:type="dxa"/>
            <w:tcBorders>
              <w:top w:val="nil"/>
              <w:left w:val="nil"/>
              <w:bottom w:val="nil"/>
              <w:right w:val="nil"/>
            </w:tcBorders>
            <w:shd w:val="clear" w:color="auto" w:fill="auto"/>
            <w:vAlign w:val="center"/>
            <w:hideMark/>
          </w:tcPr>
          <w:p w:rsidR="00A47720" w:rsidRPr="007D7C65" w:rsidP="00043DED" w14:paraId="025B9687" w14:textId="438145B6">
            <w:pPr>
              <w:keepNext/>
              <w:keepLines/>
              <w:rPr>
                <w:color w:val="000000"/>
                <w:sz w:val="16"/>
                <w:szCs w:val="16"/>
              </w:rPr>
            </w:pPr>
            <w:r w:rsidRPr="007D7C65">
              <w:rPr>
                <w:color w:val="000000"/>
                <w:sz w:val="16"/>
                <w:szCs w:val="16"/>
              </w:rPr>
              <w:t xml:space="preserve">Local GDP Density </w:t>
            </w:r>
            <w:r w:rsidRPr="007D7C65">
              <w:rPr>
                <w:color w:val="000000"/>
                <w:sz w:val="16"/>
                <w:szCs w:val="16"/>
              </w:rPr>
              <w:br/>
              <w:t>($000</w:t>
            </w:r>
            <w:r w:rsidR="007B6700">
              <w:rPr>
                <w:color w:val="000000"/>
                <w:sz w:val="16"/>
                <w:szCs w:val="16"/>
              </w:rPr>
              <w:t>,000</w:t>
            </w:r>
            <w:r w:rsidRPr="007D7C65">
              <w:rPr>
                <w:color w:val="000000"/>
                <w:sz w:val="16"/>
                <w:szCs w:val="16"/>
              </w:rPr>
              <w:t>)</w:t>
            </w:r>
          </w:p>
        </w:tc>
        <w:tc>
          <w:tcPr>
            <w:tcW w:w="1554" w:type="dxa"/>
            <w:tcBorders>
              <w:top w:val="nil"/>
              <w:left w:val="nil"/>
              <w:bottom w:val="nil"/>
              <w:right w:val="nil"/>
            </w:tcBorders>
            <w:shd w:val="clear" w:color="auto" w:fill="auto"/>
            <w:noWrap/>
            <w:vAlign w:val="center"/>
            <w:hideMark/>
          </w:tcPr>
          <w:p w:rsidR="00A47720" w:rsidRPr="007D7C65" w:rsidP="00043DED" w14:paraId="0EAA6C26" w14:textId="77777777">
            <w:pPr>
              <w:keepNext/>
              <w:keepLines/>
              <w:jc w:val="center"/>
              <w:rPr>
                <w:color w:val="000000"/>
                <w:sz w:val="16"/>
                <w:szCs w:val="16"/>
              </w:rPr>
            </w:pPr>
            <w:r w:rsidRPr="007D7C65">
              <w:rPr>
                <w:color w:val="000000"/>
                <w:sz w:val="16"/>
                <w:szCs w:val="16"/>
              </w:rPr>
              <w:t>28,519</w:t>
            </w:r>
          </w:p>
        </w:tc>
        <w:tc>
          <w:tcPr>
            <w:tcW w:w="1122" w:type="dxa"/>
            <w:tcBorders>
              <w:top w:val="nil"/>
              <w:left w:val="nil"/>
              <w:bottom w:val="nil"/>
              <w:right w:val="nil"/>
            </w:tcBorders>
            <w:shd w:val="clear" w:color="auto" w:fill="auto"/>
            <w:noWrap/>
            <w:vAlign w:val="center"/>
            <w:hideMark/>
          </w:tcPr>
          <w:p w:rsidR="00A47720" w:rsidRPr="007D7C65" w:rsidP="00043DED" w14:paraId="3B039CA3" w14:textId="77777777">
            <w:pPr>
              <w:keepNext/>
              <w:keepLines/>
              <w:jc w:val="center"/>
              <w:rPr>
                <w:color w:val="000000"/>
                <w:sz w:val="16"/>
                <w:szCs w:val="16"/>
              </w:rPr>
            </w:pPr>
            <w:r w:rsidRPr="007D7C65">
              <w:rPr>
                <w:color w:val="000000"/>
                <w:sz w:val="16"/>
                <w:szCs w:val="16"/>
              </w:rPr>
              <w:t>3.73</w:t>
            </w:r>
          </w:p>
        </w:tc>
        <w:tc>
          <w:tcPr>
            <w:tcW w:w="1122" w:type="dxa"/>
            <w:tcBorders>
              <w:top w:val="nil"/>
              <w:left w:val="nil"/>
              <w:bottom w:val="nil"/>
              <w:right w:val="nil"/>
            </w:tcBorders>
            <w:shd w:val="clear" w:color="auto" w:fill="auto"/>
            <w:noWrap/>
            <w:vAlign w:val="center"/>
            <w:hideMark/>
          </w:tcPr>
          <w:p w:rsidR="00A47720" w:rsidRPr="007D7C65" w:rsidP="00043DED" w14:paraId="149CF7DA" w14:textId="77777777">
            <w:pPr>
              <w:keepNext/>
              <w:keepLines/>
              <w:jc w:val="center"/>
              <w:rPr>
                <w:color w:val="000000"/>
                <w:sz w:val="16"/>
                <w:szCs w:val="16"/>
              </w:rPr>
            </w:pPr>
            <w:r w:rsidRPr="007D7C65">
              <w:rPr>
                <w:color w:val="000000"/>
                <w:sz w:val="16"/>
                <w:szCs w:val="16"/>
              </w:rPr>
              <w:t>7.44</w:t>
            </w:r>
          </w:p>
        </w:tc>
        <w:tc>
          <w:tcPr>
            <w:tcW w:w="1122" w:type="dxa"/>
            <w:tcBorders>
              <w:top w:val="nil"/>
              <w:left w:val="nil"/>
              <w:bottom w:val="nil"/>
              <w:right w:val="nil"/>
            </w:tcBorders>
            <w:shd w:val="clear" w:color="auto" w:fill="auto"/>
            <w:noWrap/>
            <w:vAlign w:val="center"/>
            <w:hideMark/>
          </w:tcPr>
          <w:p w:rsidR="00A47720" w:rsidRPr="007D7C65" w:rsidP="00043DED" w14:paraId="64DD297B" w14:textId="77777777">
            <w:pPr>
              <w:keepNext/>
              <w:keepLines/>
              <w:jc w:val="center"/>
              <w:rPr>
                <w:color w:val="000000"/>
                <w:sz w:val="16"/>
                <w:szCs w:val="16"/>
              </w:rPr>
            </w:pPr>
            <w:r w:rsidRPr="007D7C65">
              <w:rPr>
                <w:color w:val="000000"/>
                <w:sz w:val="16"/>
                <w:szCs w:val="16"/>
              </w:rPr>
              <w:t>0.01</w:t>
            </w:r>
          </w:p>
        </w:tc>
        <w:tc>
          <w:tcPr>
            <w:tcW w:w="1122" w:type="dxa"/>
            <w:tcBorders>
              <w:top w:val="nil"/>
              <w:left w:val="nil"/>
              <w:bottom w:val="nil"/>
              <w:right w:val="nil"/>
            </w:tcBorders>
            <w:shd w:val="clear" w:color="auto" w:fill="auto"/>
            <w:noWrap/>
            <w:vAlign w:val="center"/>
            <w:hideMark/>
          </w:tcPr>
          <w:p w:rsidR="00A47720" w:rsidRPr="007D7C65" w:rsidP="00043DED" w14:paraId="138D31DF" w14:textId="77777777">
            <w:pPr>
              <w:keepNext/>
              <w:keepLines/>
              <w:jc w:val="center"/>
              <w:rPr>
                <w:color w:val="000000"/>
                <w:sz w:val="16"/>
                <w:szCs w:val="16"/>
              </w:rPr>
            </w:pPr>
            <w:r w:rsidRPr="007D7C65">
              <w:rPr>
                <w:color w:val="000000"/>
                <w:sz w:val="16"/>
                <w:szCs w:val="16"/>
              </w:rPr>
              <w:t>99.53</w:t>
            </w:r>
          </w:p>
        </w:tc>
      </w:tr>
      <w:tr w14:paraId="78214BC9" w14:textId="77777777" w:rsidTr="00890D29">
        <w:tblPrEx>
          <w:tblW w:w="9360" w:type="dxa"/>
          <w:jc w:val="center"/>
          <w:tblLook w:val="04A0"/>
        </w:tblPrEx>
        <w:trPr>
          <w:trHeight w:val="515"/>
          <w:jc w:val="center"/>
        </w:trPr>
        <w:tc>
          <w:tcPr>
            <w:tcW w:w="1976" w:type="dxa"/>
            <w:tcBorders>
              <w:top w:val="nil"/>
              <w:left w:val="nil"/>
              <w:bottom w:val="nil"/>
              <w:right w:val="nil"/>
            </w:tcBorders>
            <w:shd w:val="clear" w:color="auto" w:fill="auto"/>
            <w:vAlign w:val="center"/>
            <w:hideMark/>
          </w:tcPr>
          <w:p w:rsidR="00A47720" w:rsidRPr="007D7C65" w:rsidP="00043DED" w14:paraId="7B3736BD" w14:textId="515C3BBF">
            <w:pPr>
              <w:keepNext/>
              <w:keepLines/>
              <w:rPr>
                <w:color w:val="000000"/>
                <w:sz w:val="16"/>
                <w:szCs w:val="16"/>
              </w:rPr>
            </w:pPr>
            <w:r w:rsidRPr="007D7C65">
              <w:rPr>
                <w:color w:val="000000"/>
                <w:sz w:val="16"/>
                <w:szCs w:val="16"/>
              </w:rPr>
              <w:t>Median Household Income ($000)</w:t>
            </w:r>
          </w:p>
        </w:tc>
        <w:tc>
          <w:tcPr>
            <w:tcW w:w="1554" w:type="dxa"/>
            <w:tcBorders>
              <w:top w:val="nil"/>
              <w:left w:val="nil"/>
              <w:bottom w:val="nil"/>
              <w:right w:val="nil"/>
            </w:tcBorders>
            <w:shd w:val="clear" w:color="auto" w:fill="auto"/>
            <w:noWrap/>
            <w:vAlign w:val="center"/>
            <w:hideMark/>
          </w:tcPr>
          <w:p w:rsidR="00A47720" w:rsidRPr="007D7C65" w:rsidP="00043DED" w14:paraId="103BFAFB" w14:textId="77777777">
            <w:pPr>
              <w:keepNext/>
              <w:keepLines/>
              <w:jc w:val="center"/>
              <w:rPr>
                <w:color w:val="000000"/>
                <w:sz w:val="16"/>
                <w:szCs w:val="16"/>
              </w:rPr>
            </w:pPr>
            <w:r w:rsidRPr="007D7C65">
              <w:rPr>
                <w:color w:val="000000"/>
                <w:sz w:val="16"/>
                <w:szCs w:val="16"/>
              </w:rPr>
              <w:t>28,519</w:t>
            </w:r>
          </w:p>
        </w:tc>
        <w:tc>
          <w:tcPr>
            <w:tcW w:w="1122" w:type="dxa"/>
            <w:tcBorders>
              <w:top w:val="nil"/>
              <w:left w:val="nil"/>
              <w:bottom w:val="nil"/>
              <w:right w:val="nil"/>
            </w:tcBorders>
            <w:shd w:val="clear" w:color="auto" w:fill="auto"/>
            <w:noWrap/>
            <w:vAlign w:val="center"/>
            <w:hideMark/>
          </w:tcPr>
          <w:p w:rsidR="00A47720" w:rsidRPr="007D7C65" w:rsidP="00043DED" w14:paraId="68182EA5" w14:textId="77777777">
            <w:pPr>
              <w:keepNext/>
              <w:keepLines/>
              <w:jc w:val="center"/>
              <w:rPr>
                <w:color w:val="000000"/>
                <w:sz w:val="16"/>
                <w:szCs w:val="16"/>
              </w:rPr>
            </w:pPr>
            <w:r w:rsidRPr="007D7C65">
              <w:rPr>
                <w:color w:val="000000"/>
                <w:sz w:val="16"/>
                <w:szCs w:val="16"/>
              </w:rPr>
              <w:t>53.20</w:t>
            </w:r>
          </w:p>
        </w:tc>
        <w:tc>
          <w:tcPr>
            <w:tcW w:w="1122" w:type="dxa"/>
            <w:tcBorders>
              <w:top w:val="nil"/>
              <w:left w:val="nil"/>
              <w:bottom w:val="nil"/>
              <w:right w:val="nil"/>
            </w:tcBorders>
            <w:shd w:val="clear" w:color="auto" w:fill="auto"/>
            <w:noWrap/>
            <w:vAlign w:val="center"/>
            <w:hideMark/>
          </w:tcPr>
          <w:p w:rsidR="00A47720" w:rsidRPr="007D7C65" w:rsidP="00043DED" w14:paraId="02C26A61" w14:textId="77777777">
            <w:pPr>
              <w:keepNext/>
              <w:keepLines/>
              <w:jc w:val="center"/>
              <w:rPr>
                <w:color w:val="000000"/>
                <w:sz w:val="16"/>
                <w:szCs w:val="16"/>
              </w:rPr>
            </w:pPr>
            <w:r w:rsidRPr="007D7C65">
              <w:rPr>
                <w:color w:val="000000"/>
                <w:sz w:val="16"/>
                <w:szCs w:val="16"/>
              </w:rPr>
              <w:t>17.79</w:t>
            </w:r>
          </w:p>
        </w:tc>
        <w:tc>
          <w:tcPr>
            <w:tcW w:w="1122" w:type="dxa"/>
            <w:tcBorders>
              <w:top w:val="nil"/>
              <w:left w:val="nil"/>
              <w:bottom w:val="nil"/>
              <w:right w:val="nil"/>
            </w:tcBorders>
            <w:shd w:val="clear" w:color="auto" w:fill="auto"/>
            <w:noWrap/>
            <w:vAlign w:val="center"/>
            <w:hideMark/>
          </w:tcPr>
          <w:p w:rsidR="00A47720" w:rsidRPr="007D7C65" w:rsidP="00043DED" w14:paraId="7777B711" w14:textId="77777777">
            <w:pPr>
              <w:keepNext/>
              <w:keepLines/>
              <w:jc w:val="center"/>
              <w:rPr>
                <w:color w:val="000000"/>
                <w:sz w:val="16"/>
                <w:szCs w:val="16"/>
              </w:rPr>
            </w:pPr>
            <w:r w:rsidRPr="007D7C65">
              <w:rPr>
                <w:color w:val="000000"/>
                <w:sz w:val="16"/>
                <w:szCs w:val="16"/>
              </w:rPr>
              <w:t>2.50</w:t>
            </w:r>
          </w:p>
        </w:tc>
        <w:tc>
          <w:tcPr>
            <w:tcW w:w="1122" w:type="dxa"/>
            <w:tcBorders>
              <w:top w:val="nil"/>
              <w:left w:val="nil"/>
              <w:bottom w:val="nil"/>
              <w:right w:val="nil"/>
            </w:tcBorders>
            <w:shd w:val="clear" w:color="auto" w:fill="auto"/>
            <w:noWrap/>
            <w:vAlign w:val="center"/>
            <w:hideMark/>
          </w:tcPr>
          <w:p w:rsidR="00A47720" w:rsidRPr="007D7C65" w:rsidP="00043DED" w14:paraId="46B71159" w14:textId="77777777">
            <w:pPr>
              <w:keepNext/>
              <w:keepLines/>
              <w:jc w:val="center"/>
              <w:rPr>
                <w:color w:val="000000"/>
                <w:sz w:val="16"/>
                <w:szCs w:val="16"/>
              </w:rPr>
            </w:pPr>
            <w:r w:rsidRPr="007D7C65">
              <w:rPr>
                <w:color w:val="000000"/>
                <w:sz w:val="16"/>
                <w:szCs w:val="16"/>
              </w:rPr>
              <w:t>250.00</w:t>
            </w:r>
          </w:p>
        </w:tc>
      </w:tr>
      <w:tr w14:paraId="2D0535BF" w14:textId="77777777" w:rsidTr="00890D29">
        <w:tblPrEx>
          <w:tblW w:w="9360" w:type="dxa"/>
          <w:jc w:val="center"/>
          <w:tblLook w:val="04A0"/>
        </w:tblPrEx>
        <w:trPr>
          <w:trHeight w:val="515"/>
          <w:jc w:val="center"/>
        </w:trPr>
        <w:tc>
          <w:tcPr>
            <w:tcW w:w="1976" w:type="dxa"/>
            <w:tcBorders>
              <w:top w:val="nil"/>
              <w:left w:val="nil"/>
              <w:bottom w:val="nil"/>
              <w:right w:val="nil"/>
            </w:tcBorders>
            <w:shd w:val="clear" w:color="auto" w:fill="auto"/>
            <w:vAlign w:val="center"/>
            <w:hideMark/>
          </w:tcPr>
          <w:p w:rsidR="00A47720" w:rsidRPr="007D7C65" w:rsidP="00043DED" w14:paraId="306550A9" w14:textId="77777777">
            <w:pPr>
              <w:keepNext/>
              <w:keepLines/>
              <w:rPr>
                <w:color w:val="000000"/>
                <w:sz w:val="16"/>
                <w:szCs w:val="16"/>
              </w:rPr>
            </w:pPr>
            <w:r w:rsidRPr="007D7C65">
              <w:rPr>
                <w:color w:val="000000"/>
                <w:sz w:val="16"/>
                <w:szCs w:val="16"/>
              </w:rPr>
              <w:t>Terrain Roughness (Meters)</w:t>
            </w:r>
          </w:p>
        </w:tc>
        <w:tc>
          <w:tcPr>
            <w:tcW w:w="1554" w:type="dxa"/>
            <w:tcBorders>
              <w:top w:val="nil"/>
              <w:left w:val="nil"/>
              <w:bottom w:val="nil"/>
              <w:right w:val="nil"/>
            </w:tcBorders>
            <w:shd w:val="clear" w:color="auto" w:fill="auto"/>
            <w:noWrap/>
            <w:vAlign w:val="center"/>
            <w:hideMark/>
          </w:tcPr>
          <w:p w:rsidR="00A47720" w:rsidRPr="007D7C65" w:rsidP="00043DED" w14:paraId="39D439F0" w14:textId="77777777">
            <w:pPr>
              <w:keepNext/>
              <w:keepLines/>
              <w:jc w:val="center"/>
              <w:rPr>
                <w:color w:val="000000"/>
                <w:sz w:val="16"/>
                <w:szCs w:val="16"/>
              </w:rPr>
            </w:pPr>
            <w:r w:rsidRPr="007D7C65">
              <w:rPr>
                <w:color w:val="000000"/>
                <w:sz w:val="16"/>
                <w:szCs w:val="16"/>
              </w:rPr>
              <w:t>28,519</w:t>
            </w:r>
          </w:p>
        </w:tc>
        <w:tc>
          <w:tcPr>
            <w:tcW w:w="1122" w:type="dxa"/>
            <w:tcBorders>
              <w:top w:val="nil"/>
              <w:left w:val="nil"/>
              <w:bottom w:val="nil"/>
              <w:right w:val="nil"/>
            </w:tcBorders>
            <w:shd w:val="clear" w:color="auto" w:fill="auto"/>
            <w:noWrap/>
            <w:vAlign w:val="center"/>
            <w:hideMark/>
          </w:tcPr>
          <w:p w:rsidR="00A47720" w:rsidRPr="007D7C65" w:rsidP="00043DED" w14:paraId="1DBF7E29" w14:textId="77777777">
            <w:pPr>
              <w:keepNext/>
              <w:keepLines/>
              <w:jc w:val="center"/>
              <w:rPr>
                <w:color w:val="000000"/>
                <w:sz w:val="16"/>
                <w:szCs w:val="16"/>
              </w:rPr>
            </w:pPr>
            <w:r w:rsidRPr="007D7C65">
              <w:rPr>
                <w:color w:val="000000"/>
                <w:sz w:val="16"/>
                <w:szCs w:val="16"/>
              </w:rPr>
              <w:t>26.38</w:t>
            </w:r>
          </w:p>
        </w:tc>
        <w:tc>
          <w:tcPr>
            <w:tcW w:w="1122" w:type="dxa"/>
            <w:tcBorders>
              <w:top w:val="nil"/>
              <w:left w:val="nil"/>
              <w:bottom w:val="nil"/>
              <w:right w:val="nil"/>
            </w:tcBorders>
            <w:shd w:val="clear" w:color="auto" w:fill="auto"/>
            <w:noWrap/>
            <w:vAlign w:val="center"/>
            <w:hideMark/>
          </w:tcPr>
          <w:p w:rsidR="00A47720" w:rsidRPr="007D7C65" w:rsidP="00043DED" w14:paraId="5657B9CB" w14:textId="77777777">
            <w:pPr>
              <w:keepNext/>
              <w:keepLines/>
              <w:jc w:val="center"/>
              <w:rPr>
                <w:color w:val="000000"/>
                <w:sz w:val="16"/>
                <w:szCs w:val="16"/>
              </w:rPr>
            </w:pPr>
            <w:r w:rsidRPr="007D7C65">
              <w:rPr>
                <w:color w:val="000000"/>
                <w:sz w:val="16"/>
                <w:szCs w:val="16"/>
              </w:rPr>
              <w:t>34.78</w:t>
            </w:r>
          </w:p>
        </w:tc>
        <w:tc>
          <w:tcPr>
            <w:tcW w:w="1122" w:type="dxa"/>
            <w:tcBorders>
              <w:top w:val="nil"/>
              <w:left w:val="nil"/>
              <w:bottom w:val="nil"/>
              <w:right w:val="nil"/>
            </w:tcBorders>
            <w:shd w:val="clear" w:color="auto" w:fill="auto"/>
            <w:noWrap/>
            <w:vAlign w:val="center"/>
            <w:hideMark/>
          </w:tcPr>
          <w:p w:rsidR="00A47720" w:rsidRPr="007D7C65" w:rsidP="00043DED" w14:paraId="7E7F84D9" w14:textId="77777777">
            <w:pPr>
              <w:keepNext/>
              <w:keepLines/>
              <w:jc w:val="center"/>
              <w:rPr>
                <w:color w:val="000000"/>
                <w:sz w:val="16"/>
                <w:szCs w:val="16"/>
              </w:rPr>
            </w:pPr>
            <w:r w:rsidRPr="007D7C65">
              <w:rPr>
                <w:color w:val="000000"/>
                <w:sz w:val="16"/>
                <w:szCs w:val="16"/>
              </w:rPr>
              <w:t>0.14</w:t>
            </w:r>
          </w:p>
        </w:tc>
        <w:tc>
          <w:tcPr>
            <w:tcW w:w="1122" w:type="dxa"/>
            <w:tcBorders>
              <w:top w:val="nil"/>
              <w:left w:val="nil"/>
              <w:bottom w:val="nil"/>
              <w:right w:val="nil"/>
            </w:tcBorders>
            <w:shd w:val="clear" w:color="auto" w:fill="auto"/>
            <w:noWrap/>
            <w:vAlign w:val="center"/>
            <w:hideMark/>
          </w:tcPr>
          <w:p w:rsidR="00A47720" w:rsidRPr="007D7C65" w:rsidP="00043DED" w14:paraId="7D186C71" w14:textId="77777777">
            <w:pPr>
              <w:keepNext/>
              <w:keepLines/>
              <w:jc w:val="center"/>
              <w:rPr>
                <w:color w:val="000000"/>
                <w:sz w:val="16"/>
                <w:szCs w:val="16"/>
              </w:rPr>
            </w:pPr>
            <w:r w:rsidRPr="007D7C65">
              <w:rPr>
                <w:color w:val="000000"/>
                <w:sz w:val="16"/>
                <w:szCs w:val="16"/>
              </w:rPr>
              <w:t>320.48</w:t>
            </w:r>
          </w:p>
        </w:tc>
      </w:tr>
      <w:tr w14:paraId="34DD1A21" w14:textId="77777777" w:rsidTr="00890D29">
        <w:tblPrEx>
          <w:tblW w:w="9360" w:type="dxa"/>
          <w:jc w:val="center"/>
          <w:tblLook w:val="04A0"/>
        </w:tblPrEx>
        <w:trPr>
          <w:trHeight w:val="515"/>
          <w:jc w:val="center"/>
        </w:trPr>
        <w:tc>
          <w:tcPr>
            <w:tcW w:w="1976" w:type="dxa"/>
            <w:tcBorders>
              <w:top w:val="nil"/>
              <w:left w:val="nil"/>
              <w:bottom w:val="nil"/>
              <w:right w:val="nil"/>
            </w:tcBorders>
            <w:shd w:val="clear" w:color="auto" w:fill="auto"/>
            <w:vAlign w:val="center"/>
            <w:hideMark/>
          </w:tcPr>
          <w:p w:rsidR="00A47720" w:rsidRPr="007D7C65" w:rsidP="00043DED" w14:paraId="3BEB9C41" w14:textId="77777777">
            <w:pPr>
              <w:keepNext/>
              <w:keepLines/>
              <w:rPr>
                <w:color w:val="000000"/>
                <w:sz w:val="16"/>
                <w:szCs w:val="16"/>
              </w:rPr>
            </w:pPr>
            <w:r w:rsidRPr="007D7C65">
              <w:rPr>
                <w:color w:val="000000"/>
                <w:sz w:val="16"/>
                <w:szCs w:val="16"/>
              </w:rPr>
              <w:t>Land Area (Square Miles)</w:t>
            </w:r>
          </w:p>
        </w:tc>
        <w:tc>
          <w:tcPr>
            <w:tcW w:w="1554" w:type="dxa"/>
            <w:tcBorders>
              <w:top w:val="nil"/>
              <w:left w:val="nil"/>
              <w:bottom w:val="nil"/>
              <w:right w:val="nil"/>
            </w:tcBorders>
            <w:shd w:val="clear" w:color="auto" w:fill="auto"/>
            <w:noWrap/>
            <w:vAlign w:val="center"/>
            <w:hideMark/>
          </w:tcPr>
          <w:p w:rsidR="00A47720" w:rsidRPr="007D7C65" w:rsidP="00043DED" w14:paraId="58D64879" w14:textId="77777777">
            <w:pPr>
              <w:keepNext/>
              <w:keepLines/>
              <w:jc w:val="center"/>
              <w:rPr>
                <w:color w:val="000000"/>
                <w:sz w:val="16"/>
                <w:szCs w:val="16"/>
              </w:rPr>
            </w:pPr>
            <w:r w:rsidRPr="007D7C65">
              <w:rPr>
                <w:color w:val="000000"/>
                <w:sz w:val="16"/>
                <w:szCs w:val="16"/>
              </w:rPr>
              <w:t>28,519</w:t>
            </w:r>
          </w:p>
        </w:tc>
        <w:tc>
          <w:tcPr>
            <w:tcW w:w="1122" w:type="dxa"/>
            <w:tcBorders>
              <w:top w:val="nil"/>
              <w:left w:val="nil"/>
              <w:bottom w:val="nil"/>
              <w:right w:val="nil"/>
            </w:tcBorders>
            <w:shd w:val="clear" w:color="auto" w:fill="auto"/>
            <w:noWrap/>
            <w:vAlign w:val="center"/>
            <w:hideMark/>
          </w:tcPr>
          <w:p w:rsidR="00A47720" w:rsidRPr="007D7C65" w:rsidP="00043DED" w14:paraId="2FA72226" w14:textId="77777777">
            <w:pPr>
              <w:keepNext/>
              <w:keepLines/>
              <w:jc w:val="center"/>
              <w:rPr>
                <w:color w:val="000000"/>
                <w:sz w:val="16"/>
                <w:szCs w:val="16"/>
              </w:rPr>
            </w:pPr>
            <w:r w:rsidRPr="007D7C65">
              <w:rPr>
                <w:color w:val="000000"/>
                <w:sz w:val="16"/>
                <w:szCs w:val="16"/>
              </w:rPr>
              <w:t>89.78</w:t>
            </w:r>
          </w:p>
        </w:tc>
        <w:tc>
          <w:tcPr>
            <w:tcW w:w="1122" w:type="dxa"/>
            <w:tcBorders>
              <w:top w:val="nil"/>
              <w:left w:val="nil"/>
              <w:bottom w:val="nil"/>
              <w:right w:val="nil"/>
            </w:tcBorders>
            <w:shd w:val="clear" w:color="auto" w:fill="auto"/>
            <w:noWrap/>
            <w:vAlign w:val="center"/>
            <w:hideMark/>
          </w:tcPr>
          <w:p w:rsidR="00A47720" w:rsidRPr="007D7C65" w:rsidP="00043DED" w14:paraId="39D5DDA1" w14:textId="77777777">
            <w:pPr>
              <w:keepNext/>
              <w:keepLines/>
              <w:jc w:val="center"/>
              <w:rPr>
                <w:color w:val="000000"/>
                <w:sz w:val="16"/>
                <w:szCs w:val="16"/>
              </w:rPr>
            </w:pPr>
            <w:r w:rsidRPr="007D7C65">
              <w:rPr>
                <w:color w:val="000000"/>
                <w:sz w:val="16"/>
                <w:szCs w:val="16"/>
              </w:rPr>
              <w:t>256.03</w:t>
            </w:r>
          </w:p>
        </w:tc>
        <w:tc>
          <w:tcPr>
            <w:tcW w:w="1122" w:type="dxa"/>
            <w:tcBorders>
              <w:top w:val="nil"/>
              <w:left w:val="nil"/>
              <w:bottom w:val="nil"/>
              <w:right w:val="nil"/>
            </w:tcBorders>
            <w:shd w:val="clear" w:color="auto" w:fill="auto"/>
            <w:noWrap/>
            <w:vAlign w:val="center"/>
            <w:hideMark/>
          </w:tcPr>
          <w:p w:rsidR="00A47720" w:rsidRPr="007D7C65" w:rsidP="00043DED" w14:paraId="5CA42A73" w14:textId="77777777">
            <w:pPr>
              <w:keepNext/>
              <w:keepLines/>
              <w:jc w:val="center"/>
              <w:rPr>
                <w:color w:val="000000"/>
                <w:sz w:val="16"/>
                <w:szCs w:val="16"/>
              </w:rPr>
            </w:pPr>
            <w:r w:rsidRPr="007D7C65">
              <w:rPr>
                <w:color w:val="000000"/>
                <w:sz w:val="16"/>
                <w:szCs w:val="16"/>
              </w:rPr>
              <w:t>0.29</w:t>
            </w:r>
          </w:p>
        </w:tc>
        <w:tc>
          <w:tcPr>
            <w:tcW w:w="1122" w:type="dxa"/>
            <w:tcBorders>
              <w:top w:val="nil"/>
              <w:left w:val="nil"/>
              <w:bottom w:val="nil"/>
              <w:right w:val="nil"/>
            </w:tcBorders>
            <w:shd w:val="clear" w:color="auto" w:fill="auto"/>
            <w:noWrap/>
            <w:vAlign w:val="center"/>
            <w:hideMark/>
          </w:tcPr>
          <w:p w:rsidR="00A47720" w:rsidRPr="007D7C65" w:rsidP="00043DED" w14:paraId="20FD6A20" w14:textId="77777777">
            <w:pPr>
              <w:keepNext/>
              <w:keepLines/>
              <w:jc w:val="center"/>
              <w:rPr>
                <w:color w:val="000000"/>
                <w:sz w:val="16"/>
                <w:szCs w:val="16"/>
              </w:rPr>
            </w:pPr>
            <w:r w:rsidRPr="007D7C65">
              <w:rPr>
                <w:color w:val="000000"/>
                <w:sz w:val="16"/>
                <w:szCs w:val="16"/>
              </w:rPr>
              <w:t>7503.21</w:t>
            </w:r>
          </w:p>
        </w:tc>
      </w:tr>
      <w:tr w14:paraId="7725309D" w14:textId="77777777" w:rsidTr="00890D29">
        <w:tblPrEx>
          <w:tblW w:w="9360" w:type="dxa"/>
          <w:jc w:val="center"/>
          <w:tblLook w:val="04A0"/>
        </w:tblPrEx>
        <w:trPr>
          <w:trHeight w:val="343"/>
          <w:jc w:val="center"/>
        </w:trPr>
        <w:tc>
          <w:tcPr>
            <w:tcW w:w="1976" w:type="dxa"/>
            <w:tcBorders>
              <w:top w:val="nil"/>
              <w:left w:val="nil"/>
              <w:bottom w:val="nil"/>
              <w:right w:val="nil"/>
            </w:tcBorders>
            <w:shd w:val="clear" w:color="auto" w:fill="auto"/>
            <w:vAlign w:val="center"/>
            <w:hideMark/>
          </w:tcPr>
          <w:p w:rsidR="00A47720" w:rsidRPr="007D7C65" w:rsidP="00043DED" w14:paraId="214028ED" w14:textId="77777777">
            <w:pPr>
              <w:keepNext/>
              <w:keepLines/>
              <w:rPr>
                <w:color w:val="000000"/>
                <w:sz w:val="16"/>
                <w:szCs w:val="16"/>
              </w:rPr>
            </w:pPr>
            <w:r w:rsidRPr="007D7C65">
              <w:rPr>
                <w:color w:val="000000"/>
                <w:sz w:val="16"/>
                <w:szCs w:val="16"/>
              </w:rPr>
              <w:t>Number of Entrants</w:t>
            </w:r>
          </w:p>
        </w:tc>
        <w:tc>
          <w:tcPr>
            <w:tcW w:w="1554" w:type="dxa"/>
            <w:tcBorders>
              <w:top w:val="nil"/>
              <w:left w:val="nil"/>
              <w:bottom w:val="nil"/>
              <w:right w:val="nil"/>
            </w:tcBorders>
            <w:shd w:val="clear" w:color="auto" w:fill="auto"/>
            <w:noWrap/>
            <w:vAlign w:val="bottom"/>
            <w:hideMark/>
          </w:tcPr>
          <w:p w:rsidR="00A47720" w:rsidRPr="007D7C65" w:rsidP="00043DED" w14:paraId="356EC3C5" w14:textId="77777777">
            <w:pPr>
              <w:keepNext/>
              <w:keepLines/>
              <w:jc w:val="center"/>
              <w:rPr>
                <w:color w:val="000000"/>
                <w:sz w:val="16"/>
                <w:szCs w:val="16"/>
              </w:rPr>
            </w:pPr>
          </w:p>
        </w:tc>
        <w:tc>
          <w:tcPr>
            <w:tcW w:w="1122" w:type="dxa"/>
            <w:tcBorders>
              <w:top w:val="nil"/>
              <w:left w:val="nil"/>
              <w:bottom w:val="nil"/>
              <w:right w:val="nil"/>
            </w:tcBorders>
            <w:shd w:val="clear" w:color="auto" w:fill="auto"/>
            <w:noWrap/>
            <w:vAlign w:val="bottom"/>
            <w:hideMark/>
          </w:tcPr>
          <w:p w:rsidR="00A47720" w:rsidRPr="007D7C65" w:rsidP="00043DED" w14:paraId="755934D4" w14:textId="77777777">
            <w:pPr>
              <w:keepNext/>
              <w:keepLines/>
              <w:jc w:val="center"/>
              <w:rPr>
                <w:sz w:val="20"/>
              </w:rPr>
            </w:pPr>
          </w:p>
        </w:tc>
        <w:tc>
          <w:tcPr>
            <w:tcW w:w="1122" w:type="dxa"/>
            <w:tcBorders>
              <w:top w:val="nil"/>
              <w:left w:val="nil"/>
              <w:bottom w:val="nil"/>
              <w:right w:val="nil"/>
            </w:tcBorders>
            <w:shd w:val="clear" w:color="auto" w:fill="auto"/>
            <w:noWrap/>
            <w:vAlign w:val="bottom"/>
            <w:hideMark/>
          </w:tcPr>
          <w:p w:rsidR="00A47720" w:rsidRPr="007D7C65" w:rsidP="00043DED" w14:paraId="7A4CA82A" w14:textId="77777777">
            <w:pPr>
              <w:keepNext/>
              <w:keepLines/>
              <w:jc w:val="center"/>
              <w:rPr>
                <w:sz w:val="20"/>
              </w:rPr>
            </w:pPr>
          </w:p>
        </w:tc>
        <w:tc>
          <w:tcPr>
            <w:tcW w:w="1122" w:type="dxa"/>
            <w:tcBorders>
              <w:top w:val="nil"/>
              <w:left w:val="nil"/>
              <w:bottom w:val="nil"/>
              <w:right w:val="nil"/>
            </w:tcBorders>
            <w:shd w:val="clear" w:color="auto" w:fill="auto"/>
            <w:noWrap/>
            <w:vAlign w:val="bottom"/>
            <w:hideMark/>
          </w:tcPr>
          <w:p w:rsidR="00A47720" w:rsidRPr="007D7C65" w:rsidP="00043DED" w14:paraId="69DC5CE6" w14:textId="77777777">
            <w:pPr>
              <w:keepNext/>
              <w:keepLines/>
              <w:jc w:val="center"/>
              <w:rPr>
                <w:sz w:val="20"/>
              </w:rPr>
            </w:pPr>
          </w:p>
        </w:tc>
        <w:tc>
          <w:tcPr>
            <w:tcW w:w="1122" w:type="dxa"/>
            <w:tcBorders>
              <w:top w:val="nil"/>
              <w:left w:val="nil"/>
              <w:bottom w:val="nil"/>
              <w:right w:val="nil"/>
            </w:tcBorders>
            <w:shd w:val="clear" w:color="auto" w:fill="auto"/>
            <w:noWrap/>
            <w:vAlign w:val="bottom"/>
            <w:hideMark/>
          </w:tcPr>
          <w:p w:rsidR="00A47720" w:rsidRPr="007D7C65" w:rsidP="00043DED" w14:paraId="45E4D752" w14:textId="77777777">
            <w:pPr>
              <w:keepNext/>
              <w:keepLines/>
              <w:jc w:val="center"/>
              <w:rPr>
                <w:sz w:val="20"/>
              </w:rPr>
            </w:pPr>
          </w:p>
        </w:tc>
      </w:tr>
      <w:tr w14:paraId="2BC4F1E7" w14:textId="77777777" w:rsidTr="00890D29">
        <w:tblPrEx>
          <w:tblW w:w="9360" w:type="dxa"/>
          <w:jc w:val="center"/>
          <w:tblLook w:val="04A0"/>
        </w:tblPrEx>
        <w:trPr>
          <w:trHeight w:val="343"/>
          <w:jc w:val="center"/>
        </w:trPr>
        <w:tc>
          <w:tcPr>
            <w:tcW w:w="1976" w:type="dxa"/>
            <w:tcBorders>
              <w:top w:val="nil"/>
              <w:left w:val="nil"/>
              <w:bottom w:val="nil"/>
              <w:right w:val="nil"/>
            </w:tcBorders>
            <w:shd w:val="clear" w:color="auto" w:fill="auto"/>
            <w:vAlign w:val="center"/>
            <w:hideMark/>
          </w:tcPr>
          <w:p w:rsidR="00A47720" w:rsidRPr="007D7C65" w:rsidP="00043DED" w14:paraId="68C6F058" w14:textId="77777777">
            <w:pPr>
              <w:keepNext/>
              <w:keepLines/>
              <w:jc w:val="right"/>
              <w:rPr>
                <w:color w:val="000000"/>
                <w:sz w:val="16"/>
                <w:szCs w:val="16"/>
              </w:rPr>
            </w:pPr>
            <w:r w:rsidRPr="007D7C65">
              <w:rPr>
                <w:color w:val="000000"/>
                <w:sz w:val="16"/>
                <w:szCs w:val="16"/>
              </w:rPr>
              <w:t>0</w:t>
            </w:r>
          </w:p>
        </w:tc>
        <w:tc>
          <w:tcPr>
            <w:tcW w:w="1554" w:type="dxa"/>
            <w:tcBorders>
              <w:top w:val="nil"/>
              <w:left w:val="nil"/>
              <w:bottom w:val="nil"/>
              <w:right w:val="nil"/>
            </w:tcBorders>
            <w:shd w:val="clear" w:color="auto" w:fill="auto"/>
            <w:noWrap/>
            <w:vAlign w:val="center"/>
            <w:hideMark/>
          </w:tcPr>
          <w:p w:rsidR="00A47720" w:rsidRPr="007D7C65" w:rsidP="00043DED" w14:paraId="32FF3CCE" w14:textId="77777777">
            <w:pPr>
              <w:keepNext/>
              <w:keepLines/>
              <w:jc w:val="center"/>
              <w:rPr>
                <w:color w:val="000000"/>
                <w:sz w:val="16"/>
                <w:szCs w:val="16"/>
              </w:rPr>
            </w:pPr>
            <w:r w:rsidRPr="007D7C65">
              <w:rPr>
                <w:color w:val="000000"/>
                <w:sz w:val="16"/>
                <w:szCs w:val="16"/>
              </w:rPr>
              <w:t>28,519</w:t>
            </w:r>
          </w:p>
        </w:tc>
        <w:tc>
          <w:tcPr>
            <w:tcW w:w="1122" w:type="dxa"/>
            <w:tcBorders>
              <w:top w:val="nil"/>
              <w:left w:val="nil"/>
              <w:bottom w:val="nil"/>
              <w:right w:val="nil"/>
            </w:tcBorders>
            <w:shd w:val="clear" w:color="auto" w:fill="auto"/>
            <w:noWrap/>
            <w:vAlign w:val="center"/>
            <w:hideMark/>
          </w:tcPr>
          <w:p w:rsidR="00A47720" w:rsidRPr="007D7C65" w:rsidP="00043DED" w14:paraId="04CC86B4" w14:textId="77777777">
            <w:pPr>
              <w:keepNext/>
              <w:keepLines/>
              <w:jc w:val="center"/>
              <w:rPr>
                <w:color w:val="000000"/>
                <w:sz w:val="16"/>
                <w:szCs w:val="16"/>
              </w:rPr>
            </w:pPr>
            <w:r w:rsidRPr="007F1650">
              <w:rPr>
                <w:color w:val="000000"/>
                <w:sz w:val="16"/>
                <w:szCs w:val="16"/>
              </w:rPr>
              <w:t>0.06</w:t>
            </w:r>
          </w:p>
        </w:tc>
        <w:tc>
          <w:tcPr>
            <w:tcW w:w="1122" w:type="dxa"/>
            <w:tcBorders>
              <w:top w:val="nil"/>
              <w:left w:val="nil"/>
              <w:bottom w:val="nil"/>
              <w:right w:val="nil"/>
            </w:tcBorders>
            <w:shd w:val="clear" w:color="auto" w:fill="auto"/>
            <w:noWrap/>
            <w:vAlign w:val="bottom"/>
            <w:hideMark/>
          </w:tcPr>
          <w:p w:rsidR="00A47720" w:rsidRPr="007D7C65" w:rsidP="00043DED" w14:paraId="35584F07" w14:textId="77777777">
            <w:pPr>
              <w:keepNext/>
              <w:keepLines/>
              <w:jc w:val="center"/>
              <w:rPr>
                <w:color w:val="000000"/>
                <w:sz w:val="16"/>
                <w:szCs w:val="16"/>
              </w:rPr>
            </w:pPr>
          </w:p>
        </w:tc>
        <w:tc>
          <w:tcPr>
            <w:tcW w:w="1122" w:type="dxa"/>
            <w:tcBorders>
              <w:top w:val="nil"/>
              <w:left w:val="nil"/>
              <w:bottom w:val="nil"/>
              <w:right w:val="nil"/>
            </w:tcBorders>
            <w:shd w:val="clear" w:color="auto" w:fill="auto"/>
            <w:noWrap/>
            <w:vAlign w:val="bottom"/>
            <w:hideMark/>
          </w:tcPr>
          <w:p w:rsidR="00A47720" w:rsidRPr="007D7C65" w:rsidP="00043DED" w14:paraId="17DC9CC2" w14:textId="77777777">
            <w:pPr>
              <w:keepNext/>
              <w:keepLines/>
              <w:jc w:val="center"/>
              <w:rPr>
                <w:sz w:val="20"/>
              </w:rPr>
            </w:pPr>
          </w:p>
        </w:tc>
        <w:tc>
          <w:tcPr>
            <w:tcW w:w="1122" w:type="dxa"/>
            <w:tcBorders>
              <w:top w:val="nil"/>
              <w:left w:val="nil"/>
              <w:bottom w:val="nil"/>
              <w:right w:val="nil"/>
            </w:tcBorders>
            <w:shd w:val="clear" w:color="auto" w:fill="auto"/>
            <w:noWrap/>
            <w:vAlign w:val="bottom"/>
            <w:hideMark/>
          </w:tcPr>
          <w:p w:rsidR="00A47720" w:rsidRPr="007D7C65" w:rsidP="00043DED" w14:paraId="05767075" w14:textId="77777777">
            <w:pPr>
              <w:keepNext/>
              <w:keepLines/>
              <w:jc w:val="center"/>
              <w:rPr>
                <w:sz w:val="20"/>
              </w:rPr>
            </w:pPr>
          </w:p>
        </w:tc>
      </w:tr>
      <w:tr w14:paraId="10405AED" w14:textId="77777777" w:rsidTr="00890D29">
        <w:tblPrEx>
          <w:tblW w:w="9360" w:type="dxa"/>
          <w:jc w:val="center"/>
          <w:tblLook w:val="04A0"/>
        </w:tblPrEx>
        <w:trPr>
          <w:trHeight w:val="343"/>
          <w:jc w:val="center"/>
        </w:trPr>
        <w:tc>
          <w:tcPr>
            <w:tcW w:w="1976" w:type="dxa"/>
            <w:tcBorders>
              <w:top w:val="nil"/>
              <w:left w:val="nil"/>
              <w:bottom w:val="nil"/>
              <w:right w:val="nil"/>
            </w:tcBorders>
            <w:shd w:val="clear" w:color="auto" w:fill="auto"/>
            <w:vAlign w:val="center"/>
            <w:hideMark/>
          </w:tcPr>
          <w:p w:rsidR="00A47720" w:rsidRPr="007D7C65" w:rsidP="00043DED" w14:paraId="3D80E3A4" w14:textId="77777777">
            <w:pPr>
              <w:keepNext/>
              <w:keepLines/>
              <w:jc w:val="right"/>
              <w:rPr>
                <w:color w:val="000000"/>
                <w:sz w:val="16"/>
                <w:szCs w:val="16"/>
              </w:rPr>
            </w:pPr>
            <w:r w:rsidRPr="007D7C65">
              <w:rPr>
                <w:color w:val="000000"/>
                <w:sz w:val="16"/>
                <w:szCs w:val="16"/>
              </w:rPr>
              <w:t>1</w:t>
            </w:r>
          </w:p>
        </w:tc>
        <w:tc>
          <w:tcPr>
            <w:tcW w:w="1554" w:type="dxa"/>
            <w:tcBorders>
              <w:top w:val="nil"/>
              <w:left w:val="nil"/>
              <w:bottom w:val="nil"/>
              <w:right w:val="nil"/>
            </w:tcBorders>
            <w:shd w:val="clear" w:color="auto" w:fill="auto"/>
            <w:noWrap/>
            <w:vAlign w:val="center"/>
            <w:hideMark/>
          </w:tcPr>
          <w:p w:rsidR="00A47720" w:rsidRPr="007D7C65" w:rsidP="00043DED" w14:paraId="14A9D150" w14:textId="77777777">
            <w:pPr>
              <w:keepNext/>
              <w:keepLines/>
              <w:jc w:val="center"/>
              <w:rPr>
                <w:color w:val="000000"/>
                <w:sz w:val="16"/>
                <w:szCs w:val="16"/>
              </w:rPr>
            </w:pPr>
            <w:r w:rsidRPr="007D7C65">
              <w:rPr>
                <w:color w:val="000000"/>
                <w:sz w:val="16"/>
                <w:szCs w:val="16"/>
              </w:rPr>
              <w:t>28,519</w:t>
            </w:r>
          </w:p>
        </w:tc>
        <w:tc>
          <w:tcPr>
            <w:tcW w:w="1122" w:type="dxa"/>
            <w:tcBorders>
              <w:top w:val="nil"/>
              <w:left w:val="nil"/>
              <w:bottom w:val="nil"/>
              <w:right w:val="nil"/>
            </w:tcBorders>
            <w:shd w:val="clear" w:color="auto" w:fill="auto"/>
            <w:noWrap/>
            <w:vAlign w:val="center"/>
            <w:hideMark/>
          </w:tcPr>
          <w:p w:rsidR="00A47720" w:rsidRPr="007D7C65" w:rsidP="00043DED" w14:paraId="51CFAF85" w14:textId="77777777">
            <w:pPr>
              <w:keepNext/>
              <w:keepLines/>
              <w:jc w:val="center"/>
              <w:rPr>
                <w:color w:val="000000"/>
                <w:sz w:val="16"/>
                <w:szCs w:val="16"/>
              </w:rPr>
            </w:pPr>
            <w:r w:rsidRPr="007F1650">
              <w:rPr>
                <w:color w:val="000000"/>
                <w:sz w:val="16"/>
                <w:szCs w:val="16"/>
              </w:rPr>
              <w:t>0.10</w:t>
            </w:r>
          </w:p>
        </w:tc>
        <w:tc>
          <w:tcPr>
            <w:tcW w:w="1122" w:type="dxa"/>
            <w:tcBorders>
              <w:top w:val="nil"/>
              <w:left w:val="nil"/>
              <w:bottom w:val="nil"/>
              <w:right w:val="nil"/>
            </w:tcBorders>
            <w:shd w:val="clear" w:color="auto" w:fill="auto"/>
            <w:noWrap/>
            <w:vAlign w:val="bottom"/>
            <w:hideMark/>
          </w:tcPr>
          <w:p w:rsidR="00A47720" w:rsidRPr="007D7C65" w:rsidP="00043DED" w14:paraId="278D69C5" w14:textId="77777777">
            <w:pPr>
              <w:keepNext/>
              <w:keepLines/>
              <w:jc w:val="center"/>
              <w:rPr>
                <w:color w:val="000000"/>
                <w:sz w:val="16"/>
                <w:szCs w:val="16"/>
              </w:rPr>
            </w:pPr>
          </w:p>
        </w:tc>
        <w:tc>
          <w:tcPr>
            <w:tcW w:w="1122" w:type="dxa"/>
            <w:tcBorders>
              <w:top w:val="nil"/>
              <w:left w:val="nil"/>
              <w:bottom w:val="nil"/>
              <w:right w:val="nil"/>
            </w:tcBorders>
            <w:shd w:val="clear" w:color="auto" w:fill="auto"/>
            <w:noWrap/>
            <w:vAlign w:val="bottom"/>
            <w:hideMark/>
          </w:tcPr>
          <w:p w:rsidR="00A47720" w:rsidRPr="007D7C65" w:rsidP="00043DED" w14:paraId="771F65FB" w14:textId="77777777">
            <w:pPr>
              <w:keepNext/>
              <w:keepLines/>
              <w:jc w:val="center"/>
              <w:rPr>
                <w:sz w:val="20"/>
              </w:rPr>
            </w:pPr>
          </w:p>
        </w:tc>
        <w:tc>
          <w:tcPr>
            <w:tcW w:w="1122" w:type="dxa"/>
            <w:tcBorders>
              <w:top w:val="nil"/>
              <w:left w:val="nil"/>
              <w:bottom w:val="nil"/>
              <w:right w:val="nil"/>
            </w:tcBorders>
            <w:shd w:val="clear" w:color="auto" w:fill="auto"/>
            <w:noWrap/>
            <w:vAlign w:val="bottom"/>
            <w:hideMark/>
          </w:tcPr>
          <w:p w:rsidR="00A47720" w:rsidRPr="007D7C65" w:rsidP="00043DED" w14:paraId="0A984FF7" w14:textId="77777777">
            <w:pPr>
              <w:keepNext/>
              <w:keepLines/>
              <w:jc w:val="center"/>
              <w:rPr>
                <w:sz w:val="20"/>
              </w:rPr>
            </w:pPr>
          </w:p>
        </w:tc>
      </w:tr>
      <w:tr w14:paraId="57017270" w14:textId="77777777" w:rsidTr="00890D29">
        <w:tblPrEx>
          <w:tblW w:w="9360" w:type="dxa"/>
          <w:jc w:val="center"/>
          <w:tblLook w:val="04A0"/>
        </w:tblPrEx>
        <w:trPr>
          <w:trHeight w:val="343"/>
          <w:jc w:val="center"/>
        </w:trPr>
        <w:tc>
          <w:tcPr>
            <w:tcW w:w="1976" w:type="dxa"/>
            <w:tcBorders>
              <w:top w:val="nil"/>
              <w:left w:val="nil"/>
              <w:bottom w:val="nil"/>
              <w:right w:val="nil"/>
            </w:tcBorders>
            <w:shd w:val="clear" w:color="auto" w:fill="auto"/>
            <w:vAlign w:val="center"/>
            <w:hideMark/>
          </w:tcPr>
          <w:p w:rsidR="00A47720" w:rsidRPr="007D7C65" w:rsidP="00043DED" w14:paraId="0FECDF50" w14:textId="77777777">
            <w:pPr>
              <w:keepNext/>
              <w:keepLines/>
              <w:jc w:val="right"/>
              <w:rPr>
                <w:color w:val="000000"/>
                <w:sz w:val="16"/>
                <w:szCs w:val="16"/>
              </w:rPr>
            </w:pPr>
            <w:r w:rsidRPr="007D7C65">
              <w:rPr>
                <w:color w:val="000000"/>
                <w:sz w:val="16"/>
                <w:szCs w:val="16"/>
              </w:rPr>
              <w:t>2</w:t>
            </w:r>
          </w:p>
        </w:tc>
        <w:tc>
          <w:tcPr>
            <w:tcW w:w="1554" w:type="dxa"/>
            <w:tcBorders>
              <w:top w:val="nil"/>
              <w:left w:val="nil"/>
              <w:bottom w:val="nil"/>
              <w:right w:val="nil"/>
            </w:tcBorders>
            <w:shd w:val="clear" w:color="auto" w:fill="auto"/>
            <w:noWrap/>
            <w:vAlign w:val="center"/>
            <w:hideMark/>
          </w:tcPr>
          <w:p w:rsidR="00A47720" w:rsidRPr="007D7C65" w:rsidP="00043DED" w14:paraId="0D3FAFCC" w14:textId="77777777">
            <w:pPr>
              <w:keepNext/>
              <w:keepLines/>
              <w:jc w:val="center"/>
              <w:rPr>
                <w:color w:val="000000"/>
                <w:sz w:val="16"/>
                <w:szCs w:val="16"/>
              </w:rPr>
            </w:pPr>
            <w:r w:rsidRPr="007D7C65">
              <w:rPr>
                <w:color w:val="000000"/>
                <w:sz w:val="16"/>
                <w:szCs w:val="16"/>
              </w:rPr>
              <w:t>28,519</w:t>
            </w:r>
          </w:p>
        </w:tc>
        <w:tc>
          <w:tcPr>
            <w:tcW w:w="1122" w:type="dxa"/>
            <w:tcBorders>
              <w:top w:val="nil"/>
              <w:left w:val="nil"/>
              <w:bottom w:val="nil"/>
              <w:right w:val="nil"/>
            </w:tcBorders>
            <w:shd w:val="clear" w:color="auto" w:fill="auto"/>
            <w:noWrap/>
            <w:vAlign w:val="center"/>
            <w:hideMark/>
          </w:tcPr>
          <w:p w:rsidR="00A47720" w:rsidRPr="007D7C65" w:rsidP="00043DED" w14:paraId="5F47CD45" w14:textId="77777777">
            <w:pPr>
              <w:keepNext/>
              <w:keepLines/>
              <w:jc w:val="center"/>
              <w:rPr>
                <w:color w:val="000000"/>
                <w:sz w:val="16"/>
                <w:szCs w:val="16"/>
              </w:rPr>
            </w:pPr>
            <w:r w:rsidRPr="007F1650">
              <w:rPr>
                <w:color w:val="000000"/>
                <w:sz w:val="16"/>
                <w:szCs w:val="16"/>
              </w:rPr>
              <w:t>0.20</w:t>
            </w:r>
          </w:p>
        </w:tc>
        <w:tc>
          <w:tcPr>
            <w:tcW w:w="1122" w:type="dxa"/>
            <w:tcBorders>
              <w:top w:val="nil"/>
              <w:left w:val="nil"/>
              <w:bottom w:val="nil"/>
              <w:right w:val="nil"/>
            </w:tcBorders>
            <w:shd w:val="clear" w:color="auto" w:fill="auto"/>
            <w:noWrap/>
            <w:vAlign w:val="bottom"/>
            <w:hideMark/>
          </w:tcPr>
          <w:p w:rsidR="00A47720" w:rsidRPr="007D7C65" w:rsidP="00043DED" w14:paraId="609AB7B1" w14:textId="77777777">
            <w:pPr>
              <w:keepNext/>
              <w:keepLines/>
              <w:jc w:val="center"/>
              <w:rPr>
                <w:color w:val="000000"/>
                <w:sz w:val="16"/>
                <w:szCs w:val="16"/>
              </w:rPr>
            </w:pPr>
          </w:p>
        </w:tc>
        <w:tc>
          <w:tcPr>
            <w:tcW w:w="1122" w:type="dxa"/>
            <w:tcBorders>
              <w:top w:val="nil"/>
              <w:left w:val="nil"/>
              <w:bottom w:val="nil"/>
              <w:right w:val="nil"/>
            </w:tcBorders>
            <w:shd w:val="clear" w:color="auto" w:fill="auto"/>
            <w:noWrap/>
            <w:vAlign w:val="bottom"/>
            <w:hideMark/>
          </w:tcPr>
          <w:p w:rsidR="00A47720" w:rsidRPr="007D7C65" w:rsidP="00043DED" w14:paraId="2A85E329" w14:textId="77777777">
            <w:pPr>
              <w:keepNext/>
              <w:keepLines/>
              <w:jc w:val="center"/>
              <w:rPr>
                <w:sz w:val="20"/>
              </w:rPr>
            </w:pPr>
          </w:p>
        </w:tc>
        <w:tc>
          <w:tcPr>
            <w:tcW w:w="1122" w:type="dxa"/>
            <w:tcBorders>
              <w:top w:val="nil"/>
              <w:left w:val="nil"/>
              <w:bottom w:val="nil"/>
              <w:right w:val="nil"/>
            </w:tcBorders>
            <w:shd w:val="clear" w:color="auto" w:fill="auto"/>
            <w:noWrap/>
            <w:vAlign w:val="bottom"/>
            <w:hideMark/>
          </w:tcPr>
          <w:p w:rsidR="00A47720" w:rsidRPr="007D7C65" w:rsidP="00043DED" w14:paraId="6D6857E9" w14:textId="77777777">
            <w:pPr>
              <w:keepNext/>
              <w:keepLines/>
              <w:jc w:val="center"/>
              <w:rPr>
                <w:sz w:val="20"/>
              </w:rPr>
            </w:pPr>
          </w:p>
        </w:tc>
      </w:tr>
      <w:tr w14:paraId="3F43DADC" w14:textId="77777777" w:rsidTr="00890D29">
        <w:tblPrEx>
          <w:tblW w:w="9360" w:type="dxa"/>
          <w:jc w:val="center"/>
          <w:tblLook w:val="04A0"/>
        </w:tblPrEx>
        <w:trPr>
          <w:trHeight w:val="343"/>
          <w:jc w:val="center"/>
        </w:trPr>
        <w:tc>
          <w:tcPr>
            <w:tcW w:w="1976" w:type="dxa"/>
            <w:tcBorders>
              <w:top w:val="nil"/>
              <w:left w:val="nil"/>
              <w:bottom w:val="nil"/>
              <w:right w:val="nil"/>
            </w:tcBorders>
            <w:shd w:val="clear" w:color="auto" w:fill="auto"/>
            <w:vAlign w:val="center"/>
            <w:hideMark/>
          </w:tcPr>
          <w:p w:rsidR="00A47720" w:rsidRPr="007D7C65" w:rsidP="00043DED" w14:paraId="6D9028FF" w14:textId="77777777">
            <w:pPr>
              <w:keepNext/>
              <w:keepLines/>
              <w:jc w:val="right"/>
              <w:rPr>
                <w:color w:val="000000"/>
                <w:sz w:val="16"/>
                <w:szCs w:val="16"/>
              </w:rPr>
            </w:pPr>
            <w:r w:rsidRPr="007D7C65">
              <w:rPr>
                <w:color w:val="000000"/>
                <w:sz w:val="16"/>
                <w:szCs w:val="16"/>
              </w:rPr>
              <w:t>3</w:t>
            </w:r>
          </w:p>
        </w:tc>
        <w:tc>
          <w:tcPr>
            <w:tcW w:w="1554" w:type="dxa"/>
            <w:tcBorders>
              <w:top w:val="nil"/>
              <w:left w:val="nil"/>
              <w:bottom w:val="nil"/>
              <w:right w:val="nil"/>
            </w:tcBorders>
            <w:shd w:val="clear" w:color="auto" w:fill="auto"/>
            <w:noWrap/>
            <w:vAlign w:val="center"/>
            <w:hideMark/>
          </w:tcPr>
          <w:p w:rsidR="00A47720" w:rsidRPr="007D7C65" w:rsidP="00043DED" w14:paraId="4E81B792" w14:textId="77777777">
            <w:pPr>
              <w:keepNext/>
              <w:keepLines/>
              <w:jc w:val="center"/>
              <w:rPr>
                <w:color w:val="000000"/>
                <w:sz w:val="16"/>
                <w:szCs w:val="16"/>
              </w:rPr>
            </w:pPr>
            <w:r w:rsidRPr="007D7C65">
              <w:rPr>
                <w:color w:val="000000"/>
                <w:sz w:val="16"/>
                <w:szCs w:val="16"/>
              </w:rPr>
              <w:t>28,519</w:t>
            </w:r>
          </w:p>
        </w:tc>
        <w:tc>
          <w:tcPr>
            <w:tcW w:w="1122" w:type="dxa"/>
            <w:tcBorders>
              <w:top w:val="nil"/>
              <w:left w:val="nil"/>
              <w:bottom w:val="nil"/>
              <w:right w:val="nil"/>
            </w:tcBorders>
            <w:shd w:val="clear" w:color="auto" w:fill="auto"/>
            <w:noWrap/>
            <w:vAlign w:val="center"/>
            <w:hideMark/>
          </w:tcPr>
          <w:p w:rsidR="00A47720" w:rsidRPr="007D7C65" w:rsidP="00043DED" w14:paraId="616C3C78" w14:textId="77777777">
            <w:pPr>
              <w:keepNext/>
              <w:keepLines/>
              <w:jc w:val="center"/>
              <w:rPr>
                <w:color w:val="000000"/>
                <w:sz w:val="16"/>
                <w:szCs w:val="16"/>
              </w:rPr>
            </w:pPr>
            <w:r w:rsidRPr="007F1650">
              <w:rPr>
                <w:color w:val="000000"/>
                <w:sz w:val="16"/>
                <w:szCs w:val="16"/>
              </w:rPr>
              <w:t>0.33</w:t>
            </w:r>
          </w:p>
        </w:tc>
        <w:tc>
          <w:tcPr>
            <w:tcW w:w="1122" w:type="dxa"/>
            <w:tcBorders>
              <w:top w:val="nil"/>
              <w:left w:val="nil"/>
              <w:bottom w:val="nil"/>
              <w:right w:val="nil"/>
            </w:tcBorders>
            <w:shd w:val="clear" w:color="auto" w:fill="auto"/>
            <w:noWrap/>
            <w:vAlign w:val="bottom"/>
            <w:hideMark/>
          </w:tcPr>
          <w:p w:rsidR="00A47720" w:rsidRPr="007D7C65" w:rsidP="00043DED" w14:paraId="1058BF08" w14:textId="77777777">
            <w:pPr>
              <w:keepNext/>
              <w:keepLines/>
              <w:jc w:val="center"/>
              <w:rPr>
                <w:color w:val="000000"/>
                <w:sz w:val="16"/>
                <w:szCs w:val="16"/>
              </w:rPr>
            </w:pPr>
          </w:p>
        </w:tc>
        <w:tc>
          <w:tcPr>
            <w:tcW w:w="1122" w:type="dxa"/>
            <w:tcBorders>
              <w:top w:val="nil"/>
              <w:left w:val="nil"/>
              <w:bottom w:val="nil"/>
              <w:right w:val="nil"/>
            </w:tcBorders>
            <w:shd w:val="clear" w:color="auto" w:fill="auto"/>
            <w:noWrap/>
            <w:vAlign w:val="bottom"/>
            <w:hideMark/>
          </w:tcPr>
          <w:p w:rsidR="00A47720" w:rsidRPr="007D7C65" w:rsidP="00043DED" w14:paraId="37A55DEA" w14:textId="77777777">
            <w:pPr>
              <w:keepNext/>
              <w:keepLines/>
              <w:jc w:val="center"/>
              <w:rPr>
                <w:sz w:val="20"/>
              </w:rPr>
            </w:pPr>
          </w:p>
        </w:tc>
        <w:tc>
          <w:tcPr>
            <w:tcW w:w="1122" w:type="dxa"/>
            <w:tcBorders>
              <w:top w:val="nil"/>
              <w:left w:val="nil"/>
              <w:bottom w:val="nil"/>
              <w:right w:val="nil"/>
            </w:tcBorders>
            <w:shd w:val="clear" w:color="auto" w:fill="auto"/>
            <w:noWrap/>
            <w:vAlign w:val="bottom"/>
            <w:hideMark/>
          </w:tcPr>
          <w:p w:rsidR="00A47720" w:rsidRPr="007D7C65" w:rsidP="00043DED" w14:paraId="5E10A2D6" w14:textId="77777777">
            <w:pPr>
              <w:keepNext/>
              <w:keepLines/>
              <w:jc w:val="center"/>
              <w:rPr>
                <w:sz w:val="20"/>
              </w:rPr>
            </w:pPr>
          </w:p>
        </w:tc>
      </w:tr>
      <w:tr w14:paraId="64CEAC16" w14:textId="77777777" w:rsidTr="00890D29">
        <w:tblPrEx>
          <w:tblW w:w="9360" w:type="dxa"/>
          <w:jc w:val="center"/>
          <w:tblLook w:val="04A0"/>
        </w:tblPrEx>
        <w:trPr>
          <w:trHeight w:val="343"/>
          <w:jc w:val="center"/>
        </w:trPr>
        <w:tc>
          <w:tcPr>
            <w:tcW w:w="1976" w:type="dxa"/>
            <w:tcBorders>
              <w:top w:val="nil"/>
              <w:left w:val="nil"/>
              <w:bottom w:val="nil"/>
              <w:right w:val="nil"/>
            </w:tcBorders>
            <w:shd w:val="clear" w:color="auto" w:fill="auto"/>
            <w:vAlign w:val="center"/>
            <w:hideMark/>
          </w:tcPr>
          <w:p w:rsidR="00A47720" w:rsidRPr="007D7C65" w:rsidP="00043DED" w14:paraId="29301213" w14:textId="77777777">
            <w:pPr>
              <w:keepNext/>
              <w:keepLines/>
              <w:jc w:val="right"/>
              <w:rPr>
                <w:color w:val="000000"/>
                <w:sz w:val="16"/>
                <w:szCs w:val="16"/>
              </w:rPr>
            </w:pPr>
            <w:r w:rsidRPr="007D7C65">
              <w:rPr>
                <w:color w:val="000000"/>
                <w:sz w:val="16"/>
                <w:szCs w:val="16"/>
              </w:rPr>
              <w:t>4</w:t>
            </w:r>
          </w:p>
        </w:tc>
        <w:tc>
          <w:tcPr>
            <w:tcW w:w="1554" w:type="dxa"/>
            <w:tcBorders>
              <w:top w:val="nil"/>
              <w:left w:val="nil"/>
              <w:bottom w:val="nil"/>
              <w:right w:val="nil"/>
            </w:tcBorders>
            <w:shd w:val="clear" w:color="auto" w:fill="auto"/>
            <w:noWrap/>
            <w:vAlign w:val="center"/>
            <w:hideMark/>
          </w:tcPr>
          <w:p w:rsidR="00A47720" w:rsidRPr="007D7C65" w:rsidP="00043DED" w14:paraId="343228D0" w14:textId="77777777">
            <w:pPr>
              <w:keepNext/>
              <w:keepLines/>
              <w:jc w:val="center"/>
              <w:rPr>
                <w:color w:val="000000"/>
                <w:sz w:val="16"/>
                <w:szCs w:val="16"/>
              </w:rPr>
            </w:pPr>
            <w:r w:rsidRPr="007D7C65">
              <w:rPr>
                <w:color w:val="000000"/>
                <w:sz w:val="16"/>
                <w:szCs w:val="16"/>
              </w:rPr>
              <w:t>28,519</w:t>
            </w:r>
          </w:p>
        </w:tc>
        <w:tc>
          <w:tcPr>
            <w:tcW w:w="1122" w:type="dxa"/>
            <w:tcBorders>
              <w:top w:val="nil"/>
              <w:left w:val="nil"/>
              <w:bottom w:val="nil"/>
              <w:right w:val="nil"/>
            </w:tcBorders>
            <w:shd w:val="clear" w:color="auto" w:fill="auto"/>
            <w:noWrap/>
            <w:vAlign w:val="center"/>
            <w:hideMark/>
          </w:tcPr>
          <w:p w:rsidR="00A47720" w:rsidRPr="007D7C65" w:rsidP="00043DED" w14:paraId="0354791A" w14:textId="77777777">
            <w:pPr>
              <w:keepNext/>
              <w:keepLines/>
              <w:jc w:val="center"/>
              <w:rPr>
                <w:color w:val="000000"/>
                <w:sz w:val="16"/>
                <w:szCs w:val="16"/>
              </w:rPr>
            </w:pPr>
            <w:r w:rsidRPr="007F1650">
              <w:rPr>
                <w:color w:val="000000"/>
                <w:sz w:val="16"/>
                <w:szCs w:val="16"/>
              </w:rPr>
              <w:t>0.31</w:t>
            </w:r>
          </w:p>
        </w:tc>
        <w:tc>
          <w:tcPr>
            <w:tcW w:w="1122" w:type="dxa"/>
            <w:tcBorders>
              <w:top w:val="nil"/>
              <w:left w:val="nil"/>
              <w:bottom w:val="nil"/>
              <w:right w:val="nil"/>
            </w:tcBorders>
            <w:shd w:val="clear" w:color="auto" w:fill="auto"/>
            <w:noWrap/>
            <w:vAlign w:val="bottom"/>
            <w:hideMark/>
          </w:tcPr>
          <w:p w:rsidR="00A47720" w:rsidRPr="007D7C65" w:rsidP="00043DED" w14:paraId="5AB67D23" w14:textId="77777777">
            <w:pPr>
              <w:keepNext/>
              <w:keepLines/>
              <w:jc w:val="center"/>
              <w:rPr>
                <w:color w:val="000000"/>
                <w:sz w:val="16"/>
                <w:szCs w:val="16"/>
              </w:rPr>
            </w:pPr>
          </w:p>
        </w:tc>
        <w:tc>
          <w:tcPr>
            <w:tcW w:w="1122" w:type="dxa"/>
            <w:tcBorders>
              <w:top w:val="nil"/>
              <w:left w:val="nil"/>
              <w:bottom w:val="nil"/>
              <w:right w:val="nil"/>
            </w:tcBorders>
            <w:shd w:val="clear" w:color="auto" w:fill="auto"/>
            <w:noWrap/>
            <w:vAlign w:val="bottom"/>
            <w:hideMark/>
          </w:tcPr>
          <w:p w:rsidR="00A47720" w:rsidRPr="007D7C65" w:rsidP="00043DED" w14:paraId="25EB8561" w14:textId="77777777">
            <w:pPr>
              <w:keepNext/>
              <w:keepLines/>
              <w:jc w:val="center"/>
              <w:rPr>
                <w:sz w:val="20"/>
              </w:rPr>
            </w:pPr>
          </w:p>
        </w:tc>
        <w:tc>
          <w:tcPr>
            <w:tcW w:w="1122" w:type="dxa"/>
            <w:tcBorders>
              <w:top w:val="nil"/>
              <w:left w:val="nil"/>
              <w:bottom w:val="nil"/>
              <w:right w:val="nil"/>
            </w:tcBorders>
            <w:shd w:val="clear" w:color="auto" w:fill="auto"/>
            <w:noWrap/>
            <w:vAlign w:val="bottom"/>
            <w:hideMark/>
          </w:tcPr>
          <w:p w:rsidR="00A47720" w:rsidRPr="007D7C65" w:rsidP="00043DED" w14:paraId="5768A6AA" w14:textId="77777777">
            <w:pPr>
              <w:keepNext/>
              <w:keepLines/>
              <w:jc w:val="center"/>
              <w:rPr>
                <w:sz w:val="20"/>
              </w:rPr>
            </w:pPr>
          </w:p>
        </w:tc>
      </w:tr>
      <w:tr w14:paraId="3CD43731" w14:textId="77777777" w:rsidTr="00890D29">
        <w:tblPrEx>
          <w:tblW w:w="9360" w:type="dxa"/>
          <w:jc w:val="center"/>
          <w:tblLook w:val="04A0"/>
        </w:tblPrEx>
        <w:trPr>
          <w:trHeight w:val="515"/>
          <w:jc w:val="center"/>
        </w:trPr>
        <w:tc>
          <w:tcPr>
            <w:tcW w:w="1976" w:type="dxa"/>
            <w:tcBorders>
              <w:top w:val="nil"/>
              <w:left w:val="nil"/>
              <w:bottom w:val="nil"/>
              <w:right w:val="nil"/>
            </w:tcBorders>
            <w:shd w:val="clear" w:color="auto" w:fill="auto"/>
            <w:vAlign w:val="center"/>
            <w:hideMark/>
          </w:tcPr>
          <w:p w:rsidR="00A47720" w:rsidRPr="007D7C65" w:rsidP="00043DED" w14:paraId="67ACAA25" w14:textId="77777777">
            <w:pPr>
              <w:keepNext/>
              <w:keepLines/>
              <w:rPr>
                <w:color w:val="000000"/>
                <w:sz w:val="16"/>
                <w:szCs w:val="16"/>
              </w:rPr>
            </w:pPr>
            <w:r w:rsidRPr="007D7C65">
              <w:rPr>
                <w:color w:val="000000"/>
                <w:sz w:val="16"/>
                <w:szCs w:val="16"/>
              </w:rPr>
              <w:t>National Carriers Receiving USF Funding</w:t>
            </w:r>
          </w:p>
        </w:tc>
        <w:tc>
          <w:tcPr>
            <w:tcW w:w="1554" w:type="dxa"/>
            <w:tcBorders>
              <w:top w:val="nil"/>
              <w:left w:val="nil"/>
              <w:bottom w:val="nil"/>
              <w:right w:val="nil"/>
            </w:tcBorders>
            <w:shd w:val="clear" w:color="auto" w:fill="auto"/>
            <w:noWrap/>
            <w:vAlign w:val="bottom"/>
            <w:hideMark/>
          </w:tcPr>
          <w:p w:rsidR="00A47720" w:rsidRPr="007D7C65" w:rsidP="00043DED" w14:paraId="66084BB2" w14:textId="77777777">
            <w:pPr>
              <w:keepNext/>
              <w:keepLines/>
              <w:jc w:val="center"/>
              <w:rPr>
                <w:color w:val="000000"/>
                <w:sz w:val="16"/>
                <w:szCs w:val="16"/>
              </w:rPr>
            </w:pPr>
          </w:p>
        </w:tc>
        <w:tc>
          <w:tcPr>
            <w:tcW w:w="1122" w:type="dxa"/>
            <w:tcBorders>
              <w:top w:val="nil"/>
              <w:left w:val="nil"/>
              <w:bottom w:val="nil"/>
              <w:right w:val="nil"/>
            </w:tcBorders>
            <w:shd w:val="clear" w:color="auto" w:fill="auto"/>
            <w:noWrap/>
            <w:vAlign w:val="bottom"/>
            <w:hideMark/>
          </w:tcPr>
          <w:p w:rsidR="00A47720" w:rsidRPr="00975937" w:rsidP="00043DED" w14:paraId="674CC7F9" w14:textId="77777777">
            <w:pPr>
              <w:keepNext/>
              <w:keepLines/>
              <w:jc w:val="center"/>
              <w:rPr>
                <w:color w:val="000000"/>
                <w:sz w:val="16"/>
              </w:rPr>
            </w:pPr>
          </w:p>
        </w:tc>
        <w:tc>
          <w:tcPr>
            <w:tcW w:w="1122" w:type="dxa"/>
            <w:tcBorders>
              <w:top w:val="nil"/>
              <w:left w:val="nil"/>
              <w:bottom w:val="nil"/>
              <w:right w:val="nil"/>
            </w:tcBorders>
            <w:shd w:val="clear" w:color="auto" w:fill="auto"/>
            <w:noWrap/>
            <w:vAlign w:val="bottom"/>
            <w:hideMark/>
          </w:tcPr>
          <w:p w:rsidR="00A47720" w:rsidRPr="007D7C65" w:rsidP="00043DED" w14:paraId="07A09345" w14:textId="77777777">
            <w:pPr>
              <w:keepNext/>
              <w:keepLines/>
              <w:jc w:val="center"/>
              <w:rPr>
                <w:sz w:val="20"/>
              </w:rPr>
            </w:pPr>
          </w:p>
        </w:tc>
        <w:tc>
          <w:tcPr>
            <w:tcW w:w="1122" w:type="dxa"/>
            <w:tcBorders>
              <w:top w:val="nil"/>
              <w:left w:val="nil"/>
              <w:bottom w:val="nil"/>
              <w:right w:val="nil"/>
            </w:tcBorders>
            <w:shd w:val="clear" w:color="auto" w:fill="auto"/>
            <w:noWrap/>
            <w:vAlign w:val="bottom"/>
            <w:hideMark/>
          </w:tcPr>
          <w:p w:rsidR="00A47720" w:rsidRPr="007D7C65" w:rsidP="00043DED" w14:paraId="363E828D" w14:textId="77777777">
            <w:pPr>
              <w:keepNext/>
              <w:keepLines/>
              <w:jc w:val="center"/>
              <w:rPr>
                <w:sz w:val="20"/>
              </w:rPr>
            </w:pPr>
          </w:p>
        </w:tc>
        <w:tc>
          <w:tcPr>
            <w:tcW w:w="1122" w:type="dxa"/>
            <w:tcBorders>
              <w:top w:val="nil"/>
              <w:left w:val="nil"/>
              <w:bottom w:val="nil"/>
              <w:right w:val="nil"/>
            </w:tcBorders>
            <w:shd w:val="clear" w:color="auto" w:fill="auto"/>
            <w:noWrap/>
            <w:vAlign w:val="bottom"/>
            <w:hideMark/>
          </w:tcPr>
          <w:p w:rsidR="00A47720" w:rsidRPr="007D7C65" w:rsidP="00043DED" w14:paraId="172335D0" w14:textId="77777777">
            <w:pPr>
              <w:keepNext/>
              <w:keepLines/>
              <w:jc w:val="center"/>
              <w:rPr>
                <w:sz w:val="20"/>
              </w:rPr>
            </w:pPr>
          </w:p>
        </w:tc>
      </w:tr>
      <w:tr w14:paraId="06259D78" w14:textId="77777777" w:rsidTr="00890D29">
        <w:tblPrEx>
          <w:tblW w:w="9360" w:type="dxa"/>
          <w:jc w:val="center"/>
          <w:tblLook w:val="04A0"/>
        </w:tblPrEx>
        <w:trPr>
          <w:trHeight w:val="343"/>
          <w:jc w:val="center"/>
        </w:trPr>
        <w:tc>
          <w:tcPr>
            <w:tcW w:w="1976" w:type="dxa"/>
            <w:tcBorders>
              <w:top w:val="nil"/>
              <w:left w:val="nil"/>
              <w:bottom w:val="nil"/>
              <w:right w:val="nil"/>
            </w:tcBorders>
            <w:shd w:val="clear" w:color="auto" w:fill="auto"/>
            <w:vAlign w:val="center"/>
            <w:hideMark/>
          </w:tcPr>
          <w:p w:rsidR="00A47720" w:rsidRPr="007D7C65" w:rsidP="00043DED" w14:paraId="34562958" w14:textId="77777777">
            <w:pPr>
              <w:keepNext/>
              <w:keepLines/>
              <w:jc w:val="right"/>
              <w:rPr>
                <w:color w:val="000000"/>
                <w:sz w:val="16"/>
                <w:szCs w:val="16"/>
              </w:rPr>
            </w:pPr>
            <w:r w:rsidRPr="007D7C65">
              <w:rPr>
                <w:color w:val="000000"/>
                <w:sz w:val="16"/>
                <w:szCs w:val="16"/>
              </w:rPr>
              <w:t>0</w:t>
            </w:r>
          </w:p>
        </w:tc>
        <w:tc>
          <w:tcPr>
            <w:tcW w:w="1554" w:type="dxa"/>
            <w:tcBorders>
              <w:top w:val="nil"/>
              <w:left w:val="nil"/>
              <w:bottom w:val="nil"/>
              <w:right w:val="nil"/>
            </w:tcBorders>
            <w:shd w:val="clear" w:color="auto" w:fill="auto"/>
            <w:noWrap/>
            <w:vAlign w:val="center"/>
            <w:hideMark/>
          </w:tcPr>
          <w:p w:rsidR="00A47720" w:rsidRPr="007D7C65" w:rsidP="00043DED" w14:paraId="687CE6F0" w14:textId="77777777">
            <w:pPr>
              <w:keepNext/>
              <w:keepLines/>
              <w:jc w:val="center"/>
              <w:rPr>
                <w:color w:val="000000"/>
                <w:sz w:val="16"/>
                <w:szCs w:val="16"/>
              </w:rPr>
            </w:pPr>
            <w:r w:rsidRPr="007D7C65">
              <w:rPr>
                <w:color w:val="000000"/>
                <w:sz w:val="16"/>
                <w:szCs w:val="16"/>
              </w:rPr>
              <w:t>28,519</w:t>
            </w:r>
          </w:p>
        </w:tc>
        <w:tc>
          <w:tcPr>
            <w:tcW w:w="1122" w:type="dxa"/>
            <w:tcBorders>
              <w:top w:val="nil"/>
              <w:left w:val="nil"/>
              <w:bottom w:val="nil"/>
              <w:right w:val="nil"/>
            </w:tcBorders>
            <w:shd w:val="clear" w:color="auto" w:fill="auto"/>
            <w:noWrap/>
            <w:vAlign w:val="center"/>
            <w:hideMark/>
          </w:tcPr>
          <w:p w:rsidR="00A47720" w:rsidRPr="007D7C65" w:rsidP="00043DED" w14:paraId="1AB47A74" w14:textId="77777777">
            <w:pPr>
              <w:keepNext/>
              <w:keepLines/>
              <w:jc w:val="center"/>
              <w:rPr>
                <w:color w:val="000000"/>
                <w:sz w:val="16"/>
                <w:szCs w:val="16"/>
              </w:rPr>
            </w:pPr>
            <w:r w:rsidRPr="007D7C65">
              <w:rPr>
                <w:color w:val="000000"/>
                <w:sz w:val="16"/>
                <w:szCs w:val="16"/>
              </w:rPr>
              <w:t>0.66</w:t>
            </w:r>
          </w:p>
        </w:tc>
        <w:tc>
          <w:tcPr>
            <w:tcW w:w="1122" w:type="dxa"/>
            <w:tcBorders>
              <w:top w:val="nil"/>
              <w:left w:val="nil"/>
              <w:bottom w:val="nil"/>
              <w:right w:val="nil"/>
            </w:tcBorders>
            <w:shd w:val="clear" w:color="auto" w:fill="auto"/>
            <w:noWrap/>
            <w:vAlign w:val="bottom"/>
            <w:hideMark/>
          </w:tcPr>
          <w:p w:rsidR="00A47720" w:rsidRPr="007D7C65" w:rsidP="00043DED" w14:paraId="18CA71E2" w14:textId="77777777">
            <w:pPr>
              <w:keepNext/>
              <w:keepLines/>
              <w:jc w:val="center"/>
              <w:rPr>
                <w:color w:val="000000"/>
                <w:sz w:val="16"/>
                <w:szCs w:val="16"/>
              </w:rPr>
            </w:pPr>
          </w:p>
        </w:tc>
        <w:tc>
          <w:tcPr>
            <w:tcW w:w="1122" w:type="dxa"/>
            <w:tcBorders>
              <w:top w:val="nil"/>
              <w:left w:val="nil"/>
              <w:bottom w:val="nil"/>
              <w:right w:val="nil"/>
            </w:tcBorders>
            <w:shd w:val="clear" w:color="auto" w:fill="auto"/>
            <w:noWrap/>
            <w:vAlign w:val="bottom"/>
            <w:hideMark/>
          </w:tcPr>
          <w:p w:rsidR="00A47720" w:rsidRPr="007D7C65" w:rsidP="00043DED" w14:paraId="297FB85B" w14:textId="77777777">
            <w:pPr>
              <w:keepNext/>
              <w:keepLines/>
              <w:jc w:val="center"/>
              <w:rPr>
                <w:sz w:val="20"/>
              </w:rPr>
            </w:pPr>
          </w:p>
        </w:tc>
        <w:tc>
          <w:tcPr>
            <w:tcW w:w="1122" w:type="dxa"/>
            <w:tcBorders>
              <w:top w:val="nil"/>
              <w:left w:val="nil"/>
              <w:bottom w:val="nil"/>
              <w:right w:val="nil"/>
            </w:tcBorders>
            <w:shd w:val="clear" w:color="auto" w:fill="auto"/>
            <w:noWrap/>
            <w:vAlign w:val="bottom"/>
            <w:hideMark/>
          </w:tcPr>
          <w:p w:rsidR="00A47720" w:rsidRPr="007D7C65" w:rsidP="00043DED" w14:paraId="23D038F4" w14:textId="77777777">
            <w:pPr>
              <w:keepNext/>
              <w:keepLines/>
              <w:jc w:val="center"/>
              <w:rPr>
                <w:sz w:val="20"/>
              </w:rPr>
            </w:pPr>
          </w:p>
        </w:tc>
      </w:tr>
      <w:tr w14:paraId="20EE3DDB" w14:textId="77777777" w:rsidTr="00890D29">
        <w:tblPrEx>
          <w:tblW w:w="9360" w:type="dxa"/>
          <w:jc w:val="center"/>
          <w:tblLook w:val="04A0"/>
        </w:tblPrEx>
        <w:trPr>
          <w:trHeight w:val="343"/>
          <w:jc w:val="center"/>
        </w:trPr>
        <w:tc>
          <w:tcPr>
            <w:tcW w:w="1976" w:type="dxa"/>
            <w:tcBorders>
              <w:top w:val="nil"/>
              <w:left w:val="nil"/>
              <w:bottom w:val="nil"/>
              <w:right w:val="nil"/>
            </w:tcBorders>
            <w:shd w:val="clear" w:color="auto" w:fill="auto"/>
            <w:vAlign w:val="center"/>
            <w:hideMark/>
          </w:tcPr>
          <w:p w:rsidR="00A47720" w:rsidRPr="007D7C65" w:rsidP="00043DED" w14:paraId="6C16BA3D" w14:textId="77777777">
            <w:pPr>
              <w:keepNext/>
              <w:keepLines/>
              <w:jc w:val="right"/>
              <w:rPr>
                <w:color w:val="000000"/>
                <w:sz w:val="16"/>
                <w:szCs w:val="16"/>
              </w:rPr>
            </w:pPr>
            <w:r w:rsidRPr="007D7C65">
              <w:rPr>
                <w:color w:val="000000"/>
                <w:sz w:val="16"/>
                <w:szCs w:val="16"/>
              </w:rPr>
              <w:t>1</w:t>
            </w:r>
          </w:p>
        </w:tc>
        <w:tc>
          <w:tcPr>
            <w:tcW w:w="1554" w:type="dxa"/>
            <w:tcBorders>
              <w:top w:val="nil"/>
              <w:left w:val="nil"/>
              <w:bottom w:val="nil"/>
              <w:right w:val="nil"/>
            </w:tcBorders>
            <w:shd w:val="clear" w:color="auto" w:fill="auto"/>
            <w:noWrap/>
            <w:vAlign w:val="center"/>
            <w:hideMark/>
          </w:tcPr>
          <w:p w:rsidR="00A47720" w:rsidRPr="007D7C65" w:rsidP="00043DED" w14:paraId="3EF3B876" w14:textId="77777777">
            <w:pPr>
              <w:keepNext/>
              <w:keepLines/>
              <w:jc w:val="center"/>
              <w:rPr>
                <w:color w:val="000000"/>
                <w:sz w:val="16"/>
                <w:szCs w:val="16"/>
              </w:rPr>
            </w:pPr>
            <w:r w:rsidRPr="007D7C65">
              <w:rPr>
                <w:color w:val="000000"/>
                <w:sz w:val="16"/>
                <w:szCs w:val="16"/>
              </w:rPr>
              <w:t>28,519</w:t>
            </w:r>
          </w:p>
        </w:tc>
        <w:tc>
          <w:tcPr>
            <w:tcW w:w="1122" w:type="dxa"/>
            <w:tcBorders>
              <w:top w:val="nil"/>
              <w:left w:val="nil"/>
              <w:bottom w:val="nil"/>
              <w:right w:val="nil"/>
            </w:tcBorders>
            <w:shd w:val="clear" w:color="auto" w:fill="auto"/>
            <w:noWrap/>
            <w:vAlign w:val="center"/>
            <w:hideMark/>
          </w:tcPr>
          <w:p w:rsidR="00A47720" w:rsidRPr="007D7C65" w:rsidP="00043DED" w14:paraId="26F85BEA" w14:textId="77777777">
            <w:pPr>
              <w:keepNext/>
              <w:keepLines/>
              <w:jc w:val="center"/>
              <w:rPr>
                <w:color w:val="000000"/>
                <w:sz w:val="16"/>
                <w:szCs w:val="16"/>
              </w:rPr>
            </w:pPr>
            <w:r w:rsidRPr="007D7C65">
              <w:rPr>
                <w:color w:val="000000"/>
                <w:sz w:val="16"/>
                <w:szCs w:val="16"/>
              </w:rPr>
              <w:t>0.31</w:t>
            </w:r>
          </w:p>
        </w:tc>
        <w:tc>
          <w:tcPr>
            <w:tcW w:w="1122" w:type="dxa"/>
            <w:tcBorders>
              <w:top w:val="nil"/>
              <w:left w:val="nil"/>
              <w:bottom w:val="nil"/>
              <w:right w:val="nil"/>
            </w:tcBorders>
            <w:shd w:val="clear" w:color="auto" w:fill="auto"/>
            <w:noWrap/>
            <w:vAlign w:val="bottom"/>
            <w:hideMark/>
          </w:tcPr>
          <w:p w:rsidR="00A47720" w:rsidRPr="007D7C65" w:rsidP="00043DED" w14:paraId="20EAD9B4" w14:textId="77777777">
            <w:pPr>
              <w:keepNext/>
              <w:keepLines/>
              <w:jc w:val="center"/>
              <w:rPr>
                <w:color w:val="000000"/>
                <w:sz w:val="16"/>
                <w:szCs w:val="16"/>
              </w:rPr>
            </w:pPr>
          </w:p>
        </w:tc>
        <w:tc>
          <w:tcPr>
            <w:tcW w:w="1122" w:type="dxa"/>
            <w:tcBorders>
              <w:top w:val="nil"/>
              <w:left w:val="nil"/>
              <w:bottom w:val="nil"/>
              <w:right w:val="nil"/>
            </w:tcBorders>
            <w:shd w:val="clear" w:color="auto" w:fill="auto"/>
            <w:noWrap/>
            <w:vAlign w:val="bottom"/>
            <w:hideMark/>
          </w:tcPr>
          <w:p w:rsidR="00A47720" w:rsidRPr="007D7C65" w:rsidP="00043DED" w14:paraId="6CAEA2FB" w14:textId="77777777">
            <w:pPr>
              <w:keepNext/>
              <w:keepLines/>
              <w:jc w:val="center"/>
              <w:rPr>
                <w:sz w:val="20"/>
              </w:rPr>
            </w:pPr>
          </w:p>
        </w:tc>
        <w:tc>
          <w:tcPr>
            <w:tcW w:w="1122" w:type="dxa"/>
            <w:tcBorders>
              <w:top w:val="nil"/>
              <w:left w:val="nil"/>
              <w:bottom w:val="nil"/>
              <w:right w:val="nil"/>
            </w:tcBorders>
            <w:shd w:val="clear" w:color="auto" w:fill="auto"/>
            <w:noWrap/>
            <w:vAlign w:val="bottom"/>
            <w:hideMark/>
          </w:tcPr>
          <w:p w:rsidR="00A47720" w:rsidRPr="007D7C65" w:rsidP="00043DED" w14:paraId="02AF7A2A" w14:textId="77777777">
            <w:pPr>
              <w:keepNext/>
              <w:keepLines/>
              <w:jc w:val="center"/>
              <w:rPr>
                <w:sz w:val="20"/>
              </w:rPr>
            </w:pPr>
          </w:p>
        </w:tc>
      </w:tr>
      <w:tr w14:paraId="04E724B1" w14:textId="77777777" w:rsidTr="00890D29">
        <w:tblPrEx>
          <w:tblW w:w="9360" w:type="dxa"/>
          <w:jc w:val="center"/>
          <w:tblLook w:val="04A0"/>
        </w:tblPrEx>
        <w:trPr>
          <w:trHeight w:val="343"/>
          <w:jc w:val="center"/>
        </w:trPr>
        <w:tc>
          <w:tcPr>
            <w:tcW w:w="1976" w:type="dxa"/>
            <w:tcBorders>
              <w:top w:val="nil"/>
              <w:left w:val="nil"/>
              <w:bottom w:val="nil"/>
              <w:right w:val="nil"/>
            </w:tcBorders>
            <w:shd w:val="clear" w:color="auto" w:fill="auto"/>
            <w:vAlign w:val="center"/>
            <w:hideMark/>
          </w:tcPr>
          <w:p w:rsidR="00A47720" w:rsidRPr="007D7C65" w:rsidP="00043DED" w14:paraId="6EC7AE8F" w14:textId="77777777">
            <w:pPr>
              <w:keepNext/>
              <w:keepLines/>
              <w:jc w:val="right"/>
              <w:rPr>
                <w:color w:val="000000"/>
                <w:sz w:val="16"/>
                <w:szCs w:val="16"/>
              </w:rPr>
            </w:pPr>
            <w:r w:rsidRPr="007D7C65">
              <w:rPr>
                <w:color w:val="000000"/>
                <w:sz w:val="16"/>
                <w:szCs w:val="16"/>
              </w:rPr>
              <w:t>2</w:t>
            </w:r>
          </w:p>
        </w:tc>
        <w:tc>
          <w:tcPr>
            <w:tcW w:w="1554" w:type="dxa"/>
            <w:tcBorders>
              <w:top w:val="nil"/>
              <w:left w:val="nil"/>
              <w:bottom w:val="nil"/>
              <w:right w:val="nil"/>
            </w:tcBorders>
            <w:shd w:val="clear" w:color="auto" w:fill="auto"/>
            <w:noWrap/>
            <w:vAlign w:val="center"/>
            <w:hideMark/>
          </w:tcPr>
          <w:p w:rsidR="00A47720" w:rsidRPr="007D7C65" w:rsidP="00043DED" w14:paraId="7D809709" w14:textId="77777777">
            <w:pPr>
              <w:keepNext/>
              <w:keepLines/>
              <w:jc w:val="center"/>
              <w:rPr>
                <w:color w:val="000000"/>
                <w:sz w:val="16"/>
                <w:szCs w:val="16"/>
              </w:rPr>
            </w:pPr>
            <w:r w:rsidRPr="007D7C65">
              <w:rPr>
                <w:color w:val="000000"/>
                <w:sz w:val="16"/>
                <w:szCs w:val="16"/>
              </w:rPr>
              <w:t>28,519</w:t>
            </w:r>
          </w:p>
        </w:tc>
        <w:tc>
          <w:tcPr>
            <w:tcW w:w="1122" w:type="dxa"/>
            <w:tcBorders>
              <w:top w:val="nil"/>
              <w:left w:val="nil"/>
              <w:bottom w:val="nil"/>
              <w:right w:val="nil"/>
            </w:tcBorders>
            <w:shd w:val="clear" w:color="auto" w:fill="auto"/>
            <w:noWrap/>
            <w:vAlign w:val="center"/>
            <w:hideMark/>
          </w:tcPr>
          <w:p w:rsidR="00A47720" w:rsidRPr="007D7C65" w:rsidP="00043DED" w14:paraId="492F3479" w14:textId="77777777">
            <w:pPr>
              <w:keepNext/>
              <w:keepLines/>
              <w:jc w:val="center"/>
              <w:rPr>
                <w:color w:val="000000"/>
                <w:sz w:val="16"/>
                <w:szCs w:val="16"/>
              </w:rPr>
            </w:pPr>
            <w:r w:rsidRPr="007D7C65">
              <w:rPr>
                <w:color w:val="000000"/>
                <w:sz w:val="16"/>
                <w:szCs w:val="16"/>
              </w:rPr>
              <w:t>0.03</w:t>
            </w:r>
          </w:p>
        </w:tc>
        <w:tc>
          <w:tcPr>
            <w:tcW w:w="1122" w:type="dxa"/>
            <w:tcBorders>
              <w:top w:val="nil"/>
              <w:left w:val="nil"/>
              <w:bottom w:val="nil"/>
              <w:right w:val="nil"/>
            </w:tcBorders>
            <w:shd w:val="clear" w:color="auto" w:fill="auto"/>
            <w:noWrap/>
            <w:vAlign w:val="bottom"/>
            <w:hideMark/>
          </w:tcPr>
          <w:p w:rsidR="00A47720" w:rsidRPr="007D7C65" w:rsidP="00043DED" w14:paraId="32FCD7B4" w14:textId="77777777">
            <w:pPr>
              <w:keepNext/>
              <w:keepLines/>
              <w:jc w:val="center"/>
              <w:rPr>
                <w:color w:val="000000"/>
                <w:sz w:val="16"/>
                <w:szCs w:val="16"/>
              </w:rPr>
            </w:pPr>
          </w:p>
        </w:tc>
        <w:tc>
          <w:tcPr>
            <w:tcW w:w="1122" w:type="dxa"/>
            <w:tcBorders>
              <w:top w:val="nil"/>
              <w:left w:val="nil"/>
              <w:bottom w:val="nil"/>
              <w:right w:val="nil"/>
            </w:tcBorders>
            <w:shd w:val="clear" w:color="auto" w:fill="auto"/>
            <w:noWrap/>
            <w:vAlign w:val="bottom"/>
            <w:hideMark/>
          </w:tcPr>
          <w:p w:rsidR="00A47720" w:rsidRPr="007D7C65" w:rsidP="00043DED" w14:paraId="28EBF4C0" w14:textId="77777777">
            <w:pPr>
              <w:keepNext/>
              <w:keepLines/>
              <w:jc w:val="center"/>
              <w:rPr>
                <w:sz w:val="20"/>
              </w:rPr>
            </w:pPr>
          </w:p>
        </w:tc>
        <w:tc>
          <w:tcPr>
            <w:tcW w:w="1122" w:type="dxa"/>
            <w:tcBorders>
              <w:top w:val="nil"/>
              <w:left w:val="nil"/>
              <w:bottom w:val="nil"/>
              <w:right w:val="nil"/>
            </w:tcBorders>
            <w:shd w:val="clear" w:color="auto" w:fill="auto"/>
            <w:noWrap/>
            <w:vAlign w:val="bottom"/>
            <w:hideMark/>
          </w:tcPr>
          <w:p w:rsidR="00A47720" w:rsidRPr="007D7C65" w:rsidP="00043DED" w14:paraId="7F1933DA" w14:textId="77777777">
            <w:pPr>
              <w:keepNext/>
              <w:keepLines/>
              <w:jc w:val="center"/>
              <w:rPr>
                <w:sz w:val="20"/>
              </w:rPr>
            </w:pPr>
          </w:p>
        </w:tc>
      </w:tr>
      <w:tr w14:paraId="7A430CB6" w14:textId="77777777" w:rsidTr="00890D29">
        <w:tblPrEx>
          <w:tblW w:w="9360" w:type="dxa"/>
          <w:jc w:val="center"/>
          <w:tblLook w:val="04A0"/>
        </w:tblPrEx>
        <w:trPr>
          <w:trHeight w:val="773"/>
          <w:jc w:val="center"/>
        </w:trPr>
        <w:tc>
          <w:tcPr>
            <w:tcW w:w="1976" w:type="dxa"/>
            <w:tcBorders>
              <w:top w:val="nil"/>
              <w:left w:val="nil"/>
              <w:bottom w:val="nil"/>
              <w:right w:val="nil"/>
            </w:tcBorders>
            <w:shd w:val="clear" w:color="auto" w:fill="auto"/>
            <w:vAlign w:val="center"/>
            <w:hideMark/>
          </w:tcPr>
          <w:p w:rsidR="00A47720" w:rsidRPr="007D7C65" w:rsidP="00043DED" w14:paraId="32773C65" w14:textId="77777777">
            <w:pPr>
              <w:keepNext/>
              <w:keepLines/>
              <w:rPr>
                <w:color w:val="000000"/>
                <w:sz w:val="16"/>
                <w:szCs w:val="16"/>
              </w:rPr>
            </w:pPr>
            <w:r w:rsidRPr="007D7C65">
              <w:rPr>
                <w:color w:val="000000"/>
                <w:sz w:val="16"/>
                <w:szCs w:val="16"/>
              </w:rPr>
              <w:t>Regional Carrier Receiving USF Funding in Block Group</w:t>
            </w:r>
          </w:p>
        </w:tc>
        <w:tc>
          <w:tcPr>
            <w:tcW w:w="1554" w:type="dxa"/>
            <w:tcBorders>
              <w:top w:val="nil"/>
              <w:left w:val="nil"/>
              <w:bottom w:val="nil"/>
              <w:right w:val="nil"/>
            </w:tcBorders>
            <w:shd w:val="clear" w:color="auto" w:fill="auto"/>
            <w:noWrap/>
            <w:vAlign w:val="bottom"/>
            <w:hideMark/>
          </w:tcPr>
          <w:p w:rsidR="00A47720" w:rsidRPr="007D7C65" w:rsidP="00043DED" w14:paraId="2354BAF8" w14:textId="77777777">
            <w:pPr>
              <w:keepNext/>
              <w:keepLines/>
              <w:jc w:val="center"/>
              <w:rPr>
                <w:color w:val="000000"/>
                <w:sz w:val="16"/>
                <w:szCs w:val="16"/>
              </w:rPr>
            </w:pPr>
          </w:p>
        </w:tc>
        <w:tc>
          <w:tcPr>
            <w:tcW w:w="1122" w:type="dxa"/>
            <w:tcBorders>
              <w:top w:val="nil"/>
              <w:left w:val="nil"/>
              <w:bottom w:val="nil"/>
              <w:right w:val="nil"/>
            </w:tcBorders>
            <w:shd w:val="clear" w:color="auto" w:fill="auto"/>
            <w:noWrap/>
            <w:vAlign w:val="bottom"/>
            <w:hideMark/>
          </w:tcPr>
          <w:p w:rsidR="00A47720" w:rsidRPr="007D7C65" w:rsidP="00043DED" w14:paraId="0495927D" w14:textId="77777777">
            <w:pPr>
              <w:keepNext/>
              <w:keepLines/>
              <w:jc w:val="center"/>
              <w:rPr>
                <w:sz w:val="20"/>
              </w:rPr>
            </w:pPr>
          </w:p>
        </w:tc>
        <w:tc>
          <w:tcPr>
            <w:tcW w:w="1122" w:type="dxa"/>
            <w:tcBorders>
              <w:top w:val="nil"/>
              <w:left w:val="nil"/>
              <w:bottom w:val="nil"/>
              <w:right w:val="nil"/>
            </w:tcBorders>
            <w:shd w:val="clear" w:color="auto" w:fill="auto"/>
            <w:noWrap/>
            <w:vAlign w:val="bottom"/>
            <w:hideMark/>
          </w:tcPr>
          <w:p w:rsidR="00A47720" w:rsidRPr="007D7C65" w:rsidP="00043DED" w14:paraId="79218971" w14:textId="77777777">
            <w:pPr>
              <w:keepNext/>
              <w:keepLines/>
              <w:jc w:val="center"/>
              <w:rPr>
                <w:sz w:val="20"/>
              </w:rPr>
            </w:pPr>
          </w:p>
        </w:tc>
        <w:tc>
          <w:tcPr>
            <w:tcW w:w="1122" w:type="dxa"/>
            <w:tcBorders>
              <w:top w:val="nil"/>
              <w:left w:val="nil"/>
              <w:bottom w:val="nil"/>
              <w:right w:val="nil"/>
            </w:tcBorders>
            <w:shd w:val="clear" w:color="auto" w:fill="auto"/>
            <w:noWrap/>
            <w:vAlign w:val="bottom"/>
            <w:hideMark/>
          </w:tcPr>
          <w:p w:rsidR="00A47720" w:rsidRPr="007D7C65" w:rsidP="00043DED" w14:paraId="16A2B18F" w14:textId="77777777">
            <w:pPr>
              <w:keepNext/>
              <w:keepLines/>
              <w:jc w:val="center"/>
              <w:rPr>
                <w:sz w:val="20"/>
              </w:rPr>
            </w:pPr>
          </w:p>
        </w:tc>
        <w:tc>
          <w:tcPr>
            <w:tcW w:w="1122" w:type="dxa"/>
            <w:tcBorders>
              <w:top w:val="nil"/>
              <w:left w:val="nil"/>
              <w:bottom w:val="nil"/>
              <w:right w:val="nil"/>
            </w:tcBorders>
            <w:shd w:val="clear" w:color="auto" w:fill="auto"/>
            <w:noWrap/>
            <w:vAlign w:val="bottom"/>
            <w:hideMark/>
          </w:tcPr>
          <w:p w:rsidR="00A47720" w:rsidRPr="007D7C65" w:rsidP="00043DED" w14:paraId="7A827803" w14:textId="77777777">
            <w:pPr>
              <w:keepNext/>
              <w:keepLines/>
              <w:jc w:val="center"/>
              <w:rPr>
                <w:sz w:val="20"/>
              </w:rPr>
            </w:pPr>
          </w:p>
        </w:tc>
      </w:tr>
      <w:tr w14:paraId="11C98F8E" w14:textId="77777777" w:rsidTr="00890D29">
        <w:tblPrEx>
          <w:tblW w:w="9360" w:type="dxa"/>
          <w:jc w:val="center"/>
          <w:tblLook w:val="04A0"/>
        </w:tblPrEx>
        <w:trPr>
          <w:trHeight w:val="343"/>
          <w:jc w:val="center"/>
        </w:trPr>
        <w:tc>
          <w:tcPr>
            <w:tcW w:w="1976" w:type="dxa"/>
            <w:tcBorders>
              <w:top w:val="nil"/>
              <w:left w:val="nil"/>
              <w:right w:val="nil"/>
            </w:tcBorders>
            <w:shd w:val="clear" w:color="auto" w:fill="auto"/>
            <w:vAlign w:val="center"/>
            <w:hideMark/>
          </w:tcPr>
          <w:p w:rsidR="00A47720" w:rsidRPr="007D7C65" w:rsidP="00043DED" w14:paraId="794BAB9C" w14:textId="77777777">
            <w:pPr>
              <w:keepNext/>
              <w:keepLines/>
              <w:jc w:val="right"/>
              <w:rPr>
                <w:color w:val="000000"/>
                <w:sz w:val="16"/>
                <w:szCs w:val="16"/>
              </w:rPr>
            </w:pPr>
            <w:r w:rsidRPr="007D7C65">
              <w:rPr>
                <w:color w:val="000000"/>
                <w:sz w:val="16"/>
                <w:szCs w:val="16"/>
              </w:rPr>
              <w:t>0</w:t>
            </w:r>
          </w:p>
        </w:tc>
        <w:tc>
          <w:tcPr>
            <w:tcW w:w="1554" w:type="dxa"/>
            <w:tcBorders>
              <w:top w:val="nil"/>
              <w:left w:val="nil"/>
              <w:right w:val="nil"/>
            </w:tcBorders>
            <w:shd w:val="clear" w:color="auto" w:fill="auto"/>
            <w:noWrap/>
            <w:vAlign w:val="center"/>
            <w:hideMark/>
          </w:tcPr>
          <w:p w:rsidR="00A47720" w:rsidRPr="007D7C65" w:rsidP="00043DED" w14:paraId="6703657F" w14:textId="77777777">
            <w:pPr>
              <w:keepNext/>
              <w:keepLines/>
              <w:jc w:val="center"/>
              <w:rPr>
                <w:color w:val="000000"/>
                <w:sz w:val="16"/>
                <w:szCs w:val="16"/>
              </w:rPr>
            </w:pPr>
            <w:r w:rsidRPr="007D7C65">
              <w:rPr>
                <w:color w:val="000000"/>
                <w:sz w:val="16"/>
                <w:szCs w:val="16"/>
              </w:rPr>
              <w:t>28,519</w:t>
            </w:r>
          </w:p>
        </w:tc>
        <w:tc>
          <w:tcPr>
            <w:tcW w:w="1122" w:type="dxa"/>
            <w:tcBorders>
              <w:top w:val="nil"/>
              <w:left w:val="nil"/>
              <w:right w:val="nil"/>
            </w:tcBorders>
            <w:shd w:val="clear" w:color="auto" w:fill="auto"/>
            <w:noWrap/>
            <w:vAlign w:val="center"/>
            <w:hideMark/>
          </w:tcPr>
          <w:p w:rsidR="00A47720" w:rsidRPr="007D7C65" w:rsidP="00043DED" w14:paraId="0859B3A6" w14:textId="77777777">
            <w:pPr>
              <w:keepNext/>
              <w:keepLines/>
              <w:jc w:val="center"/>
              <w:rPr>
                <w:color w:val="000000"/>
                <w:sz w:val="16"/>
                <w:szCs w:val="16"/>
              </w:rPr>
            </w:pPr>
            <w:r w:rsidRPr="007D7C65">
              <w:rPr>
                <w:color w:val="000000"/>
                <w:sz w:val="16"/>
                <w:szCs w:val="16"/>
              </w:rPr>
              <w:t>0.62</w:t>
            </w:r>
          </w:p>
        </w:tc>
        <w:tc>
          <w:tcPr>
            <w:tcW w:w="1122" w:type="dxa"/>
            <w:tcBorders>
              <w:top w:val="nil"/>
              <w:left w:val="nil"/>
              <w:right w:val="nil"/>
            </w:tcBorders>
            <w:shd w:val="clear" w:color="auto" w:fill="auto"/>
            <w:noWrap/>
            <w:vAlign w:val="bottom"/>
            <w:hideMark/>
          </w:tcPr>
          <w:p w:rsidR="00A47720" w:rsidRPr="007D7C65" w:rsidP="00043DED" w14:paraId="744D9A1A" w14:textId="77777777">
            <w:pPr>
              <w:keepNext/>
              <w:keepLines/>
              <w:jc w:val="center"/>
              <w:rPr>
                <w:color w:val="000000"/>
                <w:sz w:val="16"/>
                <w:szCs w:val="16"/>
              </w:rPr>
            </w:pPr>
          </w:p>
        </w:tc>
        <w:tc>
          <w:tcPr>
            <w:tcW w:w="1122" w:type="dxa"/>
            <w:tcBorders>
              <w:top w:val="nil"/>
              <w:left w:val="nil"/>
              <w:right w:val="nil"/>
            </w:tcBorders>
            <w:shd w:val="clear" w:color="auto" w:fill="auto"/>
            <w:noWrap/>
            <w:vAlign w:val="bottom"/>
            <w:hideMark/>
          </w:tcPr>
          <w:p w:rsidR="00A47720" w:rsidRPr="007D7C65" w:rsidP="00043DED" w14:paraId="601DDD7E" w14:textId="77777777">
            <w:pPr>
              <w:keepNext/>
              <w:keepLines/>
              <w:jc w:val="center"/>
              <w:rPr>
                <w:sz w:val="20"/>
              </w:rPr>
            </w:pPr>
          </w:p>
        </w:tc>
        <w:tc>
          <w:tcPr>
            <w:tcW w:w="1122" w:type="dxa"/>
            <w:tcBorders>
              <w:top w:val="nil"/>
              <w:left w:val="nil"/>
              <w:right w:val="nil"/>
            </w:tcBorders>
            <w:shd w:val="clear" w:color="auto" w:fill="auto"/>
            <w:noWrap/>
            <w:vAlign w:val="bottom"/>
            <w:hideMark/>
          </w:tcPr>
          <w:p w:rsidR="00A47720" w:rsidRPr="007D7C65" w:rsidP="00043DED" w14:paraId="74C702F6" w14:textId="77777777">
            <w:pPr>
              <w:keepNext/>
              <w:keepLines/>
              <w:jc w:val="center"/>
              <w:rPr>
                <w:sz w:val="20"/>
              </w:rPr>
            </w:pPr>
          </w:p>
        </w:tc>
      </w:tr>
      <w:tr w14:paraId="6140628D" w14:textId="77777777" w:rsidTr="00890D29">
        <w:tblPrEx>
          <w:tblW w:w="9360" w:type="dxa"/>
          <w:jc w:val="center"/>
          <w:tblLook w:val="04A0"/>
        </w:tblPrEx>
        <w:trPr>
          <w:trHeight w:val="360"/>
          <w:jc w:val="center"/>
        </w:trPr>
        <w:tc>
          <w:tcPr>
            <w:tcW w:w="1976" w:type="dxa"/>
            <w:tcBorders>
              <w:top w:val="nil"/>
              <w:left w:val="nil"/>
              <w:bottom w:val="single" w:sz="4" w:space="0" w:color="auto"/>
              <w:right w:val="nil"/>
            </w:tcBorders>
            <w:shd w:val="clear" w:color="auto" w:fill="auto"/>
            <w:vAlign w:val="center"/>
            <w:hideMark/>
          </w:tcPr>
          <w:p w:rsidR="00A47720" w:rsidRPr="007D7C65" w:rsidP="00043DED" w14:paraId="7C94FB8C" w14:textId="77777777">
            <w:pPr>
              <w:keepNext/>
              <w:keepLines/>
              <w:jc w:val="right"/>
              <w:rPr>
                <w:color w:val="000000"/>
                <w:sz w:val="16"/>
                <w:szCs w:val="16"/>
              </w:rPr>
            </w:pPr>
            <w:r w:rsidRPr="007D7C65">
              <w:rPr>
                <w:color w:val="000000"/>
                <w:sz w:val="16"/>
                <w:szCs w:val="16"/>
              </w:rPr>
              <w:t>1</w:t>
            </w:r>
          </w:p>
        </w:tc>
        <w:tc>
          <w:tcPr>
            <w:tcW w:w="1554" w:type="dxa"/>
            <w:tcBorders>
              <w:top w:val="nil"/>
              <w:left w:val="nil"/>
              <w:bottom w:val="single" w:sz="4" w:space="0" w:color="auto"/>
              <w:right w:val="nil"/>
            </w:tcBorders>
            <w:shd w:val="clear" w:color="auto" w:fill="auto"/>
            <w:noWrap/>
            <w:vAlign w:val="center"/>
            <w:hideMark/>
          </w:tcPr>
          <w:p w:rsidR="00A47720" w:rsidRPr="007D7C65" w:rsidP="00043DED" w14:paraId="7A831634" w14:textId="77777777">
            <w:pPr>
              <w:keepNext/>
              <w:keepLines/>
              <w:jc w:val="center"/>
              <w:rPr>
                <w:color w:val="000000"/>
                <w:sz w:val="16"/>
                <w:szCs w:val="16"/>
              </w:rPr>
            </w:pPr>
            <w:r w:rsidRPr="007D7C65">
              <w:rPr>
                <w:color w:val="000000"/>
                <w:sz w:val="16"/>
                <w:szCs w:val="16"/>
              </w:rPr>
              <w:t>28,519</w:t>
            </w:r>
          </w:p>
        </w:tc>
        <w:tc>
          <w:tcPr>
            <w:tcW w:w="1122" w:type="dxa"/>
            <w:tcBorders>
              <w:top w:val="nil"/>
              <w:left w:val="nil"/>
              <w:bottom w:val="single" w:sz="4" w:space="0" w:color="auto"/>
              <w:right w:val="nil"/>
            </w:tcBorders>
            <w:shd w:val="clear" w:color="auto" w:fill="auto"/>
            <w:noWrap/>
            <w:vAlign w:val="center"/>
            <w:hideMark/>
          </w:tcPr>
          <w:p w:rsidR="00A47720" w:rsidRPr="007D7C65" w:rsidP="00043DED" w14:paraId="11F7BBE9" w14:textId="77777777">
            <w:pPr>
              <w:keepNext/>
              <w:keepLines/>
              <w:jc w:val="center"/>
              <w:rPr>
                <w:color w:val="000000"/>
                <w:sz w:val="16"/>
                <w:szCs w:val="16"/>
              </w:rPr>
            </w:pPr>
            <w:r w:rsidRPr="007D7C65">
              <w:rPr>
                <w:color w:val="000000"/>
                <w:sz w:val="16"/>
                <w:szCs w:val="16"/>
              </w:rPr>
              <w:t>0.38</w:t>
            </w:r>
          </w:p>
        </w:tc>
        <w:tc>
          <w:tcPr>
            <w:tcW w:w="1122" w:type="dxa"/>
            <w:tcBorders>
              <w:top w:val="nil"/>
              <w:left w:val="nil"/>
              <w:bottom w:val="single" w:sz="4" w:space="0" w:color="auto"/>
              <w:right w:val="nil"/>
            </w:tcBorders>
            <w:shd w:val="clear" w:color="auto" w:fill="auto"/>
            <w:noWrap/>
            <w:vAlign w:val="center"/>
            <w:hideMark/>
          </w:tcPr>
          <w:p w:rsidR="00A47720" w:rsidRPr="007D7C65" w:rsidP="00043DED" w14:paraId="67F0863A" w14:textId="77777777">
            <w:pPr>
              <w:keepNext/>
              <w:keepLines/>
              <w:jc w:val="center"/>
              <w:rPr>
                <w:color w:val="000000"/>
                <w:sz w:val="16"/>
                <w:szCs w:val="16"/>
              </w:rPr>
            </w:pPr>
          </w:p>
        </w:tc>
        <w:tc>
          <w:tcPr>
            <w:tcW w:w="1122" w:type="dxa"/>
            <w:tcBorders>
              <w:top w:val="nil"/>
              <w:left w:val="nil"/>
              <w:bottom w:val="single" w:sz="4" w:space="0" w:color="auto"/>
              <w:right w:val="nil"/>
            </w:tcBorders>
            <w:shd w:val="clear" w:color="auto" w:fill="auto"/>
            <w:noWrap/>
            <w:vAlign w:val="center"/>
            <w:hideMark/>
          </w:tcPr>
          <w:p w:rsidR="00A47720" w:rsidRPr="007D7C65" w:rsidP="00043DED" w14:paraId="115A3BD6" w14:textId="77777777">
            <w:pPr>
              <w:keepNext/>
              <w:keepLines/>
              <w:jc w:val="center"/>
              <w:rPr>
                <w:color w:val="000000"/>
                <w:sz w:val="16"/>
                <w:szCs w:val="16"/>
              </w:rPr>
            </w:pPr>
          </w:p>
        </w:tc>
        <w:tc>
          <w:tcPr>
            <w:tcW w:w="1122" w:type="dxa"/>
            <w:tcBorders>
              <w:top w:val="nil"/>
              <w:left w:val="nil"/>
              <w:bottom w:val="single" w:sz="4" w:space="0" w:color="auto"/>
              <w:right w:val="nil"/>
            </w:tcBorders>
            <w:shd w:val="clear" w:color="auto" w:fill="auto"/>
            <w:noWrap/>
            <w:vAlign w:val="center"/>
            <w:hideMark/>
          </w:tcPr>
          <w:p w:rsidR="00A47720" w:rsidRPr="007D7C65" w:rsidP="00043DED" w14:paraId="4DB62F46" w14:textId="77777777">
            <w:pPr>
              <w:keepNext/>
              <w:keepLines/>
              <w:jc w:val="center"/>
              <w:rPr>
                <w:color w:val="000000"/>
                <w:sz w:val="16"/>
                <w:szCs w:val="16"/>
              </w:rPr>
            </w:pPr>
          </w:p>
        </w:tc>
      </w:tr>
      <w:tr w14:paraId="348DC97B" w14:textId="77777777" w:rsidTr="00890D29">
        <w:tblPrEx>
          <w:tblW w:w="9360" w:type="dxa"/>
          <w:jc w:val="center"/>
          <w:tblLook w:val="04A0"/>
        </w:tblPrEx>
        <w:trPr>
          <w:trHeight w:val="360"/>
          <w:jc w:val="center"/>
        </w:trPr>
        <w:tc>
          <w:tcPr>
            <w:tcW w:w="3530" w:type="dxa"/>
            <w:gridSpan w:val="2"/>
            <w:tcBorders>
              <w:top w:val="single" w:sz="4" w:space="0" w:color="auto"/>
              <w:left w:val="nil"/>
              <w:right w:val="nil"/>
            </w:tcBorders>
            <w:shd w:val="clear" w:color="auto" w:fill="auto"/>
            <w:vAlign w:val="center"/>
          </w:tcPr>
          <w:p w:rsidR="00A47720" w:rsidRPr="007D7C65" w:rsidP="00043DED" w14:paraId="7E11980E" w14:textId="77777777">
            <w:pPr>
              <w:keepNext/>
              <w:keepLines/>
              <w:rPr>
                <w:color w:val="000000"/>
                <w:sz w:val="16"/>
                <w:szCs w:val="16"/>
              </w:rPr>
            </w:pPr>
            <w:r>
              <w:rPr>
                <w:color w:val="000000"/>
                <w:sz w:val="16"/>
                <w:szCs w:val="16"/>
              </w:rPr>
              <w:t>Note: All densities are per square mile.</w:t>
            </w:r>
          </w:p>
        </w:tc>
        <w:tc>
          <w:tcPr>
            <w:tcW w:w="1122" w:type="dxa"/>
            <w:tcBorders>
              <w:top w:val="single" w:sz="4" w:space="0" w:color="auto"/>
              <w:left w:val="nil"/>
              <w:right w:val="nil"/>
            </w:tcBorders>
            <w:shd w:val="clear" w:color="auto" w:fill="auto"/>
            <w:noWrap/>
            <w:vAlign w:val="center"/>
          </w:tcPr>
          <w:p w:rsidR="00A47720" w:rsidRPr="007D7C65" w:rsidP="00043DED" w14:paraId="04035351" w14:textId="77777777">
            <w:pPr>
              <w:keepNext/>
              <w:keepLines/>
              <w:jc w:val="center"/>
              <w:rPr>
                <w:color w:val="000000"/>
                <w:sz w:val="16"/>
                <w:szCs w:val="16"/>
              </w:rPr>
            </w:pPr>
          </w:p>
        </w:tc>
        <w:tc>
          <w:tcPr>
            <w:tcW w:w="1122" w:type="dxa"/>
            <w:tcBorders>
              <w:top w:val="single" w:sz="4" w:space="0" w:color="auto"/>
              <w:left w:val="nil"/>
              <w:right w:val="nil"/>
            </w:tcBorders>
            <w:shd w:val="clear" w:color="auto" w:fill="auto"/>
            <w:noWrap/>
            <w:vAlign w:val="center"/>
          </w:tcPr>
          <w:p w:rsidR="00A47720" w:rsidRPr="007D7C65" w:rsidP="00043DED" w14:paraId="0E9FF237" w14:textId="77777777">
            <w:pPr>
              <w:keepNext/>
              <w:keepLines/>
              <w:jc w:val="center"/>
              <w:rPr>
                <w:color w:val="000000"/>
                <w:sz w:val="16"/>
                <w:szCs w:val="16"/>
              </w:rPr>
            </w:pPr>
          </w:p>
        </w:tc>
        <w:tc>
          <w:tcPr>
            <w:tcW w:w="1122" w:type="dxa"/>
            <w:tcBorders>
              <w:top w:val="single" w:sz="4" w:space="0" w:color="auto"/>
              <w:left w:val="nil"/>
              <w:right w:val="nil"/>
            </w:tcBorders>
            <w:shd w:val="clear" w:color="auto" w:fill="auto"/>
            <w:noWrap/>
            <w:vAlign w:val="center"/>
          </w:tcPr>
          <w:p w:rsidR="00A47720" w:rsidRPr="007D7C65" w:rsidP="00043DED" w14:paraId="291BECC4" w14:textId="77777777">
            <w:pPr>
              <w:keepNext/>
              <w:keepLines/>
              <w:jc w:val="center"/>
              <w:rPr>
                <w:color w:val="000000"/>
                <w:sz w:val="16"/>
                <w:szCs w:val="16"/>
              </w:rPr>
            </w:pPr>
          </w:p>
        </w:tc>
        <w:tc>
          <w:tcPr>
            <w:tcW w:w="1122" w:type="dxa"/>
            <w:tcBorders>
              <w:top w:val="single" w:sz="4" w:space="0" w:color="auto"/>
              <w:left w:val="nil"/>
              <w:right w:val="nil"/>
            </w:tcBorders>
            <w:shd w:val="clear" w:color="auto" w:fill="auto"/>
            <w:noWrap/>
            <w:vAlign w:val="center"/>
          </w:tcPr>
          <w:p w:rsidR="00A47720" w:rsidRPr="007D7C65" w:rsidP="00043DED" w14:paraId="2F56EB4E" w14:textId="77777777">
            <w:pPr>
              <w:keepNext/>
              <w:keepLines/>
              <w:jc w:val="center"/>
              <w:rPr>
                <w:color w:val="000000"/>
                <w:sz w:val="16"/>
                <w:szCs w:val="16"/>
              </w:rPr>
            </w:pPr>
          </w:p>
        </w:tc>
      </w:tr>
    </w:tbl>
    <w:p w:rsidR="00A47720" w:rsidP="00A47720" w14:paraId="3E774BBA" w14:textId="77777777">
      <w:pPr>
        <w:pStyle w:val="ParaNum"/>
        <w:numPr>
          <w:ilvl w:val="0"/>
          <w:numId w:val="0"/>
        </w:numPr>
        <w:rPr>
          <w:szCs w:val="22"/>
        </w:rPr>
      </w:pPr>
      <w:r>
        <w:rPr>
          <w:szCs w:val="22"/>
        </w:rPr>
        <w:tab/>
      </w:r>
    </w:p>
    <w:p w:rsidR="00A47720" w:rsidP="00A47720" w14:paraId="01A0E276" w14:textId="77777777">
      <w:pPr>
        <w:pStyle w:val="ParaNum"/>
        <w:numPr>
          <w:ilvl w:val="0"/>
          <w:numId w:val="0"/>
        </w:numPr>
        <w:rPr>
          <w:szCs w:val="22"/>
        </w:rPr>
      </w:pPr>
    </w:p>
    <w:p w:rsidR="00A47720" w:rsidP="00A47720" w14:paraId="141C6BB6" w14:textId="77777777">
      <w:pPr>
        <w:pStyle w:val="ParaNum"/>
        <w:numPr>
          <w:ilvl w:val="0"/>
          <w:numId w:val="0"/>
        </w:numPr>
        <w:rPr>
          <w:szCs w:val="22"/>
        </w:rPr>
        <w:sectPr w:rsidSect="00367BBE">
          <w:headerReference w:type="default" r:id="rId5"/>
          <w:footerReference w:type="default" r:id="rId6"/>
          <w:headerReference w:type="first" r:id="rId7"/>
          <w:endnotePr>
            <w:numFmt w:val="decimal"/>
          </w:endnotePr>
          <w:pgSz w:w="12240" w:h="15840"/>
          <w:pgMar w:top="1440" w:right="1440" w:bottom="720" w:left="1440" w:header="630" w:footer="720" w:gutter="0"/>
          <w:cols w:space="720"/>
          <w:noEndnote/>
          <w:titlePg/>
          <w:docGrid w:linePitch="326"/>
        </w:sectPr>
      </w:pPr>
    </w:p>
    <w:p w:rsidR="00A47720" w:rsidP="00AE015D" w14:paraId="215CEA5B" w14:textId="296A96A5">
      <w:pPr>
        <w:keepNext/>
        <w:keepLines/>
        <w:spacing w:after="120"/>
        <w:jc w:val="center"/>
        <w:rPr>
          <w:b/>
          <w:sz w:val="22"/>
          <w:szCs w:val="22"/>
        </w:rPr>
      </w:pPr>
      <w:r w:rsidRPr="00043DED">
        <w:rPr>
          <w:b/>
          <w:sz w:val="22"/>
          <w:szCs w:val="22"/>
        </w:rPr>
        <w:t>Fig. B-2: Estimation Results</w:t>
      </w:r>
    </w:p>
    <w:tbl>
      <w:tblPr>
        <w:tblW w:w="13680" w:type="dxa"/>
        <w:tblCellMar>
          <w:left w:w="115" w:type="dxa"/>
          <w:right w:w="115" w:type="dxa"/>
        </w:tblCellMar>
        <w:tblLook w:val="04A0"/>
      </w:tblPr>
      <w:tblGrid>
        <w:gridCol w:w="2867"/>
        <w:gridCol w:w="900"/>
        <w:gridCol w:w="901"/>
        <w:gridCol w:w="901"/>
        <w:gridCol w:w="901"/>
        <w:gridCol w:w="901"/>
        <w:gridCol w:w="940"/>
        <w:gridCol w:w="899"/>
        <w:gridCol w:w="822"/>
        <w:gridCol w:w="901"/>
        <w:gridCol w:w="901"/>
        <w:gridCol w:w="901"/>
        <w:gridCol w:w="945"/>
      </w:tblGrid>
      <w:tr w14:paraId="563FA50F" w14:textId="77777777" w:rsidTr="00AE015D">
        <w:tblPrEx>
          <w:tblW w:w="13680" w:type="dxa"/>
          <w:tblCellMar>
            <w:left w:w="115" w:type="dxa"/>
            <w:right w:w="115" w:type="dxa"/>
          </w:tblCellMar>
          <w:tblLook w:val="04A0"/>
        </w:tblPrEx>
        <w:trPr>
          <w:trHeight w:hRule="exact" w:val="216"/>
          <w:tblHeader/>
        </w:trPr>
        <w:tc>
          <w:tcPr>
            <w:tcW w:w="2912" w:type="dxa"/>
            <w:tcBorders>
              <w:top w:val="single" w:sz="8" w:space="0" w:color="auto"/>
              <w:left w:val="nil"/>
              <w:bottom w:val="single" w:sz="8" w:space="0" w:color="auto"/>
              <w:right w:val="nil"/>
            </w:tcBorders>
            <w:shd w:val="clear" w:color="000000" w:fill="FFFFFF"/>
            <w:noWrap/>
            <w:vAlign w:val="center"/>
            <w:hideMark/>
          </w:tcPr>
          <w:p w:rsidR="00ED544B" w:rsidRPr="00812046" w:rsidP="007546F9" w14:paraId="3B681795" w14:textId="77777777">
            <w:pPr>
              <w:rPr>
                <w:color w:val="000000"/>
                <w:sz w:val="16"/>
                <w:szCs w:val="16"/>
              </w:rPr>
            </w:pPr>
            <w:bookmarkStart w:id="8" w:name="_Hlk40701038"/>
            <w:r w:rsidRPr="00812046">
              <w:rPr>
                <w:color w:val="000000"/>
                <w:sz w:val="16"/>
                <w:szCs w:val="16"/>
              </w:rPr>
              <w:t> </w:t>
            </w:r>
          </w:p>
        </w:tc>
        <w:tc>
          <w:tcPr>
            <w:tcW w:w="0" w:type="auto"/>
            <w:gridSpan w:val="12"/>
            <w:tcBorders>
              <w:top w:val="single" w:sz="8" w:space="0" w:color="auto"/>
              <w:left w:val="nil"/>
              <w:bottom w:val="single" w:sz="8" w:space="0" w:color="auto"/>
              <w:right w:val="nil"/>
            </w:tcBorders>
            <w:shd w:val="clear" w:color="000000" w:fill="FFFFFF"/>
            <w:vAlign w:val="center"/>
            <w:hideMark/>
          </w:tcPr>
          <w:p w:rsidR="00ED544B" w:rsidRPr="00812046" w:rsidP="007546F9" w14:paraId="235D8839" w14:textId="77777777">
            <w:pPr>
              <w:jc w:val="center"/>
              <w:rPr>
                <w:b/>
                <w:bCs/>
                <w:color w:val="000000"/>
                <w:sz w:val="16"/>
                <w:szCs w:val="16"/>
              </w:rPr>
            </w:pPr>
            <w:r w:rsidRPr="00812046">
              <w:rPr>
                <w:b/>
                <w:bCs/>
                <w:color w:val="000000"/>
                <w:sz w:val="16"/>
                <w:szCs w:val="16"/>
              </w:rPr>
              <w:t>Dependent Variable = Number of Entrants</w:t>
            </w:r>
          </w:p>
        </w:tc>
      </w:tr>
      <w:tr w14:paraId="1B75A620" w14:textId="77777777" w:rsidTr="00AE015D">
        <w:tblPrEx>
          <w:tblW w:w="13680" w:type="dxa"/>
          <w:tblCellMar>
            <w:left w:w="115" w:type="dxa"/>
            <w:right w:w="115" w:type="dxa"/>
          </w:tblCellMar>
          <w:tblLook w:val="04A0"/>
        </w:tblPrEx>
        <w:trPr>
          <w:trHeight w:hRule="exact" w:val="216"/>
          <w:tblHeader/>
        </w:trPr>
        <w:tc>
          <w:tcPr>
            <w:tcW w:w="2912" w:type="dxa"/>
            <w:tcBorders>
              <w:top w:val="single" w:sz="4" w:space="0" w:color="auto"/>
              <w:left w:val="nil"/>
              <w:bottom w:val="double" w:sz="6" w:space="0" w:color="auto"/>
              <w:right w:val="nil"/>
            </w:tcBorders>
            <w:shd w:val="clear" w:color="000000" w:fill="FFFFFF"/>
            <w:noWrap/>
            <w:vAlign w:val="bottom"/>
            <w:hideMark/>
          </w:tcPr>
          <w:p w:rsidR="00ED544B" w:rsidRPr="00812046" w:rsidP="007546F9" w14:paraId="62AC0CAF" w14:textId="77777777">
            <w:pPr>
              <w:rPr>
                <w:b/>
                <w:bCs/>
                <w:color w:val="000000"/>
                <w:sz w:val="16"/>
                <w:szCs w:val="16"/>
              </w:rPr>
            </w:pPr>
            <w:r w:rsidRPr="00812046">
              <w:rPr>
                <w:b/>
                <w:bCs/>
                <w:color w:val="000000"/>
                <w:sz w:val="16"/>
                <w:szCs w:val="16"/>
              </w:rPr>
              <w:t>Variables</w:t>
            </w:r>
          </w:p>
        </w:tc>
        <w:tc>
          <w:tcPr>
            <w:tcW w:w="0" w:type="auto"/>
            <w:tcBorders>
              <w:top w:val="single" w:sz="4" w:space="0" w:color="auto"/>
              <w:left w:val="nil"/>
              <w:bottom w:val="double" w:sz="6" w:space="0" w:color="auto"/>
              <w:right w:val="nil"/>
            </w:tcBorders>
            <w:shd w:val="clear" w:color="000000" w:fill="FFFFFF"/>
            <w:noWrap/>
            <w:vAlign w:val="bottom"/>
            <w:hideMark/>
          </w:tcPr>
          <w:p w:rsidR="00ED544B" w:rsidRPr="00812046" w:rsidP="007546F9" w14:paraId="7D6F866A" w14:textId="77777777">
            <w:pPr>
              <w:jc w:val="center"/>
              <w:rPr>
                <w:b/>
                <w:bCs/>
                <w:color w:val="000000"/>
                <w:sz w:val="16"/>
                <w:szCs w:val="16"/>
              </w:rPr>
            </w:pPr>
            <w:r w:rsidRPr="00812046">
              <w:rPr>
                <w:b/>
                <w:bCs/>
                <w:color w:val="000000"/>
                <w:sz w:val="16"/>
                <w:szCs w:val="16"/>
              </w:rPr>
              <w:t>(1)</w:t>
            </w:r>
          </w:p>
        </w:tc>
        <w:tc>
          <w:tcPr>
            <w:tcW w:w="0" w:type="auto"/>
            <w:tcBorders>
              <w:top w:val="single" w:sz="4" w:space="0" w:color="auto"/>
              <w:left w:val="nil"/>
              <w:bottom w:val="double" w:sz="6" w:space="0" w:color="auto"/>
              <w:right w:val="nil"/>
            </w:tcBorders>
            <w:shd w:val="clear" w:color="000000" w:fill="FFFFFF"/>
            <w:noWrap/>
            <w:vAlign w:val="bottom"/>
            <w:hideMark/>
          </w:tcPr>
          <w:p w:rsidR="00ED544B" w:rsidRPr="00812046" w:rsidP="007546F9" w14:paraId="3A847F7A" w14:textId="77777777">
            <w:pPr>
              <w:jc w:val="center"/>
              <w:rPr>
                <w:b/>
                <w:bCs/>
                <w:color w:val="000000"/>
                <w:sz w:val="16"/>
                <w:szCs w:val="16"/>
              </w:rPr>
            </w:pPr>
            <w:r w:rsidRPr="00812046">
              <w:rPr>
                <w:b/>
                <w:bCs/>
                <w:color w:val="000000"/>
                <w:sz w:val="16"/>
                <w:szCs w:val="16"/>
              </w:rPr>
              <w:t>(2)</w:t>
            </w:r>
          </w:p>
        </w:tc>
        <w:tc>
          <w:tcPr>
            <w:tcW w:w="0" w:type="auto"/>
            <w:tcBorders>
              <w:top w:val="single" w:sz="4" w:space="0" w:color="auto"/>
              <w:left w:val="nil"/>
              <w:bottom w:val="double" w:sz="6" w:space="0" w:color="auto"/>
              <w:right w:val="nil"/>
            </w:tcBorders>
            <w:shd w:val="clear" w:color="000000" w:fill="FFFFFF"/>
            <w:noWrap/>
            <w:vAlign w:val="bottom"/>
            <w:hideMark/>
          </w:tcPr>
          <w:p w:rsidR="00ED544B" w:rsidRPr="00812046" w:rsidP="007546F9" w14:paraId="081B459D" w14:textId="77777777">
            <w:pPr>
              <w:jc w:val="center"/>
              <w:rPr>
                <w:b/>
                <w:bCs/>
                <w:color w:val="000000"/>
                <w:sz w:val="16"/>
                <w:szCs w:val="16"/>
              </w:rPr>
            </w:pPr>
            <w:r w:rsidRPr="00812046">
              <w:rPr>
                <w:b/>
                <w:bCs/>
                <w:color w:val="000000"/>
                <w:sz w:val="16"/>
                <w:szCs w:val="16"/>
              </w:rPr>
              <w:t>(3)</w:t>
            </w:r>
          </w:p>
        </w:tc>
        <w:tc>
          <w:tcPr>
            <w:tcW w:w="0" w:type="auto"/>
            <w:tcBorders>
              <w:top w:val="single" w:sz="4" w:space="0" w:color="auto"/>
              <w:left w:val="nil"/>
              <w:bottom w:val="double" w:sz="6" w:space="0" w:color="auto"/>
              <w:right w:val="nil"/>
            </w:tcBorders>
            <w:shd w:val="clear" w:color="000000" w:fill="FFFFFF"/>
            <w:noWrap/>
            <w:vAlign w:val="bottom"/>
            <w:hideMark/>
          </w:tcPr>
          <w:p w:rsidR="00ED544B" w:rsidRPr="00812046" w:rsidP="007546F9" w14:paraId="194A46CB" w14:textId="77777777">
            <w:pPr>
              <w:jc w:val="center"/>
              <w:rPr>
                <w:b/>
                <w:bCs/>
                <w:color w:val="000000"/>
                <w:sz w:val="16"/>
                <w:szCs w:val="16"/>
              </w:rPr>
            </w:pPr>
            <w:r w:rsidRPr="00812046">
              <w:rPr>
                <w:b/>
                <w:bCs/>
                <w:color w:val="000000"/>
                <w:sz w:val="16"/>
                <w:szCs w:val="16"/>
              </w:rPr>
              <w:t>(4)</w:t>
            </w:r>
          </w:p>
        </w:tc>
        <w:tc>
          <w:tcPr>
            <w:tcW w:w="0" w:type="auto"/>
            <w:tcBorders>
              <w:top w:val="single" w:sz="4" w:space="0" w:color="auto"/>
              <w:left w:val="nil"/>
              <w:bottom w:val="double" w:sz="6" w:space="0" w:color="auto"/>
              <w:right w:val="nil"/>
            </w:tcBorders>
            <w:shd w:val="clear" w:color="000000" w:fill="FFFFFF"/>
            <w:noWrap/>
            <w:vAlign w:val="bottom"/>
            <w:hideMark/>
          </w:tcPr>
          <w:p w:rsidR="00ED544B" w:rsidRPr="00812046" w:rsidP="007546F9" w14:paraId="518A9A69" w14:textId="77777777">
            <w:pPr>
              <w:jc w:val="center"/>
              <w:rPr>
                <w:b/>
                <w:bCs/>
                <w:color w:val="000000"/>
                <w:sz w:val="16"/>
                <w:szCs w:val="16"/>
              </w:rPr>
            </w:pPr>
            <w:r w:rsidRPr="00812046">
              <w:rPr>
                <w:b/>
                <w:bCs/>
                <w:color w:val="000000"/>
                <w:sz w:val="16"/>
                <w:szCs w:val="16"/>
              </w:rPr>
              <w:t>(5)</w:t>
            </w:r>
          </w:p>
        </w:tc>
        <w:tc>
          <w:tcPr>
            <w:tcW w:w="0" w:type="auto"/>
            <w:tcBorders>
              <w:top w:val="single" w:sz="4" w:space="0" w:color="auto"/>
              <w:left w:val="nil"/>
              <w:bottom w:val="double" w:sz="6" w:space="0" w:color="auto"/>
              <w:right w:val="nil"/>
            </w:tcBorders>
            <w:shd w:val="clear" w:color="000000" w:fill="FFFFFF"/>
            <w:noWrap/>
            <w:vAlign w:val="bottom"/>
            <w:hideMark/>
          </w:tcPr>
          <w:p w:rsidR="00ED544B" w:rsidRPr="00812046" w:rsidP="007546F9" w14:paraId="4D527E9E" w14:textId="77777777">
            <w:pPr>
              <w:jc w:val="center"/>
              <w:rPr>
                <w:b/>
                <w:bCs/>
                <w:color w:val="000000"/>
                <w:sz w:val="16"/>
                <w:szCs w:val="16"/>
              </w:rPr>
            </w:pPr>
            <w:r w:rsidRPr="00812046">
              <w:rPr>
                <w:b/>
                <w:bCs/>
                <w:color w:val="000000"/>
                <w:sz w:val="16"/>
                <w:szCs w:val="16"/>
              </w:rPr>
              <w:t>(6)</w:t>
            </w:r>
          </w:p>
        </w:tc>
        <w:tc>
          <w:tcPr>
            <w:tcW w:w="0" w:type="auto"/>
            <w:tcBorders>
              <w:top w:val="single" w:sz="4" w:space="0" w:color="auto"/>
              <w:left w:val="nil"/>
              <w:bottom w:val="double" w:sz="6" w:space="0" w:color="auto"/>
              <w:right w:val="nil"/>
            </w:tcBorders>
            <w:shd w:val="clear" w:color="000000" w:fill="FFFFFF"/>
            <w:noWrap/>
            <w:vAlign w:val="bottom"/>
            <w:hideMark/>
          </w:tcPr>
          <w:p w:rsidR="00ED544B" w:rsidRPr="00812046" w:rsidP="007546F9" w14:paraId="70D05062" w14:textId="77777777">
            <w:pPr>
              <w:jc w:val="center"/>
              <w:rPr>
                <w:b/>
                <w:bCs/>
                <w:color w:val="000000"/>
                <w:sz w:val="16"/>
                <w:szCs w:val="16"/>
              </w:rPr>
            </w:pPr>
            <w:r w:rsidRPr="00812046">
              <w:rPr>
                <w:b/>
                <w:bCs/>
                <w:color w:val="000000"/>
                <w:sz w:val="16"/>
                <w:szCs w:val="16"/>
              </w:rPr>
              <w:t>(7)</w:t>
            </w:r>
          </w:p>
        </w:tc>
        <w:tc>
          <w:tcPr>
            <w:tcW w:w="0" w:type="auto"/>
            <w:tcBorders>
              <w:top w:val="single" w:sz="4" w:space="0" w:color="auto"/>
              <w:left w:val="nil"/>
              <w:bottom w:val="double" w:sz="6" w:space="0" w:color="auto"/>
              <w:right w:val="nil"/>
            </w:tcBorders>
            <w:shd w:val="clear" w:color="000000" w:fill="FFFFFF"/>
            <w:noWrap/>
            <w:vAlign w:val="bottom"/>
            <w:hideMark/>
          </w:tcPr>
          <w:p w:rsidR="00ED544B" w:rsidRPr="00812046" w:rsidP="007546F9" w14:paraId="02A8A968" w14:textId="77777777">
            <w:pPr>
              <w:jc w:val="center"/>
              <w:rPr>
                <w:b/>
                <w:bCs/>
                <w:color w:val="000000"/>
                <w:sz w:val="16"/>
                <w:szCs w:val="16"/>
              </w:rPr>
            </w:pPr>
            <w:r w:rsidRPr="00812046">
              <w:rPr>
                <w:b/>
                <w:bCs/>
                <w:color w:val="000000"/>
                <w:sz w:val="16"/>
                <w:szCs w:val="16"/>
              </w:rPr>
              <w:t>(8)</w:t>
            </w:r>
          </w:p>
        </w:tc>
        <w:tc>
          <w:tcPr>
            <w:tcW w:w="0" w:type="auto"/>
            <w:tcBorders>
              <w:top w:val="single" w:sz="4" w:space="0" w:color="auto"/>
              <w:left w:val="nil"/>
              <w:bottom w:val="double" w:sz="6" w:space="0" w:color="auto"/>
              <w:right w:val="nil"/>
            </w:tcBorders>
            <w:shd w:val="clear" w:color="000000" w:fill="FFFFFF"/>
            <w:noWrap/>
            <w:vAlign w:val="bottom"/>
            <w:hideMark/>
          </w:tcPr>
          <w:p w:rsidR="00ED544B" w:rsidRPr="00812046" w:rsidP="007546F9" w14:paraId="1B779A2E" w14:textId="77777777">
            <w:pPr>
              <w:jc w:val="center"/>
              <w:rPr>
                <w:b/>
                <w:bCs/>
                <w:color w:val="000000"/>
                <w:sz w:val="16"/>
                <w:szCs w:val="16"/>
              </w:rPr>
            </w:pPr>
            <w:r w:rsidRPr="00812046">
              <w:rPr>
                <w:b/>
                <w:bCs/>
                <w:color w:val="000000"/>
                <w:sz w:val="16"/>
                <w:szCs w:val="16"/>
              </w:rPr>
              <w:t>(9)</w:t>
            </w:r>
          </w:p>
        </w:tc>
        <w:tc>
          <w:tcPr>
            <w:tcW w:w="0" w:type="auto"/>
            <w:tcBorders>
              <w:top w:val="single" w:sz="4" w:space="0" w:color="auto"/>
              <w:left w:val="nil"/>
              <w:bottom w:val="double" w:sz="6" w:space="0" w:color="auto"/>
              <w:right w:val="nil"/>
            </w:tcBorders>
            <w:shd w:val="clear" w:color="000000" w:fill="FFFFFF"/>
            <w:noWrap/>
            <w:vAlign w:val="bottom"/>
            <w:hideMark/>
          </w:tcPr>
          <w:p w:rsidR="00ED544B" w:rsidRPr="00812046" w:rsidP="007546F9" w14:paraId="56628E4F" w14:textId="77777777">
            <w:pPr>
              <w:jc w:val="center"/>
              <w:rPr>
                <w:b/>
                <w:bCs/>
                <w:color w:val="000000"/>
                <w:sz w:val="16"/>
                <w:szCs w:val="16"/>
              </w:rPr>
            </w:pPr>
            <w:r w:rsidRPr="00812046">
              <w:rPr>
                <w:b/>
                <w:bCs/>
                <w:color w:val="000000"/>
                <w:sz w:val="16"/>
                <w:szCs w:val="16"/>
              </w:rPr>
              <w:t>(10)</w:t>
            </w:r>
          </w:p>
        </w:tc>
        <w:tc>
          <w:tcPr>
            <w:tcW w:w="0" w:type="auto"/>
            <w:tcBorders>
              <w:top w:val="single" w:sz="4" w:space="0" w:color="auto"/>
              <w:left w:val="nil"/>
              <w:bottom w:val="double" w:sz="6" w:space="0" w:color="auto"/>
              <w:right w:val="nil"/>
            </w:tcBorders>
            <w:shd w:val="clear" w:color="000000" w:fill="FFFFFF"/>
            <w:noWrap/>
            <w:vAlign w:val="bottom"/>
            <w:hideMark/>
          </w:tcPr>
          <w:p w:rsidR="00ED544B" w:rsidRPr="00812046" w:rsidP="007546F9" w14:paraId="1DFA5500" w14:textId="77777777">
            <w:pPr>
              <w:jc w:val="center"/>
              <w:rPr>
                <w:b/>
                <w:bCs/>
                <w:color w:val="000000"/>
                <w:sz w:val="16"/>
                <w:szCs w:val="16"/>
              </w:rPr>
            </w:pPr>
            <w:r w:rsidRPr="00812046">
              <w:rPr>
                <w:b/>
                <w:bCs/>
                <w:color w:val="000000"/>
                <w:sz w:val="16"/>
                <w:szCs w:val="16"/>
              </w:rPr>
              <w:t>(11)</w:t>
            </w:r>
          </w:p>
        </w:tc>
        <w:tc>
          <w:tcPr>
            <w:tcW w:w="957" w:type="dxa"/>
            <w:tcBorders>
              <w:top w:val="single" w:sz="4" w:space="0" w:color="auto"/>
              <w:left w:val="nil"/>
              <w:bottom w:val="double" w:sz="6" w:space="0" w:color="auto"/>
              <w:right w:val="nil"/>
            </w:tcBorders>
            <w:shd w:val="clear" w:color="000000" w:fill="FFFFFF"/>
            <w:noWrap/>
            <w:vAlign w:val="bottom"/>
            <w:hideMark/>
          </w:tcPr>
          <w:p w:rsidR="00ED544B" w:rsidRPr="00812046" w:rsidP="007546F9" w14:paraId="279BB4D9" w14:textId="77777777">
            <w:pPr>
              <w:jc w:val="center"/>
              <w:rPr>
                <w:b/>
                <w:bCs/>
                <w:color w:val="000000"/>
                <w:sz w:val="16"/>
                <w:szCs w:val="16"/>
              </w:rPr>
            </w:pPr>
            <w:r w:rsidRPr="00812046">
              <w:rPr>
                <w:b/>
                <w:bCs/>
                <w:color w:val="000000"/>
                <w:sz w:val="16"/>
                <w:szCs w:val="16"/>
              </w:rPr>
              <w:t>(12)</w:t>
            </w:r>
          </w:p>
        </w:tc>
      </w:tr>
      <w:tr w14:paraId="66124420"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31EAB256" w14:textId="77777777">
            <w:pPr>
              <w:rPr>
                <w:color w:val="000000"/>
                <w:sz w:val="16"/>
                <w:szCs w:val="16"/>
              </w:rPr>
            </w:pPr>
            <w:r w:rsidRPr="00812046">
              <w:rPr>
                <w:color w:val="000000"/>
                <w:sz w:val="16"/>
                <w:szCs w:val="16"/>
              </w:rPr>
              <w:t>Population Density</w:t>
            </w:r>
          </w:p>
        </w:tc>
        <w:tc>
          <w:tcPr>
            <w:tcW w:w="0" w:type="auto"/>
            <w:tcBorders>
              <w:top w:val="nil"/>
              <w:left w:val="nil"/>
              <w:bottom w:val="nil"/>
              <w:right w:val="nil"/>
            </w:tcBorders>
            <w:shd w:val="clear" w:color="000000" w:fill="FFFFFF"/>
            <w:noWrap/>
            <w:vAlign w:val="center"/>
            <w:hideMark/>
          </w:tcPr>
          <w:p w:rsidR="00ED544B" w:rsidRPr="00812046" w:rsidP="007546F9" w14:paraId="13C85793" w14:textId="77777777">
            <w:pPr>
              <w:jc w:val="center"/>
              <w:rPr>
                <w:color w:val="000000"/>
                <w:sz w:val="16"/>
                <w:szCs w:val="16"/>
              </w:rPr>
            </w:pPr>
            <w:r w:rsidRPr="00812046">
              <w:rPr>
                <w:color w:val="000000"/>
                <w:sz w:val="16"/>
                <w:szCs w:val="16"/>
              </w:rPr>
              <w:t>0.05***</w:t>
            </w:r>
          </w:p>
        </w:tc>
        <w:tc>
          <w:tcPr>
            <w:tcW w:w="0" w:type="auto"/>
            <w:tcBorders>
              <w:top w:val="nil"/>
              <w:left w:val="nil"/>
              <w:bottom w:val="nil"/>
              <w:right w:val="nil"/>
            </w:tcBorders>
            <w:shd w:val="clear" w:color="000000" w:fill="FFFFFF"/>
            <w:noWrap/>
            <w:vAlign w:val="center"/>
            <w:hideMark/>
          </w:tcPr>
          <w:p w:rsidR="00ED544B" w:rsidRPr="00812046" w:rsidP="007546F9" w14:paraId="07D45D13" w14:textId="77777777">
            <w:pPr>
              <w:jc w:val="center"/>
              <w:rPr>
                <w:color w:val="000000"/>
                <w:sz w:val="16"/>
                <w:szCs w:val="16"/>
              </w:rPr>
            </w:pPr>
            <w:r w:rsidRPr="00812046">
              <w:rPr>
                <w:color w:val="000000"/>
                <w:sz w:val="16"/>
                <w:szCs w:val="16"/>
              </w:rPr>
              <w:t>0.04***</w:t>
            </w:r>
          </w:p>
        </w:tc>
        <w:tc>
          <w:tcPr>
            <w:tcW w:w="0" w:type="auto"/>
            <w:tcBorders>
              <w:top w:val="nil"/>
              <w:left w:val="nil"/>
              <w:bottom w:val="nil"/>
              <w:right w:val="nil"/>
            </w:tcBorders>
            <w:shd w:val="clear" w:color="000000" w:fill="FFFFFF"/>
            <w:noWrap/>
            <w:vAlign w:val="center"/>
            <w:hideMark/>
          </w:tcPr>
          <w:p w:rsidR="00ED544B" w:rsidRPr="00812046" w:rsidP="007546F9" w14:paraId="79035DFE" w14:textId="77777777">
            <w:pPr>
              <w:jc w:val="center"/>
              <w:rPr>
                <w:color w:val="000000"/>
                <w:sz w:val="16"/>
                <w:szCs w:val="16"/>
              </w:rPr>
            </w:pPr>
            <w:r w:rsidRPr="00812046">
              <w:rPr>
                <w:color w:val="000000"/>
                <w:sz w:val="16"/>
                <w:szCs w:val="16"/>
              </w:rPr>
              <w:t>0.11***</w:t>
            </w:r>
          </w:p>
        </w:tc>
        <w:tc>
          <w:tcPr>
            <w:tcW w:w="0" w:type="auto"/>
            <w:tcBorders>
              <w:top w:val="nil"/>
              <w:left w:val="nil"/>
              <w:bottom w:val="nil"/>
              <w:right w:val="nil"/>
            </w:tcBorders>
            <w:shd w:val="clear" w:color="000000" w:fill="FFFFFF"/>
            <w:noWrap/>
            <w:vAlign w:val="center"/>
            <w:hideMark/>
          </w:tcPr>
          <w:p w:rsidR="00ED544B" w:rsidRPr="00812046" w:rsidP="007546F9" w14:paraId="1139CD0A" w14:textId="77777777">
            <w:pPr>
              <w:jc w:val="center"/>
              <w:rPr>
                <w:color w:val="000000"/>
                <w:sz w:val="16"/>
                <w:szCs w:val="16"/>
              </w:rPr>
            </w:pPr>
            <w:r w:rsidRPr="00812046">
              <w:rPr>
                <w:color w:val="000000"/>
                <w:sz w:val="16"/>
                <w:szCs w:val="16"/>
              </w:rPr>
              <w:t>0.11***</w:t>
            </w:r>
          </w:p>
        </w:tc>
        <w:tc>
          <w:tcPr>
            <w:tcW w:w="0" w:type="auto"/>
            <w:tcBorders>
              <w:top w:val="nil"/>
              <w:left w:val="nil"/>
              <w:bottom w:val="nil"/>
              <w:right w:val="nil"/>
            </w:tcBorders>
            <w:shd w:val="clear" w:color="000000" w:fill="FFFFFF"/>
            <w:noWrap/>
            <w:vAlign w:val="center"/>
            <w:hideMark/>
          </w:tcPr>
          <w:p w:rsidR="00ED544B" w:rsidRPr="00812046" w:rsidP="007546F9" w14:paraId="717BC488" w14:textId="77777777">
            <w:pPr>
              <w:jc w:val="center"/>
              <w:rPr>
                <w:color w:val="000000"/>
                <w:sz w:val="16"/>
                <w:szCs w:val="16"/>
              </w:rPr>
            </w:pPr>
            <w:r w:rsidRPr="00812046">
              <w:rPr>
                <w:color w:val="000000"/>
                <w:sz w:val="16"/>
                <w:szCs w:val="16"/>
              </w:rPr>
              <w:t>0.05***</w:t>
            </w:r>
          </w:p>
        </w:tc>
        <w:tc>
          <w:tcPr>
            <w:tcW w:w="0" w:type="auto"/>
            <w:tcBorders>
              <w:top w:val="nil"/>
              <w:left w:val="nil"/>
              <w:bottom w:val="nil"/>
              <w:right w:val="nil"/>
            </w:tcBorders>
            <w:shd w:val="clear" w:color="000000" w:fill="FFFFFF"/>
            <w:noWrap/>
            <w:vAlign w:val="center"/>
            <w:hideMark/>
          </w:tcPr>
          <w:p w:rsidR="00ED544B" w:rsidRPr="00812046" w:rsidP="007546F9" w14:paraId="342F95AF" w14:textId="77777777">
            <w:pPr>
              <w:jc w:val="center"/>
              <w:rPr>
                <w:color w:val="000000"/>
                <w:sz w:val="16"/>
                <w:szCs w:val="16"/>
              </w:rPr>
            </w:pPr>
            <w:r w:rsidRPr="00812046">
              <w:rPr>
                <w:color w:val="000000"/>
                <w:sz w:val="16"/>
                <w:szCs w:val="16"/>
              </w:rPr>
              <w:t>0.02***</w:t>
            </w:r>
          </w:p>
        </w:tc>
        <w:tc>
          <w:tcPr>
            <w:tcW w:w="0" w:type="auto"/>
            <w:tcBorders>
              <w:top w:val="nil"/>
              <w:left w:val="nil"/>
              <w:bottom w:val="nil"/>
              <w:right w:val="nil"/>
            </w:tcBorders>
            <w:shd w:val="clear" w:color="000000" w:fill="FFFFFF"/>
            <w:noWrap/>
            <w:vAlign w:val="center"/>
            <w:hideMark/>
          </w:tcPr>
          <w:p w:rsidR="00ED544B" w:rsidRPr="00812046" w:rsidP="007546F9" w14:paraId="208E3337" w14:textId="77777777">
            <w:pPr>
              <w:jc w:val="center"/>
              <w:rPr>
                <w:color w:val="000000"/>
                <w:sz w:val="16"/>
                <w:szCs w:val="16"/>
              </w:rPr>
            </w:pPr>
            <w:r w:rsidRPr="00812046">
              <w:rPr>
                <w:color w:val="000000"/>
                <w:sz w:val="16"/>
                <w:szCs w:val="16"/>
              </w:rPr>
              <w:t>0.16***</w:t>
            </w:r>
          </w:p>
        </w:tc>
        <w:tc>
          <w:tcPr>
            <w:tcW w:w="0" w:type="auto"/>
            <w:tcBorders>
              <w:top w:val="nil"/>
              <w:left w:val="nil"/>
              <w:bottom w:val="nil"/>
              <w:right w:val="nil"/>
            </w:tcBorders>
            <w:shd w:val="clear" w:color="000000" w:fill="FFFFFF"/>
            <w:noWrap/>
            <w:vAlign w:val="center"/>
            <w:hideMark/>
          </w:tcPr>
          <w:p w:rsidR="00ED544B" w:rsidRPr="00812046" w:rsidP="007546F9" w14:paraId="0A4F9A41" w14:textId="77777777">
            <w:pPr>
              <w:jc w:val="center"/>
              <w:rPr>
                <w:color w:val="000000"/>
                <w:sz w:val="16"/>
                <w:szCs w:val="16"/>
              </w:rPr>
            </w:pPr>
            <w:r w:rsidRPr="00812046">
              <w:rPr>
                <w:color w:val="000000"/>
                <w:sz w:val="16"/>
                <w:szCs w:val="16"/>
              </w:rPr>
              <w:t>0.12***</w:t>
            </w:r>
          </w:p>
        </w:tc>
        <w:tc>
          <w:tcPr>
            <w:tcW w:w="0" w:type="auto"/>
            <w:tcBorders>
              <w:top w:val="nil"/>
              <w:left w:val="nil"/>
              <w:bottom w:val="nil"/>
              <w:right w:val="nil"/>
            </w:tcBorders>
            <w:shd w:val="clear" w:color="000000" w:fill="FFFFFF"/>
            <w:noWrap/>
            <w:vAlign w:val="center"/>
            <w:hideMark/>
          </w:tcPr>
          <w:p w:rsidR="00ED544B" w:rsidRPr="00812046" w:rsidP="007546F9" w14:paraId="2ADD57DA" w14:textId="77777777">
            <w:pPr>
              <w:jc w:val="center"/>
              <w:rPr>
                <w:color w:val="000000"/>
                <w:sz w:val="16"/>
                <w:szCs w:val="16"/>
              </w:rPr>
            </w:pPr>
            <w:r w:rsidRPr="00812046">
              <w:rPr>
                <w:color w:val="000000"/>
                <w:sz w:val="16"/>
                <w:szCs w:val="16"/>
              </w:rPr>
              <w:t>0.04***</w:t>
            </w:r>
          </w:p>
        </w:tc>
        <w:tc>
          <w:tcPr>
            <w:tcW w:w="0" w:type="auto"/>
            <w:tcBorders>
              <w:top w:val="nil"/>
              <w:left w:val="nil"/>
              <w:bottom w:val="nil"/>
              <w:right w:val="nil"/>
            </w:tcBorders>
            <w:shd w:val="clear" w:color="000000" w:fill="FFFFFF"/>
            <w:noWrap/>
            <w:vAlign w:val="center"/>
            <w:hideMark/>
          </w:tcPr>
          <w:p w:rsidR="00ED544B" w:rsidRPr="00812046" w:rsidP="007546F9" w14:paraId="08800E6E" w14:textId="77777777">
            <w:pPr>
              <w:jc w:val="center"/>
              <w:rPr>
                <w:color w:val="000000"/>
                <w:sz w:val="16"/>
                <w:szCs w:val="16"/>
              </w:rPr>
            </w:pPr>
            <w:r w:rsidRPr="00812046">
              <w:rPr>
                <w:color w:val="000000"/>
                <w:sz w:val="16"/>
                <w:szCs w:val="16"/>
              </w:rPr>
              <w:t>0.05***</w:t>
            </w:r>
          </w:p>
        </w:tc>
        <w:tc>
          <w:tcPr>
            <w:tcW w:w="0" w:type="auto"/>
            <w:tcBorders>
              <w:top w:val="nil"/>
              <w:left w:val="nil"/>
              <w:bottom w:val="nil"/>
              <w:right w:val="nil"/>
            </w:tcBorders>
            <w:shd w:val="clear" w:color="000000" w:fill="FFFFFF"/>
            <w:noWrap/>
            <w:vAlign w:val="center"/>
            <w:hideMark/>
          </w:tcPr>
          <w:p w:rsidR="00ED544B" w:rsidRPr="00812046" w:rsidP="007546F9" w14:paraId="33B64956" w14:textId="77777777">
            <w:pPr>
              <w:jc w:val="center"/>
              <w:rPr>
                <w:color w:val="000000"/>
                <w:sz w:val="16"/>
                <w:szCs w:val="16"/>
              </w:rPr>
            </w:pPr>
            <w:r w:rsidRPr="00812046">
              <w:rPr>
                <w:color w:val="000000"/>
                <w:sz w:val="16"/>
                <w:szCs w:val="16"/>
              </w:rPr>
              <w:t>0.10***</w:t>
            </w:r>
          </w:p>
        </w:tc>
        <w:tc>
          <w:tcPr>
            <w:tcW w:w="957" w:type="dxa"/>
            <w:tcBorders>
              <w:top w:val="nil"/>
              <w:left w:val="nil"/>
              <w:bottom w:val="nil"/>
              <w:right w:val="nil"/>
            </w:tcBorders>
            <w:shd w:val="clear" w:color="000000" w:fill="FFFFFF"/>
            <w:noWrap/>
            <w:vAlign w:val="center"/>
            <w:hideMark/>
          </w:tcPr>
          <w:p w:rsidR="00ED544B" w:rsidRPr="00812046" w:rsidP="007546F9" w14:paraId="732824A2" w14:textId="77777777">
            <w:pPr>
              <w:jc w:val="center"/>
              <w:rPr>
                <w:color w:val="000000"/>
                <w:sz w:val="16"/>
                <w:szCs w:val="16"/>
              </w:rPr>
            </w:pPr>
            <w:r w:rsidRPr="00812046">
              <w:rPr>
                <w:color w:val="000000"/>
                <w:sz w:val="16"/>
                <w:szCs w:val="16"/>
              </w:rPr>
              <w:t>0.12***</w:t>
            </w:r>
          </w:p>
        </w:tc>
      </w:tr>
      <w:tr w14:paraId="480F9593"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bottom"/>
            <w:hideMark/>
          </w:tcPr>
          <w:p w:rsidR="00ED544B" w:rsidRPr="00812046" w:rsidP="007546F9" w14:paraId="65CC6168"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6CC1AE31"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5D447EB7"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27BE287F"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452446D6"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1BBE4A26"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6E2F5570"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28EDAE63" w14:textId="77777777">
            <w:pPr>
              <w:jc w:val="center"/>
              <w:rPr>
                <w:color w:val="000000"/>
                <w:sz w:val="16"/>
                <w:szCs w:val="16"/>
              </w:rPr>
            </w:pPr>
            <w:r w:rsidRPr="00812046">
              <w:rPr>
                <w:color w:val="000000"/>
                <w:sz w:val="16"/>
                <w:szCs w:val="16"/>
              </w:rPr>
              <w:t>(0.01)</w:t>
            </w:r>
          </w:p>
        </w:tc>
        <w:tc>
          <w:tcPr>
            <w:tcW w:w="0" w:type="auto"/>
            <w:tcBorders>
              <w:top w:val="nil"/>
              <w:left w:val="nil"/>
              <w:bottom w:val="nil"/>
              <w:right w:val="nil"/>
            </w:tcBorders>
            <w:shd w:val="clear" w:color="000000" w:fill="FFFFFF"/>
            <w:noWrap/>
            <w:vAlign w:val="center"/>
            <w:hideMark/>
          </w:tcPr>
          <w:p w:rsidR="00ED544B" w:rsidRPr="00812046" w:rsidP="007546F9" w14:paraId="4147D9D1"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7C7BF632"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3AA0E31C"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49358841" w14:textId="77777777">
            <w:pPr>
              <w:jc w:val="center"/>
              <w:rPr>
                <w:color w:val="000000"/>
                <w:sz w:val="16"/>
                <w:szCs w:val="16"/>
              </w:rPr>
            </w:pPr>
            <w:r w:rsidRPr="00812046">
              <w:rPr>
                <w:color w:val="000000"/>
                <w:sz w:val="16"/>
                <w:szCs w:val="16"/>
              </w:rPr>
              <w:t>(0.01)</w:t>
            </w:r>
          </w:p>
        </w:tc>
        <w:tc>
          <w:tcPr>
            <w:tcW w:w="957" w:type="dxa"/>
            <w:tcBorders>
              <w:top w:val="nil"/>
              <w:left w:val="nil"/>
              <w:bottom w:val="nil"/>
              <w:right w:val="nil"/>
            </w:tcBorders>
            <w:shd w:val="clear" w:color="000000" w:fill="FFFFFF"/>
            <w:noWrap/>
            <w:vAlign w:val="center"/>
            <w:hideMark/>
          </w:tcPr>
          <w:p w:rsidR="00ED544B" w:rsidRPr="00812046" w:rsidP="007546F9" w14:paraId="25B912B6" w14:textId="77777777">
            <w:pPr>
              <w:jc w:val="center"/>
              <w:rPr>
                <w:color w:val="000000"/>
                <w:sz w:val="16"/>
                <w:szCs w:val="16"/>
              </w:rPr>
            </w:pPr>
            <w:r w:rsidRPr="00812046">
              <w:rPr>
                <w:color w:val="000000"/>
                <w:sz w:val="16"/>
                <w:szCs w:val="16"/>
              </w:rPr>
              <w:t>(0.01)</w:t>
            </w:r>
          </w:p>
        </w:tc>
      </w:tr>
      <w:tr w14:paraId="1286FE71"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18EA10DB" w14:textId="77777777">
            <w:pPr>
              <w:rPr>
                <w:color w:val="000000"/>
                <w:sz w:val="16"/>
                <w:szCs w:val="16"/>
              </w:rPr>
            </w:pPr>
            <w:r w:rsidRPr="00812046">
              <w:rPr>
                <w:color w:val="000000"/>
                <w:sz w:val="16"/>
                <w:szCs w:val="16"/>
              </w:rPr>
              <w:t>Road Mile Density</w:t>
            </w:r>
          </w:p>
        </w:tc>
        <w:tc>
          <w:tcPr>
            <w:tcW w:w="0" w:type="auto"/>
            <w:tcBorders>
              <w:top w:val="nil"/>
              <w:left w:val="nil"/>
              <w:bottom w:val="nil"/>
              <w:right w:val="nil"/>
            </w:tcBorders>
            <w:shd w:val="clear" w:color="000000" w:fill="FFFFFF"/>
            <w:noWrap/>
            <w:vAlign w:val="center"/>
            <w:hideMark/>
          </w:tcPr>
          <w:p w:rsidR="00ED544B" w:rsidRPr="00812046" w:rsidP="007546F9" w14:paraId="66955CFA" w14:textId="77777777">
            <w:pPr>
              <w:jc w:val="center"/>
              <w:rPr>
                <w:color w:val="000000"/>
                <w:sz w:val="16"/>
                <w:szCs w:val="16"/>
              </w:rPr>
            </w:pPr>
            <w:r w:rsidRPr="00812046">
              <w:rPr>
                <w:color w:val="000000"/>
                <w:sz w:val="16"/>
                <w:szCs w:val="16"/>
              </w:rPr>
              <w:t>0.70***</w:t>
            </w:r>
          </w:p>
        </w:tc>
        <w:tc>
          <w:tcPr>
            <w:tcW w:w="0" w:type="auto"/>
            <w:tcBorders>
              <w:top w:val="nil"/>
              <w:left w:val="nil"/>
              <w:bottom w:val="nil"/>
              <w:right w:val="nil"/>
            </w:tcBorders>
            <w:shd w:val="clear" w:color="000000" w:fill="FFFFFF"/>
            <w:noWrap/>
            <w:vAlign w:val="center"/>
            <w:hideMark/>
          </w:tcPr>
          <w:p w:rsidR="00ED544B" w:rsidRPr="00812046" w:rsidP="007546F9" w14:paraId="0B1CBE3D" w14:textId="77777777">
            <w:pPr>
              <w:jc w:val="center"/>
              <w:rPr>
                <w:color w:val="000000"/>
                <w:sz w:val="16"/>
                <w:szCs w:val="16"/>
              </w:rPr>
            </w:pPr>
            <w:r w:rsidRPr="00812046">
              <w:rPr>
                <w:color w:val="000000"/>
                <w:sz w:val="16"/>
                <w:szCs w:val="16"/>
              </w:rPr>
              <w:t>0.78***</w:t>
            </w:r>
          </w:p>
        </w:tc>
        <w:tc>
          <w:tcPr>
            <w:tcW w:w="0" w:type="auto"/>
            <w:tcBorders>
              <w:top w:val="nil"/>
              <w:left w:val="nil"/>
              <w:bottom w:val="nil"/>
              <w:right w:val="nil"/>
            </w:tcBorders>
            <w:shd w:val="clear" w:color="000000" w:fill="FFFFFF"/>
            <w:noWrap/>
            <w:vAlign w:val="center"/>
            <w:hideMark/>
          </w:tcPr>
          <w:p w:rsidR="00ED544B" w:rsidRPr="00812046" w:rsidP="007546F9" w14:paraId="68BACE59" w14:textId="77777777">
            <w:pPr>
              <w:jc w:val="center"/>
              <w:rPr>
                <w:color w:val="000000"/>
                <w:sz w:val="16"/>
                <w:szCs w:val="16"/>
              </w:rPr>
            </w:pPr>
            <w:r w:rsidRPr="00812046">
              <w:rPr>
                <w:color w:val="000000"/>
                <w:sz w:val="16"/>
                <w:szCs w:val="16"/>
              </w:rPr>
              <w:t>1.02***</w:t>
            </w:r>
          </w:p>
        </w:tc>
        <w:tc>
          <w:tcPr>
            <w:tcW w:w="0" w:type="auto"/>
            <w:tcBorders>
              <w:top w:val="nil"/>
              <w:left w:val="nil"/>
              <w:bottom w:val="nil"/>
              <w:right w:val="nil"/>
            </w:tcBorders>
            <w:shd w:val="clear" w:color="000000" w:fill="FFFFFF"/>
            <w:noWrap/>
            <w:vAlign w:val="center"/>
            <w:hideMark/>
          </w:tcPr>
          <w:p w:rsidR="00ED544B" w:rsidRPr="00812046" w:rsidP="007546F9" w14:paraId="618B2244" w14:textId="77777777">
            <w:pPr>
              <w:jc w:val="center"/>
              <w:rPr>
                <w:color w:val="000000"/>
                <w:sz w:val="16"/>
                <w:szCs w:val="16"/>
              </w:rPr>
            </w:pPr>
            <w:r w:rsidRPr="00812046">
              <w:rPr>
                <w:color w:val="000000"/>
                <w:sz w:val="16"/>
                <w:szCs w:val="16"/>
              </w:rPr>
              <w:t>1.16***</w:t>
            </w:r>
          </w:p>
        </w:tc>
        <w:tc>
          <w:tcPr>
            <w:tcW w:w="0" w:type="auto"/>
            <w:tcBorders>
              <w:top w:val="nil"/>
              <w:left w:val="nil"/>
              <w:bottom w:val="nil"/>
              <w:right w:val="nil"/>
            </w:tcBorders>
            <w:shd w:val="clear" w:color="000000" w:fill="FFFFFF"/>
            <w:noWrap/>
            <w:vAlign w:val="center"/>
            <w:hideMark/>
          </w:tcPr>
          <w:p w:rsidR="00ED544B" w:rsidRPr="00812046" w:rsidP="007546F9" w14:paraId="31AE8729" w14:textId="77777777">
            <w:pPr>
              <w:jc w:val="center"/>
              <w:rPr>
                <w:color w:val="000000"/>
                <w:sz w:val="16"/>
                <w:szCs w:val="16"/>
              </w:rPr>
            </w:pPr>
            <w:r w:rsidRPr="00812046">
              <w:rPr>
                <w:color w:val="000000"/>
                <w:sz w:val="16"/>
                <w:szCs w:val="16"/>
              </w:rPr>
              <w:t>0.72***</w:t>
            </w:r>
          </w:p>
        </w:tc>
        <w:tc>
          <w:tcPr>
            <w:tcW w:w="0" w:type="auto"/>
            <w:tcBorders>
              <w:top w:val="nil"/>
              <w:left w:val="nil"/>
              <w:bottom w:val="nil"/>
              <w:right w:val="nil"/>
            </w:tcBorders>
            <w:shd w:val="clear" w:color="000000" w:fill="FFFFFF"/>
            <w:noWrap/>
            <w:vAlign w:val="center"/>
            <w:hideMark/>
          </w:tcPr>
          <w:p w:rsidR="00ED544B" w:rsidRPr="00812046" w:rsidP="007546F9" w14:paraId="0F83FE6C" w14:textId="77777777">
            <w:pPr>
              <w:jc w:val="center"/>
              <w:rPr>
                <w:color w:val="000000"/>
                <w:sz w:val="16"/>
                <w:szCs w:val="16"/>
              </w:rPr>
            </w:pPr>
            <w:r w:rsidRPr="00812046">
              <w:rPr>
                <w:color w:val="000000"/>
                <w:sz w:val="16"/>
                <w:szCs w:val="16"/>
              </w:rPr>
              <w:t>0.79***</w:t>
            </w:r>
          </w:p>
        </w:tc>
        <w:tc>
          <w:tcPr>
            <w:tcW w:w="0" w:type="auto"/>
            <w:tcBorders>
              <w:top w:val="nil"/>
              <w:left w:val="nil"/>
              <w:bottom w:val="nil"/>
              <w:right w:val="nil"/>
            </w:tcBorders>
            <w:shd w:val="clear" w:color="000000" w:fill="FFFFFF"/>
            <w:noWrap/>
            <w:vAlign w:val="center"/>
            <w:hideMark/>
          </w:tcPr>
          <w:p w:rsidR="00ED544B" w:rsidRPr="00812046" w:rsidP="007546F9" w14:paraId="55C4367F" w14:textId="77777777">
            <w:pPr>
              <w:jc w:val="center"/>
              <w:rPr>
                <w:color w:val="000000"/>
                <w:sz w:val="16"/>
                <w:szCs w:val="16"/>
              </w:rPr>
            </w:pPr>
            <w:r w:rsidRPr="00812046">
              <w:rPr>
                <w:color w:val="000000"/>
                <w:sz w:val="16"/>
                <w:szCs w:val="16"/>
              </w:rPr>
              <w:t>0.67***</w:t>
            </w:r>
          </w:p>
        </w:tc>
        <w:tc>
          <w:tcPr>
            <w:tcW w:w="0" w:type="auto"/>
            <w:tcBorders>
              <w:top w:val="nil"/>
              <w:left w:val="nil"/>
              <w:bottom w:val="nil"/>
              <w:right w:val="nil"/>
            </w:tcBorders>
            <w:shd w:val="clear" w:color="000000" w:fill="FFFFFF"/>
            <w:noWrap/>
            <w:vAlign w:val="center"/>
            <w:hideMark/>
          </w:tcPr>
          <w:p w:rsidR="00ED544B" w:rsidRPr="00812046" w:rsidP="007546F9" w14:paraId="636B87FE" w14:textId="77777777">
            <w:pPr>
              <w:jc w:val="center"/>
              <w:rPr>
                <w:color w:val="000000"/>
                <w:sz w:val="16"/>
                <w:szCs w:val="16"/>
              </w:rPr>
            </w:pPr>
            <w:r w:rsidRPr="00812046">
              <w:rPr>
                <w:color w:val="000000"/>
                <w:sz w:val="16"/>
                <w:szCs w:val="16"/>
              </w:rPr>
              <w:t>0.27***</w:t>
            </w:r>
          </w:p>
        </w:tc>
        <w:tc>
          <w:tcPr>
            <w:tcW w:w="0" w:type="auto"/>
            <w:tcBorders>
              <w:top w:val="nil"/>
              <w:left w:val="nil"/>
              <w:bottom w:val="nil"/>
              <w:right w:val="nil"/>
            </w:tcBorders>
            <w:shd w:val="clear" w:color="000000" w:fill="FFFFFF"/>
            <w:noWrap/>
            <w:vAlign w:val="center"/>
            <w:hideMark/>
          </w:tcPr>
          <w:p w:rsidR="00ED544B" w:rsidRPr="00812046" w:rsidP="007546F9" w14:paraId="2F4CFDA8" w14:textId="77777777">
            <w:pPr>
              <w:jc w:val="center"/>
              <w:rPr>
                <w:color w:val="000000"/>
                <w:sz w:val="16"/>
                <w:szCs w:val="16"/>
              </w:rPr>
            </w:pPr>
            <w:r w:rsidRPr="00812046">
              <w:rPr>
                <w:color w:val="000000"/>
                <w:sz w:val="16"/>
                <w:szCs w:val="16"/>
              </w:rPr>
              <w:t>0.68***</w:t>
            </w:r>
          </w:p>
        </w:tc>
        <w:tc>
          <w:tcPr>
            <w:tcW w:w="0" w:type="auto"/>
            <w:tcBorders>
              <w:top w:val="nil"/>
              <w:left w:val="nil"/>
              <w:bottom w:val="nil"/>
              <w:right w:val="nil"/>
            </w:tcBorders>
            <w:shd w:val="clear" w:color="000000" w:fill="FFFFFF"/>
            <w:noWrap/>
            <w:vAlign w:val="center"/>
            <w:hideMark/>
          </w:tcPr>
          <w:p w:rsidR="00ED544B" w:rsidRPr="00812046" w:rsidP="007546F9" w14:paraId="37ABDC77" w14:textId="77777777">
            <w:pPr>
              <w:jc w:val="center"/>
              <w:rPr>
                <w:color w:val="000000"/>
                <w:sz w:val="16"/>
                <w:szCs w:val="16"/>
              </w:rPr>
            </w:pPr>
            <w:r w:rsidRPr="00812046">
              <w:rPr>
                <w:color w:val="000000"/>
                <w:sz w:val="16"/>
                <w:szCs w:val="16"/>
              </w:rPr>
              <w:t>0.74***</w:t>
            </w:r>
          </w:p>
        </w:tc>
        <w:tc>
          <w:tcPr>
            <w:tcW w:w="0" w:type="auto"/>
            <w:tcBorders>
              <w:top w:val="nil"/>
              <w:left w:val="nil"/>
              <w:bottom w:val="nil"/>
              <w:right w:val="nil"/>
            </w:tcBorders>
            <w:shd w:val="clear" w:color="000000" w:fill="FFFFFF"/>
            <w:noWrap/>
            <w:vAlign w:val="center"/>
            <w:hideMark/>
          </w:tcPr>
          <w:p w:rsidR="00ED544B" w:rsidRPr="00812046" w:rsidP="007546F9" w14:paraId="5735912E" w14:textId="77777777">
            <w:pPr>
              <w:jc w:val="center"/>
              <w:rPr>
                <w:color w:val="000000"/>
                <w:sz w:val="16"/>
                <w:szCs w:val="16"/>
              </w:rPr>
            </w:pPr>
            <w:r w:rsidRPr="00812046">
              <w:rPr>
                <w:color w:val="000000"/>
                <w:sz w:val="16"/>
                <w:szCs w:val="16"/>
              </w:rPr>
              <w:t>0.91***</w:t>
            </w:r>
          </w:p>
        </w:tc>
        <w:tc>
          <w:tcPr>
            <w:tcW w:w="957" w:type="dxa"/>
            <w:tcBorders>
              <w:top w:val="nil"/>
              <w:left w:val="nil"/>
              <w:bottom w:val="nil"/>
              <w:right w:val="nil"/>
            </w:tcBorders>
            <w:shd w:val="clear" w:color="000000" w:fill="FFFFFF"/>
            <w:noWrap/>
            <w:vAlign w:val="center"/>
            <w:hideMark/>
          </w:tcPr>
          <w:p w:rsidR="00ED544B" w:rsidRPr="00812046" w:rsidP="007546F9" w14:paraId="3D0F6448" w14:textId="77777777">
            <w:pPr>
              <w:jc w:val="center"/>
              <w:rPr>
                <w:color w:val="000000"/>
                <w:sz w:val="16"/>
                <w:szCs w:val="16"/>
              </w:rPr>
            </w:pPr>
            <w:r w:rsidRPr="00812046">
              <w:rPr>
                <w:color w:val="000000"/>
                <w:sz w:val="16"/>
                <w:szCs w:val="16"/>
              </w:rPr>
              <w:t>0.94***</w:t>
            </w:r>
          </w:p>
        </w:tc>
      </w:tr>
      <w:tr w14:paraId="296EE2CB"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bottom"/>
            <w:hideMark/>
          </w:tcPr>
          <w:p w:rsidR="00ED544B" w:rsidRPr="00812046" w:rsidP="007546F9" w14:paraId="5FDBF82F"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14CD19B0" w14:textId="77777777">
            <w:pPr>
              <w:jc w:val="center"/>
              <w:rPr>
                <w:color w:val="000000"/>
                <w:sz w:val="16"/>
                <w:szCs w:val="16"/>
              </w:rPr>
            </w:pPr>
            <w:r w:rsidRPr="00812046">
              <w:rPr>
                <w:color w:val="000000"/>
                <w:sz w:val="16"/>
                <w:szCs w:val="16"/>
              </w:rPr>
              <w:t>(0.04)</w:t>
            </w:r>
          </w:p>
        </w:tc>
        <w:tc>
          <w:tcPr>
            <w:tcW w:w="0" w:type="auto"/>
            <w:tcBorders>
              <w:top w:val="nil"/>
              <w:left w:val="nil"/>
              <w:bottom w:val="nil"/>
              <w:right w:val="nil"/>
            </w:tcBorders>
            <w:shd w:val="clear" w:color="000000" w:fill="FFFFFF"/>
            <w:noWrap/>
            <w:vAlign w:val="center"/>
            <w:hideMark/>
          </w:tcPr>
          <w:p w:rsidR="00ED544B" w:rsidRPr="00812046" w:rsidP="007546F9" w14:paraId="1B5F3D05" w14:textId="77777777">
            <w:pPr>
              <w:jc w:val="center"/>
              <w:rPr>
                <w:color w:val="000000"/>
                <w:sz w:val="16"/>
                <w:szCs w:val="16"/>
              </w:rPr>
            </w:pPr>
            <w:r w:rsidRPr="00812046">
              <w:rPr>
                <w:color w:val="000000"/>
                <w:sz w:val="16"/>
                <w:szCs w:val="16"/>
              </w:rPr>
              <w:t>(0.04)</w:t>
            </w:r>
          </w:p>
        </w:tc>
        <w:tc>
          <w:tcPr>
            <w:tcW w:w="0" w:type="auto"/>
            <w:tcBorders>
              <w:top w:val="nil"/>
              <w:left w:val="nil"/>
              <w:bottom w:val="nil"/>
              <w:right w:val="nil"/>
            </w:tcBorders>
            <w:shd w:val="clear" w:color="000000" w:fill="FFFFFF"/>
            <w:noWrap/>
            <w:vAlign w:val="center"/>
            <w:hideMark/>
          </w:tcPr>
          <w:p w:rsidR="00ED544B" w:rsidRPr="00812046" w:rsidP="007546F9" w14:paraId="2FB4B89E" w14:textId="77777777">
            <w:pPr>
              <w:jc w:val="center"/>
              <w:rPr>
                <w:color w:val="000000"/>
                <w:sz w:val="16"/>
                <w:szCs w:val="16"/>
              </w:rPr>
            </w:pPr>
            <w:r w:rsidRPr="00812046">
              <w:rPr>
                <w:color w:val="000000"/>
                <w:sz w:val="16"/>
                <w:szCs w:val="16"/>
              </w:rPr>
              <w:t>(0.06)</w:t>
            </w:r>
          </w:p>
        </w:tc>
        <w:tc>
          <w:tcPr>
            <w:tcW w:w="0" w:type="auto"/>
            <w:tcBorders>
              <w:top w:val="nil"/>
              <w:left w:val="nil"/>
              <w:bottom w:val="nil"/>
              <w:right w:val="nil"/>
            </w:tcBorders>
            <w:shd w:val="clear" w:color="000000" w:fill="FFFFFF"/>
            <w:noWrap/>
            <w:vAlign w:val="center"/>
            <w:hideMark/>
          </w:tcPr>
          <w:p w:rsidR="00ED544B" w:rsidRPr="00812046" w:rsidP="007546F9" w14:paraId="431B4A08" w14:textId="77777777">
            <w:pPr>
              <w:jc w:val="center"/>
              <w:rPr>
                <w:color w:val="000000"/>
                <w:sz w:val="16"/>
                <w:szCs w:val="16"/>
              </w:rPr>
            </w:pPr>
            <w:r w:rsidRPr="00812046">
              <w:rPr>
                <w:color w:val="000000"/>
                <w:sz w:val="16"/>
                <w:szCs w:val="16"/>
              </w:rPr>
              <w:t>(0.06)</w:t>
            </w:r>
          </w:p>
        </w:tc>
        <w:tc>
          <w:tcPr>
            <w:tcW w:w="0" w:type="auto"/>
            <w:tcBorders>
              <w:top w:val="nil"/>
              <w:left w:val="nil"/>
              <w:bottom w:val="nil"/>
              <w:right w:val="nil"/>
            </w:tcBorders>
            <w:shd w:val="clear" w:color="000000" w:fill="FFFFFF"/>
            <w:noWrap/>
            <w:vAlign w:val="center"/>
            <w:hideMark/>
          </w:tcPr>
          <w:p w:rsidR="00ED544B" w:rsidRPr="00812046" w:rsidP="007546F9" w14:paraId="08F3FD6F" w14:textId="77777777">
            <w:pPr>
              <w:jc w:val="center"/>
              <w:rPr>
                <w:color w:val="000000"/>
                <w:sz w:val="16"/>
                <w:szCs w:val="16"/>
              </w:rPr>
            </w:pPr>
            <w:r w:rsidRPr="00812046">
              <w:rPr>
                <w:color w:val="000000"/>
                <w:sz w:val="16"/>
                <w:szCs w:val="16"/>
              </w:rPr>
              <w:t>(0.04)</w:t>
            </w:r>
          </w:p>
        </w:tc>
        <w:tc>
          <w:tcPr>
            <w:tcW w:w="0" w:type="auto"/>
            <w:tcBorders>
              <w:top w:val="nil"/>
              <w:left w:val="nil"/>
              <w:bottom w:val="nil"/>
              <w:right w:val="nil"/>
            </w:tcBorders>
            <w:shd w:val="clear" w:color="000000" w:fill="FFFFFF"/>
            <w:noWrap/>
            <w:vAlign w:val="center"/>
            <w:hideMark/>
          </w:tcPr>
          <w:p w:rsidR="00ED544B" w:rsidRPr="00812046" w:rsidP="007546F9" w14:paraId="134E4DB7" w14:textId="77777777">
            <w:pPr>
              <w:jc w:val="center"/>
              <w:rPr>
                <w:color w:val="000000"/>
                <w:sz w:val="16"/>
                <w:szCs w:val="16"/>
              </w:rPr>
            </w:pPr>
            <w:r w:rsidRPr="00812046">
              <w:rPr>
                <w:color w:val="000000"/>
                <w:sz w:val="16"/>
                <w:szCs w:val="16"/>
              </w:rPr>
              <w:t>(0.04)</w:t>
            </w:r>
          </w:p>
        </w:tc>
        <w:tc>
          <w:tcPr>
            <w:tcW w:w="0" w:type="auto"/>
            <w:tcBorders>
              <w:top w:val="nil"/>
              <w:left w:val="nil"/>
              <w:bottom w:val="nil"/>
              <w:right w:val="nil"/>
            </w:tcBorders>
            <w:shd w:val="clear" w:color="000000" w:fill="FFFFFF"/>
            <w:noWrap/>
            <w:vAlign w:val="center"/>
            <w:hideMark/>
          </w:tcPr>
          <w:p w:rsidR="00ED544B" w:rsidRPr="00812046" w:rsidP="007546F9" w14:paraId="3E081669" w14:textId="77777777">
            <w:pPr>
              <w:jc w:val="center"/>
              <w:rPr>
                <w:color w:val="000000"/>
                <w:sz w:val="16"/>
                <w:szCs w:val="16"/>
              </w:rPr>
            </w:pPr>
            <w:r w:rsidRPr="00812046">
              <w:rPr>
                <w:color w:val="000000"/>
                <w:sz w:val="16"/>
                <w:szCs w:val="16"/>
              </w:rPr>
              <w:t>(0.06)</w:t>
            </w:r>
          </w:p>
        </w:tc>
        <w:tc>
          <w:tcPr>
            <w:tcW w:w="0" w:type="auto"/>
            <w:tcBorders>
              <w:top w:val="nil"/>
              <w:left w:val="nil"/>
              <w:bottom w:val="nil"/>
              <w:right w:val="nil"/>
            </w:tcBorders>
            <w:shd w:val="clear" w:color="000000" w:fill="FFFFFF"/>
            <w:noWrap/>
            <w:vAlign w:val="center"/>
            <w:hideMark/>
          </w:tcPr>
          <w:p w:rsidR="00ED544B" w:rsidRPr="00812046" w:rsidP="007546F9" w14:paraId="57508512" w14:textId="77777777">
            <w:pPr>
              <w:jc w:val="center"/>
              <w:rPr>
                <w:color w:val="000000"/>
                <w:sz w:val="16"/>
                <w:szCs w:val="16"/>
              </w:rPr>
            </w:pPr>
            <w:r w:rsidRPr="00812046">
              <w:rPr>
                <w:color w:val="000000"/>
                <w:sz w:val="16"/>
                <w:szCs w:val="16"/>
              </w:rPr>
              <w:t>(0.04)</w:t>
            </w:r>
          </w:p>
        </w:tc>
        <w:tc>
          <w:tcPr>
            <w:tcW w:w="0" w:type="auto"/>
            <w:tcBorders>
              <w:top w:val="nil"/>
              <w:left w:val="nil"/>
              <w:bottom w:val="nil"/>
              <w:right w:val="nil"/>
            </w:tcBorders>
            <w:shd w:val="clear" w:color="000000" w:fill="FFFFFF"/>
            <w:noWrap/>
            <w:vAlign w:val="center"/>
            <w:hideMark/>
          </w:tcPr>
          <w:p w:rsidR="00ED544B" w:rsidRPr="00812046" w:rsidP="007546F9" w14:paraId="470DF5F4" w14:textId="77777777">
            <w:pPr>
              <w:jc w:val="center"/>
              <w:rPr>
                <w:color w:val="000000"/>
                <w:sz w:val="16"/>
                <w:szCs w:val="16"/>
              </w:rPr>
            </w:pPr>
            <w:r w:rsidRPr="00812046">
              <w:rPr>
                <w:color w:val="000000"/>
                <w:sz w:val="16"/>
                <w:szCs w:val="16"/>
              </w:rPr>
              <w:t>(0.05)</w:t>
            </w:r>
          </w:p>
        </w:tc>
        <w:tc>
          <w:tcPr>
            <w:tcW w:w="0" w:type="auto"/>
            <w:tcBorders>
              <w:top w:val="nil"/>
              <w:left w:val="nil"/>
              <w:bottom w:val="nil"/>
              <w:right w:val="nil"/>
            </w:tcBorders>
            <w:shd w:val="clear" w:color="000000" w:fill="FFFFFF"/>
            <w:noWrap/>
            <w:vAlign w:val="center"/>
            <w:hideMark/>
          </w:tcPr>
          <w:p w:rsidR="00ED544B" w:rsidRPr="00812046" w:rsidP="007546F9" w14:paraId="7DA1797D" w14:textId="77777777">
            <w:pPr>
              <w:jc w:val="center"/>
              <w:rPr>
                <w:color w:val="000000"/>
                <w:sz w:val="16"/>
                <w:szCs w:val="16"/>
              </w:rPr>
            </w:pPr>
            <w:r w:rsidRPr="00812046">
              <w:rPr>
                <w:color w:val="000000"/>
                <w:sz w:val="16"/>
                <w:szCs w:val="16"/>
              </w:rPr>
              <w:t>(0.04)</w:t>
            </w:r>
          </w:p>
        </w:tc>
        <w:tc>
          <w:tcPr>
            <w:tcW w:w="0" w:type="auto"/>
            <w:tcBorders>
              <w:top w:val="nil"/>
              <w:left w:val="nil"/>
              <w:bottom w:val="nil"/>
              <w:right w:val="nil"/>
            </w:tcBorders>
            <w:shd w:val="clear" w:color="000000" w:fill="FFFFFF"/>
            <w:noWrap/>
            <w:vAlign w:val="center"/>
            <w:hideMark/>
          </w:tcPr>
          <w:p w:rsidR="00ED544B" w:rsidRPr="00812046" w:rsidP="007546F9" w14:paraId="36BEA72C" w14:textId="77777777">
            <w:pPr>
              <w:jc w:val="center"/>
              <w:rPr>
                <w:color w:val="000000"/>
                <w:sz w:val="16"/>
                <w:szCs w:val="16"/>
              </w:rPr>
            </w:pPr>
            <w:r w:rsidRPr="00812046">
              <w:rPr>
                <w:color w:val="000000"/>
                <w:sz w:val="16"/>
                <w:szCs w:val="16"/>
              </w:rPr>
              <w:t>(0.11)</w:t>
            </w:r>
          </w:p>
        </w:tc>
        <w:tc>
          <w:tcPr>
            <w:tcW w:w="957" w:type="dxa"/>
            <w:tcBorders>
              <w:top w:val="nil"/>
              <w:left w:val="nil"/>
              <w:bottom w:val="nil"/>
              <w:right w:val="nil"/>
            </w:tcBorders>
            <w:shd w:val="clear" w:color="000000" w:fill="FFFFFF"/>
            <w:noWrap/>
            <w:vAlign w:val="center"/>
            <w:hideMark/>
          </w:tcPr>
          <w:p w:rsidR="00ED544B" w:rsidRPr="00812046" w:rsidP="007546F9" w14:paraId="4B201914" w14:textId="77777777">
            <w:pPr>
              <w:jc w:val="center"/>
              <w:rPr>
                <w:color w:val="000000"/>
                <w:sz w:val="16"/>
                <w:szCs w:val="16"/>
              </w:rPr>
            </w:pPr>
            <w:r w:rsidRPr="00812046">
              <w:rPr>
                <w:color w:val="000000"/>
                <w:sz w:val="16"/>
                <w:szCs w:val="16"/>
              </w:rPr>
              <w:t>(0.12)</w:t>
            </w:r>
          </w:p>
        </w:tc>
      </w:tr>
      <w:tr w14:paraId="64390FB8"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1DFF4703" w14:textId="77777777">
            <w:pPr>
              <w:rPr>
                <w:color w:val="000000"/>
                <w:sz w:val="16"/>
                <w:szCs w:val="16"/>
              </w:rPr>
            </w:pPr>
            <w:r w:rsidRPr="00812046">
              <w:rPr>
                <w:color w:val="000000"/>
                <w:sz w:val="16"/>
                <w:szCs w:val="16"/>
              </w:rPr>
              <w:t>Local GDP Density</w:t>
            </w:r>
          </w:p>
        </w:tc>
        <w:tc>
          <w:tcPr>
            <w:tcW w:w="0" w:type="auto"/>
            <w:tcBorders>
              <w:top w:val="nil"/>
              <w:left w:val="nil"/>
              <w:bottom w:val="nil"/>
              <w:right w:val="nil"/>
            </w:tcBorders>
            <w:shd w:val="clear" w:color="000000" w:fill="FFFFFF"/>
            <w:noWrap/>
            <w:vAlign w:val="center"/>
            <w:hideMark/>
          </w:tcPr>
          <w:p w:rsidR="00ED544B" w:rsidRPr="00812046" w:rsidP="007546F9" w14:paraId="6553F995" w14:textId="77777777">
            <w:pPr>
              <w:jc w:val="center"/>
              <w:rPr>
                <w:color w:val="000000"/>
                <w:sz w:val="16"/>
                <w:szCs w:val="16"/>
              </w:rPr>
            </w:pPr>
            <w:r w:rsidRPr="00812046">
              <w:rPr>
                <w:color w:val="000000"/>
                <w:sz w:val="16"/>
                <w:szCs w:val="16"/>
              </w:rPr>
              <w:t>0.04***</w:t>
            </w:r>
          </w:p>
        </w:tc>
        <w:tc>
          <w:tcPr>
            <w:tcW w:w="0" w:type="auto"/>
            <w:tcBorders>
              <w:top w:val="nil"/>
              <w:left w:val="nil"/>
              <w:bottom w:val="nil"/>
              <w:right w:val="nil"/>
            </w:tcBorders>
            <w:shd w:val="clear" w:color="000000" w:fill="FFFFFF"/>
            <w:noWrap/>
            <w:vAlign w:val="center"/>
            <w:hideMark/>
          </w:tcPr>
          <w:p w:rsidR="00ED544B" w:rsidRPr="00812046" w:rsidP="007546F9" w14:paraId="619AAB82" w14:textId="77777777">
            <w:pPr>
              <w:jc w:val="center"/>
              <w:rPr>
                <w:color w:val="000000"/>
                <w:sz w:val="16"/>
                <w:szCs w:val="16"/>
              </w:rPr>
            </w:pPr>
            <w:r w:rsidRPr="00812046">
              <w:rPr>
                <w:color w:val="000000"/>
                <w:sz w:val="16"/>
                <w:szCs w:val="16"/>
              </w:rPr>
              <w:t>0.03***</w:t>
            </w:r>
          </w:p>
        </w:tc>
        <w:tc>
          <w:tcPr>
            <w:tcW w:w="0" w:type="auto"/>
            <w:tcBorders>
              <w:top w:val="nil"/>
              <w:left w:val="nil"/>
              <w:bottom w:val="nil"/>
              <w:right w:val="nil"/>
            </w:tcBorders>
            <w:shd w:val="clear" w:color="000000" w:fill="FFFFFF"/>
            <w:noWrap/>
            <w:vAlign w:val="center"/>
            <w:hideMark/>
          </w:tcPr>
          <w:p w:rsidR="00ED544B" w:rsidRPr="00812046" w:rsidP="007546F9" w14:paraId="05B28707" w14:textId="77777777">
            <w:pPr>
              <w:jc w:val="center"/>
              <w:rPr>
                <w:color w:val="000000"/>
                <w:sz w:val="16"/>
                <w:szCs w:val="16"/>
              </w:rPr>
            </w:pPr>
            <w:r w:rsidRPr="00812046">
              <w:rPr>
                <w:color w:val="000000"/>
                <w:sz w:val="16"/>
                <w:szCs w:val="16"/>
              </w:rPr>
              <w:t>0.05***</w:t>
            </w:r>
          </w:p>
        </w:tc>
        <w:tc>
          <w:tcPr>
            <w:tcW w:w="0" w:type="auto"/>
            <w:tcBorders>
              <w:top w:val="nil"/>
              <w:left w:val="nil"/>
              <w:bottom w:val="nil"/>
              <w:right w:val="nil"/>
            </w:tcBorders>
            <w:shd w:val="clear" w:color="000000" w:fill="FFFFFF"/>
            <w:noWrap/>
            <w:vAlign w:val="center"/>
            <w:hideMark/>
          </w:tcPr>
          <w:p w:rsidR="00ED544B" w:rsidRPr="00812046" w:rsidP="007546F9" w14:paraId="2CF2C121" w14:textId="77777777">
            <w:pPr>
              <w:jc w:val="center"/>
              <w:rPr>
                <w:color w:val="000000"/>
                <w:sz w:val="16"/>
                <w:szCs w:val="16"/>
              </w:rPr>
            </w:pPr>
            <w:r w:rsidRPr="00812046">
              <w:rPr>
                <w:color w:val="000000"/>
                <w:sz w:val="16"/>
                <w:szCs w:val="16"/>
              </w:rPr>
              <w:t>0.06***</w:t>
            </w:r>
          </w:p>
        </w:tc>
        <w:tc>
          <w:tcPr>
            <w:tcW w:w="0" w:type="auto"/>
            <w:tcBorders>
              <w:top w:val="nil"/>
              <w:left w:val="nil"/>
              <w:bottom w:val="nil"/>
              <w:right w:val="nil"/>
            </w:tcBorders>
            <w:shd w:val="clear" w:color="000000" w:fill="FFFFFF"/>
            <w:noWrap/>
            <w:vAlign w:val="center"/>
            <w:hideMark/>
          </w:tcPr>
          <w:p w:rsidR="00ED544B" w:rsidRPr="00812046" w:rsidP="007546F9" w14:paraId="77E7E18E" w14:textId="77777777">
            <w:pPr>
              <w:jc w:val="center"/>
              <w:rPr>
                <w:color w:val="000000"/>
                <w:sz w:val="16"/>
                <w:szCs w:val="16"/>
              </w:rPr>
            </w:pPr>
            <w:r w:rsidRPr="00812046">
              <w:rPr>
                <w:color w:val="000000"/>
                <w:sz w:val="16"/>
                <w:szCs w:val="16"/>
              </w:rPr>
              <w:t>0.04***</w:t>
            </w:r>
          </w:p>
        </w:tc>
        <w:tc>
          <w:tcPr>
            <w:tcW w:w="0" w:type="auto"/>
            <w:tcBorders>
              <w:top w:val="nil"/>
              <w:left w:val="nil"/>
              <w:bottom w:val="nil"/>
              <w:right w:val="nil"/>
            </w:tcBorders>
            <w:shd w:val="clear" w:color="000000" w:fill="FFFFFF"/>
            <w:noWrap/>
            <w:vAlign w:val="center"/>
            <w:hideMark/>
          </w:tcPr>
          <w:p w:rsidR="00ED544B" w:rsidRPr="00812046" w:rsidP="007546F9" w14:paraId="15C50B3C" w14:textId="77777777">
            <w:pPr>
              <w:jc w:val="center"/>
              <w:rPr>
                <w:color w:val="000000"/>
                <w:sz w:val="16"/>
                <w:szCs w:val="16"/>
              </w:rPr>
            </w:pPr>
            <w:r w:rsidRPr="00812046">
              <w:rPr>
                <w:color w:val="000000"/>
                <w:sz w:val="16"/>
                <w:szCs w:val="16"/>
              </w:rPr>
              <w:t>0.06***</w:t>
            </w:r>
          </w:p>
        </w:tc>
        <w:tc>
          <w:tcPr>
            <w:tcW w:w="0" w:type="auto"/>
            <w:tcBorders>
              <w:top w:val="nil"/>
              <w:left w:val="nil"/>
              <w:bottom w:val="nil"/>
              <w:right w:val="nil"/>
            </w:tcBorders>
            <w:shd w:val="clear" w:color="000000" w:fill="FFFFFF"/>
            <w:noWrap/>
            <w:vAlign w:val="center"/>
            <w:hideMark/>
          </w:tcPr>
          <w:p w:rsidR="00ED544B" w:rsidRPr="00812046" w:rsidP="007546F9" w14:paraId="434CC002" w14:textId="77777777">
            <w:pPr>
              <w:jc w:val="center"/>
              <w:rPr>
                <w:color w:val="000000"/>
                <w:sz w:val="16"/>
                <w:szCs w:val="16"/>
              </w:rPr>
            </w:pPr>
            <w:r w:rsidRPr="00812046">
              <w:rPr>
                <w:color w:val="000000"/>
                <w:sz w:val="16"/>
                <w:szCs w:val="16"/>
              </w:rPr>
              <w:t>0.03**</w:t>
            </w:r>
          </w:p>
        </w:tc>
        <w:tc>
          <w:tcPr>
            <w:tcW w:w="0" w:type="auto"/>
            <w:tcBorders>
              <w:top w:val="nil"/>
              <w:left w:val="nil"/>
              <w:bottom w:val="nil"/>
              <w:right w:val="nil"/>
            </w:tcBorders>
            <w:shd w:val="clear" w:color="000000" w:fill="FFFFFF"/>
            <w:noWrap/>
            <w:vAlign w:val="center"/>
            <w:hideMark/>
          </w:tcPr>
          <w:p w:rsidR="00ED544B" w:rsidRPr="00812046" w:rsidP="007546F9" w14:paraId="726EE3F1" w14:textId="77777777">
            <w:pPr>
              <w:jc w:val="center"/>
              <w:rPr>
                <w:color w:val="000000"/>
                <w:sz w:val="16"/>
                <w:szCs w:val="16"/>
              </w:rPr>
            </w:pPr>
            <w:r w:rsidRPr="00812046">
              <w:rPr>
                <w:color w:val="000000"/>
                <w:sz w:val="16"/>
                <w:szCs w:val="16"/>
              </w:rPr>
              <w:t>0.03**</w:t>
            </w:r>
          </w:p>
        </w:tc>
        <w:tc>
          <w:tcPr>
            <w:tcW w:w="0" w:type="auto"/>
            <w:tcBorders>
              <w:top w:val="nil"/>
              <w:left w:val="nil"/>
              <w:bottom w:val="nil"/>
              <w:right w:val="nil"/>
            </w:tcBorders>
            <w:shd w:val="clear" w:color="000000" w:fill="FFFFFF"/>
            <w:noWrap/>
            <w:vAlign w:val="center"/>
            <w:hideMark/>
          </w:tcPr>
          <w:p w:rsidR="00ED544B" w:rsidRPr="00812046" w:rsidP="007546F9" w14:paraId="232B7EE0" w14:textId="77777777">
            <w:pPr>
              <w:jc w:val="center"/>
              <w:rPr>
                <w:color w:val="000000"/>
                <w:sz w:val="16"/>
                <w:szCs w:val="16"/>
              </w:rPr>
            </w:pPr>
            <w:r w:rsidRPr="00812046">
              <w:rPr>
                <w:color w:val="000000"/>
                <w:sz w:val="16"/>
                <w:szCs w:val="16"/>
              </w:rPr>
              <w:t>0.07***</w:t>
            </w:r>
          </w:p>
        </w:tc>
        <w:tc>
          <w:tcPr>
            <w:tcW w:w="0" w:type="auto"/>
            <w:tcBorders>
              <w:top w:val="nil"/>
              <w:left w:val="nil"/>
              <w:bottom w:val="nil"/>
              <w:right w:val="nil"/>
            </w:tcBorders>
            <w:shd w:val="clear" w:color="000000" w:fill="FFFFFF"/>
            <w:noWrap/>
            <w:vAlign w:val="center"/>
            <w:hideMark/>
          </w:tcPr>
          <w:p w:rsidR="00ED544B" w:rsidRPr="00812046" w:rsidP="007546F9" w14:paraId="56AF279F" w14:textId="77777777">
            <w:pPr>
              <w:jc w:val="center"/>
              <w:rPr>
                <w:color w:val="000000"/>
                <w:sz w:val="16"/>
                <w:szCs w:val="16"/>
              </w:rPr>
            </w:pPr>
            <w:r w:rsidRPr="00812046">
              <w:rPr>
                <w:color w:val="000000"/>
                <w:sz w:val="16"/>
                <w:szCs w:val="16"/>
              </w:rPr>
              <w:t>0.04***</w:t>
            </w:r>
          </w:p>
        </w:tc>
        <w:tc>
          <w:tcPr>
            <w:tcW w:w="0" w:type="auto"/>
            <w:tcBorders>
              <w:top w:val="nil"/>
              <w:left w:val="nil"/>
              <w:bottom w:val="nil"/>
              <w:right w:val="nil"/>
            </w:tcBorders>
            <w:shd w:val="clear" w:color="000000" w:fill="FFFFFF"/>
            <w:noWrap/>
            <w:vAlign w:val="center"/>
            <w:hideMark/>
          </w:tcPr>
          <w:p w:rsidR="00ED544B" w:rsidRPr="00812046" w:rsidP="007546F9" w14:paraId="188FED35" w14:textId="77777777">
            <w:pPr>
              <w:jc w:val="center"/>
              <w:rPr>
                <w:color w:val="000000"/>
                <w:sz w:val="16"/>
                <w:szCs w:val="16"/>
              </w:rPr>
            </w:pPr>
            <w:r w:rsidRPr="00812046">
              <w:rPr>
                <w:color w:val="000000"/>
                <w:sz w:val="16"/>
                <w:szCs w:val="16"/>
              </w:rPr>
              <w:t>0.08**</w:t>
            </w:r>
          </w:p>
        </w:tc>
        <w:tc>
          <w:tcPr>
            <w:tcW w:w="957" w:type="dxa"/>
            <w:tcBorders>
              <w:top w:val="nil"/>
              <w:left w:val="nil"/>
              <w:bottom w:val="nil"/>
              <w:right w:val="nil"/>
            </w:tcBorders>
            <w:shd w:val="clear" w:color="000000" w:fill="FFFFFF"/>
            <w:noWrap/>
            <w:vAlign w:val="center"/>
            <w:hideMark/>
          </w:tcPr>
          <w:p w:rsidR="00ED544B" w:rsidRPr="00812046" w:rsidP="007546F9" w14:paraId="648BDA0D" w14:textId="77777777">
            <w:pPr>
              <w:jc w:val="center"/>
              <w:rPr>
                <w:color w:val="000000"/>
                <w:sz w:val="16"/>
                <w:szCs w:val="16"/>
              </w:rPr>
            </w:pPr>
            <w:r w:rsidRPr="00812046">
              <w:rPr>
                <w:color w:val="000000"/>
                <w:sz w:val="16"/>
                <w:szCs w:val="16"/>
              </w:rPr>
              <w:t>0.07**</w:t>
            </w:r>
          </w:p>
        </w:tc>
      </w:tr>
      <w:tr w14:paraId="36FD28CE"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bottom"/>
            <w:hideMark/>
          </w:tcPr>
          <w:p w:rsidR="00ED544B" w:rsidRPr="00812046" w:rsidP="007546F9" w14:paraId="7C1CEE5E"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7CF174E5" w14:textId="77777777">
            <w:pPr>
              <w:jc w:val="center"/>
              <w:rPr>
                <w:color w:val="000000"/>
                <w:sz w:val="16"/>
                <w:szCs w:val="16"/>
              </w:rPr>
            </w:pPr>
            <w:r w:rsidRPr="00812046">
              <w:rPr>
                <w:color w:val="000000"/>
                <w:sz w:val="16"/>
                <w:szCs w:val="16"/>
              </w:rPr>
              <w:t>(0.01)</w:t>
            </w:r>
          </w:p>
        </w:tc>
        <w:tc>
          <w:tcPr>
            <w:tcW w:w="0" w:type="auto"/>
            <w:tcBorders>
              <w:top w:val="nil"/>
              <w:left w:val="nil"/>
              <w:bottom w:val="nil"/>
              <w:right w:val="nil"/>
            </w:tcBorders>
            <w:shd w:val="clear" w:color="000000" w:fill="FFFFFF"/>
            <w:noWrap/>
            <w:vAlign w:val="center"/>
            <w:hideMark/>
          </w:tcPr>
          <w:p w:rsidR="00ED544B" w:rsidRPr="00812046" w:rsidP="007546F9" w14:paraId="561E72FF"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692E7993" w14:textId="77777777">
            <w:pPr>
              <w:jc w:val="center"/>
              <w:rPr>
                <w:color w:val="000000"/>
                <w:sz w:val="16"/>
                <w:szCs w:val="16"/>
              </w:rPr>
            </w:pPr>
            <w:r w:rsidRPr="00812046">
              <w:rPr>
                <w:color w:val="000000"/>
                <w:sz w:val="16"/>
                <w:szCs w:val="16"/>
              </w:rPr>
              <w:t>(0.01)</w:t>
            </w:r>
          </w:p>
        </w:tc>
        <w:tc>
          <w:tcPr>
            <w:tcW w:w="0" w:type="auto"/>
            <w:tcBorders>
              <w:top w:val="nil"/>
              <w:left w:val="nil"/>
              <w:bottom w:val="nil"/>
              <w:right w:val="nil"/>
            </w:tcBorders>
            <w:shd w:val="clear" w:color="000000" w:fill="FFFFFF"/>
            <w:noWrap/>
            <w:vAlign w:val="center"/>
            <w:hideMark/>
          </w:tcPr>
          <w:p w:rsidR="00ED544B" w:rsidRPr="00812046" w:rsidP="007546F9" w14:paraId="36FAED8C" w14:textId="77777777">
            <w:pPr>
              <w:jc w:val="center"/>
              <w:rPr>
                <w:color w:val="000000"/>
                <w:sz w:val="16"/>
                <w:szCs w:val="16"/>
              </w:rPr>
            </w:pPr>
            <w:r w:rsidRPr="00812046">
              <w:rPr>
                <w:color w:val="000000"/>
                <w:sz w:val="16"/>
                <w:szCs w:val="16"/>
              </w:rPr>
              <w:t>(0.01)</w:t>
            </w:r>
          </w:p>
        </w:tc>
        <w:tc>
          <w:tcPr>
            <w:tcW w:w="0" w:type="auto"/>
            <w:tcBorders>
              <w:top w:val="nil"/>
              <w:left w:val="nil"/>
              <w:bottom w:val="nil"/>
              <w:right w:val="nil"/>
            </w:tcBorders>
            <w:shd w:val="clear" w:color="000000" w:fill="FFFFFF"/>
            <w:noWrap/>
            <w:vAlign w:val="center"/>
            <w:hideMark/>
          </w:tcPr>
          <w:p w:rsidR="00ED544B" w:rsidRPr="00812046" w:rsidP="007546F9" w14:paraId="5377D1F9" w14:textId="77777777">
            <w:pPr>
              <w:jc w:val="center"/>
              <w:rPr>
                <w:color w:val="000000"/>
                <w:sz w:val="16"/>
                <w:szCs w:val="16"/>
              </w:rPr>
            </w:pPr>
            <w:r w:rsidRPr="00812046">
              <w:rPr>
                <w:color w:val="000000"/>
                <w:sz w:val="16"/>
                <w:szCs w:val="16"/>
              </w:rPr>
              <w:t>(0.01)</w:t>
            </w:r>
          </w:p>
        </w:tc>
        <w:tc>
          <w:tcPr>
            <w:tcW w:w="0" w:type="auto"/>
            <w:tcBorders>
              <w:top w:val="nil"/>
              <w:left w:val="nil"/>
              <w:bottom w:val="nil"/>
              <w:right w:val="nil"/>
            </w:tcBorders>
            <w:shd w:val="clear" w:color="000000" w:fill="FFFFFF"/>
            <w:noWrap/>
            <w:vAlign w:val="center"/>
            <w:hideMark/>
          </w:tcPr>
          <w:p w:rsidR="00ED544B" w:rsidRPr="00812046" w:rsidP="007546F9" w14:paraId="36BF2D8D" w14:textId="77777777">
            <w:pPr>
              <w:jc w:val="center"/>
              <w:rPr>
                <w:color w:val="000000"/>
                <w:sz w:val="16"/>
                <w:szCs w:val="16"/>
              </w:rPr>
            </w:pPr>
            <w:r w:rsidRPr="00812046">
              <w:rPr>
                <w:color w:val="000000"/>
                <w:sz w:val="16"/>
                <w:szCs w:val="16"/>
              </w:rPr>
              <w:t>(0.01)</w:t>
            </w:r>
          </w:p>
        </w:tc>
        <w:tc>
          <w:tcPr>
            <w:tcW w:w="0" w:type="auto"/>
            <w:tcBorders>
              <w:top w:val="nil"/>
              <w:left w:val="nil"/>
              <w:bottom w:val="nil"/>
              <w:right w:val="nil"/>
            </w:tcBorders>
            <w:shd w:val="clear" w:color="000000" w:fill="FFFFFF"/>
            <w:noWrap/>
            <w:vAlign w:val="center"/>
            <w:hideMark/>
          </w:tcPr>
          <w:p w:rsidR="00ED544B" w:rsidRPr="00812046" w:rsidP="007546F9" w14:paraId="5F4349DF" w14:textId="77777777">
            <w:pPr>
              <w:jc w:val="center"/>
              <w:rPr>
                <w:color w:val="000000"/>
                <w:sz w:val="16"/>
                <w:szCs w:val="16"/>
              </w:rPr>
            </w:pPr>
            <w:r w:rsidRPr="00812046">
              <w:rPr>
                <w:color w:val="000000"/>
                <w:sz w:val="16"/>
                <w:szCs w:val="16"/>
              </w:rPr>
              <w:t>(0.01)</w:t>
            </w:r>
          </w:p>
        </w:tc>
        <w:tc>
          <w:tcPr>
            <w:tcW w:w="0" w:type="auto"/>
            <w:tcBorders>
              <w:top w:val="nil"/>
              <w:left w:val="nil"/>
              <w:bottom w:val="nil"/>
              <w:right w:val="nil"/>
            </w:tcBorders>
            <w:shd w:val="clear" w:color="000000" w:fill="FFFFFF"/>
            <w:noWrap/>
            <w:vAlign w:val="center"/>
            <w:hideMark/>
          </w:tcPr>
          <w:p w:rsidR="00ED544B" w:rsidRPr="00812046" w:rsidP="007546F9" w14:paraId="3375CD13" w14:textId="77777777">
            <w:pPr>
              <w:jc w:val="center"/>
              <w:rPr>
                <w:color w:val="000000"/>
                <w:sz w:val="16"/>
                <w:szCs w:val="16"/>
              </w:rPr>
            </w:pPr>
            <w:r w:rsidRPr="00812046">
              <w:rPr>
                <w:color w:val="000000"/>
                <w:sz w:val="16"/>
                <w:szCs w:val="16"/>
              </w:rPr>
              <w:t>(0.01)</w:t>
            </w:r>
          </w:p>
        </w:tc>
        <w:tc>
          <w:tcPr>
            <w:tcW w:w="0" w:type="auto"/>
            <w:tcBorders>
              <w:top w:val="nil"/>
              <w:left w:val="nil"/>
              <w:bottom w:val="nil"/>
              <w:right w:val="nil"/>
            </w:tcBorders>
            <w:shd w:val="clear" w:color="000000" w:fill="FFFFFF"/>
            <w:noWrap/>
            <w:vAlign w:val="center"/>
            <w:hideMark/>
          </w:tcPr>
          <w:p w:rsidR="00ED544B" w:rsidRPr="00812046" w:rsidP="007546F9" w14:paraId="49491C4E" w14:textId="77777777">
            <w:pPr>
              <w:jc w:val="center"/>
              <w:rPr>
                <w:color w:val="000000"/>
                <w:sz w:val="16"/>
                <w:szCs w:val="16"/>
              </w:rPr>
            </w:pPr>
            <w:r w:rsidRPr="00812046">
              <w:rPr>
                <w:color w:val="000000"/>
                <w:sz w:val="16"/>
                <w:szCs w:val="16"/>
              </w:rPr>
              <w:t>(0.01)</w:t>
            </w:r>
          </w:p>
        </w:tc>
        <w:tc>
          <w:tcPr>
            <w:tcW w:w="0" w:type="auto"/>
            <w:tcBorders>
              <w:top w:val="nil"/>
              <w:left w:val="nil"/>
              <w:bottom w:val="nil"/>
              <w:right w:val="nil"/>
            </w:tcBorders>
            <w:shd w:val="clear" w:color="000000" w:fill="FFFFFF"/>
            <w:noWrap/>
            <w:vAlign w:val="center"/>
            <w:hideMark/>
          </w:tcPr>
          <w:p w:rsidR="00ED544B" w:rsidRPr="00812046" w:rsidP="007546F9" w14:paraId="14CFC457"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01ABF595" w14:textId="77777777">
            <w:pPr>
              <w:jc w:val="center"/>
              <w:rPr>
                <w:color w:val="000000"/>
                <w:sz w:val="16"/>
                <w:szCs w:val="16"/>
              </w:rPr>
            </w:pPr>
            <w:r w:rsidRPr="00812046">
              <w:rPr>
                <w:color w:val="000000"/>
                <w:sz w:val="16"/>
                <w:szCs w:val="16"/>
              </w:rPr>
              <w:t>(0.03)</w:t>
            </w:r>
          </w:p>
        </w:tc>
        <w:tc>
          <w:tcPr>
            <w:tcW w:w="957" w:type="dxa"/>
            <w:tcBorders>
              <w:top w:val="nil"/>
              <w:left w:val="nil"/>
              <w:bottom w:val="nil"/>
              <w:right w:val="nil"/>
            </w:tcBorders>
            <w:shd w:val="clear" w:color="000000" w:fill="FFFFFF"/>
            <w:noWrap/>
            <w:vAlign w:val="center"/>
            <w:hideMark/>
          </w:tcPr>
          <w:p w:rsidR="00ED544B" w:rsidRPr="00812046" w:rsidP="007546F9" w14:paraId="3CF8FC8B" w14:textId="77777777">
            <w:pPr>
              <w:jc w:val="center"/>
              <w:rPr>
                <w:color w:val="000000"/>
                <w:sz w:val="16"/>
                <w:szCs w:val="16"/>
              </w:rPr>
            </w:pPr>
            <w:r w:rsidRPr="00812046">
              <w:rPr>
                <w:color w:val="000000"/>
                <w:sz w:val="16"/>
                <w:szCs w:val="16"/>
              </w:rPr>
              <w:t>(0.03)</w:t>
            </w:r>
          </w:p>
        </w:tc>
      </w:tr>
      <w:tr w14:paraId="483A691B"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29133C2E" w14:textId="77777777">
            <w:pPr>
              <w:rPr>
                <w:color w:val="000000"/>
                <w:sz w:val="16"/>
                <w:szCs w:val="16"/>
              </w:rPr>
            </w:pPr>
            <w:r w:rsidRPr="00812046">
              <w:rPr>
                <w:color w:val="000000"/>
                <w:sz w:val="16"/>
                <w:szCs w:val="16"/>
              </w:rPr>
              <w:t>log(Income)</w:t>
            </w:r>
          </w:p>
        </w:tc>
        <w:tc>
          <w:tcPr>
            <w:tcW w:w="0" w:type="auto"/>
            <w:tcBorders>
              <w:top w:val="nil"/>
              <w:left w:val="nil"/>
              <w:bottom w:val="nil"/>
              <w:right w:val="nil"/>
            </w:tcBorders>
            <w:shd w:val="clear" w:color="000000" w:fill="FFFFFF"/>
            <w:noWrap/>
            <w:vAlign w:val="center"/>
            <w:hideMark/>
          </w:tcPr>
          <w:p w:rsidR="00ED544B" w:rsidRPr="00812046" w:rsidP="007546F9" w14:paraId="61F88647" w14:textId="77777777">
            <w:pPr>
              <w:jc w:val="center"/>
              <w:rPr>
                <w:color w:val="000000"/>
                <w:sz w:val="16"/>
                <w:szCs w:val="16"/>
              </w:rPr>
            </w:pPr>
            <w:r w:rsidRPr="00812046">
              <w:rPr>
                <w:color w:val="000000"/>
                <w:sz w:val="16"/>
                <w:szCs w:val="16"/>
              </w:rPr>
              <w:t>0.51***</w:t>
            </w:r>
          </w:p>
        </w:tc>
        <w:tc>
          <w:tcPr>
            <w:tcW w:w="0" w:type="auto"/>
            <w:tcBorders>
              <w:top w:val="nil"/>
              <w:left w:val="nil"/>
              <w:bottom w:val="nil"/>
              <w:right w:val="nil"/>
            </w:tcBorders>
            <w:shd w:val="clear" w:color="000000" w:fill="FFFFFF"/>
            <w:noWrap/>
            <w:vAlign w:val="center"/>
            <w:hideMark/>
          </w:tcPr>
          <w:p w:rsidR="00ED544B" w:rsidRPr="00812046" w:rsidP="007546F9" w14:paraId="16443C45" w14:textId="77777777">
            <w:pPr>
              <w:jc w:val="center"/>
              <w:rPr>
                <w:color w:val="000000"/>
                <w:sz w:val="16"/>
                <w:szCs w:val="16"/>
              </w:rPr>
            </w:pPr>
            <w:r w:rsidRPr="00812046">
              <w:rPr>
                <w:color w:val="000000"/>
                <w:sz w:val="16"/>
                <w:szCs w:val="16"/>
              </w:rPr>
              <w:t>0.60***</w:t>
            </w:r>
          </w:p>
        </w:tc>
        <w:tc>
          <w:tcPr>
            <w:tcW w:w="0" w:type="auto"/>
            <w:tcBorders>
              <w:top w:val="nil"/>
              <w:left w:val="nil"/>
              <w:bottom w:val="nil"/>
              <w:right w:val="nil"/>
            </w:tcBorders>
            <w:shd w:val="clear" w:color="000000" w:fill="FFFFFF"/>
            <w:noWrap/>
            <w:vAlign w:val="center"/>
            <w:hideMark/>
          </w:tcPr>
          <w:p w:rsidR="00ED544B" w:rsidRPr="00812046" w:rsidP="007546F9" w14:paraId="52C8DAD0" w14:textId="77777777">
            <w:pPr>
              <w:jc w:val="center"/>
              <w:rPr>
                <w:color w:val="000000"/>
                <w:sz w:val="16"/>
                <w:szCs w:val="16"/>
              </w:rPr>
            </w:pPr>
            <w:r w:rsidRPr="00812046">
              <w:rPr>
                <w:color w:val="000000"/>
                <w:sz w:val="16"/>
                <w:szCs w:val="16"/>
              </w:rPr>
              <w:t>0.49***</w:t>
            </w:r>
          </w:p>
        </w:tc>
        <w:tc>
          <w:tcPr>
            <w:tcW w:w="0" w:type="auto"/>
            <w:tcBorders>
              <w:top w:val="nil"/>
              <w:left w:val="nil"/>
              <w:bottom w:val="nil"/>
              <w:right w:val="nil"/>
            </w:tcBorders>
            <w:shd w:val="clear" w:color="000000" w:fill="FFFFFF"/>
            <w:noWrap/>
            <w:vAlign w:val="center"/>
            <w:hideMark/>
          </w:tcPr>
          <w:p w:rsidR="00ED544B" w:rsidRPr="00812046" w:rsidP="007546F9" w14:paraId="7E7F3CCB" w14:textId="77777777">
            <w:pPr>
              <w:jc w:val="center"/>
              <w:rPr>
                <w:color w:val="000000"/>
                <w:sz w:val="16"/>
                <w:szCs w:val="16"/>
              </w:rPr>
            </w:pPr>
            <w:r w:rsidRPr="00812046">
              <w:rPr>
                <w:color w:val="000000"/>
                <w:sz w:val="16"/>
                <w:szCs w:val="16"/>
              </w:rPr>
              <w:t>0.59***</w:t>
            </w:r>
          </w:p>
        </w:tc>
        <w:tc>
          <w:tcPr>
            <w:tcW w:w="0" w:type="auto"/>
            <w:tcBorders>
              <w:top w:val="nil"/>
              <w:left w:val="nil"/>
              <w:bottom w:val="nil"/>
              <w:right w:val="nil"/>
            </w:tcBorders>
            <w:shd w:val="clear" w:color="000000" w:fill="FFFFFF"/>
            <w:noWrap/>
            <w:vAlign w:val="center"/>
            <w:hideMark/>
          </w:tcPr>
          <w:p w:rsidR="00ED544B" w:rsidRPr="00812046" w:rsidP="007546F9" w14:paraId="724C32C7" w14:textId="77777777">
            <w:pPr>
              <w:jc w:val="center"/>
              <w:rPr>
                <w:color w:val="000000"/>
                <w:sz w:val="16"/>
                <w:szCs w:val="16"/>
              </w:rPr>
            </w:pPr>
            <w:r w:rsidRPr="00812046">
              <w:rPr>
                <w:color w:val="000000"/>
                <w:sz w:val="16"/>
                <w:szCs w:val="16"/>
              </w:rPr>
              <w:t>0.52***</w:t>
            </w:r>
          </w:p>
        </w:tc>
        <w:tc>
          <w:tcPr>
            <w:tcW w:w="0" w:type="auto"/>
            <w:tcBorders>
              <w:top w:val="nil"/>
              <w:left w:val="nil"/>
              <w:bottom w:val="nil"/>
              <w:right w:val="nil"/>
            </w:tcBorders>
            <w:shd w:val="clear" w:color="000000" w:fill="FFFFFF"/>
            <w:noWrap/>
            <w:vAlign w:val="center"/>
            <w:hideMark/>
          </w:tcPr>
          <w:p w:rsidR="00ED544B" w:rsidRPr="00812046" w:rsidP="007546F9" w14:paraId="7044E005" w14:textId="77777777">
            <w:pPr>
              <w:jc w:val="center"/>
              <w:rPr>
                <w:color w:val="000000"/>
                <w:sz w:val="16"/>
                <w:szCs w:val="16"/>
              </w:rPr>
            </w:pPr>
            <w:r w:rsidRPr="00812046">
              <w:rPr>
                <w:color w:val="000000"/>
                <w:sz w:val="16"/>
                <w:szCs w:val="16"/>
              </w:rPr>
              <w:t>0.58***</w:t>
            </w:r>
          </w:p>
        </w:tc>
        <w:tc>
          <w:tcPr>
            <w:tcW w:w="0" w:type="auto"/>
            <w:tcBorders>
              <w:top w:val="nil"/>
              <w:left w:val="nil"/>
              <w:bottom w:val="nil"/>
              <w:right w:val="nil"/>
            </w:tcBorders>
            <w:shd w:val="clear" w:color="000000" w:fill="FFFFFF"/>
            <w:noWrap/>
            <w:vAlign w:val="center"/>
            <w:hideMark/>
          </w:tcPr>
          <w:p w:rsidR="00ED544B" w:rsidRPr="00812046" w:rsidP="007546F9" w14:paraId="1D531708" w14:textId="77777777">
            <w:pPr>
              <w:jc w:val="center"/>
              <w:rPr>
                <w:color w:val="000000"/>
                <w:sz w:val="16"/>
                <w:szCs w:val="16"/>
              </w:rPr>
            </w:pPr>
            <w:r w:rsidRPr="00812046">
              <w:rPr>
                <w:color w:val="000000"/>
                <w:sz w:val="16"/>
                <w:szCs w:val="16"/>
              </w:rPr>
              <w:t>0.32*</w:t>
            </w:r>
          </w:p>
        </w:tc>
        <w:tc>
          <w:tcPr>
            <w:tcW w:w="0" w:type="auto"/>
            <w:tcBorders>
              <w:top w:val="nil"/>
              <w:left w:val="nil"/>
              <w:bottom w:val="nil"/>
              <w:right w:val="nil"/>
            </w:tcBorders>
            <w:shd w:val="clear" w:color="000000" w:fill="FFFFFF"/>
            <w:noWrap/>
            <w:vAlign w:val="center"/>
            <w:hideMark/>
          </w:tcPr>
          <w:p w:rsidR="00ED544B" w:rsidRPr="00812046" w:rsidP="007546F9" w14:paraId="17A74116" w14:textId="77777777">
            <w:pPr>
              <w:jc w:val="center"/>
              <w:rPr>
                <w:color w:val="000000"/>
                <w:sz w:val="16"/>
                <w:szCs w:val="16"/>
              </w:rPr>
            </w:pPr>
            <w:r w:rsidRPr="00812046">
              <w:rPr>
                <w:color w:val="000000"/>
                <w:sz w:val="16"/>
                <w:szCs w:val="16"/>
              </w:rPr>
              <w:t>0.35***</w:t>
            </w:r>
          </w:p>
        </w:tc>
        <w:tc>
          <w:tcPr>
            <w:tcW w:w="0" w:type="auto"/>
            <w:tcBorders>
              <w:top w:val="nil"/>
              <w:left w:val="nil"/>
              <w:bottom w:val="nil"/>
              <w:right w:val="nil"/>
            </w:tcBorders>
            <w:shd w:val="clear" w:color="000000" w:fill="FFFFFF"/>
            <w:noWrap/>
            <w:vAlign w:val="center"/>
            <w:hideMark/>
          </w:tcPr>
          <w:p w:rsidR="00ED544B" w:rsidRPr="00812046" w:rsidP="007546F9" w14:paraId="06789ECB" w14:textId="77777777">
            <w:pPr>
              <w:jc w:val="center"/>
              <w:rPr>
                <w:color w:val="000000"/>
                <w:sz w:val="16"/>
                <w:szCs w:val="16"/>
              </w:rPr>
            </w:pPr>
            <w:r w:rsidRPr="00812046">
              <w:rPr>
                <w:color w:val="000000"/>
                <w:sz w:val="16"/>
                <w:szCs w:val="16"/>
              </w:rPr>
              <w:t>0.45***</w:t>
            </w:r>
          </w:p>
        </w:tc>
        <w:tc>
          <w:tcPr>
            <w:tcW w:w="0" w:type="auto"/>
            <w:tcBorders>
              <w:top w:val="nil"/>
              <w:left w:val="nil"/>
              <w:bottom w:val="nil"/>
              <w:right w:val="nil"/>
            </w:tcBorders>
            <w:shd w:val="clear" w:color="000000" w:fill="FFFFFF"/>
            <w:noWrap/>
            <w:vAlign w:val="center"/>
            <w:hideMark/>
          </w:tcPr>
          <w:p w:rsidR="00ED544B" w:rsidRPr="00812046" w:rsidP="007546F9" w14:paraId="5C709541" w14:textId="77777777">
            <w:pPr>
              <w:jc w:val="center"/>
              <w:rPr>
                <w:color w:val="000000"/>
                <w:sz w:val="16"/>
                <w:szCs w:val="16"/>
              </w:rPr>
            </w:pPr>
            <w:r w:rsidRPr="00812046">
              <w:rPr>
                <w:color w:val="000000"/>
                <w:sz w:val="16"/>
                <w:szCs w:val="16"/>
              </w:rPr>
              <w:t>0.58***</w:t>
            </w:r>
          </w:p>
        </w:tc>
        <w:tc>
          <w:tcPr>
            <w:tcW w:w="0" w:type="auto"/>
            <w:tcBorders>
              <w:top w:val="nil"/>
              <w:left w:val="nil"/>
              <w:bottom w:val="nil"/>
              <w:right w:val="nil"/>
            </w:tcBorders>
            <w:shd w:val="clear" w:color="000000" w:fill="FFFFFF"/>
            <w:noWrap/>
            <w:vAlign w:val="center"/>
            <w:hideMark/>
          </w:tcPr>
          <w:p w:rsidR="00ED544B" w:rsidRPr="00812046" w:rsidP="007546F9" w14:paraId="661AD1B3" w14:textId="77777777">
            <w:pPr>
              <w:jc w:val="center"/>
              <w:rPr>
                <w:color w:val="000000"/>
                <w:sz w:val="16"/>
                <w:szCs w:val="16"/>
              </w:rPr>
            </w:pPr>
            <w:r w:rsidRPr="00812046">
              <w:rPr>
                <w:color w:val="000000"/>
                <w:sz w:val="16"/>
                <w:szCs w:val="16"/>
              </w:rPr>
              <w:t>0.73***</w:t>
            </w:r>
          </w:p>
        </w:tc>
        <w:tc>
          <w:tcPr>
            <w:tcW w:w="957" w:type="dxa"/>
            <w:tcBorders>
              <w:top w:val="nil"/>
              <w:left w:val="nil"/>
              <w:bottom w:val="nil"/>
              <w:right w:val="nil"/>
            </w:tcBorders>
            <w:shd w:val="clear" w:color="000000" w:fill="FFFFFF"/>
            <w:noWrap/>
            <w:vAlign w:val="center"/>
            <w:hideMark/>
          </w:tcPr>
          <w:p w:rsidR="00ED544B" w:rsidRPr="00812046" w:rsidP="007546F9" w14:paraId="2DEBC03B" w14:textId="77777777">
            <w:pPr>
              <w:jc w:val="center"/>
              <w:rPr>
                <w:color w:val="000000"/>
                <w:sz w:val="16"/>
                <w:szCs w:val="16"/>
              </w:rPr>
            </w:pPr>
            <w:r w:rsidRPr="00812046">
              <w:rPr>
                <w:color w:val="000000"/>
                <w:sz w:val="16"/>
                <w:szCs w:val="16"/>
              </w:rPr>
              <w:t>0.72**</w:t>
            </w:r>
          </w:p>
        </w:tc>
      </w:tr>
      <w:tr w14:paraId="51342820"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bottom"/>
            <w:hideMark/>
          </w:tcPr>
          <w:p w:rsidR="00ED544B" w:rsidRPr="00812046" w:rsidP="007546F9" w14:paraId="03DF0A34"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1E9714C1" w14:textId="77777777">
            <w:pPr>
              <w:jc w:val="center"/>
              <w:rPr>
                <w:color w:val="000000"/>
                <w:sz w:val="16"/>
                <w:szCs w:val="16"/>
              </w:rPr>
            </w:pPr>
            <w:r w:rsidRPr="00812046">
              <w:rPr>
                <w:color w:val="000000"/>
                <w:sz w:val="16"/>
                <w:szCs w:val="16"/>
              </w:rPr>
              <w:t>(0.10)</w:t>
            </w:r>
          </w:p>
        </w:tc>
        <w:tc>
          <w:tcPr>
            <w:tcW w:w="0" w:type="auto"/>
            <w:tcBorders>
              <w:top w:val="nil"/>
              <w:left w:val="nil"/>
              <w:bottom w:val="nil"/>
              <w:right w:val="nil"/>
            </w:tcBorders>
            <w:shd w:val="clear" w:color="000000" w:fill="FFFFFF"/>
            <w:noWrap/>
            <w:vAlign w:val="center"/>
            <w:hideMark/>
          </w:tcPr>
          <w:p w:rsidR="00ED544B" w:rsidRPr="00812046" w:rsidP="007546F9" w14:paraId="2503FBDE" w14:textId="77777777">
            <w:pPr>
              <w:jc w:val="center"/>
              <w:rPr>
                <w:color w:val="000000"/>
                <w:sz w:val="16"/>
                <w:szCs w:val="16"/>
              </w:rPr>
            </w:pPr>
            <w:r w:rsidRPr="00812046">
              <w:rPr>
                <w:color w:val="000000"/>
                <w:sz w:val="16"/>
                <w:szCs w:val="16"/>
              </w:rPr>
              <w:t>(0.10)</w:t>
            </w:r>
          </w:p>
        </w:tc>
        <w:tc>
          <w:tcPr>
            <w:tcW w:w="0" w:type="auto"/>
            <w:tcBorders>
              <w:top w:val="nil"/>
              <w:left w:val="nil"/>
              <w:bottom w:val="nil"/>
              <w:right w:val="nil"/>
            </w:tcBorders>
            <w:shd w:val="clear" w:color="000000" w:fill="FFFFFF"/>
            <w:noWrap/>
            <w:vAlign w:val="center"/>
            <w:hideMark/>
          </w:tcPr>
          <w:p w:rsidR="00ED544B" w:rsidRPr="00812046" w:rsidP="007546F9" w14:paraId="24E23FA1" w14:textId="77777777">
            <w:pPr>
              <w:jc w:val="center"/>
              <w:rPr>
                <w:color w:val="000000"/>
                <w:sz w:val="16"/>
                <w:szCs w:val="16"/>
              </w:rPr>
            </w:pPr>
            <w:r w:rsidRPr="00812046">
              <w:rPr>
                <w:color w:val="000000"/>
                <w:sz w:val="16"/>
                <w:szCs w:val="16"/>
              </w:rPr>
              <w:t>(0.10)</w:t>
            </w:r>
          </w:p>
        </w:tc>
        <w:tc>
          <w:tcPr>
            <w:tcW w:w="0" w:type="auto"/>
            <w:tcBorders>
              <w:top w:val="nil"/>
              <w:left w:val="nil"/>
              <w:bottom w:val="nil"/>
              <w:right w:val="nil"/>
            </w:tcBorders>
            <w:shd w:val="clear" w:color="000000" w:fill="FFFFFF"/>
            <w:noWrap/>
            <w:vAlign w:val="center"/>
            <w:hideMark/>
          </w:tcPr>
          <w:p w:rsidR="00ED544B" w:rsidRPr="00812046" w:rsidP="007546F9" w14:paraId="16AFBE03" w14:textId="77777777">
            <w:pPr>
              <w:jc w:val="center"/>
              <w:rPr>
                <w:color w:val="000000"/>
                <w:sz w:val="16"/>
                <w:szCs w:val="16"/>
              </w:rPr>
            </w:pPr>
            <w:r w:rsidRPr="00812046">
              <w:rPr>
                <w:color w:val="000000"/>
                <w:sz w:val="16"/>
                <w:szCs w:val="16"/>
              </w:rPr>
              <w:t>(0.10)</w:t>
            </w:r>
          </w:p>
        </w:tc>
        <w:tc>
          <w:tcPr>
            <w:tcW w:w="0" w:type="auto"/>
            <w:tcBorders>
              <w:top w:val="nil"/>
              <w:left w:val="nil"/>
              <w:bottom w:val="nil"/>
              <w:right w:val="nil"/>
            </w:tcBorders>
            <w:shd w:val="clear" w:color="000000" w:fill="FFFFFF"/>
            <w:noWrap/>
            <w:vAlign w:val="center"/>
            <w:hideMark/>
          </w:tcPr>
          <w:p w:rsidR="00ED544B" w:rsidRPr="00812046" w:rsidP="007546F9" w14:paraId="6F19273E" w14:textId="77777777">
            <w:pPr>
              <w:jc w:val="center"/>
              <w:rPr>
                <w:color w:val="000000"/>
                <w:sz w:val="16"/>
                <w:szCs w:val="16"/>
              </w:rPr>
            </w:pPr>
            <w:r w:rsidRPr="00812046">
              <w:rPr>
                <w:color w:val="000000"/>
                <w:sz w:val="16"/>
                <w:szCs w:val="16"/>
              </w:rPr>
              <w:t>(0.10)</w:t>
            </w:r>
          </w:p>
        </w:tc>
        <w:tc>
          <w:tcPr>
            <w:tcW w:w="0" w:type="auto"/>
            <w:tcBorders>
              <w:top w:val="nil"/>
              <w:left w:val="nil"/>
              <w:bottom w:val="nil"/>
              <w:right w:val="nil"/>
            </w:tcBorders>
            <w:shd w:val="clear" w:color="000000" w:fill="FFFFFF"/>
            <w:noWrap/>
            <w:vAlign w:val="center"/>
            <w:hideMark/>
          </w:tcPr>
          <w:p w:rsidR="00ED544B" w:rsidRPr="00812046" w:rsidP="007546F9" w14:paraId="33037188" w14:textId="77777777">
            <w:pPr>
              <w:jc w:val="center"/>
              <w:rPr>
                <w:color w:val="000000"/>
                <w:sz w:val="16"/>
                <w:szCs w:val="16"/>
              </w:rPr>
            </w:pPr>
            <w:r w:rsidRPr="00812046">
              <w:rPr>
                <w:color w:val="000000"/>
                <w:sz w:val="16"/>
                <w:szCs w:val="16"/>
              </w:rPr>
              <w:t>(0.09)</w:t>
            </w:r>
          </w:p>
        </w:tc>
        <w:tc>
          <w:tcPr>
            <w:tcW w:w="0" w:type="auto"/>
            <w:tcBorders>
              <w:top w:val="nil"/>
              <w:left w:val="nil"/>
              <w:bottom w:val="nil"/>
              <w:right w:val="nil"/>
            </w:tcBorders>
            <w:shd w:val="clear" w:color="000000" w:fill="FFFFFF"/>
            <w:noWrap/>
            <w:vAlign w:val="center"/>
            <w:hideMark/>
          </w:tcPr>
          <w:p w:rsidR="00ED544B" w:rsidRPr="00812046" w:rsidP="007546F9" w14:paraId="26273990" w14:textId="77777777">
            <w:pPr>
              <w:jc w:val="center"/>
              <w:rPr>
                <w:color w:val="000000"/>
                <w:sz w:val="16"/>
                <w:szCs w:val="16"/>
              </w:rPr>
            </w:pPr>
            <w:r w:rsidRPr="00812046">
              <w:rPr>
                <w:color w:val="000000"/>
                <w:sz w:val="16"/>
                <w:szCs w:val="16"/>
              </w:rPr>
              <w:t>(0.14)</w:t>
            </w:r>
          </w:p>
        </w:tc>
        <w:tc>
          <w:tcPr>
            <w:tcW w:w="0" w:type="auto"/>
            <w:tcBorders>
              <w:top w:val="nil"/>
              <w:left w:val="nil"/>
              <w:bottom w:val="nil"/>
              <w:right w:val="nil"/>
            </w:tcBorders>
            <w:shd w:val="clear" w:color="000000" w:fill="FFFFFF"/>
            <w:noWrap/>
            <w:vAlign w:val="center"/>
            <w:hideMark/>
          </w:tcPr>
          <w:p w:rsidR="00ED544B" w:rsidRPr="00812046" w:rsidP="007546F9" w14:paraId="49D803E8" w14:textId="77777777">
            <w:pPr>
              <w:jc w:val="center"/>
              <w:rPr>
                <w:color w:val="000000"/>
                <w:sz w:val="16"/>
                <w:szCs w:val="16"/>
              </w:rPr>
            </w:pPr>
            <w:r w:rsidRPr="00812046">
              <w:rPr>
                <w:color w:val="000000"/>
                <w:sz w:val="16"/>
                <w:szCs w:val="16"/>
              </w:rPr>
              <w:t>(0.07)</w:t>
            </w:r>
          </w:p>
        </w:tc>
        <w:tc>
          <w:tcPr>
            <w:tcW w:w="0" w:type="auto"/>
            <w:tcBorders>
              <w:top w:val="nil"/>
              <w:left w:val="nil"/>
              <w:bottom w:val="nil"/>
              <w:right w:val="nil"/>
            </w:tcBorders>
            <w:shd w:val="clear" w:color="000000" w:fill="FFFFFF"/>
            <w:noWrap/>
            <w:vAlign w:val="center"/>
            <w:hideMark/>
          </w:tcPr>
          <w:p w:rsidR="00ED544B" w:rsidRPr="00812046" w:rsidP="007546F9" w14:paraId="7F1AB6C4" w14:textId="77777777">
            <w:pPr>
              <w:jc w:val="center"/>
              <w:rPr>
                <w:color w:val="000000"/>
                <w:sz w:val="16"/>
                <w:szCs w:val="16"/>
              </w:rPr>
            </w:pPr>
            <w:r w:rsidRPr="00812046">
              <w:rPr>
                <w:color w:val="000000"/>
                <w:sz w:val="16"/>
                <w:szCs w:val="16"/>
              </w:rPr>
              <w:t>(0.11)</w:t>
            </w:r>
          </w:p>
        </w:tc>
        <w:tc>
          <w:tcPr>
            <w:tcW w:w="0" w:type="auto"/>
            <w:tcBorders>
              <w:top w:val="nil"/>
              <w:left w:val="nil"/>
              <w:bottom w:val="nil"/>
              <w:right w:val="nil"/>
            </w:tcBorders>
            <w:shd w:val="clear" w:color="000000" w:fill="FFFFFF"/>
            <w:noWrap/>
            <w:vAlign w:val="center"/>
            <w:hideMark/>
          </w:tcPr>
          <w:p w:rsidR="00ED544B" w:rsidRPr="00812046" w:rsidP="007546F9" w14:paraId="3EE27517" w14:textId="77777777">
            <w:pPr>
              <w:jc w:val="center"/>
              <w:rPr>
                <w:color w:val="000000"/>
                <w:sz w:val="16"/>
                <w:szCs w:val="16"/>
              </w:rPr>
            </w:pPr>
            <w:r w:rsidRPr="00812046">
              <w:rPr>
                <w:color w:val="000000"/>
                <w:sz w:val="16"/>
                <w:szCs w:val="16"/>
              </w:rPr>
              <w:t>(0.10)</w:t>
            </w:r>
          </w:p>
        </w:tc>
        <w:tc>
          <w:tcPr>
            <w:tcW w:w="0" w:type="auto"/>
            <w:tcBorders>
              <w:top w:val="nil"/>
              <w:left w:val="nil"/>
              <w:bottom w:val="nil"/>
              <w:right w:val="nil"/>
            </w:tcBorders>
            <w:shd w:val="clear" w:color="000000" w:fill="FFFFFF"/>
            <w:noWrap/>
            <w:vAlign w:val="center"/>
            <w:hideMark/>
          </w:tcPr>
          <w:p w:rsidR="00ED544B" w:rsidRPr="00812046" w:rsidP="007546F9" w14:paraId="10B2BED0" w14:textId="77777777">
            <w:pPr>
              <w:jc w:val="center"/>
              <w:rPr>
                <w:color w:val="000000"/>
                <w:sz w:val="16"/>
                <w:szCs w:val="16"/>
              </w:rPr>
            </w:pPr>
            <w:r w:rsidRPr="00812046">
              <w:rPr>
                <w:color w:val="000000"/>
                <w:sz w:val="16"/>
                <w:szCs w:val="16"/>
              </w:rPr>
              <w:t>(0.21)</w:t>
            </w:r>
          </w:p>
        </w:tc>
        <w:tc>
          <w:tcPr>
            <w:tcW w:w="957" w:type="dxa"/>
            <w:tcBorders>
              <w:top w:val="nil"/>
              <w:left w:val="nil"/>
              <w:bottom w:val="nil"/>
              <w:right w:val="nil"/>
            </w:tcBorders>
            <w:shd w:val="clear" w:color="000000" w:fill="FFFFFF"/>
            <w:noWrap/>
            <w:vAlign w:val="center"/>
            <w:hideMark/>
          </w:tcPr>
          <w:p w:rsidR="00ED544B" w:rsidRPr="00812046" w:rsidP="007546F9" w14:paraId="344EE1AB" w14:textId="77777777">
            <w:pPr>
              <w:jc w:val="center"/>
              <w:rPr>
                <w:color w:val="000000"/>
                <w:sz w:val="16"/>
                <w:szCs w:val="16"/>
              </w:rPr>
            </w:pPr>
            <w:r w:rsidRPr="00812046">
              <w:rPr>
                <w:color w:val="000000"/>
                <w:sz w:val="16"/>
                <w:szCs w:val="16"/>
              </w:rPr>
              <w:t>(0.22)</w:t>
            </w:r>
          </w:p>
        </w:tc>
      </w:tr>
      <w:tr w14:paraId="49F9506F"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58F426A5" w14:textId="77777777">
            <w:pPr>
              <w:rPr>
                <w:color w:val="000000"/>
                <w:sz w:val="16"/>
                <w:szCs w:val="16"/>
              </w:rPr>
            </w:pPr>
            <w:r w:rsidRPr="00812046">
              <w:rPr>
                <w:color w:val="000000"/>
                <w:sz w:val="16"/>
                <w:szCs w:val="16"/>
              </w:rPr>
              <w:t>% of Land Covered by Dense Clutter</w:t>
            </w:r>
          </w:p>
        </w:tc>
        <w:tc>
          <w:tcPr>
            <w:tcW w:w="0" w:type="auto"/>
            <w:tcBorders>
              <w:top w:val="nil"/>
              <w:left w:val="nil"/>
              <w:bottom w:val="nil"/>
              <w:right w:val="nil"/>
            </w:tcBorders>
            <w:shd w:val="clear" w:color="000000" w:fill="FFFFFF"/>
            <w:noWrap/>
            <w:vAlign w:val="center"/>
            <w:hideMark/>
          </w:tcPr>
          <w:p w:rsidR="00ED544B" w:rsidRPr="00812046" w:rsidP="007546F9" w14:paraId="297B6BAC" w14:textId="77777777">
            <w:pPr>
              <w:jc w:val="center"/>
              <w:rPr>
                <w:color w:val="000000"/>
                <w:sz w:val="16"/>
                <w:szCs w:val="16"/>
              </w:rPr>
            </w:pPr>
            <w:r w:rsidRPr="00812046">
              <w:rPr>
                <w:color w:val="000000"/>
                <w:sz w:val="16"/>
                <w:szCs w:val="16"/>
              </w:rPr>
              <w:t>-0.02***</w:t>
            </w:r>
          </w:p>
        </w:tc>
        <w:tc>
          <w:tcPr>
            <w:tcW w:w="0" w:type="auto"/>
            <w:tcBorders>
              <w:top w:val="nil"/>
              <w:left w:val="nil"/>
              <w:bottom w:val="nil"/>
              <w:right w:val="nil"/>
            </w:tcBorders>
            <w:shd w:val="clear" w:color="000000" w:fill="FFFFFF"/>
            <w:noWrap/>
            <w:vAlign w:val="center"/>
            <w:hideMark/>
          </w:tcPr>
          <w:p w:rsidR="00ED544B" w:rsidRPr="00812046" w:rsidP="007546F9" w14:paraId="7EDE7641" w14:textId="77777777">
            <w:pPr>
              <w:jc w:val="center"/>
              <w:rPr>
                <w:color w:val="000000"/>
                <w:sz w:val="16"/>
                <w:szCs w:val="16"/>
              </w:rPr>
            </w:pPr>
            <w:r w:rsidRPr="00812046">
              <w:rPr>
                <w:color w:val="000000"/>
                <w:sz w:val="16"/>
                <w:szCs w:val="16"/>
              </w:rPr>
              <w:t>-0.02***</w:t>
            </w:r>
          </w:p>
        </w:tc>
        <w:tc>
          <w:tcPr>
            <w:tcW w:w="0" w:type="auto"/>
            <w:tcBorders>
              <w:top w:val="nil"/>
              <w:left w:val="nil"/>
              <w:bottom w:val="nil"/>
              <w:right w:val="nil"/>
            </w:tcBorders>
            <w:shd w:val="clear" w:color="000000" w:fill="FFFFFF"/>
            <w:noWrap/>
            <w:vAlign w:val="center"/>
            <w:hideMark/>
          </w:tcPr>
          <w:p w:rsidR="00ED544B" w:rsidRPr="00812046" w:rsidP="007546F9" w14:paraId="376B9479" w14:textId="77777777">
            <w:pPr>
              <w:jc w:val="center"/>
              <w:rPr>
                <w:color w:val="000000"/>
                <w:sz w:val="16"/>
                <w:szCs w:val="16"/>
              </w:rPr>
            </w:pPr>
            <w:r w:rsidRPr="00812046">
              <w:rPr>
                <w:color w:val="000000"/>
                <w:sz w:val="16"/>
                <w:szCs w:val="16"/>
              </w:rPr>
              <w:t>-0.02***</w:t>
            </w:r>
          </w:p>
        </w:tc>
        <w:tc>
          <w:tcPr>
            <w:tcW w:w="0" w:type="auto"/>
            <w:tcBorders>
              <w:top w:val="nil"/>
              <w:left w:val="nil"/>
              <w:bottom w:val="nil"/>
              <w:right w:val="nil"/>
            </w:tcBorders>
            <w:shd w:val="clear" w:color="000000" w:fill="FFFFFF"/>
            <w:noWrap/>
            <w:vAlign w:val="center"/>
            <w:hideMark/>
          </w:tcPr>
          <w:p w:rsidR="00ED544B" w:rsidRPr="00812046" w:rsidP="007546F9" w14:paraId="352BBF59" w14:textId="77777777">
            <w:pPr>
              <w:jc w:val="center"/>
              <w:rPr>
                <w:color w:val="000000"/>
                <w:sz w:val="16"/>
                <w:szCs w:val="16"/>
              </w:rPr>
            </w:pPr>
            <w:r w:rsidRPr="00812046">
              <w:rPr>
                <w:color w:val="000000"/>
                <w:sz w:val="16"/>
                <w:szCs w:val="16"/>
              </w:rPr>
              <w:t>-0.02***</w:t>
            </w:r>
          </w:p>
        </w:tc>
        <w:tc>
          <w:tcPr>
            <w:tcW w:w="0" w:type="auto"/>
            <w:tcBorders>
              <w:top w:val="nil"/>
              <w:left w:val="nil"/>
              <w:bottom w:val="nil"/>
              <w:right w:val="nil"/>
            </w:tcBorders>
            <w:shd w:val="clear" w:color="000000" w:fill="FFFFFF"/>
            <w:noWrap/>
            <w:vAlign w:val="center"/>
            <w:hideMark/>
          </w:tcPr>
          <w:p w:rsidR="00ED544B" w:rsidRPr="00812046" w:rsidP="007546F9" w14:paraId="6A58878E" w14:textId="77777777">
            <w:pPr>
              <w:jc w:val="center"/>
              <w:rPr>
                <w:color w:val="000000"/>
                <w:sz w:val="16"/>
                <w:szCs w:val="16"/>
              </w:rPr>
            </w:pPr>
            <w:r w:rsidRPr="00812046">
              <w:rPr>
                <w:color w:val="000000"/>
                <w:sz w:val="16"/>
                <w:szCs w:val="16"/>
              </w:rPr>
              <w:t>-0.02***</w:t>
            </w:r>
          </w:p>
        </w:tc>
        <w:tc>
          <w:tcPr>
            <w:tcW w:w="0" w:type="auto"/>
            <w:tcBorders>
              <w:top w:val="nil"/>
              <w:left w:val="nil"/>
              <w:bottom w:val="nil"/>
              <w:right w:val="nil"/>
            </w:tcBorders>
            <w:shd w:val="clear" w:color="000000" w:fill="FFFFFF"/>
            <w:noWrap/>
            <w:vAlign w:val="center"/>
            <w:hideMark/>
          </w:tcPr>
          <w:p w:rsidR="00ED544B" w:rsidRPr="00812046" w:rsidP="007546F9" w14:paraId="615544B3" w14:textId="77777777">
            <w:pPr>
              <w:jc w:val="center"/>
              <w:rPr>
                <w:color w:val="000000"/>
                <w:sz w:val="16"/>
                <w:szCs w:val="16"/>
              </w:rPr>
            </w:pPr>
            <w:r w:rsidRPr="00812046">
              <w:rPr>
                <w:color w:val="000000"/>
                <w:sz w:val="16"/>
                <w:szCs w:val="16"/>
              </w:rPr>
              <w:t>-0.01***</w:t>
            </w:r>
          </w:p>
        </w:tc>
        <w:tc>
          <w:tcPr>
            <w:tcW w:w="0" w:type="auto"/>
            <w:tcBorders>
              <w:top w:val="nil"/>
              <w:left w:val="nil"/>
              <w:bottom w:val="nil"/>
              <w:right w:val="nil"/>
            </w:tcBorders>
            <w:shd w:val="clear" w:color="000000" w:fill="FFFFFF"/>
            <w:noWrap/>
            <w:vAlign w:val="center"/>
            <w:hideMark/>
          </w:tcPr>
          <w:p w:rsidR="00ED544B" w:rsidRPr="00812046" w:rsidP="007546F9" w14:paraId="1F39795F" w14:textId="77777777">
            <w:pPr>
              <w:jc w:val="center"/>
              <w:rPr>
                <w:color w:val="000000"/>
                <w:sz w:val="16"/>
                <w:szCs w:val="16"/>
              </w:rPr>
            </w:pPr>
            <w:r w:rsidRPr="00812046">
              <w:rPr>
                <w:color w:val="000000"/>
                <w:sz w:val="16"/>
                <w:szCs w:val="16"/>
              </w:rPr>
              <w:t>-0.02***</w:t>
            </w:r>
          </w:p>
        </w:tc>
        <w:tc>
          <w:tcPr>
            <w:tcW w:w="0" w:type="auto"/>
            <w:tcBorders>
              <w:top w:val="nil"/>
              <w:left w:val="nil"/>
              <w:bottom w:val="nil"/>
              <w:right w:val="nil"/>
            </w:tcBorders>
            <w:shd w:val="clear" w:color="000000" w:fill="FFFFFF"/>
            <w:noWrap/>
            <w:vAlign w:val="center"/>
            <w:hideMark/>
          </w:tcPr>
          <w:p w:rsidR="00ED544B" w:rsidRPr="00812046" w:rsidP="007546F9" w14:paraId="7AF1EC07" w14:textId="77777777">
            <w:pPr>
              <w:jc w:val="center"/>
              <w:rPr>
                <w:color w:val="000000"/>
                <w:sz w:val="16"/>
                <w:szCs w:val="16"/>
              </w:rPr>
            </w:pPr>
            <w:r w:rsidRPr="00812046">
              <w:rPr>
                <w:color w:val="000000"/>
                <w:sz w:val="16"/>
                <w:szCs w:val="16"/>
              </w:rPr>
              <w:t>-0.02***</w:t>
            </w:r>
          </w:p>
        </w:tc>
        <w:tc>
          <w:tcPr>
            <w:tcW w:w="0" w:type="auto"/>
            <w:tcBorders>
              <w:top w:val="nil"/>
              <w:left w:val="nil"/>
              <w:bottom w:val="nil"/>
              <w:right w:val="nil"/>
            </w:tcBorders>
            <w:shd w:val="clear" w:color="000000" w:fill="FFFFFF"/>
            <w:noWrap/>
            <w:vAlign w:val="center"/>
            <w:hideMark/>
          </w:tcPr>
          <w:p w:rsidR="00ED544B" w:rsidRPr="00812046" w:rsidP="007546F9" w14:paraId="2DF8C36D" w14:textId="77777777">
            <w:pPr>
              <w:jc w:val="center"/>
              <w:rPr>
                <w:color w:val="000000"/>
                <w:sz w:val="16"/>
                <w:szCs w:val="16"/>
              </w:rPr>
            </w:pPr>
            <w:r w:rsidRPr="00812046">
              <w:rPr>
                <w:color w:val="000000"/>
                <w:sz w:val="16"/>
                <w:szCs w:val="16"/>
              </w:rPr>
              <w:t>-0.01***</w:t>
            </w:r>
          </w:p>
        </w:tc>
        <w:tc>
          <w:tcPr>
            <w:tcW w:w="0" w:type="auto"/>
            <w:tcBorders>
              <w:top w:val="nil"/>
              <w:left w:val="nil"/>
              <w:bottom w:val="nil"/>
              <w:right w:val="nil"/>
            </w:tcBorders>
            <w:shd w:val="clear" w:color="000000" w:fill="FFFFFF"/>
            <w:noWrap/>
            <w:vAlign w:val="center"/>
            <w:hideMark/>
          </w:tcPr>
          <w:p w:rsidR="00ED544B" w:rsidRPr="00812046" w:rsidP="007546F9" w14:paraId="3B6E023E" w14:textId="77777777">
            <w:pPr>
              <w:jc w:val="center"/>
              <w:rPr>
                <w:color w:val="000000"/>
                <w:sz w:val="16"/>
                <w:szCs w:val="16"/>
              </w:rPr>
            </w:pPr>
            <w:r w:rsidRPr="00812046">
              <w:rPr>
                <w:color w:val="000000"/>
                <w:sz w:val="16"/>
                <w:szCs w:val="16"/>
              </w:rPr>
              <w:t>-0.02***</w:t>
            </w:r>
          </w:p>
        </w:tc>
        <w:tc>
          <w:tcPr>
            <w:tcW w:w="0" w:type="auto"/>
            <w:tcBorders>
              <w:top w:val="nil"/>
              <w:left w:val="nil"/>
              <w:bottom w:val="nil"/>
              <w:right w:val="nil"/>
            </w:tcBorders>
            <w:shd w:val="clear" w:color="000000" w:fill="FFFFFF"/>
            <w:noWrap/>
            <w:vAlign w:val="center"/>
            <w:hideMark/>
          </w:tcPr>
          <w:p w:rsidR="00ED544B" w:rsidRPr="00812046" w:rsidP="007546F9" w14:paraId="0658CF9B" w14:textId="77777777">
            <w:pPr>
              <w:jc w:val="center"/>
              <w:rPr>
                <w:color w:val="000000"/>
                <w:sz w:val="16"/>
                <w:szCs w:val="16"/>
              </w:rPr>
            </w:pPr>
            <w:r w:rsidRPr="00812046">
              <w:rPr>
                <w:color w:val="000000"/>
                <w:sz w:val="16"/>
                <w:szCs w:val="16"/>
              </w:rPr>
              <w:t>-0.03***</w:t>
            </w:r>
          </w:p>
        </w:tc>
        <w:tc>
          <w:tcPr>
            <w:tcW w:w="957" w:type="dxa"/>
            <w:tcBorders>
              <w:top w:val="nil"/>
              <w:left w:val="nil"/>
              <w:bottom w:val="nil"/>
              <w:right w:val="nil"/>
            </w:tcBorders>
            <w:shd w:val="clear" w:color="000000" w:fill="FFFFFF"/>
            <w:noWrap/>
            <w:vAlign w:val="center"/>
            <w:hideMark/>
          </w:tcPr>
          <w:p w:rsidR="00ED544B" w:rsidRPr="00812046" w:rsidP="007546F9" w14:paraId="182120F0" w14:textId="77777777">
            <w:pPr>
              <w:jc w:val="center"/>
              <w:rPr>
                <w:color w:val="000000"/>
                <w:sz w:val="16"/>
                <w:szCs w:val="16"/>
              </w:rPr>
            </w:pPr>
            <w:r w:rsidRPr="00812046">
              <w:rPr>
                <w:color w:val="000000"/>
                <w:sz w:val="16"/>
                <w:szCs w:val="16"/>
              </w:rPr>
              <w:t>-0.03***</w:t>
            </w:r>
          </w:p>
        </w:tc>
      </w:tr>
      <w:tr w14:paraId="540D2216"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bottom"/>
            <w:hideMark/>
          </w:tcPr>
          <w:p w:rsidR="00ED544B" w:rsidRPr="00812046" w:rsidP="007546F9" w14:paraId="7C8F8378"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28B387EF"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0A72A0B0"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6A8B30A3"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78D5DFF6"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3FFDDF25"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0966752C"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3AA9CD96"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1F40BA9A"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114367E3"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61F51CF2"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13645392" w14:textId="77777777">
            <w:pPr>
              <w:jc w:val="center"/>
              <w:rPr>
                <w:color w:val="000000"/>
                <w:sz w:val="16"/>
                <w:szCs w:val="16"/>
              </w:rPr>
            </w:pPr>
            <w:r w:rsidRPr="00812046">
              <w:rPr>
                <w:color w:val="000000"/>
                <w:sz w:val="16"/>
                <w:szCs w:val="16"/>
              </w:rPr>
              <w:t>(0.00)</w:t>
            </w:r>
          </w:p>
        </w:tc>
        <w:tc>
          <w:tcPr>
            <w:tcW w:w="957" w:type="dxa"/>
            <w:tcBorders>
              <w:top w:val="nil"/>
              <w:left w:val="nil"/>
              <w:bottom w:val="nil"/>
              <w:right w:val="nil"/>
            </w:tcBorders>
            <w:shd w:val="clear" w:color="000000" w:fill="FFFFFF"/>
            <w:noWrap/>
            <w:vAlign w:val="center"/>
            <w:hideMark/>
          </w:tcPr>
          <w:p w:rsidR="00ED544B" w:rsidRPr="00812046" w:rsidP="007546F9" w14:paraId="0AE6D1D9" w14:textId="77777777">
            <w:pPr>
              <w:jc w:val="center"/>
              <w:rPr>
                <w:color w:val="000000"/>
                <w:sz w:val="16"/>
                <w:szCs w:val="16"/>
              </w:rPr>
            </w:pPr>
            <w:r w:rsidRPr="00812046">
              <w:rPr>
                <w:color w:val="000000"/>
                <w:sz w:val="16"/>
                <w:szCs w:val="16"/>
              </w:rPr>
              <w:t>(0.00)</w:t>
            </w:r>
          </w:p>
        </w:tc>
      </w:tr>
      <w:tr w14:paraId="6AAB7F4C"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16E17EEF" w14:textId="77777777">
            <w:pPr>
              <w:rPr>
                <w:color w:val="000000"/>
                <w:sz w:val="16"/>
                <w:szCs w:val="16"/>
              </w:rPr>
            </w:pPr>
            <w:r w:rsidRPr="00812046">
              <w:rPr>
                <w:color w:val="000000"/>
                <w:sz w:val="16"/>
                <w:szCs w:val="16"/>
              </w:rPr>
              <w:t>National Carriers Receiving USF Funding</w:t>
            </w:r>
          </w:p>
        </w:tc>
        <w:tc>
          <w:tcPr>
            <w:tcW w:w="0" w:type="auto"/>
            <w:tcBorders>
              <w:top w:val="nil"/>
              <w:left w:val="nil"/>
              <w:bottom w:val="nil"/>
              <w:right w:val="nil"/>
            </w:tcBorders>
            <w:shd w:val="clear" w:color="000000" w:fill="FFFFFF"/>
            <w:noWrap/>
            <w:vAlign w:val="bottom"/>
            <w:hideMark/>
          </w:tcPr>
          <w:p w:rsidR="00ED544B" w:rsidRPr="00812046" w:rsidP="007546F9" w14:paraId="63CF619A"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bottom"/>
            <w:hideMark/>
          </w:tcPr>
          <w:p w:rsidR="00ED544B" w:rsidRPr="00812046" w:rsidP="007546F9" w14:paraId="25E0356D"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bottom"/>
            <w:hideMark/>
          </w:tcPr>
          <w:p w:rsidR="00ED544B" w:rsidRPr="00812046" w:rsidP="007546F9" w14:paraId="256E6054"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bottom"/>
            <w:hideMark/>
          </w:tcPr>
          <w:p w:rsidR="00ED544B" w:rsidRPr="00812046" w:rsidP="007546F9" w14:paraId="1672462B"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bottom"/>
            <w:hideMark/>
          </w:tcPr>
          <w:p w:rsidR="00ED544B" w:rsidRPr="00812046" w:rsidP="007546F9" w14:paraId="38FA9652"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bottom"/>
            <w:hideMark/>
          </w:tcPr>
          <w:p w:rsidR="00ED544B" w:rsidRPr="00812046" w:rsidP="007546F9" w14:paraId="00659232"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bottom"/>
            <w:hideMark/>
          </w:tcPr>
          <w:p w:rsidR="00ED544B" w:rsidRPr="00812046" w:rsidP="007546F9" w14:paraId="53A649CD"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bottom"/>
            <w:hideMark/>
          </w:tcPr>
          <w:p w:rsidR="00ED544B" w:rsidRPr="00812046" w:rsidP="007546F9" w14:paraId="2D6A1BCF"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bottom"/>
            <w:hideMark/>
          </w:tcPr>
          <w:p w:rsidR="00ED544B" w:rsidRPr="00812046" w:rsidP="007546F9" w14:paraId="5AB9B05C"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bottom"/>
            <w:hideMark/>
          </w:tcPr>
          <w:p w:rsidR="00ED544B" w:rsidRPr="00812046" w:rsidP="007546F9" w14:paraId="20AFA34C"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bottom"/>
            <w:hideMark/>
          </w:tcPr>
          <w:p w:rsidR="00ED544B" w:rsidRPr="00812046" w:rsidP="007546F9" w14:paraId="0D186757" w14:textId="77777777">
            <w:pPr>
              <w:jc w:val="center"/>
              <w:rPr>
                <w:color w:val="000000"/>
                <w:sz w:val="16"/>
                <w:szCs w:val="16"/>
              </w:rPr>
            </w:pPr>
            <w:r w:rsidRPr="00812046">
              <w:rPr>
                <w:color w:val="000000"/>
                <w:sz w:val="16"/>
                <w:szCs w:val="16"/>
              </w:rPr>
              <w:t> </w:t>
            </w:r>
          </w:p>
        </w:tc>
        <w:tc>
          <w:tcPr>
            <w:tcW w:w="957" w:type="dxa"/>
            <w:tcBorders>
              <w:top w:val="nil"/>
              <w:left w:val="nil"/>
              <w:bottom w:val="nil"/>
              <w:right w:val="nil"/>
            </w:tcBorders>
            <w:shd w:val="clear" w:color="000000" w:fill="FFFFFF"/>
            <w:noWrap/>
            <w:vAlign w:val="bottom"/>
            <w:hideMark/>
          </w:tcPr>
          <w:p w:rsidR="00ED544B" w:rsidRPr="00812046" w:rsidP="007546F9" w14:paraId="7C412814" w14:textId="77777777">
            <w:pPr>
              <w:jc w:val="center"/>
              <w:rPr>
                <w:color w:val="000000"/>
                <w:sz w:val="16"/>
                <w:szCs w:val="16"/>
              </w:rPr>
            </w:pPr>
            <w:r w:rsidRPr="00812046">
              <w:rPr>
                <w:color w:val="000000"/>
                <w:sz w:val="16"/>
                <w:szCs w:val="16"/>
              </w:rPr>
              <w:t> </w:t>
            </w:r>
          </w:p>
        </w:tc>
      </w:tr>
      <w:tr w14:paraId="67741E12"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503F8683" w14:textId="77777777">
            <w:pPr>
              <w:rPr>
                <w:color w:val="000000"/>
                <w:sz w:val="16"/>
                <w:szCs w:val="16"/>
              </w:rPr>
            </w:pPr>
            <w:r w:rsidRPr="00812046">
              <w:rPr>
                <w:color w:val="000000"/>
                <w:sz w:val="16"/>
                <w:szCs w:val="16"/>
              </w:rPr>
              <w:t xml:space="preserve">          One</w:t>
            </w:r>
          </w:p>
        </w:tc>
        <w:tc>
          <w:tcPr>
            <w:tcW w:w="0" w:type="auto"/>
            <w:tcBorders>
              <w:top w:val="nil"/>
              <w:left w:val="nil"/>
              <w:bottom w:val="nil"/>
              <w:right w:val="nil"/>
            </w:tcBorders>
            <w:shd w:val="clear" w:color="000000" w:fill="FFFFFF"/>
            <w:noWrap/>
            <w:vAlign w:val="center"/>
            <w:hideMark/>
          </w:tcPr>
          <w:p w:rsidR="00ED544B" w:rsidRPr="00812046" w:rsidP="007546F9" w14:paraId="30182BC1" w14:textId="77777777">
            <w:pPr>
              <w:jc w:val="center"/>
              <w:rPr>
                <w:color w:val="000000"/>
                <w:sz w:val="16"/>
                <w:szCs w:val="16"/>
              </w:rPr>
            </w:pPr>
            <w:r w:rsidRPr="00812046">
              <w:rPr>
                <w:color w:val="000000"/>
                <w:sz w:val="16"/>
                <w:szCs w:val="16"/>
              </w:rPr>
              <w:t>0.23***</w:t>
            </w:r>
          </w:p>
        </w:tc>
        <w:tc>
          <w:tcPr>
            <w:tcW w:w="0" w:type="auto"/>
            <w:tcBorders>
              <w:top w:val="nil"/>
              <w:left w:val="nil"/>
              <w:bottom w:val="nil"/>
              <w:right w:val="nil"/>
            </w:tcBorders>
            <w:shd w:val="clear" w:color="000000" w:fill="FFFFFF"/>
            <w:noWrap/>
            <w:vAlign w:val="center"/>
            <w:hideMark/>
          </w:tcPr>
          <w:p w:rsidR="00ED544B" w:rsidRPr="00812046" w:rsidP="007546F9" w14:paraId="2A534EA0" w14:textId="77777777">
            <w:pPr>
              <w:jc w:val="center"/>
              <w:rPr>
                <w:color w:val="000000"/>
                <w:sz w:val="16"/>
                <w:szCs w:val="16"/>
              </w:rPr>
            </w:pPr>
            <w:r w:rsidRPr="00812046">
              <w:rPr>
                <w:color w:val="000000"/>
                <w:sz w:val="16"/>
                <w:szCs w:val="16"/>
              </w:rPr>
              <w:t>0.29***</w:t>
            </w:r>
          </w:p>
        </w:tc>
        <w:tc>
          <w:tcPr>
            <w:tcW w:w="0" w:type="auto"/>
            <w:tcBorders>
              <w:top w:val="nil"/>
              <w:left w:val="nil"/>
              <w:bottom w:val="nil"/>
              <w:right w:val="nil"/>
            </w:tcBorders>
            <w:shd w:val="clear" w:color="000000" w:fill="FFFFFF"/>
            <w:noWrap/>
            <w:vAlign w:val="center"/>
            <w:hideMark/>
          </w:tcPr>
          <w:p w:rsidR="00ED544B" w:rsidRPr="00812046" w:rsidP="007546F9" w14:paraId="58FC1CDA" w14:textId="77777777">
            <w:pPr>
              <w:jc w:val="center"/>
              <w:rPr>
                <w:color w:val="000000"/>
                <w:sz w:val="16"/>
                <w:szCs w:val="16"/>
              </w:rPr>
            </w:pPr>
            <w:r w:rsidRPr="00812046">
              <w:rPr>
                <w:color w:val="000000"/>
                <w:sz w:val="16"/>
                <w:szCs w:val="16"/>
              </w:rPr>
              <w:t>0.14*</w:t>
            </w:r>
          </w:p>
        </w:tc>
        <w:tc>
          <w:tcPr>
            <w:tcW w:w="0" w:type="auto"/>
            <w:tcBorders>
              <w:top w:val="nil"/>
              <w:left w:val="nil"/>
              <w:bottom w:val="nil"/>
              <w:right w:val="nil"/>
            </w:tcBorders>
            <w:shd w:val="clear" w:color="000000" w:fill="FFFFFF"/>
            <w:noWrap/>
            <w:vAlign w:val="center"/>
            <w:hideMark/>
          </w:tcPr>
          <w:p w:rsidR="00ED544B" w:rsidRPr="00812046" w:rsidP="007546F9" w14:paraId="5AEBB108" w14:textId="77777777">
            <w:pPr>
              <w:jc w:val="center"/>
              <w:rPr>
                <w:color w:val="000000"/>
                <w:sz w:val="16"/>
                <w:szCs w:val="16"/>
              </w:rPr>
            </w:pPr>
            <w:r w:rsidRPr="00812046">
              <w:rPr>
                <w:color w:val="000000"/>
                <w:sz w:val="16"/>
                <w:szCs w:val="16"/>
              </w:rPr>
              <w:t>0.17**</w:t>
            </w:r>
          </w:p>
        </w:tc>
        <w:tc>
          <w:tcPr>
            <w:tcW w:w="0" w:type="auto"/>
            <w:tcBorders>
              <w:top w:val="nil"/>
              <w:left w:val="nil"/>
              <w:bottom w:val="nil"/>
              <w:right w:val="nil"/>
            </w:tcBorders>
            <w:shd w:val="clear" w:color="000000" w:fill="FFFFFF"/>
            <w:noWrap/>
            <w:vAlign w:val="center"/>
            <w:hideMark/>
          </w:tcPr>
          <w:p w:rsidR="00ED544B" w:rsidRPr="00812046" w:rsidP="007546F9" w14:paraId="1EF377F2" w14:textId="77777777">
            <w:pPr>
              <w:jc w:val="center"/>
              <w:rPr>
                <w:color w:val="000000"/>
                <w:sz w:val="16"/>
                <w:szCs w:val="16"/>
              </w:rPr>
            </w:pPr>
            <w:r w:rsidRPr="00812046">
              <w:rPr>
                <w:color w:val="000000"/>
                <w:sz w:val="16"/>
                <w:szCs w:val="16"/>
              </w:rPr>
              <w:t>0.22**</w:t>
            </w:r>
          </w:p>
        </w:tc>
        <w:tc>
          <w:tcPr>
            <w:tcW w:w="0" w:type="auto"/>
            <w:tcBorders>
              <w:top w:val="nil"/>
              <w:left w:val="nil"/>
              <w:bottom w:val="nil"/>
              <w:right w:val="nil"/>
            </w:tcBorders>
            <w:shd w:val="clear" w:color="000000" w:fill="FFFFFF"/>
            <w:noWrap/>
            <w:vAlign w:val="center"/>
            <w:hideMark/>
          </w:tcPr>
          <w:p w:rsidR="00ED544B" w:rsidRPr="00812046" w:rsidP="007546F9" w14:paraId="7D4D31F0" w14:textId="77777777">
            <w:pPr>
              <w:jc w:val="center"/>
              <w:rPr>
                <w:color w:val="000000"/>
                <w:sz w:val="16"/>
                <w:szCs w:val="16"/>
              </w:rPr>
            </w:pPr>
            <w:r w:rsidRPr="00812046">
              <w:rPr>
                <w:color w:val="000000"/>
                <w:sz w:val="16"/>
                <w:szCs w:val="16"/>
              </w:rPr>
              <w:t>0.23***</w:t>
            </w:r>
          </w:p>
        </w:tc>
        <w:tc>
          <w:tcPr>
            <w:tcW w:w="0" w:type="auto"/>
            <w:tcBorders>
              <w:top w:val="nil"/>
              <w:left w:val="nil"/>
              <w:bottom w:val="nil"/>
              <w:right w:val="nil"/>
            </w:tcBorders>
            <w:shd w:val="clear" w:color="000000" w:fill="FFFFFF"/>
            <w:noWrap/>
            <w:vAlign w:val="center"/>
            <w:hideMark/>
          </w:tcPr>
          <w:p w:rsidR="00ED544B" w:rsidRPr="00812046" w:rsidP="007546F9" w14:paraId="1581B8C7" w14:textId="77777777">
            <w:pPr>
              <w:jc w:val="center"/>
              <w:rPr>
                <w:color w:val="000000"/>
                <w:sz w:val="16"/>
                <w:szCs w:val="16"/>
              </w:rPr>
            </w:pPr>
            <w:r w:rsidRPr="00812046">
              <w:rPr>
                <w:color w:val="000000"/>
                <w:sz w:val="16"/>
                <w:szCs w:val="16"/>
              </w:rPr>
              <w:t>0.18</w:t>
            </w:r>
          </w:p>
        </w:tc>
        <w:tc>
          <w:tcPr>
            <w:tcW w:w="0" w:type="auto"/>
            <w:tcBorders>
              <w:top w:val="nil"/>
              <w:left w:val="nil"/>
              <w:bottom w:val="nil"/>
              <w:right w:val="nil"/>
            </w:tcBorders>
            <w:shd w:val="clear" w:color="000000" w:fill="FFFFFF"/>
            <w:noWrap/>
            <w:vAlign w:val="center"/>
            <w:hideMark/>
          </w:tcPr>
          <w:p w:rsidR="00ED544B" w:rsidRPr="00812046" w:rsidP="007546F9" w14:paraId="2C9A760C" w14:textId="77777777">
            <w:pPr>
              <w:jc w:val="center"/>
              <w:rPr>
                <w:color w:val="000000"/>
                <w:sz w:val="16"/>
                <w:szCs w:val="16"/>
              </w:rPr>
            </w:pPr>
            <w:r w:rsidRPr="00812046">
              <w:rPr>
                <w:color w:val="000000"/>
                <w:sz w:val="16"/>
                <w:szCs w:val="16"/>
              </w:rPr>
              <w:t>-0.15**</w:t>
            </w:r>
          </w:p>
        </w:tc>
        <w:tc>
          <w:tcPr>
            <w:tcW w:w="0" w:type="auto"/>
            <w:tcBorders>
              <w:top w:val="nil"/>
              <w:left w:val="nil"/>
              <w:bottom w:val="nil"/>
              <w:right w:val="nil"/>
            </w:tcBorders>
            <w:shd w:val="clear" w:color="000000" w:fill="FFFFFF"/>
            <w:noWrap/>
            <w:vAlign w:val="center"/>
            <w:hideMark/>
          </w:tcPr>
          <w:p w:rsidR="00ED544B" w:rsidRPr="00812046" w:rsidP="007546F9" w14:paraId="3CAF7656" w14:textId="77777777">
            <w:pPr>
              <w:jc w:val="center"/>
              <w:rPr>
                <w:color w:val="000000"/>
                <w:sz w:val="16"/>
                <w:szCs w:val="16"/>
              </w:rPr>
            </w:pPr>
            <w:r w:rsidRPr="00812046">
              <w:rPr>
                <w:color w:val="000000"/>
                <w:sz w:val="16"/>
                <w:szCs w:val="16"/>
              </w:rPr>
              <w:t>0.28***</w:t>
            </w:r>
          </w:p>
        </w:tc>
        <w:tc>
          <w:tcPr>
            <w:tcW w:w="0" w:type="auto"/>
            <w:tcBorders>
              <w:top w:val="nil"/>
              <w:left w:val="nil"/>
              <w:bottom w:val="nil"/>
              <w:right w:val="nil"/>
            </w:tcBorders>
            <w:shd w:val="clear" w:color="000000" w:fill="FFFFFF"/>
            <w:noWrap/>
            <w:vAlign w:val="center"/>
            <w:hideMark/>
          </w:tcPr>
          <w:p w:rsidR="00ED544B" w:rsidRPr="00812046" w:rsidP="007546F9" w14:paraId="325BA220" w14:textId="77777777">
            <w:pPr>
              <w:jc w:val="center"/>
              <w:rPr>
                <w:color w:val="000000"/>
                <w:sz w:val="16"/>
                <w:szCs w:val="16"/>
              </w:rPr>
            </w:pPr>
            <w:r w:rsidRPr="00812046">
              <w:rPr>
                <w:color w:val="000000"/>
                <w:sz w:val="16"/>
                <w:szCs w:val="16"/>
              </w:rPr>
              <w:t>0.26***</w:t>
            </w:r>
          </w:p>
        </w:tc>
        <w:tc>
          <w:tcPr>
            <w:tcW w:w="0" w:type="auto"/>
            <w:tcBorders>
              <w:top w:val="nil"/>
              <w:left w:val="nil"/>
              <w:bottom w:val="nil"/>
              <w:right w:val="nil"/>
            </w:tcBorders>
            <w:shd w:val="clear" w:color="000000" w:fill="FFFFFF"/>
            <w:noWrap/>
            <w:vAlign w:val="center"/>
            <w:hideMark/>
          </w:tcPr>
          <w:p w:rsidR="00ED544B" w:rsidRPr="00812046" w:rsidP="007546F9" w14:paraId="00677A26" w14:textId="77777777">
            <w:pPr>
              <w:jc w:val="center"/>
              <w:rPr>
                <w:color w:val="000000"/>
                <w:sz w:val="16"/>
                <w:szCs w:val="16"/>
              </w:rPr>
            </w:pPr>
            <w:r w:rsidRPr="00812046">
              <w:rPr>
                <w:color w:val="000000"/>
                <w:sz w:val="16"/>
                <w:szCs w:val="16"/>
              </w:rPr>
              <w:t>0.07</w:t>
            </w:r>
          </w:p>
        </w:tc>
        <w:tc>
          <w:tcPr>
            <w:tcW w:w="957" w:type="dxa"/>
            <w:tcBorders>
              <w:top w:val="nil"/>
              <w:left w:val="nil"/>
              <w:bottom w:val="nil"/>
              <w:right w:val="nil"/>
            </w:tcBorders>
            <w:shd w:val="clear" w:color="000000" w:fill="FFFFFF"/>
            <w:noWrap/>
            <w:vAlign w:val="center"/>
            <w:hideMark/>
          </w:tcPr>
          <w:p w:rsidR="00ED544B" w:rsidRPr="00812046" w:rsidP="007546F9" w14:paraId="1CC5B316" w14:textId="77777777">
            <w:pPr>
              <w:jc w:val="center"/>
              <w:rPr>
                <w:color w:val="000000"/>
                <w:sz w:val="16"/>
                <w:szCs w:val="16"/>
              </w:rPr>
            </w:pPr>
            <w:r w:rsidRPr="00812046">
              <w:rPr>
                <w:color w:val="000000"/>
                <w:sz w:val="16"/>
                <w:szCs w:val="16"/>
              </w:rPr>
              <w:t>-0.08</w:t>
            </w:r>
          </w:p>
        </w:tc>
      </w:tr>
      <w:tr w14:paraId="7FA04B99"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bottom"/>
            <w:hideMark/>
          </w:tcPr>
          <w:p w:rsidR="00ED544B" w:rsidRPr="00812046" w:rsidP="007546F9" w14:paraId="6CB280E9"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17086BD3" w14:textId="77777777">
            <w:pPr>
              <w:jc w:val="center"/>
              <w:rPr>
                <w:color w:val="000000"/>
                <w:sz w:val="16"/>
                <w:szCs w:val="16"/>
              </w:rPr>
            </w:pPr>
            <w:r w:rsidRPr="00812046">
              <w:rPr>
                <w:color w:val="000000"/>
                <w:sz w:val="16"/>
                <w:szCs w:val="16"/>
              </w:rPr>
              <w:t>(0.07)</w:t>
            </w:r>
          </w:p>
        </w:tc>
        <w:tc>
          <w:tcPr>
            <w:tcW w:w="0" w:type="auto"/>
            <w:tcBorders>
              <w:top w:val="nil"/>
              <w:left w:val="nil"/>
              <w:bottom w:val="nil"/>
              <w:right w:val="nil"/>
            </w:tcBorders>
            <w:shd w:val="clear" w:color="000000" w:fill="FFFFFF"/>
            <w:noWrap/>
            <w:vAlign w:val="center"/>
            <w:hideMark/>
          </w:tcPr>
          <w:p w:rsidR="00ED544B" w:rsidRPr="00812046" w:rsidP="007546F9" w14:paraId="391D36D3" w14:textId="77777777">
            <w:pPr>
              <w:jc w:val="center"/>
              <w:rPr>
                <w:color w:val="000000"/>
                <w:sz w:val="16"/>
                <w:szCs w:val="16"/>
              </w:rPr>
            </w:pPr>
            <w:r w:rsidRPr="00812046">
              <w:rPr>
                <w:color w:val="000000"/>
                <w:sz w:val="16"/>
                <w:szCs w:val="16"/>
              </w:rPr>
              <w:t>(0.06)</w:t>
            </w:r>
          </w:p>
        </w:tc>
        <w:tc>
          <w:tcPr>
            <w:tcW w:w="0" w:type="auto"/>
            <w:tcBorders>
              <w:top w:val="nil"/>
              <w:left w:val="nil"/>
              <w:bottom w:val="nil"/>
              <w:right w:val="nil"/>
            </w:tcBorders>
            <w:shd w:val="clear" w:color="000000" w:fill="FFFFFF"/>
            <w:noWrap/>
            <w:vAlign w:val="center"/>
            <w:hideMark/>
          </w:tcPr>
          <w:p w:rsidR="00ED544B" w:rsidRPr="00812046" w:rsidP="007546F9" w14:paraId="30CD06D5" w14:textId="77777777">
            <w:pPr>
              <w:jc w:val="center"/>
              <w:rPr>
                <w:color w:val="000000"/>
                <w:sz w:val="16"/>
                <w:szCs w:val="16"/>
              </w:rPr>
            </w:pPr>
            <w:r w:rsidRPr="00812046">
              <w:rPr>
                <w:color w:val="000000"/>
                <w:sz w:val="16"/>
                <w:szCs w:val="16"/>
              </w:rPr>
              <w:t>(0.07)</w:t>
            </w:r>
          </w:p>
        </w:tc>
        <w:tc>
          <w:tcPr>
            <w:tcW w:w="0" w:type="auto"/>
            <w:tcBorders>
              <w:top w:val="nil"/>
              <w:left w:val="nil"/>
              <w:bottom w:val="nil"/>
              <w:right w:val="nil"/>
            </w:tcBorders>
            <w:shd w:val="clear" w:color="000000" w:fill="FFFFFF"/>
            <w:noWrap/>
            <w:vAlign w:val="center"/>
            <w:hideMark/>
          </w:tcPr>
          <w:p w:rsidR="00ED544B" w:rsidRPr="00812046" w:rsidP="007546F9" w14:paraId="448BEC79" w14:textId="77777777">
            <w:pPr>
              <w:jc w:val="center"/>
              <w:rPr>
                <w:color w:val="000000"/>
                <w:sz w:val="16"/>
                <w:szCs w:val="16"/>
              </w:rPr>
            </w:pPr>
            <w:r w:rsidRPr="00812046">
              <w:rPr>
                <w:color w:val="000000"/>
                <w:sz w:val="16"/>
                <w:szCs w:val="16"/>
              </w:rPr>
              <w:t>(0.07)</w:t>
            </w:r>
          </w:p>
        </w:tc>
        <w:tc>
          <w:tcPr>
            <w:tcW w:w="0" w:type="auto"/>
            <w:tcBorders>
              <w:top w:val="nil"/>
              <w:left w:val="nil"/>
              <w:bottom w:val="nil"/>
              <w:right w:val="nil"/>
            </w:tcBorders>
            <w:shd w:val="clear" w:color="000000" w:fill="FFFFFF"/>
            <w:noWrap/>
            <w:vAlign w:val="center"/>
            <w:hideMark/>
          </w:tcPr>
          <w:p w:rsidR="00ED544B" w:rsidRPr="00812046" w:rsidP="007546F9" w14:paraId="46FBC8A8" w14:textId="77777777">
            <w:pPr>
              <w:jc w:val="center"/>
              <w:rPr>
                <w:color w:val="000000"/>
                <w:sz w:val="16"/>
                <w:szCs w:val="16"/>
              </w:rPr>
            </w:pPr>
            <w:r w:rsidRPr="00812046">
              <w:rPr>
                <w:color w:val="000000"/>
                <w:sz w:val="16"/>
                <w:szCs w:val="16"/>
              </w:rPr>
              <w:t>(0.07)</w:t>
            </w:r>
          </w:p>
        </w:tc>
        <w:tc>
          <w:tcPr>
            <w:tcW w:w="0" w:type="auto"/>
            <w:tcBorders>
              <w:top w:val="nil"/>
              <w:left w:val="nil"/>
              <w:bottom w:val="nil"/>
              <w:right w:val="nil"/>
            </w:tcBorders>
            <w:shd w:val="clear" w:color="000000" w:fill="FFFFFF"/>
            <w:noWrap/>
            <w:vAlign w:val="center"/>
            <w:hideMark/>
          </w:tcPr>
          <w:p w:rsidR="00ED544B" w:rsidRPr="00812046" w:rsidP="007546F9" w14:paraId="444DA1AF" w14:textId="77777777">
            <w:pPr>
              <w:jc w:val="center"/>
              <w:rPr>
                <w:color w:val="000000"/>
                <w:sz w:val="16"/>
                <w:szCs w:val="16"/>
              </w:rPr>
            </w:pPr>
            <w:r w:rsidRPr="00812046">
              <w:rPr>
                <w:color w:val="000000"/>
                <w:sz w:val="16"/>
                <w:szCs w:val="16"/>
              </w:rPr>
              <w:t>(0.06)</w:t>
            </w:r>
          </w:p>
        </w:tc>
        <w:tc>
          <w:tcPr>
            <w:tcW w:w="0" w:type="auto"/>
            <w:tcBorders>
              <w:top w:val="nil"/>
              <w:left w:val="nil"/>
              <w:bottom w:val="nil"/>
              <w:right w:val="nil"/>
            </w:tcBorders>
            <w:shd w:val="clear" w:color="000000" w:fill="FFFFFF"/>
            <w:noWrap/>
            <w:vAlign w:val="center"/>
            <w:hideMark/>
          </w:tcPr>
          <w:p w:rsidR="00ED544B" w:rsidRPr="00812046" w:rsidP="007546F9" w14:paraId="71408971" w14:textId="77777777">
            <w:pPr>
              <w:jc w:val="center"/>
              <w:rPr>
                <w:color w:val="000000"/>
                <w:sz w:val="16"/>
                <w:szCs w:val="16"/>
              </w:rPr>
            </w:pPr>
            <w:r w:rsidRPr="00812046">
              <w:rPr>
                <w:color w:val="000000"/>
                <w:sz w:val="16"/>
                <w:szCs w:val="16"/>
              </w:rPr>
              <w:t>(0.11)</w:t>
            </w:r>
          </w:p>
        </w:tc>
        <w:tc>
          <w:tcPr>
            <w:tcW w:w="0" w:type="auto"/>
            <w:tcBorders>
              <w:top w:val="nil"/>
              <w:left w:val="nil"/>
              <w:bottom w:val="nil"/>
              <w:right w:val="nil"/>
            </w:tcBorders>
            <w:shd w:val="clear" w:color="000000" w:fill="FFFFFF"/>
            <w:noWrap/>
            <w:vAlign w:val="center"/>
            <w:hideMark/>
          </w:tcPr>
          <w:p w:rsidR="00ED544B" w:rsidRPr="00812046" w:rsidP="007546F9" w14:paraId="53E5B035" w14:textId="77777777">
            <w:pPr>
              <w:jc w:val="center"/>
              <w:rPr>
                <w:color w:val="000000"/>
                <w:sz w:val="16"/>
                <w:szCs w:val="16"/>
              </w:rPr>
            </w:pPr>
            <w:r w:rsidRPr="00812046">
              <w:rPr>
                <w:color w:val="000000"/>
                <w:sz w:val="16"/>
                <w:szCs w:val="16"/>
              </w:rPr>
              <w:t>(0.05)</w:t>
            </w:r>
          </w:p>
        </w:tc>
        <w:tc>
          <w:tcPr>
            <w:tcW w:w="0" w:type="auto"/>
            <w:tcBorders>
              <w:top w:val="nil"/>
              <w:left w:val="nil"/>
              <w:bottom w:val="nil"/>
              <w:right w:val="nil"/>
            </w:tcBorders>
            <w:shd w:val="clear" w:color="000000" w:fill="FFFFFF"/>
            <w:noWrap/>
            <w:vAlign w:val="center"/>
            <w:hideMark/>
          </w:tcPr>
          <w:p w:rsidR="00ED544B" w:rsidRPr="00812046" w:rsidP="007546F9" w14:paraId="2DA5BA58" w14:textId="77777777">
            <w:pPr>
              <w:jc w:val="center"/>
              <w:rPr>
                <w:color w:val="000000"/>
                <w:sz w:val="16"/>
                <w:szCs w:val="16"/>
              </w:rPr>
            </w:pPr>
            <w:r w:rsidRPr="00812046">
              <w:rPr>
                <w:color w:val="000000"/>
                <w:sz w:val="16"/>
                <w:szCs w:val="16"/>
              </w:rPr>
              <w:t>(0.07)</w:t>
            </w:r>
          </w:p>
        </w:tc>
        <w:tc>
          <w:tcPr>
            <w:tcW w:w="0" w:type="auto"/>
            <w:tcBorders>
              <w:top w:val="nil"/>
              <w:left w:val="nil"/>
              <w:bottom w:val="nil"/>
              <w:right w:val="nil"/>
            </w:tcBorders>
            <w:shd w:val="clear" w:color="000000" w:fill="FFFFFF"/>
            <w:noWrap/>
            <w:vAlign w:val="center"/>
            <w:hideMark/>
          </w:tcPr>
          <w:p w:rsidR="00ED544B" w:rsidRPr="00812046" w:rsidP="007546F9" w14:paraId="49EA9AAF" w14:textId="77777777">
            <w:pPr>
              <w:jc w:val="center"/>
              <w:rPr>
                <w:color w:val="000000"/>
                <w:sz w:val="16"/>
                <w:szCs w:val="16"/>
              </w:rPr>
            </w:pPr>
            <w:r w:rsidRPr="00812046">
              <w:rPr>
                <w:color w:val="000000"/>
                <w:sz w:val="16"/>
                <w:szCs w:val="16"/>
              </w:rPr>
              <w:t>(0.06)</w:t>
            </w:r>
          </w:p>
        </w:tc>
        <w:tc>
          <w:tcPr>
            <w:tcW w:w="0" w:type="auto"/>
            <w:tcBorders>
              <w:top w:val="nil"/>
              <w:left w:val="nil"/>
              <w:bottom w:val="nil"/>
              <w:right w:val="nil"/>
            </w:tcBorders>
            <w:shd w:val="clear" w:color="000000" w:fill="FFFFFF"/>
            <w:noWrap/>
            <w:vAlign w:val="center"/>
            <w:hideMark/>
          </w:tcPr>
          <w:p w:rsidR="00ED544B" w:rsidRPr="00812046" w:rsidP="007546F9" w14:paraId="483D07D0" w14:textId="77777777">
            <w:pPr>
              <w:jc w:val="center"/>
              <w:rPr>
                <w:color w:val="000000"/>
                <w:sz w:val="16"/>
                <w:szCs w:val="16"/>
              </w:rPr>
            </w:pPr>
            <w:r w:rsidRPr="00812046">
              <w:rPr>
                <w:color w:val="000000"/>
                <w:sz w:val="16"/>
                <w:szCs w:val="16"/>
              </w:rPr>
              <w:t>(0.16)</w:t>
            </w:r>
          </w:p>
        </w:tc>
        <w:tc>
          <w:tcPr>
            <w:tcW w:w="957" w:type="dxa"/>
            <w:tcBorders>
              <w:top w:val="nil"/>
              <w:left w:val="nil"/>
              <w:bottom w:val="nil"/>
              <w:right w:val="nil"/>
            </w:tcBorders>
            <w:shd w:val="clear" w:color="000000" w:fill="FFFFFF"/>
            <w:noWrap/>
            <w:vAlign w:val="center"/>
            <w:hideMark/>
          </w:tcPr>
          <w:p w:rsidR="00ED544B" w:rsidRPr="00812046" w:rsidP="007546F9" w14:paraId="6861810A" w14:textId="77777777">
            <w:pPr>
              <w:jc w:val="center"/>
              <w:rPr>
                <w:color w:val="000000"/>
                <w:sz w:val="16"/>
                <w:szCs w:val="16"/>
              </w:rPr>
            </w:pPr>
            <w:r w:rsidRPr="00812046">
              <w:rPr>
                <w:color w:val="000000"/>
                <w:sz w:val="16"/>
                <w:szCs w:val="16"/>
              </w:rPr>
              <w:t>(0.18)</w:t>
            </w:r>
          </w:p>
        </w:tc>
      </w:tr>
      <w:tr w14:paraId="34D47B92"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43812D29" w14:textId="77777777">
            <w:pPr>
              <w:rPr>
                <w:color w:val="000000"/>
                <w:sz w:val="16"/>
                <w:szCs w:val="16"/>
              </w:rPr>
            </w:pPr>
            <w:r w:rsidRPr="00812046">
              <w:rPr>
                <w:color w:val="000000"/>
                <w:sz w:val="16"/>
                <w:szCs w:val="16"/>
              </w:rPr>
              <w:t xml:space="preserve">          Two </w:t>
            </w:r>
          </w:p>
        </w:tc>
        <w:tc>
          <w:tcPr>
            <w:tcW w:w="0" w:type="auto"/>
            <w:tcBorders>
              <w:top w:val="nil"/>
              <w:left w:val="nil"/>
              <w:bottom w:val="nil"/>
              <w:right w:val="nil"/>
            </w:tcBorders>
            <w:shd w:val="clear" w:color="000000" w:fill="FFFFFF"/>
            <w:noWrap/>
            <w:vAlign w:val="center"/>
            <w:hideMark/>
          </w:tcPr>
          <w:p w:rsidR="00ED544B" w:rsidRPr="00812046" w:rsidP="007546F9" w14:paraId="4DAE4C0B" w14:textId="77777777">
            <w:pPr>
              <w:jc w:val="center"/>
              <w:rPr>
                <w:color w:val="000000"/>
                <w:sz w:val="16"/>
                <w:szCs w:val="16"/>
              </w:rPr>
            </w:pPr>
            <w:r w:rsidRPr="00812046">
              <w:rPr>
                <w:color w:val="000000"/>
                <w:sz w:val="16"/>
                <w:szCs w:val="16"/>
              </w:rPr>
              <w:t>-0.45***</w:t>
            </w:r>
          </w:p>
        </w:tc>
        <w:tc>
          <w:tcPr>
            <w:tcW w:w="0" w:type="auto"/>
            <w:tcBorders>
              <w:top w:val="nil"/>
              <w:left w:val="nil"/>
              <w:bottom w:val="nil"/>
              <w:right w:val="nil"/>
            </w:tcBorders>
            <w:shd w:val="clear" w:color="000000" w:fill="FFFFFF"/>
            <w:noWrap/>
            <w:vAlign w:val="center"/>
            <w:hideMark/>
          </w:tcPr>
          <w:p w:rsidR="00ED544B" w:rsidRPr="00812046" w:rsidP="007546F9" w14:paraId="32A82D25" w14:textId="77777777">
            <w:pPr>
              <w:jc w:val="center"/>
              <w:rPr>
                <w:color w:val="000000"/>
                <w:sz w:val="16"/>
                <w:szCs w:val="16"/>
              </w:rPr>
            </w:pPr>
            <w:r w:rsidRPr="00812046">
              <w:rPr>
                <w:color w:val="000000"/>
                <w:sz w:val="16"/>
                <w:szCs w:val="16"/>
              </w:rPr>
              <w:t>-0.58***</w:t>
            </w:r>
          </w:p>
        </w:tc>
        <w:tc>
          <w:tcPr>
            <w:tcW w:w="0" w:type="auto"/>
            <w:tcBorders>
              <w:top w:val="nil"/>
              <w:left w:val="nil"/>
              <w:bottom w:val="nil"/>
              <w:right w:val="nil"/>
            </w:tcBorders>
            <w:shd w:val="clear" w:color="000000" w:fill="FFFFFF"/>
            <w:noWrap/>
            <w:vAlign w:val="center"/>
            <w:hideMark/>
          </w:tcPr>
          <w:p w:rsidR="00ED544B" w:rsidRPr="00812046" w:rsidP="007546F9" w14:paraId="78D8B489" w14:textId="77777777">
            <w:pPr>
              <w:jc w:val="center"/>
              <w:rPr>
                <w:color w:val="000000"/>
                <w:sz w:val="16"/>
                <w:szCs w:val="16"/>
              </w:rPr>
            </w:pPr>
            <w:r w:rsidRPr="00812046">
              <w:rPr>
                <w:color w:val="000000"/>
                <w:sz w:val="16"/>
                <w:szCs w:val="16"/>
              </w:rPr>
              <w:t>-0.53***</w:t>
            </w:r>
          </w:p>
        </w:tc>
        <w:tc>
          <w:tcPr>
            <w:tcW w:w="0" w:type="auto"/>
            <w:tcBorders>
              <w:top w:val="nil"/>
              <w:left w:val="nil"/>
              <w:bottom w:val="nil"/>
              <w:right w:val="nil"/>
            </w:tcBorders>
            <w:shd w:val="clear" w:color="000000" w:fill="FFFFFF"/>
            <w:noWrap/>
            <w:vAlign w:val="center"/>
            <w:hideMark/>
          </w:tcPr>
          <w:p w:rsidR="00ED544B" w:rsidRPr="00812046" w:rsidP="007546F9" w14:paraId="2C92F2A4" w14:textId="77777777">
            <w:pPr>
              <w:jc w:val="center"/>
              <w:rPr>
                <w:color w:val="000000"/>
                <w:sz w:val="16"/>
                <w:szCs w:val="16"/>
              </w:rPr>
            </w:pPr>
            <w:r w:rsidRPr="00812046">
              <w:rPr>
                <w:color w:val="000000"/>
                <w:sz w:val="16"/>
                <w:szCs w:val="16"/>
              </w:rPr>
              <w:t>-0.68***</w:t>
            </w:r>
          </w:p>
        </w:tc>
        <w:tc>
          <w:tcPr>
            <w:tcW w:w="0" w:type="auto"/>
            <w:tcBorders>
              <w:top w:val="nil"/>
              <w:left w:val="nil"/>
              <w:bottom w:val="nil"/>
              <w:right w:val="nil"/>
            </w:tcBorders>
            <w:shd w:val="clear" w:color="000000" w:fill="FFFFFF"/>
            <w:noWrap/>
            <w:vAlign w:val="center"/>
            <w:hideMark/>
          </w:tcPr>
          <w:p w:rsidR="00ED544B" w:rsidRPr="00812046" w:rsidP="007546F9" w14:paraId="1C73559F" w14:textId="77777777">
            <w:pPr>
              <w:jc w:val="center"/>
              <w:rPr>
                <w:color w:val="000000"/>
                <w:sz w:val="16"/>
                <w:szCs w:val="16"/>
              </w:rPr>
            </w:pPr>
            <w:r w:rsidRPr="00812046">
              <w:rPr>
                <w:color w:val="000000"/>
                <w:sz w:val="16"/>
                <w:szCs w:val="16"/>
              </w:rPr>
              <w:t>-0.48***</w:t>
            </w:r>
          </w:p>
        </w:tc>
        <w:tc>
          <w:tcPr>
            <w:tcW w:w="0" w:type="auto"/>
            <w:tcBorders>
              <w:top w:val="nil"/>
              <w:left w:val="nil"/>
              <w:bottom w:val="nil"/>
              <w:right w:val="nil"/>
            </w:tcBorders>
            <w:shd w:val="clear" w:color="000000" w:fill="FFFFFF"/>
            <w:noWrap/>
            <w:vAlign w:val="center"/>
            <w:hideMark/>
          </w:tcPr>
          <w:p w:rsidR="00ED544B" w:rsidRPr="00812046" w:rsidP="007546F9" w14:paraId="0FA878A6" w14:textId="77777777">
            <w:pPr>
              <w:jc w:val="center"/>
              <w:rPr>
                <w:color w:val="000000"/>
                <w:sz w:val="16"/>
                <w:szCs w:val="16"/>
              </w:rPr>
            </w:pPr>
            <w:r w:rsidRPr="00812046">
              <w:rPr>
                <w:color w:val="000000"/>
                <w:sz w:val="16"/>
                <w:szCs w:val="16"/>
              </w:rPr>
              <w:t>-0.54***</w:t>
            </w:r>
          </w:p>
        </w:tc>
        <w:tc>
          <w:tcPr>
            <w:tcW w:w="0" w:type="auto"/>
            <w:tcBorders>
              <w:top w:val="nil"/>
              <w:left w:val="nil"/>
              <w:bottom w:val="nil"/>
              <w:right w:val="nil"/>
            </w:tcBorders>
            <w:shd w:val="clear" w:color="000000" w:fill="FFFFFF"/>
            <w:noWrap/>
            <w:vAlign w:val="center"/>
            <w:hideMark/>
          </w:tcPr>
          <w:p w:rsidR="00ED544B" w:rsidRPr="00812046" w:rsidP="007546F9" w14:paraId="4D294182" w14:textId="77777777">
            <w:pPr>
              <w:jc w:val="center"/>
              <w:rPr>
                <w:color w:val="000000"/>
                <w:sz w:val="16"/>
                <w:szCs w:val="16"/>
              </w:rPr>
            </w:pPr>
            <w:r w:rsidRPr="00812046">
              <w:rPr>
                <w:color w:val="000000"/>
                <w:sz w:val="16"/>
                <w:szCs w:val="16"/>
              </w:rPr>
              <w:t>-0.33*</w:t>
            </w:r>
          </w:p>
        </w:tc>
        <w:tc>
          <w:tcPr>
            <w:tcW w:w="0" w:type="auto"/>
            <w:tcBorders>
              <w:top w:val="nil"/>
              <w:left w:val="nil"/>
              <w:bottom w:val="nil"/>
              <w:right w:val="nil"/>
            </w:tcBorders>
            <w:shd w:val="clear" w:color="000000" w:fill="FFFFFF"/>
            <w:noWrap/>
            <w:vAlign w:val="center"/>
            <w:hideMark/>
          </w:tcPr>
          <w:p w:rsidR="00ED544B" w:rsidRPr="00812046" w:rsidP="007546F9" w14:paraId="42C303D3" w14:textId="77777777">
            <w:pPr>
              <w:jc w:val="center"/>
              <w:rPr>
                <w:color w:val="000000"/>
                <w:sz w:val="16"/>
                <w:szCs w:val="16"/>
              </w:rPr>
            </w:pPr>
            <w:r w:rsidRPr="00812046">
              <w:rPr>
                <w:color w:val="000000"/>
                <w:sz w:val="16"/>
                <w:szCs w:val="16"/>
              </w:rPr>
              <w:t>-0.53***</w:t>
            </w:r>
          </w:p>
        </w:tc>
        <w:tc>
          <w:tcPr>
            <w:tcW w:w="0" w:type="auto"/>
            <w:tcBorders>
              <w:top w:val="nil"/>
              <w:left w:val="nil"/>
              <w:bottom w:val="nil"/>
              <w:right w:val="nil"/>
            </w:tcBorders>
            <w:shd w:val="clear" w:color="000000" w:fill="FFFFFF"/>
            <w:noWrap/>
            <w:vAlign w:val="center"/>
            <w:hideMark/>
          </w:tcPr>
          <w:p w:rsidR="00ED544B" w:rsidRPr="00812046" w:rsidP="007546F9" w14:paraId="4E768932" w14:textId="77777777">
            <w:pPr>
              <w:jc w:val="center"/>
              <w:rPr>
                <w:color w:val="000000"/>
                <w:sz w:val="16"/>
                <w:szCs w:val="16"/>
              </w:rPr>
            </w:pPr>
            <w:r w:rsidRPr="00812046">
              <w:rPr>
                <w:color w:val="000000"/>
                <w:sz w:val="16"/>
                <w:szCs w:val="16"/>
              </w:rPr>
              <w:t>-0.53***</w:t>
            </w:r>
          </w:p>
        </w:tc>
        <w:tc>
          <w:tcPr>
            <w:tcW w:w="0" w:type="auto"/>
            <w:tcBorders>
              <w:top w:val="nil"/>
              <w:left w:val="nil"/>
              <w:bottom w:val="nil"/>
              <w:right w:val="nil"/>
            </w:tcBorders>
            <w:shd w:val="clear" w:color="000000" w:fill="FFFFFF"/>
            <w:noWrap/>
            <w:vAlign w:val="center"/>
            <w:hideMark/>
          </w:tcPr>
          <w:p w:rsidR="00ED544B" w:rsidRPr="00812046" w:rsidP="007546F9" w14:paraId="347A314F" w14:textId="77777777">
            <w:pPr>
              <w:jc w:val="center"/>
              <w:rPr>
                <w:color w:val="000000"/>
                <w:sz w:val="16"/>
                <w:szCs w:val="16"/>
              </w:rPr>
            </w:pPr>
            <w:r w:rsidRPr="00812046">
              <w:rPr>
                <w:color w:val="000000"/>
                <w:sz w:val="16"/>
                <w:szCs w:val="16"/>
              </w:rPr>
              <w:t>-0.45***</w:t>
            </w:r>
          </w:p>
        </w:tc>
        <w:tc>
          <w:tcPr>
            <w:tcW w:w="0" w:type="auto"/>
            <w:tcBorders>
              <w:top w:val="nil"/>
              <w:left w:val="nil"/>
              <w:bottom w:val="nil"/>
              <w:right w:val="nil"/>
            </w:tcBorders>
            <w:shd w:val="clear" w:color="000000" w:fill="FFFFFF"/>
            <w:noWrap/>
            <w:vAlign w:val="center"/>
            <w:hideMark/>
          </w:tcPr>
          <w:p w:rsidR="00ED544B" w:rsidRPr="00812046" w:rsidP="007546F9" w14:paraId="4EC27DFD" w14:textId="77777777">
            <w:pPr>
              <w:jc w:val="center"/>
              <w:rPr>
                <w:color w:val="000000"/>
                <w:sz w:val="16"/>
                <w:szCs w:val="16"/>
              </w:rPr>
            </w:pPr>
            <w:r w:rsidRPr="00812046">
              <w:rPr>
                <w:color w:val="000000"/>
                <w:sz w:val="16"/>
                <w:szCs w:val="16"/>
              </w:rPr>
              <w:t>0.10</w:t>
            </w:r>
          </w:p>
        </w:tc>
        <w:tc>
          <w:tcPr>
            <w:tcW w:w="957" w:type="dxa"/>
            <w:tcBorders>
              <w:top w:val="nil"/>
              <w:left w:val="nil"/>
              <w:bottom w:val="nil"/>
              <w:right w:val="nil"/>
            </w:tcBorders>
            <w:shd w:val="clear" w:color="000000" w:fill="FFFFFF"/>
            <w:noWrap/>
            <w:vAlign w:val="center"/>
            <w:hideMark/>
          </w:tcPr>
          <w:p w:rsidR="00ED544B" w:rsidRPr="00812046" w:rsidP="007546F9" w14:paraId="16682808" w14:textId="77777777">
            <w:pPr>
              <w:jc w:val="center"/>
              <w:rPr>
                <w:color w:val="000000"/>
                <w:sz w:val="16"/>
                <w:szCs w:val="16"/>
              </w:rPr>
            </w:pPr>
            <w:r w:rsidRPr="00812046">
              <w:rPr>
                <w:color w:val="000000"/>
                <w:sz w:val="16"/>
                <w:szCs w:val="16"/>
              </w:rPr>
              <w:t>-0.04</w:t>
            </w:r>
          </w:p>
        </w:tc>
      </w:tr>
      <w:tr w14:paraId="3386BAB7"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bottom"/>
            <w:hideMark/>
          </w:tcPr>
          <w:p w:rsidR="00ED544B" w:rsidRPr="00812046" w:rsidP="007546F9" w14:paraId="56956083"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3BA45E94" w14:textId="77777777">
            <w:pPr>
              <w:jc w:val="center"/>
              <w:rPr>
                <w:color w:val="000000"/>
                <w:sz w:val="16"/>
                <w:szCs w:val="16"/>
              </w:rPr>
            </w:pPr>
            <w:r w:rsidRPr="00812046">
              <w:rPr>
                <w:color w:val="000000"/>
                <w:sz w:val="16"/>
                <w:szCs w:val="16"/>
              </w:rPr>
              <w:t>(0.11)</w:t>
            </w:r>
          </w:p>
        </w:tc>
        <w:tc>
          <w:tcPr>
            <w:tcW w:w="0" w:type="auto"/>
            <w:tcBorders>
              <w:top w:val="nil"/>
              <w:left w:val="nil"/>
              <w:bottom w:val="nil"/>
              <w:right w:val="nil"/>
            </w:tcBorders>
            <w:shd w:val="clear" w:color="000000" w:fill="FFFFFF"/>
            <w:noWrap/>
            <w:vAlign w:val="center"/>
            <w:hideMark/>
          </w:tcPr>
          <w:p w:rsidR="00ED544B" w:rsidRPr="00812046" w:rsidP="007546F9" w14:paraId="2BCD1734" w14:textId="77777777">
            <w:pPr>
              <w:jc w:val="center"/>
              <w:rPr>
                <w:color w:val="000000"/>
                <w:sz w:val="16"/>
                <w:szCs w:val="16"/>
              </w:rPr>
            </w:pPr>
            <w:r w:rsidRPr="00812046">
              <w:rPr>
                <w:color w:val="000000"/>
                <w:sz w:val="16"/>
                <w:szCs w:val="16"/>
              </w:rPr>
              <w:t>(0.11)</w:t>
            </w:r>
          </w:p>
        </w:tc>
        <w:tc>
          <w:tcPr>
            <w:tcW w:w="0" w:type="auto"/>
            <w:tcBorders>
              <w:top w:val="nil"/>
              <w:left w:val="nil"/>
              <w:bottom w:val="nil"/>
              <w:right w:val="nil"/>
            </w:tcBorders>
            <w:shd w:val="clear" w:color="000000" w:fill="FFFFFF"/>
            <w:noWrap/>
            <w:vAlign w:val="center"/>
            <w:hideMark/>
          </w:tcPr>
          <w:p w:rsidR="00ED544B" w:rsidRPr="00812046" w:rsidP="007546F9" w14:paraId="75FFEBA5" w14:textId="77777777">
            <w:pPr>
              <w:jc w:val="center"/>
              <w:rPr>
                <w:color w:val="000000"/>
                <w:sz w:val="16"/>
                <w:szCs w:val="16"/>
              </w:rPr>
            </w:pPr>
            <w:r w:rsidRPr="00812046">
              <w:rPr>
                <w:color w:val="000000"/>
                <w:sz w:val="16"/>
                <w:szCs w:val="16"/>
              </w:rPr>
              <w:t>(0.11)</w:t>
            </w:r>
          </w:p>
        </w:tc>
        <w:tc>
          <w:tcPr>
            <w:tcW w:w="0" w:type="auto"/>
            <w:tcBorders>
              <w:top w:val="nil"/>
              <w:left w:val="nil"/>
              <w:bottom w:val="nil"/>
              <w:right w:val="nil"/>
            </w:tcBorders>
            <w:shd w:val="clear" w:color="000000" w:fill="FFFFFF"/>
            <w:noWrap/>
            <w:vAlign w:val="center"/>
            <w:hideMark/>
          </w:tcPr>
          <w:p w:rsidR="00ED544B" w:rsidRPr="00812046" w:rsidP="007546F9" w14:paraId="76001D43" w14:textId="77777777">
            <w:pPr>
              <w:jc w:val="center"/>
              <w:rPr>
                <w:color w:val="000000"/>
                <w:sz w:val="16"/>
                <w:szCs w:val="16"/>
              </w:rPr>
            </w:pPr>
            <w:r w:rsidRPr="00812046">
              <w:rPr>
                <w:color w:val="000000"/>
                <w:sz w:val="16"/>
                <w:szCs w:val="16"/>
              </w:rPr>
              <w:t>(0.11)</w:t>
            </w:r>
          </w:p>
        </w:tc>
        <w:tc>
          <w:tcPr>
            <w:tcW w:w="0" w:type="auto"/>
            <w:tcBorders>
              <w:top w:val="nil"/>
              <w:left w:val="nil"/>
              <w:bottom w:val="nil"/>
              <w:right w:val="nil"/>
            </w:tcBorders>
            <w:shd w:val="clear" w:color="000000" w:fill="FFFFFF"/>
            <w:noWrap/>
            <w:vAlign w:val="center"/>
            <w:hideMark/>
          </w:tcPr>
          <w:p w:rsidR="00ED544B" w:rsidRPr="00812046" w:rsidP="007546F9" w14:paraId="7D6F8B26" w14:textId="77777777">
            <w:pPr>
              <w:jc w:val="center"/>
              <w:rPr>
                <w:color w:val="000000"/>
                <w:sz w:val="16"/>
                <w:szCs w:val="16"/>
              </w:rPr>
            </w:pPr>
            <w:r w:rsidRPr="00812046">
              <w:rPr>
                <w:color w:val="000000"/>
                <w:sz w:val="16"/>
                <w:szCs w:val="16"/>
              </w:rPr>
              <w:t>(0.11)</w:t>
            </w:r>
          </w:p>
        </w:tc>
        <w:tc>
          <w:tcPr>
            <w:tcW w:w="0" w:type="auto"/>
            <w:tcBorders>
              <w:top w:val="nil"/>
              <w:left w:val="nil"/>
              <w:bottom w:val="nil"/>
              <w:right w:val="nil"/>
            </w:tcBorders>
            <w:shd w:val="clear" w:color="000000" w:fill="FFFFFF"/>
            <w:noWrap/>
            <w:vAlign w:val="center"/>
            <w:hideMark/>
          </w:tcPr>
          <w:p w:rsidR="00ED544B" w:rsidRPr="00812046" w:rsidP="007546F9" w14:paraId="3B3A1BBA" w14:textId="77777777">
            <w:pPr>
              <w:jc w:val="center"/>
              <w:rPr>
                <w:color w:val="000000"/>
                <w:sz w:val="16"/>
                <w:szCs w:val="16"/>
              </w:rPr>
            </w:pPr>
            <w:r w:rsidRPr="00812046">
              <w:rPr>
                <w:color w:val="000000"/>
                <w:sz w:val="16"/>
                <w:szCs w:val="16"/>
              </w:rPr>
              <w:t>(0.11)</w:t>
            </w:r>
          </w:p>
        </w:tc>
        <w:tc>
          <w:tcPr>
            <w:tcW w:w="0" w:type="auto"/>
            <w:tcBorders>
              <w:top w:val="nil"/>
              <w:left w:val="nil"/>
              <w:bottom w:val="nil"/>
              <w:right w:val="nil"/>
            </w:tcBorders>
            <w:shd w:val="clear" w:color="000000" w:fill="FFFFFF"/>
            <w:noWrap/>
            <w:vAlign w:val="center"/>
            <w:hideMark/>
          </w:tcPr>
          <w:p w:rsidR="00ED544B" w:rsidRPr="00812046" w:rsidP="007546F9" w14:paraId="3F469034" w14:textId="77777777">
            <w:pPr>
              <w:jc w:val="center"/>
              <w:rPr>
                <w:color w:val="000000"/>
                <w:sz w:val="16"/>
                <w:szCs w:val="16"/>
              </w:rPr>
            </w:pPr>
            <w:r w:rsidRPr="00812046">
              <w:rPr>
                <w:color w:val="000000"/>
                <w:sz w:val="16"/>
                <w:szCs w:val="16"/>
              </w:rPr>
              <w:t>(0.13)</w:t>
            </w:r>
          </w:p>
        </w:tc>
        <w:tc>
          <w:tcPr>
            <w:tcW w:w="0" w:type="auto"/>
            <w:tcBorders>
              <w:top w:val="nil"/>
              <w:left w:val="nil"/>
              <w:bottom w:val="nil"/>
              <w:right w:val="nil"/>
            </w:tcBorders>
            <w:shd w:val="clear" w:color="000000" w:fill="FFFFFF"/>
            <w:noWrap/>
            <w:vAlign w:val="center"/>
            <w:hideMark/>
          </w:tcPr>
          <w:p w:rsidR="00ED544B" w:rsidRPr="00812046" w:rsidP="007546F9" w14:paraId="1116E85F" w14:textId="77777777">
            <w:pPr>
              <w:jc w:val="center"/>
              <w:rPr>
                <w:color w:val="000000"/>
                <w:sz w:val="16"/>
                <w:szCs w:val="16"/>
              </w:rPr>
            </w:pPr>
            <w:r w:rsidRPr="00812046">
              <w:rPr>
                <w:color w:val="000000"/>
                <w:sz w:val="16"/>
                <w:szCs w:val="16"/>
              </w:rPr>
              <w:t>(0.10)</w:t>
            </w:r>
          </w:p>
        </w:tc>
        <w:tc>
          <w:tcPr>
            <w:tcW w:w="0" w:type="auto"/>
            <w:tcBorders>
              <w:top w:val="nil"/>
              <w:left w:val="nil"/>
              <w:bottom w:val="nil"/>
              <w:right w:val="nil"/>
            </w:tcBorders>
            <w:shd w:val="clear" w:color="000000" w:fill="FFFFFF"/>
            <w:noWrap/>
            <w:vAlign w:val="center"/>
            <w:hideMark/>
          </w:tcPr>
          <w:p w:rsidR="00ED544B" w:rsidRPr="00812046" w:rsidP="007546F9" w14:paraId="36DD30F2" w14:textId="77777777">
            <w:pPr>
              <w:jc w:val="center"/>
              <w:rPr>
                <w:color w:val="000000"/>
                <w:sz w:val="16"/>
                <w:szCs w:val="16"/>
              </w:rPr>
            </w:pPr>
            <w:r w:rsidRPr="00812046">
              <w:rPr>
                <w:color w:val="000000"/>
                <w:sz w:val="16"/>
                <w:szCs w:val="16"/>
              </w:rPr>
              <w:t>(0.11)</w:t>
            </w:r>
          </w:p>
        </w:tc>
        <w:tc>
          <w:tcPr>
            <w:tcW w:w="0" w:type="auto"/>
            <w:tcBorders>
              <w:top w:val="nil"/>
              <w:left w:val="nil"/>
              <w:bottom w:val="nil"/>
              <w:right w:val="nil"/>
            </w:tcBorders>
            <w:shd w:val="clear" w:color="000000" w:fill="FFFFFF"/>
            <w:noWrap/>
            <w:vAlign w:val="center"/>
            <w:hideMark/>
          </w:tcPr>
          <w:p w:rsidR="00ED544B" w:rsidRPr="00812046" w:rsidP="007546F9" w14:paraId="5EAB82BD" w14:textId="77777777">
            <w:pPr>
              <w:jc w:val="center"/>
              <w:rPr>
                <w:color w:val="000000"/>
                <w:sz w:val="16"/>
                <w:szCs w:val="16"/>
              </w:rPr>
            </w:pPr>
            <w:r w:rsidRPr="00812046">
              <w:rPr>
                <w:color w:val="000000"/>
                <w:sz w:val="16"/>
                <w:szCs w:val="16"/>
              </w:rPr>
              <w:t>(0.12)</w:t>
            </w:r>
          </w:p>
        </w:tc>
        <w:tc>
          <w:tcPr>
            <w:tcW w:w="0" w:type="auto"/>
            <w:tcBorders>
              <w:top w:val="nil"/>
              <w:left w:val="nil"/>
              <w:bottom w:val="nil"/>
              <w:right w:val="nil"/>
            </w:tcBorders>
            <w:shd w:val="clear" w:color="000000" w:fill="FFFFFF"/>
            <w:noWrap/>
            <w:vAlign w:val="center"/>
            <w:hideMark/>
          </w:tcPr>
          <w:p w:rsidR="00ED544B" w:rsidRPr="00812046" w:rsidP="007546F9" w14:paraId="74C369CB" w14:textId="77777777">
            <w:pPr>
              <w:jc w:val="center"/>
              <w:rPr>
                <w:color w:val="000000"/>
                <w:sz w:val="16"/>
                <w:szCs w:val="16"/>
              </w:rPr>
            </w:pPr>
            <w:r w:rsidRPr="00812046">
              <w:rPr>
                <w:color w:val="000000"/>
                <w:sz w:val="16"/>
                <w:szCs w:val="16"/>
              </w:rPr>
              <w:t>(0.25)</w:t>
            </w:r>
          </w:p>
        </w:tc>
        <w:tc>
          <w:tcPr>
            <w:tcW w:w="957" w:type="dxa"/>
            <w:tcBorders>
              <w:top w:val="nil"/>
              <w:left w:val="nil"/>
              <w:bottom w:val="nil"/>
              <w:right w:val="nil"/>
            </w:tcBorders>
            <w:shd w:val="clear" w:color="000000" w:fill="FFFFFF"/>
            <w:noWrap/>
            <w:vAlign w:val="center"/>
            <w:hideMark/>
          </w:tcPr>
          <w:p w:rsidR="00ED544B" w:rsidRPr="00812046" w:rsidP="007546F9" w14:paraId="07BE887C" w14:textId="77777777">
            <w:pPr>
              <w:jc w:val="center"/>
              <w:rPr>
                <w:color w:val="000000"/>
                <w:sz w:val="16"/>
                <w:szCs w:val="16"/>
              </w:rPr>
            </w:pPr>
            <w:r w:rsidRPr="00812046">
              <w:rPr>
                <w:color w:val="000000"/>
                <w:sz w:val="16"/>
                <w:szCs w:val="16"/>
              </w:rPr>
              <w:t>(0.27)</w:t>
            </w:r>
          </w:p>
        </w:tc>
      </w:tr>
      <w:tr w14:paraId="5DBC4DC0"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52B5C4C3" w14:textId="77777777">
            <w:pPr>
              <w:rPr>
                <w:color w:val="000000"/>
                <w:sz w:val="16"/>
                <w:szCs w:val="16"/>
              </w:rPr>
            </w:pPr>
            <w:r w:rsidRPr="00812046">
              <w:rPr>
                <w:color w:val="000000"/>
                <w:sz w:val="16"/>
                <w:szCs w:val="16"/>
              </w:rPr>
              <w:t>Regional Carrier Receiving USF Funding</w:t>
            </w:r>
          </w:p>
        </w:tc>
        <w:tc>
          <w:tcPr>
            <w:tcW w:w="0" w:type="auto"/>
            <w:tcBorders>
              <w:top w:val="nil"/>
              <w:left w:val="nil"/>
              <w:bottom w:val="nil"/>
              <w:right w:val="nil"/>
            </w:tcBorders>
            <w:shd w:val="clear" w:color="000000" w:fill="FFFFFF"/>
            <w:noWrap/>
            <w:vAlign w:val="center"/>
            <w:hideMark/>
          </w:tcPr>
          <w:p w:rsidR="00ED544B" w:rsidRPr="00812046" w:rsidP="007546F9" w14:paraId="224A5538" w14:textId="77777777">
            <w:pPr>
              <w:jc w:val="center"/>
              <w:rPr>
                <w:color w:val="000000"/>
                <w:sz w:val="16"/>
                <w:szCs w:val="16"/>
              </w:rPr>
            </w:pPr>
            <w:r w:rsidRPr="00812046">
              <w:rPr>
                <w:color w:val="000000"/>
                <w:sz w:val="16"/>
                <w:szCs w:val="16"/>
              </w:rPr>
              <w:t>-0.99***</w:t>
            </w:r>
          </w:p>
        </w:tc>
        <w:tc>
          <w:tcPr>
            <w:tcW w:w="0" w:type="auto"/>
            <w:tcBorders>
              <w:top w:val="nil"/>
              <w:left w:val="nil"/>
              <w:bottom w:val="nil"/>
              <w:right w:val="nil"/>
            </w:tcBorders>
            <w:shd w:val="clear" w:color="000000" w:fill="FFFFFF"/>
            <w:noWrap/>
            <w:vAlign w:val="center"/>
            <w:hideMark/>
          </w:tcPr>
          <w:p w:rsidR="00ED544B" w:rsidRPr="00812046" w:rsidP="007546F9" w14:paraId="18B3F9CC" w14:textId="77777777">
            <w:pPr>
              <w:jc w:val="center"/>
              <w:rPr>
                <w:color w:val="000000"/>
                <w:sz w:val="16"/>
                <w:szCs w:val="16"/>
              </w:rPr>
            </w:pPr>
            <w:r w:rsidRPr="00812046">
              <w:rPr>
                <w:color w:val="000000"/>
                <w:sz w:val="16"/>
                <w:szCs w:val="16"/>
              </w:rPr>
              <w:t>-0.28***</w:t>
            </w:r>
          </w:p>
        </w:tc>
        <w:tc>
          <w:tcPr>
            <w:tcW w:w="0" w:type="auto"/>
            <w:tcBorders>
              <w:top w:val="nil"/>
              <w:left w:val="nil"/>
              <w:bottom w:val="nil"/>
              <w:right w:val="nil"/>
            </w:tcBorders>
            <w:shd w:val="clear" w:color="000000" w:fill="FFFFFF"/>
            <w:noWrap/>
            <w:vAlign w:val="center"/>
            <w:hideMark/>
          </w:tcPr>
          <w:p w:rsidR="00ED544B" w:rsidRPr="00812046" w:rsidP="007546F9" w14:paraId="4B82C047" w14:textId="77777777">
            <w:pPr>
              <w:jc w:val="center"/>
              <w:rPr>
                <w:color w:val="000000"/>
                <w:sz w:val="16"/>
                <w:szCs w:val="16"/>
              </w:rPr>
            </w:pPr>
            <w:r w:rsidRPr="00812046">
              <w:rPr>
                <w:color w:val="000000"/>
                <w:sz w:val="16"/>
                <w:szCs w:val="16"/>
              </w:rPr>
              <w:t>-1.02***</w:t>
            </w:r>
          </w:p>
        </w:tc>
        <w:tc>
          <w:tcPr>
            <w:tcW w:w="0" w:type="auto"/>
            <w:tcBorders>
              <w:top w:val="nil"/>
              <w:left w:val="nil"/>
              <w:bottom w:val="nil"/>
              <w:right w:val="nil"/>
            </w:tcBorders>
            <w:shd w:val="clear" w:color="000000" w:fill="FFFFFF"/>
            <w:noWrap/>
            <w:vAlign w:val="center"/>
            <w:hideMark/>
          </w:tcPr>
          <w:p w:rsidR="00ED544B" w:rsidRPr="00812046" w:rsidP="007546F9" w14:paraId="72175455" w14:textId="77777777">
            <w:pPr>
              <w:jc w:val="center"/>
              <w:rPr>
                <w:color w:val="000000"/>
                <w:sz w:val="16"/>
                <w:szCs w:val="16"/>
              </w:rPr>
            </w:pPr>
            <w:r w:rsidRPr="00812046">
              <w:rPr>
                <w:color w:val="000000"/>
                <w:sz w:val="16"/>
                <w:szCs w:val="16"/>
              </w:rPr>
              <w:t>-0.30***</w:t>
            </w:r>
          </w:p>
        </w:tc>
        <w:tc>
          <w:tcPr>
            <w:tcW w:w="0" w:type="auto"/>
            <w:tcBorders>
              <w:top w:val="nil"/>
              <w:left w:val="nil"/>
              <w:bottom w:val="nil"/>
              <w:right w:val="nil"/>
            </w:tcBorders>
            <w:shd w:val="clear" w:color="000000" w:fill="FFFFFF"/>
            <w:noWrap/>
            <w:vAlign w:val="center"/>
            <w:hideMark/>
          </w:tcPr>
          <w:p w:rsidR="00ED544B" w:rsidRPr="00812046" w:rsidP="007546F9" w14:paraId="040B3A57" w14:textId="77777777">
            <w:pPr>
              <w:jc w:val="center"/>
              <w:rPr>
                <w:color w:val="000000"/>
                <w:sz w:val="16"/>
                <w:szCs w:val="16"/>
              </w:rPr>
            </w:pPr>
            <w:r w:rsidRPr="00812046">
              <w:rPr>
                <w:color w:val="000000"/>
                <w:sz w:val="16"/>
                <w:szCs w:val="16"/>
              </w:rPr>
              <w:t>-0.96***</w:t>
            </w:r>
          </w:p>
        </w:tc>
        <w:tc>
          <w:tcPr>
            <w:tcW w:w="0" w:type="auto"/>
            <w:tcBorders>
              <w:top w:val="nil"/>
              <w:left w:val="nil"/>
              <w:bottom w:val="nil"/>
              <w:right w:val="nil"/>
            </w:tcBorders>
            <w:shd w:val="clear" w:color="000000" w:fill="FFFFFF"/>
            <w:noWrap/>
            <w:vAlign w:val="center"/>
            <w:hideMark/>
          </w:tcPr>
          <w:p w:rsidR="00ED544B" w:rsidRPr="00812046" w:rsidP="007546F9" w14:paraId="3DC9E004" w14:textId="77777777">
            <w:pPr>
              <w:jc w:val="center"/>
              <w:rPr>
                <w:color w:val="000000"/>
                <w:sz w:val="16"/>
                <w:szCs w:val="16"/>
              </w:rPr>
            </w:pPr>
            <w:r w:rsidRPr="00812046">
              <w:rPr>
                <w:color w:val="000000"/>
                <w:sz w:val="16"/>
                <w:szCs w:val="16"/>
              </w:rPr>
              <w:t>-0.98***</w:t>
            </w:r>
          </w:p>
        </w:tc>
        <w:tc>
          <w:tcPr>
            <w:tcW w:w="0" w:type="auto"/>
            <w:tcBorders>
              <w:top w:val="nil"/>
              <w:left w:val="nil"/>
              <w:bottom w:val="nil"/>
              <w:right w:val="nil"/>
            </w:tcBorders>
            <w:shd w:val="clear" w:color="000000" w:fill="FFFFFF"/>
            <w:noWrap/>
            <w:vAlign w:val="center"/>
            <w:hideMark/>
          </w:tcPr>
          <w:p w:rsidR="00ED544B" w:rsidRPr="00812046" w:rsidP="007546F9" w14:paraId="04A3CD14" w14:textId="77777777">
            <w:pPr>
              <w:jc w:val="center"/>
              <w:rPr>
                <w:color w:val="000000"/>
                <w:sz w:val="16"/>
                <w:szCs w:val="16"/>
              </w:rPr>
            </w:pPr>
            <w:r w:rsidRPr="00812046">
              <w:rPr>
                <w:color w:val="000000"/>
                <w:sz w:val="16"/>
                <w:szCs w:val="16"/>
              </w:rPr>
              <w:t>-0.97***</w:t>
            </w:r>
          </w:p>
        </w:tc>
        <w:tc>
          <w:tcPr>
            <w:tcW w:w="0" w:type="auto"/>
            <w:tcBorders>
              <w:top w:val="nil"/>
              <w:left w:val="nil"/>
              <w:bottom w:val="nil"/>
              <w:right w:val="nil"/>
            </w:tcBorders>
            <w:shd w:val="clear" w:color="000000" w:fill="FFFFFF"/>
            <w:noWrap/>
            <w:vAlign w:val="center"/>
            <w:hideMark/>
          </w:tcPr>
          <w:p w:rsidR="00ED544B" w:rsidRPr="00812046" w:rsidP="007546F9" w14:paraId="1AFF20A8" w14:textId="77777777">
            <w:pPr>
              <w:jc w:val="center"/>
              <w:rPr>
                <w:color w:val="000000"/>
                <w:sz w:val="16"/>
                <w:szCs w:val="16"/>
              </w:rPr>
            </w:pPr>
            <w:r w:rsidRPr="00812046">
              <w:rPr>
                <w:color w:val="000000"/>
                <w:sz w:val="16"/>
                <w:szCs w:val="16"/>
              </w:rPr>
              <w:t>-1.23***</w:t>
            </w:r>
          </w:p>
        </w:tc>
        <w:tc>
          <w:tcPr>
            <w:tcW w:w="0" w:type="auto"/>
            <w:tcBorders>
              <w:top w:val="nil"/>
              <w:left w:val="nil"/>
              <w:bottom w:val="nil"/>
              <w:right w:val="nil"/>
            </w:tcBorders>
            <w:shd w:val="clear" w:color="000000" w:fill="FFFFFF"/>
            <w:noWrap/>
            <w:vAlign w:val="center"/>
            <w:hideMark/>
          </w:tcPr>
          <w:p w:rsidR="00ED544B" w:rsidRPr="00812046" w:rsidP="007546F9" w14:paraId="48947CD6" w14:textId="77777777">
            <w:pPr>
              <w:jc w:val="center"/>
              <w:rPr>
                <w:color w:val="000000"/>
                <w:sz w:val="16"/>
                <w:szCs w:val="16"/>
              </w:rPr>
            </w:pPr>
            <w:r w:rsidRPr="00812046">
              <w:rPr>
                <w:color w:val="000000"/>
                <w:sz w:val="16"/>
                <w:szCs w:val="16"/>
              </w:rPr>
              <w:t>-1.02***</w:t>
            </w:r>
          </w:p>
        </w:tc>
        <w:tc>
          <w:tcPr>
            <w:tcW w:w="0" w:type="auto"/>
            <w:tcBorders>
              <w:top w:val="nil"/>
              <w:left w:val="nil"/>
              <w:bottom w:val="nil"/>
              <w:right w:val="nil"/>
            </w:tcBorders>
            <w:shd w:val="clear" w:color="000000" w:fill="FFFFFF"/>
            <w:noWrap/>
            <w:vAlign w:val="center"/>
            <w:hideMark/>
          </w:tcPr>
          <w:p w:rsidR="00ED544B" w:rsidRPr="00812046" w:rsidP="007546F9" w14:paraId="0385F33D" w14:textId="77777777">
            <w:pPr>
              <w:jc w:val="center"/>
              <w:rPr>
                <w:color w:val="000000"/>
                <w:sz w:val="16"/>
                <w:szCs w:val="16"/>
              </w:rPr>
            </w:pPr>
            <w:r w:rsidRPr="00812046">
              <w:rPr>
                <w:color w:val="000000"/>
                <w:sz w:val="16"/>
                <w:szCs w:val="16"/>
              </w:rPr>
              <w:t>-0.95***</w:t>
            </w:r>
          </w:p>
        </w:tc>
        <w:tc>
          <w:tcPr>
            <w:tcW w:w="0" w:type="auto"/>
            <w:tcBorders>
              <w:top w:val="nil"/>
              <w:left w:val="nil"/>
              <w:bottom w:val="nil"/>
              <w:right w:val="nil"/>
            </w:tcBorders>
            <w:shd w:val="clear" w:color="000000" w:fill="FFFFFF"/>
            <w:noWrap/>
            <w:vAlign w:val="center"/>
            <w:hideMark/>
          </w:tcPr>
          <w:p w:rsidR="00ED544B" w:rsidRPr="00812046" w:rsidP="007546F9" w14:paraId="44D1284D" w14:textId="77777777">
            <w:pPr>
              <w:jc w:val="center"/>
              <w:rPr>
                <w:color w:val="000000"/>
                <w:sz w:val="16"/>
                <w:szCs w:val="16"/>
              </w:rPr>
            </w:pPr>
            <w:r w:rsidRPr="00812046">
              <w:rPr>
                <w:color w:val="000000"/>
                <w:sz w:val="16"/>
                <w:szCs w:val="16"/>
              </w:rPr>
              <w:t>-0.35*</w:t>
            </w:r>
          </w:p>
        </w:tc>
        <w:tc>
          <w:tcPr>
            <w:tcW w:w="957" w:type="dxa"/>
            <w:tcBorders>
              <w:top w:val="nil"/>
              <w:left w:val="nil"/>
              <w:bottom w:val="nil"/>
              <w:right w:val="nil"/>
            </w:tcBorders>
            <w:shd w:val="clear" w:color="000000" w:fill="FFFFFF"/>
            <w:noWrap/>
            <w:vAlign w:val="center"/>
            <w:hideMark/>
          </w:tcPr>
          <w:p w:rsidR="00ED544B" w:rsidRPr="00812046" w:rsidP="007546F9" w14:paraId="2703F435" w14:textId="77777777">
            <w:pPr>
              <w:jc w:val="center"/>
              <w:rPr>
                <w:color w:val="000000"/>
                <w:sz w:val="16"/>
                <w:szCs w:val="16"/>
              </w:rPr>
            </w:pPr>
            <w:r w:rsidRPr="00812046">
              <w:rPr>
                <w:color w:val="000000"/>
                <w:sz w:val="16"/>
                <w:szCs w:val="16"/>
              </w:rPr>
              <w:t>-0.28</w:t>
            </w:r>
          </w:p>
        </w:tc>
      </w:tr>
      <w:tr w14:paraId="729E6677"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bottom"/>
            <w:hideMark/>
          </w:tcPr>
          <w:p w:rsidR="00ED544B" w:rsidRPr="00812046" w:rsidP="007546F9" w14:paraId="1BFF96F1"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374E6D60" w14:textId="77777777">
            <w:pPr>
              <w:jc w:val="center"/>
              <w:rPr>
                <w:color w:val="000000"/>
                <w:sz w:val="16"/>
                <w:szCs w:val="16"/>
              </w:rPr>
            </w:pPr>
            <w:r w:rsidRPr="00812046">
              <w:rPr>
                <w:color w:val="000000"/>
                <w:sz w:val="16"/>
                <w:szCs w:val="16"/>
              </w:rPr>
              <w:t>(0.07)</w:t>
            </w:r>
          </w:p>
        </w:tc>
        <w:tc>
          <w:tcPr>
            <w:tcW w:w="0" w:type="auto"/>
            <w:tcBorders>
              <w:top w:val="nil"/>
              <w:left w:val="nil"/>
              <w:bottom w:val="nil"/>
              <w:right w:val="nil"/>
            </w:tcBorders>
            <w:shd w:val="clear" w:color="000000" w:fill="FFFFFF"/>
            <w:noWrap/>
            <w:vAlign w:val="center"/>
            <w:hideMark/>
          </w:tcPr>
          <w:p w:rsidR="00ED544B" w:rsidRPr="00812046" w:rsidP="007546F9" w14:paraId="56C6BCD6" w14:textId="77777777">
            <w:pPr>
              <w:jc w:val="center"/>
              <w:rPr>
                <w:color w:val="000000"/>
                <w:sz w:val="16"/>
                <w:szCs w:val="16"/>
              </w:rPr>
            </w:pPr>
            <w:r w:rsidRPr="00812046">
              <w:rPr>
                <w:color w:val="000000"/>
                <w:sz w:val="16"/>
                <w:szCs w:val="16"/>
              </w:rPr>
              <w:t>(0.07)</w:t>
            </w:r>
          </w:p>
        </w:tc>
        <w:tc>
          <w:tcPr>
            <w:tcW w:w="0" w:type="auto"/>
            <w:tcBorders>
              <w:top w:val="nil"/>
              <w:left w:val="nil"/>
              <w:bottom w:val="nil"/>
              <w:right w:val="nil"/>
            </w:tcBorders>
            <w:shd w:val="clear" w:color="000000" w:fill="FFFFFF"/>
            <w:noWrap/>
            <w:vAlign w:val="center"/>
            <w:hideMark/>
          </w:tcPr>
          <w:p w:rsidR="00ED544B" w:rsidRPr="00812046" w:rsidP="007546F9" w14:paraId="21474A17" w14:textId="77777777">
            <w:pPr>
              <w:jc w:val="center"/>
              <w:rPr>
                <w:color w:val="000000"/>
                <w:sz w:val="16"/>
                <w:szCs w:val="16"/>
              </w:rPr>
            </w:pPr>
            <w:r w:rsidRPr="00812046">
              <w:rPr>
                <w:color w:val="000000"/>
                <w:sz w:val="16"/>
                <w:szCs w:val="16"/>
              </w:rPr>
              <w:t>(0.07)</w:t>
            </w:r>
          </w:p>
        </w:tc>
        <w:tc>
          <w:tcPr>
            <w:tcW w:w="0" w:type="auto"/>
            <w:tcBorders>
              <w:top w:val="nil"/>
              <w:left w:val="nil"/>
              <w:bottom w:val="nil"/>
              <w:right w:val="nil"/>
            </w:tcBorders>
            <w:shd w:val="clear" w:color="000000" w:fill="FFFFFF"/>
            <w:noWrap/>
            <w:vAlign w:val="center"/>
            <w:hideMark/>
          </w:tcPr>
          <w:p w:rsidR="00ED544B" w:rsidRPr="00812046" w:rsidP="007546F9" w14:paraId="46F220DB" w14:textId="77777777">
            <w:pPr>
              <w:jc w:val="center"/>
              <w:rPr>
                <w:color w:val="000000"/>
                <w:sz w:val="16"/>
                <w:szCs w:val="16"/>
              </w:rPr>
            </w:pPr>
            <w:r w:rsidRPr="00812046">
              <w:rPr>
                <w:color w:val="000000"/>
                <w:sz w:val="16"/>
                <w:szCs w:val="16"/>
              </w:rPr>
              <w:t>(0.07)</w:t>
            </w:r>
          </w:p>
        </w:tc>
        <w:tc>
          <w:tcPr>
            <w:tcW w:w="0" w:type="auto"/>
            <w:tcBorders>
              <w:top w:val="nil"/>
              <w:left w:val="nil"/>
              <w:bottom w:val="nil"/>
              <w:right w:val="nil"/>
            </w:tcBorders>
            <w:shd w:val="clear" w:color="000000" w:fill="FFFFFF"/>
            <w:noWrap/>
            <w:vAlign w:val="center"/>
            <w:hideMark/>
          </w:tcPr>
          <w:p w:rsidR="00ED544B" w:rsidRPr="00812046" w:rsidP="007546F9" w14:paraId="51E35CDB" w14:textId="77777777">
            <w:pPr>
              <w:jc w:val="center"/>
              <w:rPr>
                <w:color w:val="000000"/>
                <w:sz w:val="16"/>
                <w:szCs w:val="16"/>
              </w:rPr>
            </w:pPr>
            <w:r w:rsidRPr="00812046">
              <w:rPr>
                <w:color w:val="000000"/>
                <w:sz w:val="16"/>
                <w:szCs w:val="16"/>
              </w:rPr>
              <w:t>(0.07)</w:t>
            </w:r>
          </w:p>
        </w:tc>
        <w:tc>
          <w:tcPr>
            <w:tcW w:w="0" w:type="auto"/>
            <w:tcBorders>
              <w:top w:val="nil"/>
              <w:left w:val="nil"/>
              <w:bottom w:val="nil"/>
              <w:right w:val="nil"/>
            </w:tcBorders>
            <w:shd w:val="clear" w:color="000000" w:fill="FFFFFF"/>
            <w:noWrap/>
            <w:vAlign w:val="center"/>
            <w:hideMark/>
          </w:tcPr>
          <w:p w:rsidR="00ED544B" w:rsidRPr="00812046" w:rsidP="007546F9" w14:paraId="1A6E1B99" w14:textId="77777777">
            <w:pPr>
              <w:jc w:val="center"/>
              <w:rPr>
                <w:color w:val="000000"/>
                <w:sz w:val="16"/>
                <w:szCs w:val="16"/>
              </w:rPr>
            </w:pPr>
            <w:r w:rsidRPr="00812046">
              <w:rPr>
                <w:color w:val="000000"/>
                <w:sz w:val="16"/>
                <w:szCs w:val="16"/>
              </w:rPr>
              <w:t>(0.07)</w:t>
            </w:r>
          </w:p>
        </w:tc>
        <w:tc>
          <w:tcPr>
            <w:tcW w:w="0" w:type="auto"/>
            <w:tcBorders>
              <w:top w:val="nil"/>
              <w:left w:val="nil"/>
              <w:bottom w:val="nil"/>
              <w:right w:val="nil"/>
            </w:tcBorders>
            <w:shd w:val="clear" w:color="000000" w:fill="FFFFFF"/>
            <w:noWrap/>
            <w:vAlign w:val="center"/>
            <w:hideMark/>
          </w:tcPr>
          <w:p w:rsidR="00ED544B" w:rsidRPr="00812046" w:rsidP="007546F9" w14:paraId="0D256E7D" w14:textId="77777777">
            <w:pPr>
              <w:jc w:val="center"/>
              <w:rPr>
                <w:color w:val="000000"/>
                <w:sz w:val="16"/>
                <w:szCs w:val="16"/>
              </w:rPr>
            </w:pPr>
            <w:r w:rsidRPr="00812046">
              <w:rPr>
                <w:color w:val="000000"/>
                <w:sz w:val="16"/>
                <w:szCs w:val="16"/>
              </w:rPr>
              <w:t>(0.10)</w:t>
            </w:r>
          </w:p>
        </w:tc>
        <w:tc>
          <w:tcPr>
            <w:tcW w:w="0" w:type="auto"/>
            <w:tcBorders>
              <w:top w:val="nil"/>
              <w:left w:val="nil"/>
              <w:bottom w:val="nil"/>
              <w:right w:val="nil"/>
            </w:tcBorders>
            <w:shd w:val="clear" w:color="000000" w:fill="FFFFFF"/>
            <w:noWrap/>
            <w:vAlign w:val="center"/>
            <w:hideMark/>
          </w:tcPr>
          <w:p w:rsidR="00ED544B" w:rsidRPr="00812046" w:rsidP="007546F9" w14:paraId="700C63D6" w14:textId="77777777">
            <w:pPr>
              <w:jc w:val="center"/>
              <w:rPr>
                <w:color w:val="000000"/>
                <w:sz w:val="16"/>
                <w:szCs w:val="16"/>
              </w:rPr>
            </w:pPr>
            <w:r w:rsidRPr="00812046">
              <w:rPr>
                <w:color w:val="000000"/>
                <w:sz w:val="16"/>
                <w:szCs w:val="16"/>
              </w:rPr>
              <w:t>(0.05)</w:t>
            </w:r>
          </w:p>
        </w:tc>
        <w:tc>
          <w:tcPr>
            <w:tcW w:w="0" w:type="auto"/>
            <w:tcBorders>
              <w:top w:val="nil"/>
              <w:left w:val="nil"/>
              <w:bottom w:val="nil"/>
              <w:right w:val="nil"/>
            </w:tcBorders>
            <w:shd w:val="clear" w:color="000000" w:fill="FFFFFF"/>
            <w:noWrap/>
            <w:vAlign w:val="center"/>
            <w:hideMark/>
          </w:tcPr>
          <w:p w:rsidR="00ED544B" w:rsidRPr="00812046" w:rsidP="007546F9" w14:paraId="265EEBF3" w14:textId="77777777">
            <w:pPr>
              <w:jc w:val="center"/>
              <w:rPr>
                <w:color w:val="000000"/>
                <w:sz w:val="16"/>
                <w:szCs w:val="16"/>
              </w:rPr>
            </w:pPr>
            <w:r w:rsidRPr="00812046">
              <w:rPr>
                <w:color w:val="000000"/>
                <w:sz w:val="16"/>
                <w:szCs w:val="16"/>
              </w:rPr>
              <w:t>(0.07)</w:t>
            </w:r>
          </w:p>
        </w:tc>
        <w:tc>
          <w:tcPr>
            <w:tcW w:w="0" w:type="auto"/>
            <w:tcBorders>
              <w:top w:val="nil"/>
              <w:left w:val="nil"/>
              <w:bottom w:val="nil"/>
              <w:right w:val="nil"/>
            </w:tcBorders>
            <w:shd w:val="clear" w:color="000000" w:fill="FFFFFF"/>
            <w:noWrap/>
            <w:vAlign w:val="center"/>
            <w:hideMark/>
          </w:tcPr>
          <w:p w:rsidR="00ED544B" w:rsidRPr="00812046" w:rsidP="007546F9" w14:paraId="228E8FA3" w14:textId="77777777">
            <w:pPr>
              <w:jc w:val="center"/>
              <w:rPr>
                <w:color w:val="000000"/>
                <w:sz w:val="16"/>
                <w:szCs w:val="16"/>
              </w:rPr>
            </w:pPr>
            <w:r w:rsidRPr="00812046">
              <w:rPr>
                <w:color w:val="000000"/>
                <w:sz w:val="16"/>
                <w:szCs w:val="16"/>
              </w:rPr>
              <w:t>(0.06)</w:t>
            </w:r>
          </w:p>
        </w:tc>
        <w:tc>
          <w:tcPr>
            <w:tcW w:w="0" w:type="auto"/>
            <w:tcBorders>
              <w:top w:val="nil"/>
              <w:left w:val="nil"/>
              <w:bottom w:val="nil"/>
              <w:right w:val="nil"/>
            </w:tcBorders>
            <w:shd w:val="clear" w:color="000000" w:fill="FFFFFF"/>
            <w:noWrap/>
            <w:vAlign w:val="center"/>
            <w:hideMark/>
          </w:tcPr>
          <w:p w:rsidR="00ED544B" w:rsidRPr="00812046" w:rsidP="007546F9" w14:paraId="52292932" w14:textId="77777777">
            <w:pPr>
              <w:jc w:val="center"/>
              <w:rPr>
                <w:color w:val="000000"/>
                <w:sz w:val="16"/>
                <w:szCs w:val="16"/>
              </w:rPr>
            </w:pPr>
            <w:r w:rsidRPr="00812046">
              <w:rPr>
                <w:color w:val="000000"/>
                <w:sz w:val="16"/>
                <w:szCs w:val="16"/>
              </w:rPr>
              <w:t>(0.16)</w:t>
            </w:r>
          </w:p>
        </w:tc>
        <w:tc>
          <w:tcPr>
            <w:tcW w:w="957" w:type="dxa"/>
            <w:tcBorders>
              <w:top w:val="nil"/>
              <w:left w:val="nil"/>
              <w:bottom w:val="nil"/>
              <w:right w:val="nil"/>
            </w:tcBorders>
            <w:shd w:val="clear" w:color="000000" w:fill="FFFFFF"/>
            <w:noWrap/>
            <w:vAlign w:val="center"/>
            <w:hideMark/>
          </w:tcPr>
          <w:p w:rsidR="00ED544B" w:rsidRPr="00812046" w:rsidP="007546F9" w14:paraId="101E39DC" w14:textId="77777777">
            <w:pPr>
              <w:jc w:val="center"/>
              <w:rPr>
                <w:color w:val="000000"/>
                <w:sz w:val="16"/>
                <w:szCs w:val="16"/>
              </w:rPr>
            </w:pPr>
            <w:r w:rsidRPr="00812046">
              <w:rPr>
                <w:color w:val="000000"/>
                <w:sz w:val="16"/>
                <w:szCs w:val="16"/>
              </w:rPr>
              <w:t>(0.18)</w:t>
            </w:r>
          </w:p>
        </w:tc>
      </w:tr>
      <w:tr w14:paraId="6CCAB250"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41CDD040" w14:textId="77777777">
            <w:pPr>
              <w:rPr>
                <w:color w:val="000000"/>
                <w:sz w:val="16"/>
                <w:szCs w:val="16"/>
              </w:rPr>
            </w:pPr>
            <w:r w:rsidRPr="00812046">
              <w:rPr>
                <w:color w:val="000000"/>
                <w:sz w:val="16"/>
                <w:szCs w:val="16"/>
              </w:rPr>
              <w:t>Population Density # Road Mile Density</w:t>
            </w:r>
          </w:p>
        </w:tc>
        <w:tc>
          <w:tcPr>
            <w:tcW w:w="0" w:type="auto"/>
            <w:tcBorders>
              <w:top w:val="nil"/>
              <w:left w:val="nil"/>
              <w:bottom w:val="nil"/>
              <w:right w:val="nil"/>
            </w:tcBorders>
            <w:shd w:val="clear" w:color="000000" w:fill="FFFFFF"/>
            <w:noWrap/>
            <w:vAlign w:val="center"/>
            <w:hideMark/>
          </w:tcPr>
          <w:p w:rsidR="00ED544B" w:rsidRPr="00812046" w:rsidP="007546F9" w14:paraId="0FBB0C2F"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15CF0DE4"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43549AC0"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1FC19710"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60CCF616"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32098974"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32EAEA5A"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792D55E9"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5B45B5F7"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1C62BB58"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12B9E70E" w14:textId="77777777">
            <w:pPr>
              <w:jc w:val="center"/>
              <w:rPr>
                <w:color w:val="000000"/>
                <w:sz w:val="16"/>
                <w:szCs w:val="16"/>
              </w:rPr>
            </w:pPr>
            <w:r w:rsidRPr="00812046">
              <w:rPr>
                <w:color w:val="000000"/>
                <w:sz w:val="16"/>
                <w:szCs w:val="16"/>
              </w:rPr>
              <w:t>-</w:t>
            </w:r>
          </w:p>
        </w:tc>
        <w:tc>
          <w:tcPr>
            <w:tcW w:w="957" w:type="dxa"/>
            <w:tcBorders>
              <w:top w:val="nil"/>
              <w:left w:val="nil"/>
              <w:bottom w:val="nil"/>
              <w:right w:val="nil"/>
            </w:tcBorders>
            <w:shd w:val="clear" w:color="000000" w:fill="FFFFFF"/>
            <w:noWrap/>
            <w:vAlign w:val="center"/>
            <w:hideMark/>
          </w:tcPr>
          <w:p w:rsidR="00ED544B" w:rsidRPr="00812046" w:rsidP="007546F9" w14:paraId="00E1AD87" w14:textId="77777777">
            <w:pPr>
              <w:jc w:val="center"/>
              <w:rPr>
                <w:color w:val="000000"/>
                <w:sz w:val="16"/>
                <w:szCs w:val="16"/>
              </w:rPr>
            </w:pPr>
            <w:r w:rsidRPr="00812046">
              <w:rPr>
                <w:color w:val="000000"/>
                <w:sz w:val="16"/>
                <w:szCs w:val="16"/>
              </w:rPr>
              <w:t>-</w:t>
            </w:r>
          </w:p>
        </w:tc>
      </w:tr>
      <w:tr w14:paraId="7B59F3D8"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bottom"/>
            <w:hideMark/>
          </w:tcPr>
          <w:p w:rsidR="00ED544B" w:rsidRPr="00812046" w:rsidP="007546F9" w14:paraId="37278F97"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03BC61DC"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6D02EBC4"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241BBCE9"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572AF01D"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254A6E97"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33815978"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0452166E"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5C333886"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340C6038"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59D421A1"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3A1AFCCC" w14:textId="77777777">
            <w:pPr>
              <w:jc w:val="center"/>
              <w:rPr>
                <w:color w:val="000000"/>
                <w:sz w:val="16"/>
                <w:szCs w:val="16"/>
              </w:rPr>
            </w:pPr>
            <w:r w:rsidRPr="00812046">
              <w:rPr>
                <w:color w:val="000000"/>
                <w:sz w:val="16"/>
                <w:szCs w:val="16"/>
              </w:rPr>
              <w:t>-</w:t>
            </w:r>
          </w:p>
        </w:tc>
        <w:tc>
          <w:tcPr>
            <w:tcW w:w="957" w:type="dxa"/>
            <w:tcBorders>
              <w:top w:val="nil"/>
              <w:left w:val="nil"/>
              <w:bottom w:val="nil"/>
              <w:right w:val="nil"/>
            </w:tcBorders>
            <w:shd w:val="clear" w:color="000000" w:fill="FFFFFF"/>
            <w:noWrap/>
            <w:vAlign w:val="center"/>
            <w:hideMark/>
          </w:tcPr>
          <w:p w:rsidR="00ED544B" w:rsidRPr="00812046" w:rsidP="007546F9" w14:paraId="3860F9BF" w14:textId="77777777">
            <w:pPr>
              <w:jc w:val="center"/>
              <w:rPr>
                <w:color w:val="000000"/>
                <w:sz w:val="16"/>
                <w:szCs w:val="16"/>
              </w:rPr>
            </w:pPr>
            <w:r w:rsidRPr="00812046">
              <w:rPr>
                <w:color w:val="000000"/>
                <w:sz w:val="16"/>
                <w:szCs w:val="16"/>
              </w:rPr>
              <w:t>-</w:t>
            </w:r>
          </w:p>
        </w:tc>
      </w:tr>
      <w:tr w14:paraId="3501FB57"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44EC8F0B" w14:textId="77777777">
            <w:pPr>
              <w:rPr>
                <w:color w:val="000000"/>
                <w:sz w:val="16"/>
                <w:szCs w:val="16"/>
              </w:rPr>
            </w:pPr>
            <w:r w:rsidRPr="00812046">
              <w:rPr>
                <w:color w:val="000000"/>
                <w:sz w:val="16"/>
                <w:szCs w:val="16"/>
              </w:rPr>
              <w:t>Population Density # Local GDP Density</w:t>
            </w:r>
          </w:p>
        </w:tc>
        <w:tc>
          <w:tcPr>
            <w:tcW w:w="0" w:type="auto"/>
            <w:tcBorders>
              <w:top w:val="nil"/>
              <w:left w:val="nil"/>
              <w:bottom w:val="nil"/>
              <w:right w:val="nil"/>
            </w:tcBorders>
            <w:shd w:val="clear" w:color="000000" w:fill="FFFFFF"/>
            <w:noWrap/>
            <w:vAlign w:val="center"/>
            <w:hideMark/>
          </w:tcPr>
          <w:p w:rsidR="00ED544B" w:rsidRPr="00812046" w:rsidP="007546F9" w14:paraId="4238704A"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0A3891D1"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373EA49E" w14:textId="77777777">
            <w:pPr>
              <w:jc w:val="center"/>
              <w:rPr>
                <w:color w:val="000000"/>
                <w:sz w:val="16"/>
                <w:szCs w:val="16"/>
              </w:rPr>
            </w:pPr>
            <w:r w:rsidRPr="00812046">
              <w:rPr>
                <w:color w:val="000000"/>
                <w:sz w:val="16"/>
                <w:szCs w:val="16"/>
              </w:rPr>
              <w:t>-0.02***</w:t>
            </w:r>
          </w:p>
        </w:tc>
        <w:tc>
          <w:tcPr>
            <w:tcW w:w="0" w:type="auto"/>
            <w:tcBorders>
              <w:top w:val="nil"/>
              <w:left w:val="nil"/>
              <w:bottom w:val="nil"/>
              <w:right w:val="nil"/>
            </w:tcBorders>
            <w:shd w:val="clear" w:color="000000" w:fill="FFFFFF"/>
            <w:noWrap/>
            <w:vAlign w:val="center"/>
            <w:hideMark/>
          </w:tcPr>
          <w:p w:rsidR="00ED544B" w:rsidRPr="00812046" w:rsidP="007546F9" w14:paraId="793E02E2" w14:textId="77777777">
            <w:pPr>
              <w:jc w:val="center"/>
              <w:rPr>
                <w:color w:val="000000"/>
                <w:sz w:val="16"/>
                <w:szCs w:val="16"/>
              </w:rPr>
            </w:pPr>
            <w:r w:rsidRPr="00812046">
              <w:rPr>
                <w:color w:val="000000"/>
                <w:sz w:val="16"/>
                <w:szCs w:val="16"/>
              </w:rPr>
              <w:t>-0.02***</w:t>
            </w:r>
          </w:p>
        </w:tc>
        <w:tc>
          <w:tcPr>
            <w:tcW w:w="0" w:type="auto"/>
            <w:tcBorders>
              <w:top w:val="nil"/>
              <w:left w:val="nil"/>
              <w:bottom w:val="nil"/>
              <w:right w:val="nil"/>
            </w:tcBorders>
            <w:shd w:val="clear" w:color="000000" w:fill="FFFFFF"/>
            <w:noWrap/>
            <w:vAlign w:val="center"/>
            <w:hideMark/>
          </w:tcPr>
          <w:p w:rsidR="00ED544B" w:rsidRPr="00812046" w:rsidP="007546F9" w14:paraId="5B018EDD"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65D28A60"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591379C3"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5B331577"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51CB5816"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00FF2661"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576FF74E" w14:textId="77777777">
            <w:pPr>
              <w:jc w:val="center"/>
              <w:rPr>
                <w:color w:val="000000"/>
                <w:sz w:val="16"/>
                <w:szCs w:val="16"/>
              </w:rPr>
            </w:pPr>
            <w:r w:rsidRPr="00812046">
              <w:rPr>
                <w:color w:val="000000"/>
                <w:sz w:val="16"/>
                <w:szCs w:val="16"/>
              </w:rPr>
              <w:t>-</w:t>
            </w:r>
          </w:p>
        </w:tc>
        <w:tc>
          <w:tcPr>
            <w:tcW w:w="957" w:type="dxa"/>
            <w:tcBorders>
              <w:top w:val="nil"/>
              <w:left w:val="nil"/>
              <w:bottom w:val="nil"/>
              <w:right w:val="nil"/>
            </w:tcBorders>
            <w:shd w:val="clear" w:color="000000" w:fill="FFFFFF"/>
            <w:noWrap/>
            <w:vAlign w:val="center"/>
            <w:hideMark/>
          </w:tcPr>
          <w:p w:rsidR="00ED544B" w:rsidRPr="00812046" w:rsidP="007546F9" w14:paraId="7D6F61A5" w14:textId="77777777">
            <w:pPr>
              <w:jc w:val="center"/>
              <w:rPr>
                <w:color w:val="000000"/>
                <w:sz w:val="16"/>
                <w:szCs w:val="16"/>
              </w:rPr>
            </w:pPr>
            <w:r w:rsidRPr="00812046">
              <w:rPr>
                <w:color w:val="000000"/>
                <w:sz w:val="16"/>
                <w:szCs w:val="16"/>
              </w:rPr>
              <w:t>-</w:t>
            </w:r>
          </w:p>
        </w:tc>
      </w:tr>
      <w:tr w14:paraId="6F48CEEC"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bottom"/>
            <w:hideMark/>
          </w:tcPr>
          <w:p w:rsidR="00ED544B" w:rsidRPr="00812046" w:rsidP="007546F9" w14:paraId="281410F3"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24DAF3AD"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7EC2EC91"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16FA63C6"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1ED26864"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08FB866B"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3460724A"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730D5C4B"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629A9A29"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60190CE8"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3C10FD58"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72D3E35F" w14:textId="77777777">
            <w:pPr>
              <w:jc w:val="center"/>
              <w:rPr>
                <w:color w:val="000000"/>
                <w:sz w:val="16"/>
                <w:szCs w:val="16"/>
              </w:rPr>
            </w:pPr>
            <w:r w:rsidRPr="00812046">
              <w:rPr>
                <w:color w:val="000000"/>
                <w:sz w:val="16"/>
                <w:szCs w:val="16"/>
              </w:rPr>
              <w:t>-</w:t>
            </w:r>
          </w:p>
        </w:tc>
        <w:tc>
          <w:tcPr>
            <w:tcW w:w="957" w:type="dxa"/>
            <w:tcBorders>
              <w:top w:val="nil"/>
              <w:left w:val="nil"/>
              <w:bottom w:val="nil"/>
              <w:right w:val="nil"/>
            </w:tcBorders>
            <w:shd w:val="clear" w:color="000000" w:fill="FFFFFF"/>
            <w:noWrap/>
            <w:vAlign w:val="center"/>
            <w:hideMark/>
          </w:tcPr>
          <w:p w:rsidR="00ED544B" w:rsidRPr="00812046" w:rsidP="007546F9" w14:paraId="45C69B83" w14:textId="77777777">
            <w:pPr>
              <w:jc w:val="center"/>
              <w:rPr>
                <w:color w:val="000000"/>
                <w:sz w:val="16"/>
                <w:szCs w:val="16"/>
              </w:rPr>
            </w:pPr>
            <w:r w:rsidRPr="00812046">
              <w:rPr>
                <w:color w:val="000000"/>
                <w:sz w:val="16"/>
                <w:szCs w:val="16"/>
              </w:rPr>
              <w:t>-</w:t>
            </w:r>
          </w:p>
        </w:tc>
      </w:tr>
      <w:tr w14:paraId="76BE194F"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573727DF" w14:textId="77777777">
            <w:pPr>
              <w:rPr>
                <w:color w:val="000000"/>
                <w:sz w:val="16"/>
                <w:szCs w:val="16"/>
              </w:rPr>
            </w:pPr>
            <w:r w:rsidRPr="00812046">
              <w:rPr>
                <w:color w:val="000000"/>
                <w:sz w:val="16"/>
                <w:szCs w:val="16"/>
              </w:rPr>
              <w:t xml:space="preserve">Road Mile Density # Local GDP Density </w:t>
            </w:r>
          </w:p>
        </w:tc>
        <w:tc>
          <w:tcPr>
            <w:tcW w:w="0" w:type="auto"/>
            <w:tcBorders>
              <w:top w:val="nil"/>
              <w:left w:val="nil"/>
              <w:bottom w:val="nil"/>
              <w:right w:val="nil"/>
            </w:tcBorders>
            <w:shd w:val="clear" w:color="000000" w:fill="FFFFFF"/>
            <w:noWrap/>
            <w:vAlign w:val="center"/>
            <w:hideMark/>
          </w:tcPr>
          <w:p w:rsidR="00ED544B" w:rsidRPr="00812046" w:rsidP="007546F9" w14:paraId="7A0184D4"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2751ABA8"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03332294" w14:textId="77777777">
            <w:pPr>
              <w:jc w:val="center"/>
              <w:rPr>
                <w:color w:val="000000"/>
                <w:sz w:val="16"/>
                <w:szCs w:val="16"/>
              </w:rPr>
            </w:pPr>
            <w:r w:rsidRPr="00812046">
              <w:rPr>
                <w:color w:val="000000"/>
                <w:sz w:val="16"/>
                <w:szCs w:val="16"/>
              </w:rPr>
              <w:t>0.01</w:t>
            </w:r>
          </w:p>
        </w:tc>
        <w:tc>
          <w:tcPr>
            <w:tcW w:w="0" w:type="auto"/>
            <w:tcBorders>
              <w:top w:val="nil"/>
              <w:left w:val="nil"/>
              <w:bottom w:val="nil"/>
              <w:right w:val="nil"/>
            </w:tcBorders>
            <w:shd w:val="clear" w:color="000000" w:fill="FFFFFF"/>
            <w:noWrap/>
            <w:vAlign w:val="center"/>
            <w:hideMark/>
          </w:tcPr>
          <w:p w:rsidR="00ED544B" w:rsidRPr="00812046" w:rsidP="007546F9" w14:paraId="5BC2335F" w14:textId="77777777">
            <w:pPr>
              <w:jc w:val="center"/>
              <w:rPr>
                <w:color w:val="000000"/>
                <w:sz w:val="16"/>
                <w:szCs w:val="16"/>
              </w:rPr>
            </w:pPr>
            <w:r w:rsidRPr="00812046">
              <w:rPr>
                <w:color w:val="000000"/>
                <w:sz w:val="16"/>
                <w:szCs w:val="16"/>
              </w:rPr>
              <w:t>0.01</w:t>
            </w:r>
          </w:p>
        </w:tc>
        <w:tc>
          <w:tcPr>
            <w:tcW w:w="0" w:type="auto"/>
            <w:tcBorders>
              <w:top w:val="nil"/>
              <w:left w:val="nil"/>
              <w:bottom w:val="nil"/>
              <w:right w:val="nil"/>
            </w:tcBorders>
            <w:shd w:val="clear" w:color="000000" w:fill="FFFFFF"/>
            <w:noWrap/>
            <w:vAlign w:val="center"/>
            <w:hideMark/>
          </w:tcPr>
          <w:p w:rsidR="00ED544B" w:rsidRPr="00812046" w:rsidP="007546F9" w14:paraId="4439B8C7"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75727F09"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448066D1"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0CF54528"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386AD238"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750F7B24"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6DF41B3F" w14:textId="77777777">
            <w:pPr>
              <w:jc w:val="center"/>
              <w:rPr>
                <w:color w:val="000000"/>
                <w:sz w:val="16"/>
                <w:szCs w:val="16"/>
              </w:rPr>
            </w:pPr>
            <w:r w:rsidRPr="00812046">
              <w:rPr>
                <w:color w:val="000000"/>
                <w:sz w:val="16"/>
                <w:szCs w:val="16"/>
              </w:rPr>
              <w:t>-</w:t>
            </w:r>
          </w:p>
        </w:tc>
        <w:tc>
          <w:tcPr>
            <w:tcW w:w="957" w:type="dxa"/>
            <w:tcBorders>
              <w:top w:val="nil"/>
              <w:left w:val="nil"/>
              <w:bottom w:val="nil"/>
              <w:right w:val="nil"/>
            </w:tcBorders>
            <w:shd w:val="clear" w:color="000000" w:fill="FFFFFF"/>
            <w:noWrap/>
            <w:vAlign w:val="center"/>
            <w:hideMark/>
          </w:tcPr>
          <w:p w:rsidR="00ED544B" w:rsidRPr="00812046" w:rsidP="007546F9" w14:paraId="48C633CD" w14:textId="77777777">
            <w:pPr>
              <w:jc w:val="center"/>
              <w:rPr>
                <w:color w:val="000000"/>
                <w:sz w:val="16"/>
                <w:szCs w:val="16"/>
              </w:rPr>
            </w:pPr>
            <w:r w:rsidRPr="00812046">
              <w:rPr>
                <w:color w:val="000000"/>
                <w:sz w:val="16"/>
                <w:szCs w:val="16"/>
              </w:rPr>
              <w:t>-</w:t>
            </w:r>
          </w:p>
        </w:tc>
      </w:tr>
      <w:tr w14:paraId="7DCC8509"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bottom"/>
            <w:hideMark/>
          </w:tcPr>
          <w:p w:rsidR="00ED544B" w:rsidRPr="00812046" w:rsidP="007546F9" w14:paraId="75DDE3BB"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5C767CD6"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489FF9FB"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3C45DCAA"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5F2F2E5D" w14:textId="77777777">
            <w:pPr>
              <w:jc w:val="center"/>
              <w:rPr>
                <w:color w:val="000000"/>
                <w:sz w:val="16"/>
                <w:szCs w:val="16"/>
              </w:rPr>
            </w:pPr>
            <w:r w:rsidRPr="00812046">
              <w:rPr>
                <w:color w:val="000000"/>
                <w:sz w:val="16"/>
                <w:szCs w:val="16"/>
              </w:rPr>
              <w:t>(0.00)</w:t>
            </w:r>
          </w:p>
        </w:tc>
        <w:tc>
          <w:tcPr>
            <w:tcW w:w="0" w:type="auto"/>
            <w:tcBorders>
              <w:top w:val="nil"/>
              <w:left w:val="nil"/>
              <w:bottom w:val="nil"/>
              <w:right w:val="nil"/>
            </w:tcBorders>
            <w:shd w:val="clear" w:color="000000" w:fill="FFFFFF"/>
            <w:noWrap/>
            <w:vAlign w:val="center"/>
            <w:hideMark/>
          </w:tcPr>
          <w:p w:rsidR="00ED544B" w:rsidRPr="00812046" w:rsidP="007546F9" w14:paraId="30128000"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50C54E26"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3C53F2F4"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7B9C4ABC"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35EC152B"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3CF4EAAA"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1ADB3FA5" w14:textId="77777777">
            <w:pPr>
              <w:jc w:val="center"/>
              <w:rPr>
                <w:color w:val="000000"/>
                <w:sz w:val="16"/>
                <w:szCs w:val="16"/>
              </w:rPr>
            </w:pPr>
            <w:r w:rsidRPr="00812046">
              <w:rPr>
                <w:color w:val="000000"/>
                <w:sz w:val="16"/>
                <w:szCs w:val="16"/>
              </w:rPr>
              <w:t>-</w:t>
            </w:r>
          </w:p>
        </w:tc>
        <w:tc>
          <w:tcPr>
            <w:tcW w:w="957" w:type="dxa"/>
            <w:tcBorders>
              <w:top w:val="nil"/>
              <w:left w:val="nil"/>
              <w:bottom w:val="nil"/>
              <w:right w:val="nil"/>
            </w:tcBorders>
            <w:shd w:val="clear" w:color="000000" w:fill="FFFFFF"/>
            <w:noWrap/>
            <w:vAlign w:val="center"/>
            <w:hideMark/>
          </w:tcPr>
          <w:p w:rsidR="00ED544B" w:rsidRPr="00812046" w:rsidP="007546F9" w14:paraId="68256625" w14:textId="77777777">
            <w:pPr>
              <w:jc w:val="center"/>
              <w:rPr>
                <w:color w:val="000000"/>
                <w:sz w:val="16"/>
                <w:szCs w:val="16"/>
              </w:rPr>
            </w:pPr>
            <w:r w:rsidRPr="00812046">
              <w:rPr>
                <w:color w:val="000000"/>
                <w:sz w:val="16"/>
                <w:szCs w:val="16"/>
              </w:rPr>
              <w:t>-</w:t>
            </w:r>
          </w:p>
        </w:tc>
      </w:tr>
      <w:tr w14:paraId="76BF4B50"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2A18A42E" w14:textId="77777777">
            <w:pPr>
              <w:rPr>
                <w:color w:val="000000"/>
                <w:sz w:val="16"/>
                <w:szCs w:val="16"/>
              </w:rPr>
            </w:pPr>
            <w:r w:rsidRPr="00812046">
              <w:rPr>
                <w:color w:val="000000"/>
                <w:sz w:val="16"/>
                <w:szCs w:val="16"/>
              </w:rPr>
              <w:t>log(Terrain)</w:t>
            </w:r>
          </w:p>
        </w:tc>
        <w:tc>
          <w:tcPr>
            <w:tcW w:w="0" w:type="auto"/>
            <w:tcBorders>
              <w:top w:val="nil"/>
              <w:left w:val="nil"/>
              <w:bottom w:val="nil"/>
              <w:right w:val="nil"/>
            </w:tcBorders>
            <w:shd w:val="clear" w:color="000000" w:fill="FFFFFF"/>
            <w:noWrap/>
            <w:vAlign w:val="center"/>
            <w:hideMark/>
          </w:tcPr>
          <w:p w:rsidR="00ED544B" w:rsidRPr="00812046" w:rsidP="007546F9" w14:paraId="0E5F4092"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773CDBEE"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74CE30D2"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2533CFC4"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4FB66632" w14:textId="77777777">
            <w:pPr>
              <w:jc w:val="center"/>
              <w:rPr>
                <w:color w:val="000000"/>
                <w:sz w:val="16"/>
                <w:szCs w:val="16"/>
              </w:rPr>
            </w:pPr>
            <w:r w:rsidRPr="00812046">
              <w:rPr>
                <w:color w:val="000000"/>
                <w:sz w:val="16"/>
                <w:szCs w:val="16"/>
              </w:rPr>
              <w:t>-1.15***</w:t>
            </w:r>
          </w:p>
        </w:tc>
        <w:tc>
          <w:tcPr>
            <w:tcW w:w="0" w:type="auto"/>
            <w:tcBorders>
              <w:top w:val="nil"/>
              <w:left w:val="nil"/>
              <w:bottom w:val="nil"/>
              <w:right w:val="nil"/>
            </w:tcBorders>
            <w:shd w:val="clear" w:color="000000" w:fill="FFFFFF"/>
            <w:noWrap/>
            <w:vAlign w:val="center"/>
            <w:hideMark/>
          </w:tcPr>
          <w:p w:rsidR="00ED544B" w:rsidRPr="00812046" w:rsidP="007546F9" w14:paraId="237B7DC2"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53943D0A"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78F67FFF"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239951E6"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4BE7AC8F"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11D3D925" w14:textId="77777777">
            <w:pPr>
              <w:jc w:val="center"/>
              <w:rPr>
                <w:color w:val="000000"/>
                <w:sz w:val="16"/>
                <w:szCs w:val="16"/>
              </w:rPr>
            </w:pPr>
            <w:r w:rsidRPr="00812046">
              <w:rPr>
                <w:color w:val="000000"/>
                <w:sz w:val="16"/>
                <w:szCs w:val="16"/>
              </w:rPr>
              <w:t>-</w:t>
            </w:r>
          </w:p>
        </w:tc>
        <w:tc>
          <w:tcPr>
            <w:tcW w:w="957" w:type="dxa"/>
            <w:tcBorders>
              <w:top w:val="nil"/>
              <w:left w:val="nil"/>
              <w:bottom w:val="nil"/>
              <w:right w:val="nil"/>
            </w:tcBorders>
            <w:shd w:val="clear" w:color="000000" w:fill="FFFFFF"/>
            <w:noWrap/>
            <w:vAlign w:val="center"/>
            <w:hideMark/>
          </w:tcPr>
          <w:p w:rsidR="00ED544B" w:rsidRPr="00812046" w:rsidP="007546F9" w14:paraId="073E2933" w14:textId="77777777">
            <w:pPr>
              <w:jc w:val="center"/>
              <w:rPr>
                <w:color w:val="000000"/>
                <w:sz w:val="16"/>
                <w:szCs w:val="16"/>
              </w:rPr>
            </w:pPr>
            <w:r w:rsidRPr="00812046">
              <w:rPr>
                <w:color w:val="000000"/>
                <w:sz w:val="16"/>
                <w:szCs w:val="16"/>
              </w:rPr>
              <w:t>-</w:t>
            </w:r>
          </w:p>
        </w:tc>
      </w:tr>
      <w:tr w14:paraId="2815692B"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bottom"/>
            <w:hideMark/>
          </w:tcPr>
          <w:p w:rsidR="00ED544B" w:rsidRPr="00812046" w:rsidP="007546F9" w14:paraId="23B92856"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114D30DB"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5957EB38"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1CE79CE3"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7C7A6643"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7EB20236" w14:textId="77777777">
            <w:pPr>
              <w:jc w:val="center"/>
              <w:rPr>
                <w:color w:val="000000"/>
                <w:sz w:val="16"/>
                <w:szCs w:val="16"/>
              </w:rPr>
            </w:pPr>
            <w:r w:rsidRPr="00812046">
              <w:rPr>
                <w:color w:val="000000"/>
                <w:sz w:val="16"/>
                <w:szCs w:val="16"/>
              </w:rPr>
              <w:t>(0.03)</w:t>
            </w:r>
          </w:p>
        </w:tc>
        <w:tc>
          <w:tcPr>
            <w:tcW w:w="0" w:type="auto"/>
            <w:tcBorders>
              <w:top w:val="nil"/>
              <w:left w:val="nil"/>
              <w:bottom w:val="nil"/>
              <w:right w:val="nil"/>
            </w:tcBorders>
            <w:shd w:val="clear" w:color="000000" w:fill="FFFFFF"/>
            <w:noWrap/>
            <w:vAlign w:val="center"/>
            <w:hideMark/>
          </w:tcPr>
          <w:p w:rsidR="00ED544B" w:rsidRPr="00812046" w:rsidP="007546F9" w14:paraId="0E0BC4C9"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74890D89"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48D93BA7"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50D24B4F"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2EA00724"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4C3ECA11" w14:textId="77777777">
            <w:pPr>
              <w:jc w:val="center"/>
              <w:rPr>
                <w:color w:val="000000"/>
                <w:sz w:val="16"/>
                <w:szCs w:val="16"/>
              </w:rPr>
            </w:pPr>
            <w:r w:rsidRPr="00812046">
              <w:rPr>
                <w:color w:val="000000"/>
                <w:sz w:val="16"/>
                <w:szCs w:val="16"/>
              </w:rPr>
              <w:t>-</w:t>
            </w:r>
          </w:p>
        </w:tc>
        <w:tc>
          <w:tcPr>
            <w:tcW w:w="957" w:type="dxa"/>
            <w:tcBorders>
              <w:top w:val="nil"/>
              <w:left w:val="nil"/>
              <w:bottom w:val="nil"/>
              <w:right w:val="nil"/>
            </w:tcBorders>
            <w:shd w:val="clear" w:color="000000" w:fill="FFFFFF"/>
            <w:noWrap/>
            <w:vAlign w:val="center"/>
            <w:hideMark/>
          </w:tcPr>
          <w:p w:rsidR="00ED544B" w:rsidRPr="00812046" w:rsidP="007546F9" w14:paraId="1FDACDC9" w14:textId="77777777">
            <w:pPr>
              <w:jc w:val="center"/>
              <w:rPr>
                <w:color w:val="000000"/>
                <w:sz w:val="16"/>
                <w:szCs w:val="16"/>
              </w:rPr>
            </w:pPr>
            <w:r w:rsidRPr="00812046">
              <w:rPr>
                <w:color w:val="000000"/>
                <w:sz w:val="16"/>
                <w:szCs w:val="16"/>
              </w:rPr>
              <w:t>-</w:t>
            </w:r>
          </w:p>
        </w:tc>
      </w:tr>
      <w:tr w14:paraId="31A033F4"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58706598" w14:textId="77777777">
            <w:pPr>
              <w:rPr>
                <w:color w:val="000000"/>
                <w:sz w:val="16"/>
                <w:szCs w:val="16"/>
              </w:rPr>
            </w:pPr>
            <w:r w:rsidRPr="00812046">
              <w:rPr>
                <w:color w:val="000000"/>
                <w:sz w:val="16"/>
                <w:szCs w:val="16"/>
              </w:rPr>
              <w:t>Constant</w:t>
            </w:r>
          </w:p>
        </w:tc>
        <w:tc>
          <w:tcPr>
            <w:tcW w:w="0" w:type="auto"/>
            <w:tcBorders>
              <w:top w:val="nil"/>
              <w:left w:val="nil"/>
              <w:bottom w:val="nil"/>
              <w:right w:val="nil"/>
            </w:tcBorders>
            <w:shd w:val="clear" w:color="000000" w:fill="FFFFFF"/>
            <w:noWrap/>
            <w:vAlign w:val="center"/>
            <w:hideMark/>
          </w:tcPr>
          <w:p w:rsidR="00ED544B" w:rsidRPr="00812046" w:rsidP="007546F9" w14:paraId="6AF6634A"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094BFD61"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43443081"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2A059C88"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3452D4D0"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68BB0D5F"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6AFCDF3C"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020CE5F4"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43DE7D82"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4981C316"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12261230" w14:textId="77777777">
            <w:pPr>
              <w:jc w:val="center"/>
              <w:rPr>
                <w:color w:val="000000"/>
                <w:sz w:val="16"/>
                <w:szCs w:val="16"/>
              </w:rPr>
            </w:pPr>
            <w:r w:rsidRPr="00812046">
              <w:rPr>
                <w:color w:val="000000"/>
                <w:sz w:val="16"/>
                <w:szCs w:val="16"/>
              </w:rPr>
              <w:t>-0.16</w:t>
            </w:r>
          </w:p>
        </w:tc>
        <w:tc>
          <w:tcPr>
            <w:tcW w:w="957" w:type="dxa"/>
            <w:tcBorders>
              <w:top w:val="nil"/>
              <w:left w:val="nil"/>
              <w:bottom w:val="nil"/>
              <w:right w:val="nil"/>
            </w:tcBorders>
            <w:shd w:val="clear" w:color="000000" w:fill="FFFFFF"/>
            <w:noWrap/>
            <w:vAlign w:val="center"/>
            <w:hideMark/>
          </w:tcPr>
          <w:p w:rsidR="00ED544B" w:rsidRPr="00812046" w:rsidP="007546F9" w14:paraId="59948431" w14:textId="77777777">
            <w:pPr>
              <w:jc w:val="center"/>
              <w:rPr>
                <w:color w:val="000000"/>
                <w:sz w:val="16"/>
                <w:szCs w:val="16"/>
              </w:rPr>
            </w:pPr>
            <w:r w:rsidRPr="00812046">
              <w:rPr>
                <w:color w:val="000000"/>
                <w:sz w:val="16"/>
                <w:szCs w:val="16"/>
              </w:rPr>
              <w:t>-0.24</w:t>
            </w:r>
          </w:p>
        </w:tc>
      </w:tr>
      <w:tr w14:paraId="5208AEB1"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bottom"/>
            <w:hideMark/>
          </w:tcPr>
          <w:p w:rsidR="00ED544B" w:rsidRPr="00812046" w:rsidP="007546F9" w14:paraId="69F5DD8C"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18412FC2"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17D1EE89"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6BB8B510"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280728F7"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35BB52D7"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6E65C40A"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511EADD7"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20FFF4D6"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16608685"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10154874" w14:textId="77777777">
            <w:pPr>
              <w:jc w:val="center"/>
              <w:rPr>
                <w:color w:val="000000"/>
                <w:sz w:val="16"/>
                <w:szCs w:val="16"/>
              </w:rPr>
            </w:pPr>
            <w:r w:rsidRPr="00812046">
              <w:rPr>
                <w:color w:val="000000"/>
                <w:sz w:val="16"/>
                <w:szCs w:val="16"/>
              </w:rPr>
              <w:t>-</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1B893D18" w14:textId="77777777">
            <w:pPr>
              <w:jc w:val="center"/>
              <w:rPr>
                <w:color w:val="000000"/>
                <w:sz w:val="16"/>
                <w:szCs w:val="16"/>
              </w:rPr>
            </w:pPr>
            <w:r w:rsidRPr="00812046">
              <w:rPr>
                <w:color w:val="000000"/>
                <w:sz w:val="16"/>
                <w:szCs w:val="16"/>
              </w:rPr>
              <w:t>(0.91)</w:t>
            </w:r>
          </w:p>
        </w:tc>
        <w:tc>
          <w:tcPr>
            <w:tcW w:w="957" w:type="dxa"/>
            <w:tcBorders>
              <w:top w:val="nil"/>
              <w:left w:val="nil"/>
              <w:bottom w:val="single" w:sz="8" w:space="0" w:color="auto"/>
              <w:right w:val="nil"/>
            </w:tcBorders>
            <w:shd w:val="clear" w:color="000000" w:fill="FFFFFF"/>
            <w:noWrap/>
            <w:vAlign w:val="center"/>
            <w:hideMark/>
          </w:tcPr>
          <w:p w:rsidR="00ED544B" w:rsidRPr="00812046" w:rsidP="007546F9" w14:paraId="7AF988F9" w14:textId="77777777">
            <w:pPr>
              <w:jc w:val="center"/>
              <w:rPr>
                <w:color w:val="000000"/>
                <w:sz w:val="16"/>
                <w:szCs w:val="16"/>
              </w:rPr>
            </w:pPr>
            <w:r w:rsidRPr="00812046">
              <w:rPr>
                <w:color w:val="000000"/>
                <w:sz w:val="16"/>
                <w:szCs w:val="16"/>
              </w:rPr>
              <w:t>(0.98)</w:t>
            </w:r>
          </w:p>
        </w:tc>
      </w:tr>
      <w:tr w14:paraId="6386A804" w14:textId="77777777" w:rsidTr="00AE015D">
        <w:tblPrEx>
          <w:tblW w:w="13680" w:type="dxa"/>
          <w:tblCellMar>
            <w:left w:w="115" w:type="dxa"/>
            <w:right w:w="115" w:type="dxa"/>
          </w:tblCellMar>
          <w:tblLook w:val="04A0"/>
        </w:tblPrEx>
        <w:trPr>
          <w:trHeight w:hRule="exact" w:val="360"/>
        </w:trPr>
        <w:tc>
          <w:tcPr>
            <w:tcW w:w="2912" w:type="dxa"/>
            <w:tcBorders>
              <w:top w:val="single" w:sz="8" w:space="0" w:color="auto"/>
              <w:left w:val="nil"/>
              <w:bottom w:val="nil"/>
              <w:right w:val="nil"/>
            </w:tcBorders>
            <w:shd w:val="clear" w:color="000000" w:fill="FFFFFF"/>
            <w:noWrap/>
            <w:vAlign w:val="center"/>
            <w:hideMark/>
          </w:tcPr>
          <w:p w:rsidR="00ED544B" w:rsidRPr="00812046" w:rsidP="007546F9" w14:paraId="3222AE6B" w14:textId="77777777">
            <w:pPr>
              <w:rPr>
                <w:color w:val="000000"/>
                <w:sz w:val="16"/>
                <w:szCs w:val="16"/>
              </w:rPr>
            </w:pPr>
            <w:r w:rsidRPr="00812046">
              <w:rPr>
                <w:color w:val="000000"/>
                <w:sz w:val="16"/>
                <w:szCs w:val="16"/>
              </w:rPr>
              <w:t>Terrain Spline</w:t>
            </w:r>
          </w:p>
        </w:tc>
        <w:tc>
          <w:tcPr>
            <w:tcW w:w="0" w:type="auto"/>
            <w:tcBorders>
              <w:top w:val="single" w:sz="8" w:space="0" w:color="auto"/>
              <w:left w:val="nil"/>
              <w:bottom w:val="nil"/>
              <w:right w:val="nil"/>
            </w:tcBorders>
            <w:shd w:val="clear" w:color="000000" w:fill="FFFFFF"/>
            <w:noWrap/>
            <w:vAlign w:val="center"/>
            <w:hideMark/>
          </w:tcPr>
          <w:p w:rsidR="00ED544B" w:rsidRPr="00812046" w:rsidP="007546F9" w14:paraId="778A0AD8" w14:textId="77777777">
            <w:pPr>
              <w:jc w:val="center"/>
              <w:rPr>
                <w:color w:val="000000"/>
                <w:sz w:val="16"/>
                <w:szCs w:val="16"/>
              </w:rPr>
            </w:pPr>
            <w:r w:rsidRPr="00812046">
              <w:rPr>
                <w:color w:val="000000"/>
                <w:sz w:val="16"/>
                <w:szCs w:val="16"/>
              </w:rPr>
              <w:t>Yes</w:t>
            </w:r>
          </w:p>
        </w:tc>
        <w:tc>
          <w:tcPr>
            <w:tcW w:w="0" w:type="auto"/>
            <w:tcBorders>
              <w:top w:val="single" w:sz="8" w:space="0" w:color="auto"/>
              <w:left w:val="nil"/>
              <w:bottom w:val="nil"/>
              <w:right w:val="nil"/>
            </w:tcBorders>
            <w:shd w:val="clear" w:color="000000" w:fill="FFFFFF"/>
            <w:noWrap/>
            <w:vAlign w:val="center"/>
            <w:hideMark/>
          </w:tcPr>
          <w:p w:rsidR="00ED544B" w:rsidRPr="00812046" w:rsidP="007546F9" w14:paraId="05CF07B8" w14:textId="77777777">
            <w:pPr>
              <w:jc w:val="center"/>
              <w:rPr>
                <w:color w:val="000000"/>
                <w:sz w:val="16"/>
                <w:szCs w:val="16"/>
              </w:rPr>
            </w:pPr>
            <w:r w:rsidRPr="00812046">
              <w:rPr>
                <w:color w:val="000000"/>
                <w:sz w:val="16"/>
                <w:szCs w:val="16"/>
              </w:rPr>
              <w:t>Yes</w:t>
            </w:r>
          </w:p>
        </w:tc>
        <w:tc>
          <w:tcPr>
            <w:tcW w:w="0" w:type="auto"/>
            <w:tcBorders>
              <w:top w:val="single" w:sz="8" w:space="0" w:color="auto"/>
              <w:left w:val="nil"/>
              <w:bottom w:val="nil"/>
              <w:right w:val="nil"/>
            </w:tcBorders>
            <w:shd w:val="clear" w:color="000000" w:fill="FFFFFF"/>
            <w:noWrap/>
            <w:vAlign w:val="center"/>
            <w:hideMark/>
          </w:tcPr>
          <w:p w:rsidR="00ED544B" w:rsidRPr="00812046" w:rsidP="007546F9" w14:paraId="7267CC12" w14:textId="77777777">
            <w:pPr>
              <w:jc w:val="center"/>
              <w:rPr>
                <w:color w:val="000000"/>
                <w:sz w:val="16"/>
                <w:szCs w:val="16"/>
              </w:rPr>
            </w:pPr>
            <w:r w:rsidRPr="00812046">
              <w:rPr>
                <w:color w:val="000000"/>
                <w:sz w:val="16"/>
                <w:szCs w:val="16"/>
              </w:rPr>
              <w:t>Yes</w:t>
            </w:r>
          </w:p>
        </w:tc>
        <w:tc>
          <w:tcPr>
            <w:tcW w:w="0" w:type="auto"/>
            <w:tcBorders>
              <w:top w:val="single" w:sz="8" w:space="0" w:color="auto"/>
              <w:left w:val="nil"/>
              <w:bottom w:val="nil"/>
              <w:right w:val="nil"/>
            </w:tcBorders>
            <w:shd w:val="clear" w:color="000000" w:fill="FFFFFF"/>
            <w:noWrap/>
            <w:vAlign w:val="center"/>
            <w:hideMark/>
          </w:tcPr>
          <w:p w:rsidR="00ED544B" w:rsidRPr="00812046" w:rsidP="007546F9" w14:paraId="130CD184" w14:textId="77777777">
            <w:pPr>
              <w:jc w:val="center"/>
              <w:rPr>
                <w:color w:val="000000"/>
                <w:sz w:val="16"/>
                <w:szCs w:val="16"/>
              </w:rPr>
            </w:pPr>
            <w:r w:rsidRPr="00812046">
              <w:rPr>
                <w:color w:val="000000"/>
                <w:sz w:val="16"/>
                <w:szCs w:val="16"/>
              </w:rPr>
              <w:t>Yes</w:t>
            </w:r>
          </w:p>
        </w:tc>
        <w:tc>
          <w:tcPr>
            <w:tcW w:w="0" w:type="auto"/>
            <w:tcBorders>
              <w:top w:val="single" w:sz="8" w:space="0" w:color="auto"/>
              <w:left w:val="nil"/>
              <w:bottom w:val="nil"/>
              <w:right w:val="nil"/>
            </w:tcBorders>
            <w:shd w:val="clear" w:color="000000" w:fill="FFFFFF"/>
            <w:noWrap/>
            <w:vAlign w:val="center"/>
            <w:hideMark/>
          </w:tcPr>
          <w:p w:rsidR="00ED544B" w:rsidRPr="00812046" w:rsidP="007546F9" w14:paraId="6DCE7BE8" w14:textId="77777777">
            <w:pPr>
              <w:jc w:val="center"/>
              <w:rPr>
                <w:color w:val="000000"/>
                <w:sz w:val="16"/>
                <w:szCs w:val="16"/>
              </w:rPr>
            </w:pPr>
            <w:r w:rsidRPr="00812046">
              <w:rPr>
                <w:color w:val="000000"/>
                <w:sz w:val="16"/>
                <w:szCs w:val="16"/>
              </w:rPr>
              <w:t>No</w:t>
            </w:r>
          </w:p>
        </w:tc>
        <w:tc>
          <w:tcPr>
            <w:tcW w:w="0" w:type="auto"/>
            <w:tcBorders>
              <w:top w:val="single" w:sz="8" w:space="0" w:color="auto"/>
              <w:left w:val="nil"/>
              <w:bottom w:val="nil"/>
              <w:right w:val="nil"/>
            </w:tcBorders>
            <w:shd w:val="clear" w:color="000000" w:fill="FFFFFF"/>
            <w:noWrap/>
            <w:vAlign w:val="center"/>
            <w:hideMark/>
          </w:tcPr>
          <w:p w:rsidR="00ED544B" w:rsidRPr="00812046" w:rsidP="007546F9" w14:paraId="25747403" w14:textId="77777777">
            <w:pPr>
              <w:jc w:val="center"/>
              <w:rPr>
                <w:color w:val="000000"/>
                <w:sz w:val="16"/>
                <w:szCs w:val="16"/>
              </w:rPr>
            </w:pPr>
            <w:r w:rsidRPr="00812046">
              <w:rPr>
                <w:color w:val="000000"/>
                <w:sz w:val="16"/>
                <w:szCs w:val="16"/>
              </w:rPr>
              <w:t>Yes</w:t>
            </w:r>
          </w:p>
        </w:tc>
        <w:tc>
          <w:tcPr>
            <w:tcW w:w="0" w:type="auto"/>
            <w:tcBorders>
              <w:top w:val="single" w:sz="8" w:space="0" w:color="auto"/>
              <w:left w:val="nil"/>
              <w:bottom w:val="nil"/>
              <w:right w:val="nil"/>
            </w:tcBorders>
            <w:shd w:val="clear" w:color="000000" w:fill="FFFFFF"/>
            <w:noWrap/>
            <w:vAlign w:val="center"/>
            <w:hideMark/>
          </w:tcPr>
          <w:p w:rsidR="00ED544B" w:rsidRPr="00812046" w:rsidP="007546F9" w14:paraId="7F934CF6" w14:textId="77777777">
            <w:pPr>
              <w:jc w:val="center"/>
              <w:rPr>
                <w:color w:val="000000"/>
                <w:sz w:val="16"/>
                <w:szCs w:val="16"/>
              </w:rPr>
            </w:pPr>
            <w:r w:rsidRPr="00812046">
              <w:rPr>
                <w:color w:val="000000"/>
                <w:sz w:val="16"/>
                <w:szCs w:val="16"/>
              </w:rPr>
              <w:t>Yes</w:t>
            </w:r>
          </w:p>
        </w:tc>
        <w:tc>
          <w:tcPr>
            <w:tcW w:w="0" w:type="auto"/>
            <w:tcBorders>
              <w:top w:val="single" w:sz="8" w:space="0" w:color="auto"/>
              <w:left w:val="nil"/>
              <w:bottom w:val="nil"/>
              <w:right w:val="nil"/>
            </w:tcBorders>
            <w:shd w:val="clear" w:color="000000" w:fill="FFFFFF"/>
            <w:noWrap/>
            <w:vAlign w:val="center"/>
            <w:hideMark/>
          </w:tcPr>
          <w:p w:rsidR="00ED544B" w:rsidRPr="00812046" w:rsidP="007546F9" w14:paraId="50FC6A35" w14:textId="77777777">
            <w:pPr>
              <w:jc w:val="center"/>
              <w:rPr>
                <w:color w:val="000000"/>
                <w:sz w:val="16"/>
                <w:szCs w:val="16"/>
              </w:rPr>
            </w:pPr>
            <w:r w:rsidRPr="00812046">
              <w:rPr>
                <w:color w:val="000000"/>
                <w:sz w:val="16"/>
                <w:szCs w:val="16"/>
              </w:rPr>
              <w:t>Yes</w:t>
            </w:r>
          </w:p>
        </w:tc>
        <w:tc>
          <w:tcPr>
            <w:tcW w:w="0" w:type="auto"/>
            <w:tcBorders>
              <w:top w:val="single" w:sz="8" w:space="0" w:color="auto"/>
              <w:left w:val="nil"/>
              <w:bottom w:val="nil"/>
              <w:right w:val="nil"/>
            </w:tcBorders>
            <w:shd w:val="clear" w:color="000000" w:fill="FFFFFF"/>
            <w:noWrap/>
            <w:vAlign w:val="center"/>
            <w:hideMark/>
          </w:tcPr>
          <w:p w:rsidR="00ED544B" w:rsidRPr="00812046" w:rsidP="007546F9" w14:paraId="7E83625E" w14:textId="77777777">
            <w:pPr>
              <w:jc w:val="center"/>
              <w:rPr>
                <w:color w:val="000000"/>
                <w:sz w:val="16"/>
                <w:szCs w:val="16"/>
              </w:rPr>
            </w:pPr>
            <w:r w:rsidRPr="00812046">
              <w:rPr>
                <w:color w:val="000000"/>
                <w:sz w:val="16"/>
                <w:szCs w:val="16"/>
              </w:rPr>
              <w:t>Yes</w:t>
            </w:r>
          </w:p>
        </w:tc>
        <w:tc>
          <w:tcPr>
            <w:tcW w:w="0" w:type="auto"/>
            <w:tcBorders>
              <w:top w:val="single" w:sz="8" w:space="0" w:color="auto"/>
              <w:left w:val="nil"/>
              <w:bottom w:val="nil"/>
              <w:right w:val="nil"/>
            </w:tcBorders>
            <w:shd w:val="clear" w:color="000000" w:fill="FFFFFF"/>
            <w:noWrap/>
            <w:vAlign w:val="center"/>
            <w:hideMark/>
          </w:tcPr>
          <w:p w:rsidR="00ED544B" w:rsidRPr="00812046" w:rsidP="007546F9" w14:paraId="1161BEAA" w14:textId="77777777">
            <w:pPr>
              <w:jc w:val="center"/>
              <w:rPr>
                <w:color w:val="000000"/>
                <w:sz w:val="16"/>
                <w:szCs w:val="16"/>
              </w:rPr>
            </w:pPr>
            <w:r w:rsidRPr="00812046">
              <w:rPr>
                <w:color w:val="000000"/>
                <w:sz w:val="16"/>
                <w:szCs w:val="16"/>
              </w:rPr>
              <w:t>Yes</w:t>
            </w:r>
          </w:p>
        </w:tc>
        <w:tc>
          <w:tcPr>
            <w:tcW w:w="0" w:type="auto"/>
            <w:tcBorders>
              <w:top w:val="nil"/>
              <w:left w:val="nil"/>
              <w:bottom w:val="nil"/>
              <w:right w:val="nil"/>
            </w:tcBorders>
            <w:shd w:val="clear" w:color="000000" w:fill="FFFFFF"/>
            <w:noWrap/>
            <w:vAlign w:val="center"/>
            <w:hideMark/>
          </w:tcPr>
          <w:p w:rsidR="00ED544B" w:rsidRPr="00812046" w:rsidP="007546F9" w14:paraId="6DDC45D0" w14:textId="77777777">
            <w:pPr>
              <w:jc w:val="center"/>
              <w:rPr>
                <w:color w:val="000000"/>
                <w:sz w:val="16"/>
                <w:szCs w:val="16"/>
              </w:rPr>
            </w:pPr>
            <w:r w:rsidRPr="00812046">
              <w:rPr>
                <w:color w:val="000000"/>
                <w:sz w:val="16"/>
                <w:szCs w:val="16"/>
              </w:rPr>
              <w:t>Yes</w:t>
            </w:r>
          </w:p>
        </w:tc>
        <w:tc>
          <w:tcPr>
            <w:tcW w:w="957" w:type="dxa"/>
            <w:tcBorders>
              <w:top w:val="nil"/>
              <w:left w:val="nil"/>
              <w:bottom w:val="nil"/>
              <w:right w:val="nil"/>
            </w:tcBorders>
            <w:shd w:val="clear" w:color="000000" w:fill="FFFFFF"/>
            <w:noWrap/>
            <w:vAlign w:val="center"/>
            <w:hideMark/>
          </w:tcPr>
          <w:p w:rsidR="00ED544B" w:rsidRPr="00812046" w:rsidP="007546F9" w14:paraId="366F3666" w14:textId="77777777">
            <w:pPr>
              <w:jc w:val="center"/>
              <w:rPr>
                <w:color w:val="000000"/>
                <w:sz w:val="16"/>
                <w:szCs w:val="16"/>
              </w:rPr>
            </w:pPr>
            <w:r w:rsidRPr="00812046">
              <w:rPr>
                <w:color w:val="000000"/>
                <w:sz w:val="16"/>
                <w:szCs w:val="16"/>
              </w:rPr>
              <w:t>Yes</w:t>
            </w:r>
          </w:p>
        </w:tc>
      </w:tr>
      <w:tr w14:paraId="53775FDF"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3FE88DCD" w14:textId="77777777">
            <w:pPr>
              <w:rPr>
                <w:color w:val="000000"/>
                <w:sz w:val="16"/>
                <w:szCs w:val="16"/>
              </w:rPr>
            </w:pPr>
            <w:r w:rsidRPr="00812046">
              <w:rPr>
                <w:color w:val="000000"/>
                <w:sz w:val="16"/>
                <w:szCs w:val="16"/>
              </w:rPr>
              <w:t>Observation Weights</w:t>
            </w:r>
          </w:p>
        </w:tc>
        <w:tc>
          <w:tcPr>
            <w:tcW w:w="0" w:type="auto"/>
            <w:tcBorders>
              <w:top w:val="nil"/>
              <w:left w:val="nil"/>
              <w:bottom w:val="nil"/>
              <w:right w:val="nil"/>
            </w:tcBorders>
            <w:shd w:val="clear" w:color="000000" w:fill="FFFFFF"/>
            <w:noWrap/>
            <w:vAlign w:val="center"/>
            <w:hideMark/>
          </w:tcPr>
          <w:p w:rsidR="00ED544B" w:rsidRPr="00812046" w:rsidP="007546F9" w14:paraId="5794BDF9" w14:textId="77777777">
            <w:pPr>
              <w:jc w:val="center"/>
              <w:rPr>
                <w:color w:val="000000"/>
                <w:sz w:val="16"/>
                <w:szCs w:val="16"/>
              </w:rPr>
            </w:pPr>
            <w:r w:rsidRPr="00812046">
              <w:rPr>
                <w:color w:val="000000"/>
                <w:sz w:val="16"/>
                <w:szCs w:val="16"/>
              </w:rPr>
              <w:t>Land Area</w:t>
            </w:r>
          </w:p>
        </w:tc>
        <w:tc>
          <w:tcPr>
            <w:tcW w:w="0" w:type="auto"/>
            <w:tcBorders>
              <w:top w:val="nil"/>
              <w:left w:val="nil"/>
              <w:bottom w:val="nil"/>
              <w:right w:val="nil"/>
            </w:tcBorders>
            <w:shd w:val="clear" w:color="000000" w:fill="FFFFFF"/>
            <w:noWrap/>
            <w:vAlign w:val="center"/>
            <w:hideMark/>
          </w:tcPr>
          <w:p w:rsidR="00ED544B" w:rsidRPr="00812046" w:rsidP="007546F9" w14:paraId="0048E4C2" w14:textId="77777777">
            <w:pPr>
              <w:jc w:val="center"/>
              <w:rPr>
                <w:color w:val="000000"/>
                <w:sz w:val="16"/>
                <w:szCs w:val="16"/>
              </w:rPr>
            </w:pPr>
            <w:r w:rsidRPr="00812046">
              <w:rPr>
                <w:color w:val="000000"/>
                <w:sz w:val="16"/>
                <w:szCs w:val="16"/>
              </w:rPr>
              <w:t>Land Area</w:t>
            </w:r>
          </w:p>
        </w:tc>
        <w:tc>
          <w:tcPr>
            <w:tcW w:w="0" w:type="auto"/>
            <w:tcBorders>
              <w:top w:val="nil"/>
              <w:left w:val="nil"/>
              <w:bottom w:val="nil"/>
              <w:right w:val="nil"/>
            </w:tcBorders>
            <w:shd w:val="clear" w:color="000000" w:fill="FFFFFF"/>
            <w:noWrap/>
            <w:vAlign w:val="center"/>
            <w:hideMark/>
          </w:tcPr>
          <w:p w:rsidR="00ED544B" w:rsidRPr="00812046" w:rsidP="007546F9" w14:paraId="077C9E27" w14:textId="77777777">
            <w:pPr>
              <w:jc w:val="center"/>
              <w:rPr>
                <w:color w:val="000000"/>
                <w:sz w:val="16"/>
                <w:szCs w:val="16"/>
              </w:rPr>
            </w:pPr>
            <w:r w:rsidRPr="00812046">
              <w:rPr>
                <w:color w:val="000000"/>
                <w:sz w:val="16"/>
                <w:szCs w:val="16"/>
              </w:rPr>
              <w:t>Land Area</w:t>
            </w:r>
          </w:p>
        </w:tc>
        <w:tc>
          <w:tcPr>
            <w:tcW w:w="0" w:type="auto"/>
            <w:tcBorders>
              <w:top w:val="nil"/>
              <w:left w:val="nil"/>
              <w:bottom w:val="nil"/>
              <w:right w:val="nil"/>
            </w:tcBorders>
            <w:shd w:val="clear" w:color="000000" w:fill="FFFFFF"/>
            <w:noWrap/>
            <w:vAlign w:val="center"/>
            <w:hideMark/>
          </w:tcPr>
          <w:p w:rsidR="00ED544B" w:rsidRPr="00812046" w:rsidP="007546F9" w14:paraId="52CBF012" w14:textId="77777777">
            <w:pPr>
              <w:jc w:val="center"/>
              <w:rPr>
                <w:color w:val="000000"/>
                <w:sz w:val="16"/>
                <w:szCs w:val="16"/>
              </w:rPr>
            </w:pPr>
            <w:r w:rsidRPr="00812046">
              <w:rPr>
                <w:color w:val="000000"/>
                <w:sz w:val="16"/>
                <w:szCs w:val="16"/>
              </w:rPr>
              <w:t>Land Area</w:t>
            </w:r>
          </w:p>
        </w:tc>
        <w:tc>
          <w:tcPr>
            <w:tcW w:w="0" w:type="auto"/>
            <w:tcBorders>
              <w:top w:val="nil"/>
              <w:left w:val="nil"/>
              <w:bottom w:val="nil"/>
              <w:right w:val="nil"/>
            </w:tcBorders>
            <w:shd w:val="clear" w:color="000000" w:fill="FFFFFF"/>
            <w:noWrap/>
            <w:vAlign w:val="center"/>
            <w:hideMark/>
          </w:tcPr>
          <w:p w:rsidR="00ED544B" w:rsidRPr="00812046" w:rsidP="007546F9" w14:paraId="74C5C9B4" w14:textId="77777777">
            <w:pPr>
              <w:jc w:val="center"/>
              <w:rPr>
                <w:color w:val="000000"/>
                <w:sz w:val="16"/>
                <w:szCs w:val="16"/>
              </w:rPr>
            </w:pPr>
            <w:r w:rsidRPr="00812046">
              <w:rPr>
                <w:color w:val="000000"/>
                <w:sz w:val="16"/>
                <w:szCs w:val="16"/>
              </w:rPr>
              <w:t>Land Area</w:t>
            </w:r>
          </w:p>
        </w:tc>
        <w:tc>
          <w:tcPr>
            <w:tcW w:w="0" w:type="auto"/>
            <w:tcBorders>
              <w:top w:val="nil"/>
              <w:left w:val="nil"/>
              <w:bottom w:val="nil"/>
              <w:right w:val="nil"/>
            </w:tcBorders>
            <w:shd w:val="clear" w:color="000000" w:fill="FFFFFF"/>
            <w:noWrap/>
            <w:vAlign w:val="center"/>
            <w:hideMark/>
          </w:tcPr>
          <w:p w:rsidR="00ED544B" w:rsidRPr="00812046" w:rsidP="007546F9" w14:paraId="62D7F3E0" w14:textId="77777777">
            <w:pPr>
              <w:jc w:val="center"/>
              <w:rPr>
                <w:color w:val="000000"/>
                <w:sz w:val="16"/>
                <w:szCs w:val="16"/>
              </w:rPr>
            </w:pPr>
            <w:r w:rsidRPr="00812046">
              <w:rPr>
                <w:color w:val="000000"/>
                <w:sz w:val="16"/>
                <w:szCs w:val="16"/>
              </w:rPr>
              <w:t>Land Area</w:t>
            </w:r>
          </w:p>
        </w:tc>
        <w:tc>
          <w:tcPr>
            <w:tcW w:w="0" w:type="auto"/>
            <w:tcBorders>
              <w:top w:val="nil"/>
              <w:left w:val="nil"/>
              <w:bottom w:val="nil"/>
              <w:right w:val="nil"/>
            </w:tcBorders>
            <w:shd w:val="clear" w:color="000000" w:fill="FFFFFF"/>
            <w:noWrap/>
            <w:vAlign w:val="center"/>
            <w:hideMark/>
          </w:tcPr>
          <w:p w:rsidR="00ED544B" w:rsidRPr="00812046" w:rsidP="007546F9" w14:paraId="11B3D163" w14:textId="77777777">
            <w:pPr>
              <w:jc w:val="center"/>
              <w:rPr>
                <w:color w:val="000000"/>
                <w:sz w:val="16"/>
                <w:szCs w:val="16"/>
              </w:rPr>
            </w:pPr>
            <w:r w:rsidRPr="00812046">
              <w:rPr>
                <w:color w:val="000000"/>
                <w:sz w:val="16"/>
                <w:szCs w:val="16"/>
              </w:rPr>
              <w:t>Land Area</w:t>
            </w:r>
          </w:p>
        </w:tc>
        <w:tc>
          <w:tcPr>
            <w:tcW w:w="0" w:type="auto"/>
            <w:tcBorders>
              <w:top w:val="nil"/>
              <w:left w:val="nil"/>
              <w:bottom w:val="nil"/>
              <w:right w:val="nil"/>
            </w:tcBorders>
            <w:shd w:val="clear" w:color="000000" w:fill="FFFFFF"/>
            <w:noWrap/>
            <w:vAlign w:val="center"/>
            <w:hideMark/>
          </w:tcPr>
          <w:p w:rsidR="00ED544B" w:rsidRPr="00812046" w:rsidP="007546F9" w14:paraId="3A7483DA" w14:textId="77777777">
            <w:pPr>
              <w:jc w:val="center"/>
              <w:rPr>
                <w:color w:val="000000"/>
                <w:sz w:val="16"/>
                <w:szCs w:val="16"/>
              </w:rPr>
            </w:pPr>
            <w:r w:rsidRPr="00812046">
              <w:rPr>
                <w:color w:val="000000"/>
                <w:sz w:val="16"/>
                <w:szCs w:val="16"/>
              </w:rPr>
              <w:t>None</w:t>
            </w:r>
          </w:p>
        </w:tc>
        <w:tc>
          <w:tcPr>
            <w:tcW w:w="0" w:type="auto"/>
            <w:tcBorders>
              <w:top w:val="nil"/>
              <w:left w:val="nil"/>
              <w:bottom w:val="nil"/>
              <w:right w:val="nil"/>
            </w:tcBorders>
            <w:shd w:val="clear" w:color="000000" w:fill="FFFFFF"/>
            <w:noWrap/>
            <w:vAlign w:val="center"/>
            <w:hideMark/>
          </w:tcPr>
          <w:p w:rsidR="00ED544B" w:rsidRPr="00812046" w:rsidP="007546F9" w14:paraId="22F32793" w14:textId="77777777">
            <w:pPr>
              <w:jc w:val="center"/>
              <w:rPr>
                <w:color w:val="000000"/>
                <w:sz w:val="16"/>
                <w:szCs w:val="16"/>
              </w:rPr>
            </w:pPr>
            <w:r w:rsidRPr="00812046">
              <w:rPr>
                <w:color w:val="000000"/>
                <w:sz w:val="16"/>
                <w:szCs w:val="16"/>
              </w:rPr>
              <w:t>Land Area</w:t>
            </w:r>
          </w:p>
        </w:tc>
        <w:tc>
          <w:tcPr>
            <w:tcW w:w="0" w:type="auto"/>
            <w:tcBorders>
              <w:top w:val="nil"/>
              <w:left w:val="nil"/>
              <w:bottom w:val="nil"/>
              <w:right w:val="nil"/>
            </w:tcBorders>
            <w:shd w:val="clear" w:color="000000" w:fill="FFFFFF"/>
            <w:noWrap/>
            <w:vAlign w:val="center"/>
            <w:hideMark/>
          </w:tcPr>
          <w:p w:rsidR="00ED544B" w:rsidRPr="00812046" w:rsidP="007546F9" w14:paraId="65420306" w14:textId="77777777">
            <w:pPr>
              <w:jc w:val="center"/>
              <w:rPr>
                <w:color w:val="000000"/>
                <w:sz w:val="16"/>
                <w:szCs w:val="16"/>
              </w:rPr>
            </w:pPr>
            <w:r w:rsidRPr="00812046">
              <w:rPr>
                <w:color w:val="000000"/>
                <w:sz w:val="16"/>
                <w:szCs w:val="16"/>
              </w:rPr>
              <w:t>Land Area</w:t>
            </w:r>
          </w:p>
        </w:tc>
        <w:tc>
          <w:tcPr>
            <w:tcW w:w="0" w:type="auto"/>
            <w:tcBorders>
              <w:top w:val="nil"/>
              <w:left w:val="nil"/>
              <w:bottom w:val="nil"/>
              <w:right w:val="nil"/>
            </w:tcBorders>
            <w:shd w:val="clear" w:color="000000" w:fill="FFFFFF"/>
            <w:noWrap/>
            <w:vAlign w:val="center"/>
            <w:hideMark/>
          </w:tcPr>
          <w:p w:rsidR="00ED544B" w:rsidRPr="00812046" w:rsidP="007546F9" w14:paraId="307AE81B" w14:textId="77777777">
            <w:pPr>
              <w:jc w:val="center"/>
              <w:rPr>
                <w:color w:val="000000"/>
                <w:sz w:val="16"/>
                <w:szCs w:val="16"/>
              </w:rPr>
            </w:pPr>
            <w:r w:rsidRPr="00812046">
              <w:rPr>
                <w:color w:val="000000"/>
                <w:sz w:val="16"/>
                <w:szCs w:val="16"/>
              </w:rPr>
              <w:t>Land Area</w:t>
            </w:r>
          </w:p>
        </w:tc>
        <w:tc>
          <w:tcPr>
            <w:tcW w:w="957" w:type="dxa"/>
            <w:tcBorders>
              <w:top w:val="nil"/>
              <w:left w:val="nil"/>
              <w:bottom w:val="nil"/>
              <w:right w:val="nil"/>
            </w:tcBorders>
            <w:shd w:val="clear" w:color="000000" w:fill="FFFFFF"/>
            <w:noWrap/>
            <w:vAlign w:val="center"/>
            <w:hideMark/>
          </w:tcPr>
          <w:p w:rsidR="00ED544B" w:rsidRPr="00812046" w:rsidP="007546F9" w14:paraId="76270F00" w14:textId="77777777">
            <w:pPr>
              <w:jc w:val="center"/>
              <w:rPr>
                <w:color w:val="000000"/>
                <w:sz w:val="16"/>
                <w:szCs w:val="16"/>
              </w:rPr>
            </w:pPr>
            <w:r w:rsidRPr="00812046">
              <w:rPr>
                <w:color w:val="000000"/>
                <w:sz w:val="16"/>
                <w:szCs w:val="16"/>
              </w:rPr>
              <w:t>Land Area</w:t>
            </w:r>
          </w:p>
        </w:tc>
      </w:tr>
      <w:tr w14:paraId="3641F821"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25A5C501" w14:textId="77777777">
            <w:pPr>
              <w:rPr>
                <w:color w:val="000000"/>
                <w:sz w:val="16"/>
                <w:szCs w:val="16"/>
              </w:rPr>
            </w:pPr>
            <w:r w:rsidRPr="00812046">
              <w:rPr>
                <w:color w:val="000000"/>
                <w:sz w:val="16"/>
                <w:szCs w:val="16"/>
              </w:rPr>
              <w:t>Sample</w:t>
            </w:r>
          </w:p>
        </w:tc>
        <w:tc>
          <w:tcPr>
            <w:tcW w:w="0" w:type="auto"/>
            <w:tcBorders>
              <w:top w:val="nil"/>
              <w:left w:val="nil"/>
              <w:bottom w:val="nil"/>
              <w:right w:val="nil"/>
            </w:tcBorders>
            <w:shd w:val="clear" w:color="000000" w:fill="FFFFFF"/>
            <w:noWrap/>
            <w:vAlign w:val="center"/>
            <w:hideMark/>
          </w:tcPr>
          <w:p w:rsidR="00ED544B" w:rsidRPr="00812046" w:rsidP="007546F9" w14:paraId="63838CC8" w14:textId="77777777">
            <w:pPr>
              <w:jc w:val="center"/>
              <w:rPr>
                <w:color w:val="000000"/>
                <w:sz w:val="16"/>
                <w:szCs w:val="16"/>
              </w:rPr>
            </w:pPr>
            <w:r w:rsidRPr="00812046">
              <w:rPr>
                <w:color w:val="000000"/>
                <w:sz w:val="16"/>
                <w:szCs w:val="16"/>
              </w:rPr>
              <w:t>&lt;100 Pops</w:t>
            </w:r>
          </w:p>
        </w:tc>
        <w:tc>
          <w:tcPr>
            <w:tcW w:w="0" w:type="auto"/>
            <w:tcBorders>
              <w:top w:val="nil"/>
              <w:left w:val="nil"/>
              <w:bottom w:val="nil"/>
              <w:right w:val="nil"/>
            </w:tcBorders>
            <w:shd w:val="clear" w:color="000000" w:fill="FFFFFF"/>
            <w:noWrap/>
            <w:vAlign w:val="center"/>
            <w:hideMark/>
          </w:tcPr>
          <w:p w:rsidR="00ED544B" w:rsidRPr="00812046" w:rsidP="007546F9" w14:paraId="48BCB131" w14:textId="77777777">
            <w:pPr>
              <w:jc w:val="center"/>
              <w:rPr>
                <w:color w:val="000000"/>
                <w:sz w:val="16"/>
                <w:szCs w:val="16"/>
              </w:rPr>
            </w:pPr>
            <w:r w:rsidRPr="00812046">
              <w:rPr>
                <w:color w:val="000000"/>
                <w:sz w:val="16"/>
                <w:szCs w:val="16"/>
              </w:rPr>
              <w:t>&lt;100 Pops</w:t>
            </w:r>
          </w:p>
        </w:tc>
        <w:tc>
          <w:tcPr>
            <w:tcW w:w="0" w:type="auto"/>
            <w:tcBorders>
              <w:top w:val="nil"/>
              <w:left w:val="nil"/>
              <w:bottom w:val="nil"/>
              <w:right w:val="nil"/>
            </w:tcBorders>
            <w:shd w:val="clear" w:color="000000" w:fill="FFFFFF"/>
            <w:noWrap/>
            <w:vAlign w:val="center"/>
            <w:hideMark/>
          </w:tcPr>
          <w:p w:rsidR="00ED544B" w:rsidRPr="00812046" w:rsidP="007546F9" w14:paraId="09E68B28" w14:textId="77777777">
            <w:pPr>
              <w:jc w:val="center"/>
              <w:rPr>
                <w:color w:val="000000"/>
                <w:sz w:val="16"/>
                <w:szCs w:val="16"/>
              </w:rPr>
            </w:pPr>
            <w:r w:rsidRPr="00812046">
              <w:rPr>
                <w:color w:val="000000"/>
                <w:sz w:val="16"/>
                <w:szCs w:val="16"/>
              </w:rPr>
              <w:t>&lt;100 Pops</w:t>
            </w:r>
          </w:p>
        </w:tc>
        <w:tc>
          <w:tcPr>
            <w:tcW w:w="0" w:type="auto"/>
            <w:tcBorders>
              <w:top w:val="nil"/>
              <w:left w:val="nil"/>
              <w:bottom w:val="nil"/>
              <w:right w:val="nil"/>
            </w:tcBorders>
            <w:shd w:val="clear" w:color="000000" w:fill="FFFFFF"/>
            <w:noWrap/>
            <w:vAlign w:val="center"/>
            <w:hideMark/>
          </w:tcPr>
          <w:p w:rsidR="00ED544B" w:rsidRPr="00812046" w:rsidP="007546F9" w14:paraId="6C7535A6" w14:textId="77777777">
            <w:pPr>
              <w:jc w:val="center"/>
              <w:rPr>
                <w:color w:val="000000"/>
                <w:sz w:val="16"/>
                <w:szCs w:val="16"/>
              </w:rPr>
            </w:pPr>
            <w:r w:rsidRPr="00812046">
              <w:rPr>
                <w:color w:val="000000"/>
                <w:sz w:val="16"/>
                <w:szCs w:val="16"/>
              </w:rPr>
              <w:t>&lt;100 Pops</w:t>
            </w:r>
          </w:p>
        </w:tc>
        <w:tc>
          <w:tcPr>
            <w:tcW w:w="0" w:type="auto"/>
            <w:tcBorders>
              <w:top w:val="nil"/>
              <w:left w:val="nil"/>
              <w:bottom w:val="nil"/>
              <w:right w:val="nil"/>
            </w:tcBorders>
            <w:shd w:val="clear" w:color="000000" w:fill="FFFFFF"/>
            <w:noWrap/>
            <w:vAlign w:val="center"/>
            <w:hideMark/>
          </w:tcPr>
          <w:p w:rsidR="00ED544B" w:rsidRPr="00812046" w:rsidP="007546F9" w14:paraId="67982361" w14:textId="77777777">
            <w:pPr>
              <w:jc w:val="center"/>
              <w:rPr>
                <w:color w:val="000000"/>
                <w:sz w:val="16"/>
                <w:szCs w:val="16"/>
              </w:rPr>
            </w:pPr>
            <w:r w:rsidRPr="00812046">
              <w:rPr>
                <w:color w:val="000000"/>
                <w:sz w:val="16"/>
                <w:szCs w:val="16"/>
              </w:rPr>
              <w:t>&lt;100 Pops</w:t>
            </w:r>
          </w:p>
        </w:tc>
        <w:tc>
          <w:tcPr>
            <w:tcW w:w="0" w:type="auto"/>
            <w:tcBorders>
              <w:top w:val="nil"/>
              <w:left w:val="nil"/>
              <w:bottom w:val="nil"/>
              <w:right w:val="nil"/>
            </w:tcBorders>
            <w:shd w:val="clear" w:color="000000" w:fill="FFFFFF"/>
            <w:noWrap/>
            <w:vAlign w:val="center"/>
            <w:hideMark/>
          </w:tcPr>
          <w:p w:rsidR="00ED544B" w:rsidRPr="00812046" w:rsidP="007546F9" w14:paraId="529226AA" w14:textId="77777777">
            <w:pPr>
              <w:jc w:val="center"/>
              <w:rPr>
                <w:color w:val="000000"/>
                <w:sz w:val="16"/>
                <w:szCs w:val="16"/>
              </w:rPr>
            </w:pPr>
            <w:r w:rsidRPr="00812046">
              <w:rPr>
                <w:color w:val="000000"/>
                <w:sz w:val="16"/>
                <w:szCs w:val="16"/>
              </w:rPr>
              <w:t>&lt; 500 Pops</w:t>
            </w:r>
          </w:p>
        </w:tc>
        <w:tc>
          <w:tcPr>
            <w:tcW w:w="0" w:type="auto"/>
            <w:tcBorders>
              <w:top w:val="nil"/>
              <w:left w:val="nil"/>
              <w:bottom w:val="nil"/>
              <w:right w:val="nil"/>
            </w:tcBorders>
            <w:shd w:val="clear" w:color="000000" w:fill="FFFFFF"/>
            <w:noWrap/>
            <w:vAlign w:val="center"/>
            <w:hideMark/>
          </w:tcPr>
          <w:p w:rsidR="00ED544B" w:rsidRPr="00812046" w:rsidP="007546F9" w14:paraId="4BE22D36" w14:textId="77777777">
            <w:pPr>
              <w:jc w:val="center"/>
              <w:rPr>
                <w:color w:val="000000"/>
                <w:sz w:val="16"/>
                <w:szCs w:val="16"/>
              </w:rPr>
            </w:pPr>
            <w:r w:rsidRPr="00812046">
              <w:rPr>
                <w:color w:val="000000"/>
                <w:sz w:val="16"/>
                <w:szCs w:val="16"/>
              </w:rPr>
              <w:t>&lt;20 Pops</w:t>
            </w:r>
          </w:p>
        </w:tc>
        <w:tc>
          <w:tcPr>
            <w:tcW w:w="0" w:type="auto"/>
            <w:tcBorders>
              <w:top w:val="nil"/>
              <w:left w:val="nil"/>
              <w:bottom w:val="nil"/>
              <w:right w:val="nil"/>
            </w:tcBorders>
            <w:shd w:val="clear" w:color="000000" w:fill="FFFFFF"/>
            <w:noWrap/>
            <w:vAlign w:val="center"/>
            <w:hideMark/>
          </w:tcPr>
          <w:p w:rsidR="00ED544B" w:rsidRPr="00812046" w:rsidP="007546F9" w14:paraId="3EED4835" w14:textId="77777777">
            <w:pPr>
              <w:jc w:val="center"/>
              <w:rPr>
                <w:color w:val="000000"/>
                <w:sz w:val="16"/>
                <w:szCs w:val="16"/>
              </w:rPr>
            </w:pPr>
            <w:r w:rsidRPr="00812046">
              <w:rPr>
                <w:color w:val="000000"/>
                <w:sz w:val="16"/>
                <w:szCs w:val="16"/>
              </w:rPr>
              <w:t>&lt;20 Pops</w:t>
            </w:r>
          </w:p>
        </w:tc>
        <w:tc>
          <w:tcPr>
            <w:tcW w:w="0" w:type="auto"/>
            <w:tcBorders>
              <w:top w:val="nil"/>
              <w:left w:val="nil"/>
              <w:bottom w:val="nil"/>
              <w:right w:val="nil"/>
            </w:tcBorders>
            <w:shd w:val="clear" w:color="000000" w:fill="FFFFFF"/>
            <w:noWrap/>
            <w:vAlign w:val="center"/>
            <w:hideMark/>
          </w:tcPr>
          <w:p w:rsidR="00ED544B" w:rsidRPr="00812046" w:rsidP="007546F9" w14:paraId="2FF8000F" w14:textId="77777777">
            <w:pPr>
              <w:jc w:val="center"/>
              <w:rPr>
                <w:color w:val="000000"/>
                <w:sz w:val="16"/>
                <w:szCs w:val="16"/>
              </w:rPr>
            </w:pPr>
            <w:r w:rsidRPr="00812046">
              <w:rPr>
                <w:color w:val="000000"/>
                <w:sz w:val="16"/>
                <w:szCs w:val="16"/>
              </w:rPr>
              <w:t>&lt;100 Pops</w:t>
            </w:r>
          </w:p>
        </w:tc>
        <w:tc>
          <w:tcPr>
            <w:tcW w:w="0" w:type="auto"/>
            <w:tcBorders>
              <w:top w:val="nil"/>
              <w:left w:val="nil"/>
              <w:bottom w:val="nil"/>
              <w:right w:val="nil"/>
            </w:tcBorders>
            <w:shd w:val="clear" w:color="000000" w:fill="FFFFFF"/>
            <w:noWrap/>
            <w:vAlign w:val="center"/>
            <w:hideMark/>
          </w:tcPr>
          <w:p w:rsidR="00ED544B" w:rsidRPr="00812046" w:rsidP="007546F9" w14:paraId="5826FB04" w14:textId="77777777">
            <w:pPr>
              <w:jc w:val="center"/>
              <w:rPr>
                <w:color w:val="000000"/>
                <w:sz w:val="16"/>
                <w:szCs w:val="16"/>
              </w:rPr>
            </w:pPr>
            <w:r w:rsidRPr="00812046">
              <w:rPr>
                <w:color w:val="000000"/>
                <w:sz w:val="16"/>
                <w:szCs w:val="16"/>
              </w:rPr>
              <w:t>&lt;100 Pops</w:t>
            </w:r>
          </w:p>
        </w:tc>
        <w:tc>
          <w:tcPr>
            <w:tcW w:w="0" w:type="auto"/>
            <w:tcBorders>
              <w:top w:val="nil"/>
              <w:left w:val="nil"/>
              <w:bottom w:val="nil"/>
              <w:right w:val="nil"/>
            </w:tcBorders>
            <w:shd w:val="clear" w:color="000000" w:fill="FFFFFF"/>
            <w:noWrap/>
            <w:vAlign w:val="center"/>
            <w:hideMark/>
          </w:tcPr>
          <w:p w:rsidR="00ED544B" w:rsidRPr="00812046" w:rsidP="007546F9" w14:paraId="6A78B1CD" w14:textId="77777777">
            <w:pPr>
              <w:jc w:val="center"/>
              <w:rPr>
                <w:color w:val="000000"/>
                <w:sz w:val="16"/>
                <w:szCs w:val="16"/>
              </w:rPr>
            </w:pPr>
            <w:r w:rsidRPr="00812046">
              <w:rPr>
                <w:color w:val="000000"/>
                <w:sz w:val="16"/>
                <w:szCs w:val="16"/>
              </w:rPr>
              <w:t>&lt;100 Pops</w:t>
            </w:r>
          </w:p>
        </w:tc>
        <w:tc>
          <w:tcPr>
            <w:tcW w:w="957" w:type="dxa"/>
            <w:tcBorders>
              <w:top w:val="nil"/>
              <w:left w:val="nil"/>
              <w:bottom w:val="nil"/>
              <w:right w:val="nil"/>
            </w:tcBorders>
            <w:shd w:val="clear" w:color="000000" w:fill="FFFFFF"/>
            <w:noWrap/>
            <w:vAlign w:val="center"/>
            <w:hideMark/>
          </w:tcPr>
          <w:p w:rsidR="00ED544B" w:rsidRPr="00812046" w:rsidP="007546F9" w14:paraId="3349EE26" w14:textId="77777777">
            <w:pPr>
              <w:jc w:val="center"/>
              <w:rPr>
                <w:color w:val="000000"/>
                <w:sz w:val="16"/>
                <w:szCs w:val="16"/>
              </w:rPr>
            </w:pPr>
            <w:r w:rsidRPr="00812046">
              <w:rPr>
                <w:color w:val="000000"/>
                <w:sz w:val="16"/>
                <w:szCs w:val="16"/>
              </w:rPr>
              <w:t>&lt;100 Pops</w:t>
            </w:r>
          </w:p>
        </w:tc>
      </w:tr>
      <w:tr w14:paraId="7AC1E989"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1BD8D90A" w14:textId="77777777">
            <w:pPr>
              <w:rPr>
                <w:color w:val="000000"/>
                <w:sz w:val="16"/>
                <w:szCs w:val="16"/>
              </w:rPr>
            </w:pPr>
            <w:r w:rsidRPr="00812046">
              <w:rPr>
                <w:color w:val="000000"/>
                <w:sz w:val="16"/>
                <w:szCs w:val="16"/>
              </w:rPr>
              <w:t>Regional Carriers Included</w:t>
            </w:r>
          </w:p>
        </w:tc>
        <w:tc>
          <w:tcPr>
            <w:tcW w:w="0" w:type="auto"/>
            <w:tcBorders>
              <w:top w:val="nil"/>
              <w:left w:val="nil"/>
              <w:bottom w:val="nil"/>
              <w:right w:val="nil"/>
            </w:tcBorders>
            <w:shd w:val="clear" w:color="000000" w:fill="FFFFFF"/>
            <w:noWrap/>
            <w:vAlign w:val="center"/>
            <w:hideMark/>
          </w:tcPr>
          <w:p w:rsidR="00ED544B" w:rsidRPr="00812046" w:rsidP="007546F9" w14:paraId="690B204F" w14:textId="77777777">
            <w:pPr>
              <w:jc w:val="center"/>
              <w:rPr>
                <w:color w:val="000000"/>
                <w:sz w:val="16"/>
                <w:szCs w:val="16"/>
              </w:rPr>
            </w:pPr>
            <w:r w:rsidRPr="00812046">
              <w:rPr>
                <w:color w:val="000000"/>
                <w:sz w:val="16"/>
                <w:szCs w:val="16"/>
              </w:rPr>
              <w:t>No</w:t>
            </w:r>
          </w:p>
        </w:tc>
        <w:tc>
          <w:tcPr>
            <w:tcW w:w="0" w:type="auto"/>
            <w:tcBorders>
              <w:top w:val="nil"/>
              <w:left w:val="nil"/>
              <w:bottom w:val="nil"/>
              <w:right w:val="nil"/>
            </w:tcBorders>
            <w:shd w:val="clear" w:color="000000" w:fill="FFFFFF"/>
            <w:noWrap/>
            <w:vAlign w:val="center"/>
            <w:hideMark/>
          </w:tcPr>
          <w:p w:rsidR="00ED544B" w:rsidRPr="00812046" w:rsidP="007546F9" w14:paraId="6AE36212" w14:textId="77777777">
            <w:pPr>
              <w:jc w:val="center"/>
              <w:rPr>
                <w:color w:val="000000"/>
                <w:sz w:val="16"/>
                <w:szCs w:val="16"/>
              </w:rPr>
            </w:pPr>
            <w:r w:rsidRPr="00812046">
              <w:rPr>
                <w:color w:val="000000"/>
                <w:sz w:val="16"/>
                <w:szCs w:val="16"/>
              </w:rPr>
              <w:t>Yes</w:t>
            </w:r>
          </w:p>
        </w:tc>
        <w:tc>
          <w:tcPr>
            <w:tcW w:w="0" w:type="auto"/>
            <w:tcBorders>
              <w:top w:val="nil"/>
              <w:left w:val="nil"/>
              <w:bottom w:val="nil"/>
              <w:right w:val="nil"/>
            </w:tcBorders>
            <w:shd w:val="clear" w:color="000000" w:fill="FFFFFF"/>
            <w:noWrap/>
            <w:vAlign w:val="center"/>
            <w:hideMark/>
          </w:tcPr>
          <w:p w:rsidR="00ED544B" w:rsidRPr="00812046" w:rsidP="007546F9" w14:paraId="3036318B" w14:textId="77777777">
            <w:pPr>
              <w:jc w:val="center"/>
              <w:rPr>
                <w:color w:val="000000"/>
                <w:sz w:val="16"/>
                <w:szCs w:val="16"/>
              </w:rPr>
            </w:pPr>
            <w:r w:rsidRPr="00812046">
              <w:rPr>
                <w:color w:val="000000"/>
                <w:sz w:val="16"/>
                <w:szCs w:val="16"/>
              </w:rPr>
              <w:t>No</w:t>
            </w:r>
          </w:p>
        </w:tc>
        <w:tc>
          <w:tcPr>
            <w:tcW w:w="0" w:type="auto"/>
            <w:tcBorders>
              <w:top w:val="nil"/>
              <w:left w:val="nil"/>
              <w:bottom w:val="nil"/>
              <w:right w:val="nil"/>
            </w:tcBorders>
            <w:shd w:val="clear" w:color="000000" w:fill="FFFFFF"/>
            <w:noWrap/>
            <w:vAlign w:val="center"/>
            <w:hideMark/>
          </w:tcPr>
          <w:p w:rsidR="00ED544B" w:rsidRPr="00812046" w:rsidP="007546F9" w14:paraId="2A1775A4" w14:textId="77777777">
            <w:pPr>
              <w:jc w:val="center"/>
              <w:rPr>
                <w:color w:val="000000"/>
                <w:sz w:val="16"/>
                <w:szCs w:val="16"/>
              </w:rPr>
            </w:pPr>
            <w:r w:rsidRPr="00812046">
              <w:rPr>
                <w:color w:val="000000"/>
                <w:sz w:val="16"/>
                <w:szCs w:val="16"/>
              </w:rPr>
              <w:t>Yes</w:t>
            </w:r>
          </w:p>
        </w:tc>
        <w:tc>
          <w:tcPr>
            <w:tcW w:w="0" w:type="auto"/>
            <w:tcBorders>
              <w:top w:val="nil"/>
              <w:left w:val="nil"/>
              <w:bottom w:val="nil"/>
              <w:right w:val="nil"/>
            </w:tcBorders>
            <w:shd w:val="clear" w:color="000000" w:fill="FFFFFF"/>
            <w:noWrap/>
            <w:vAlign w:val="center"/>
            <w:hideMark/>
          </w:tcPr>
          <w:p w:rsidR="00ED544B" w:rsidRPr="00812046" w:rsidP="007546F9" w14:paraId="6108EDBE" w14:textId="77777777">
            <w:pPr>
              <w:jc w:val="center"/>
              <w:rPr>
                <w:color w:val="000000"/>
                <w:sz w:val="16"/>
                <w:szCs w:val="16"/>
              </w:rPr>
            </w:pPr>
            <w:r w:rsidRPr="00812046">
              <w:rPr>
                <w:color w:val="000000"/>
                <w:sz w:val="16"/>
                <w:szCs w:val="16"/>
              </w:rPr>
              <w:t>No</w:t>
            </w:r>
          </w:p>
        </w:tc>
        <w:tc>
          <w:tcPr>
            <w:tcW w:w="0" w:type="auto"/>
            <w:tcBorders>
              <w:top w:val="nil"/>
              <w:left w:val="nil"/>
              <w:bottom w:val="nil"/>
              <w:right w:val="nil"/>
            </w:tcBorders>
            <w:shd w:val="clear" w:color="000000" w:fill="FFFFFF"/>
            <w:noWrap/>
            <w:vAlign w:val="center"/>
            <w:hideMark/>
          </w:tcPr>
          <w:p w:rsidR="00ED544B" w:rsidRPr="00812046" w:rsidP="007546F9" w14:paraId="2E9571B5" w14:textId="77777777">
            <w:pPr>
              <w:jc w:val="center"/>
              <w:rPr>
                <w:color w:val="000000"/>
                <w:sz w:val="16"/>
                <w:szCs w:val="16"/>
              </w:rPr>
            </w:pPr>
            <w:r w:rsidRPr="00812046">
              <w:rPr>
                <w:color w:val="000000"/>
                <w:sz w:val="16"/>
                <w:szCs w:val="16"/>
              </w:rPr>
              <w:t>No</w:t>
            </w:r>
          </w:p>
        </w:tc>
        <w:tc>
          <w:tcPr>
            <w:tcW w:w="0" w:type="auto"/>
            <w:tcBorders>
              <w:top w:val="nil"/>
              <w:left w:val="nil"/>
              <w:bottom w:val="nil"/>
              <w:right w:val="nil"/>
            </w:tcBorders>
            <w:shd w:val="clear" w:color="000000" w:fill="FFFFFF"/>
            <w:noWrap/>
            <w:vAlign w:val="center"/>
            <w:hideMark/>
          </w:tcPr>
          <w:p w:rsidR="00ED544B" w:rsidRPr="00812046" w:rsidP="007546F9" w14:paraId="363804DF" w14:textId="77777777">
            <w:pPr>
              <w:jc w:val="center"/>
              <w:rPr>
                <w:color w:val="000000"/>
                <w:sz w:val="16"/>
                <w:szCs w:val="16"/>
              </w:rPr>
            </w:pPr>
            <w:r w:rsidRPr="00812046">
              <w:rPr>
                <w:color w:val="000000"/>
                <w:sz w:val="16"/>
                <w:szCs w:val="16"/>
              </w:rPr>
              <w:t>No</w:t>
            </w:r>
          </w:p>
        </w:tc>
        <w:tc>
          <w:tcPr>
            <w:tcW w:w="0" w:type="auto"/>
            <w:tcBorders>
              <w:top w:val="nil"/>
              <w:left w:val="nil"/>
              <w:bottom w:val="nil"/>
              <w:right w:val="nil"/>
            </w:tcBorders>
            <w:shd w:val="clear" w:color="000000" w:fill="FFFFFF"/>
            <w:noWrap/>
            <w:vAlign w:val="center"/>
            <w:hideMark/>
          </w:tcPr>
          <w:p w:rsidR="00ED544B" w:rsidRPr="00812046" w:rsidP="007546F9" w14:paraId="1E1FA9DE" w14:textId="77777777">
            <w:pPr>
              <w:jc w:val="center"/>
              <w:rPr>
                <w:color w:val="000000"/>
                <w:sz w:val="16"/>
                <w:szCs w:val="16"/>
              </w:rPr>
            </w:pPr>
            <w:r w:rsidRPr="00812046">
              <w:rPr>
                <w:color w:val="000000"/>
                <w:sz w:val="16"/>
                <w:szCs w:val="16"/>
              </w:rPr>
              <w:t>No</w:t>
            </w:r>
          </w:p>
        </w:tc>
        <w:tc>
          <w:tcPr>
            <w:tcW w:w="0" w:type="auto"/>
            <w:tcBorders>
              <w:top w:val="nil"/>
              <w:left w:val="nil"/>
              <w:bottom w:val="nil"/>
              <w:right w:val="nil"/>
            </w:tcBorders>
            <w:shd w:val="clear" w:color="000000" w:fill="FFFFFF"/>
            <w:noWrap/>
            <w:vAlign w:val="center"/>
            <w:hideMark/>
          </w:tcPr>
          <w:p w:rsidR="00ED544B" w:rsidRPr="00812046" w:rsidP="007546F9" w14:paraId="3FC46EBC" w14:textId="77777777">
            <w:pPr>
              <w:jc w:val="center"/>
              <w:rPr>
                <w:color w:val="000000"/>
                <w:sz w:val="16"/>
                <w:szCs w:val="16"/>
              </w:rPr>
            </w:pPr>
            <w:r w:rsidRPr="00812046">
              <w:rPr>
                <w:color w:val="000000"/>
                <w:sz w:val="16"/>
                <w:szCs w:val="16"/>
              </w:rPr>
              <w:t>No</w:t>
            </w:r>
          </w:p>
        </w:tc>
        <w:tc>
          <w:tcPr>
            <w:tcW w:w="0" w:type="auto"/>
            <w:tcBorders>
              <w:top w:val="nil"/>
              <w:left w:val="nil"/>
              <w:bottom w:val="nil"/>
              <w:right w:val="nil"/>
            </w:tcBorders>
            <w:shd w:val="clear" w:color="000000" w:fill="FFFFFF"/>
            <w:noWrap/>
            <w:vAlign w:val="center"/>
            <w:hideMark/>
          </w:tcPr>
          <w:p w:rsidR="00ED544B" w:rsidRPr="00812046" w:rsidP="007546F9" w14:paraId="6DD8E7E7" w14:textId="77777777">
            <w:pPr>
              <w:jc w:val="center"/>
              <w:rPr>
                <w:color w:val="000000"/>
                <w:sz w:val="16"/>
                <w:szCs w:val="16"/>
              </w:rPr>
            </w:pPr>
            <w:r w:rsidRPr="00812046">
              <w:rPr>
                <w:color w:val="000000"/>
                <w:sz w:val="16"/>
                <w:szCs w:val="16"/>
              </w:rPr>
              <w:t>No</w:t>
            </w:r>
          </w:p>
        </w:tc>
        <w:tc>
          <w:tcPr>
            <w:tcW w:w="0" w:type="auto"/>
            <w:tcBorders>
              <w:top w:val="nil"/>
              <w:left w:val="nil"/>
              <w:bottom w:val="nil"/>
              <w:right w:val="nil"/>
            </w:tcBorders>
            <w:shd w:val="clear" w:color="000000" w:fill="FFFFFF"/>
            <w:noWrap/>
            <w:vAlign w:val="center"/>
            <w:hideMark/>
          </w:tcPr>
          <w:p w:rsidR="00ED544B" w:rsidRPr="00812046" w:rsidP="007546F9" w14:paraId="35457F4E" w14:textId="77777777">
            <w:pPr>
              <w:jc w:val="center"/>
              <w:rPr>
                <w:color w:val="000000"/>
                <w:sz w:val="16"/>
                <w:szCs w:val="16"/>
              </w:rPr>
            </w:pPr>
            <w:r w:rsidRPr="00812046">
              <w:rPr>
                <w:color w:val="000000"/>
                <w:sz w:val="16"/>
                <w:szCs w:val="16"/>
              </w:rPr>
              <w:t>No</w:t>
            </w:r>
          </w:p>
        </w:tc>
        <w:tc>
          <w:tcPr>
            <w:tcW w:w="957" w:type="dxa"/>
            <w:tcBorders>
              <w:top w:val="nil"/>
              <w:left w:val="nil"/>
              <w:bottom w:val="nil"/>
              <w:right w:val="nil"/>
            </w:tcBorders>
            <w:shd w:val="clear" w:color="000000" w:fill="FFFFFF"/>
            <w:noWrap/>
            <w:vAlign w:val="center"/>
            <w:hideMark/>
          </w:tcPr>
          <w:p w:rsidR="00ED544B" w:rsidRPr="00812046" w:rsidP="007546F9" w14:paraId="4631ACE0" w14:textId="77777777">
            <w:pPr>
              <w:jc w:val="center"/>
              <w:rPr>
                <w:color w:val="000000"/>
                <w:sz w:val="16"/>
                <w:szCs w:val="16"/>
              </w:rPr>
            </w:pPr>
            <w:r w:rsidRPr="00812046">
              <w:rPr>
                <w:color w:val="000000"/>
                <w:sz w:val="16"/>
                <w:szCs w:val="16"/>
              </w:rPr>
              <w:t>Yes</w:t>
            </w:r>
          </w:p>
        </w:tc>
      </w:tr>
      <w:tr w14:paraId="05D067D7"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7C2916A4" w14:textId="77777777">
            <w:pPr>
              <w:rPr>
                <w:color w:val="000000"/>
                <w:sz w:val="16"/>
                <w:szCs w:val="16"/>
              </w:rPr>
            </w:pPr>
            <w:r w:rsidRPr="00812046">
              <w:rPr>
                <w:color w:val="000000"/>
                <w:sz w:val="16"/>
                <w:szCs w:val="16"/>
              </w:rPr>
              <w:t>Coverage Threshold</w:t>
            </w:r>
          </w:p>
        </w:tc>
        <w:tc>
          <w:tcPr>
            <w:tcW w:w="0" w:type="auto"/>
            <w:tcBorders>
              <w:top w:val="nil"/>
              <w:left w:val="nil"/>
              <w:bottom w:val="nil"/>
              <w:right w:val="nil"/>
            </w:tcBorders>
            <w:shd w:val="clear" w:color="000000" w:fill="FFFFFF"/>
            <w:noWrap/>
            <w:vAlign w:val="center"/>
            <w:hideMark/>
          </w:tcPr>
          <w:p w:rsidR="00ED544B" w:rsidRPr="00812046" w:rsidP="007546F9" w14:paraId="4F5684BE" w14:textId="77777777">
            <w:pPr>
              <w:jc w:val="center"/>
              <w:rPr>
                <w:color w:val="000000"/>
                <w:sz w:val="16"/>
                <w:szCs w:val="16"/>
              </w:rPr>
            </w:pPr>
            <w:r w:rsidRPr="00812046">
              <w:rPr>
                <w:color w:val="000000"/>
                <w:sz w:val="16"/>
                <w:szCs w:val="16"/>
              </w:rPr>
              <w:t>75%</w:t>
            </w:r>
          </w:p>
        </w:tc>
        <w:tc>
          <w:tcPr>
            <w:tcW w:w="0" w:type="auto"/>
            <w:tcBorders>
              <w:top w:val="nil"/>
              <w:left w:val="nil"/>
              <w:bottom w:val="nil"/>
              <w:right w:val="nil"/>
            </w:tcBorders>
            <w:shd w:val="clear" w:color="000000" w:fill="FFFFFF"/>
            <w:noWrap/>
            <w:vAlign w:val="center"/>
            <w:hideMark/>
          </w:tcPr>
          <w:p w:rsidR="00ED544B" w:rsidRPr="00812046" w:rsidP="007546F9" w14:paraId="452F4DE8" w14:textId="77777777">
            <w:pPr>
              <w:jc w:val="center"/>
              <w:rPr>
                <w:color w:val="000000"/>
                <w:sz w:val="16"/>
                <w:szCs w:val="16"/>
              </w:rPr>
            </w:pPr>
            <w:r w:rsidRPr="00812046">
              <w:rPr>
                <w:color w:val="000000"/>
                <w:sz w:val="16"/>
                <w:szCs w:val="16"/>
              </w:rPr>
              <w:t>75%</w:t>
            </w:r>
          </w:p>
        </w:tc>
        <w:tc>
          <w:tcPr>
            <w:tcW w:w="0" w:type="auto"/>
            <w:tcBorders>
              <w:top w:val="nil"/>
              <w:left w:val="nil"/>
              <w:bottom w:val="nil"/>
              <w:right w:val="nil"/>
            </w:tcBorders>
            <w:shd w:val="clear" w:color="000000" w:fill="FFFFFF"/>
            <w:noWrap/>
            <w:vAlign w:val="center"/>
            <w:hideMark/>
          </w:tcPr>
          <w:p w:rsidR="00ED544B" w:rsidRPr="00812046" w:rsidP="007546F9" w14:paraId="42CC91CD" w14:textId="77777777">
            <w:pPr>
              <w:jc w:val="center"/>
              <w:rPr>
                <w:color w:val="000000"/>
                <w:sz w:val="16"/>
                <w:szCs w:val="16"/>
              </w:rPr>
            </w:pPr>
            <w:r w:rsidRPr="00812046">
              <w:rPr>
                <w:color w:val="000000"/>
                <w:sz w:val="16"/>
                <w:szCs w:val="16"/>
              </w:rPr>
              <w:t>75%</w:t>
            </w:r>
          </w:p>
        </w:tc>
        <w:tc>
          <w:tcPr>
            <w:tcW w:w="0" w:type="auto"/>
            <w:tcBorders>
              <w:top w:val="nil"/>
              <w:left w:val="nil"/>
              <w:bottom w:val="nil"/>
              <w:right w:val="nil"/>
            </w:tcBorders>
            <w:shd w:val="clear" w:color="000000" w:fill="FFFFFF"/>
            <w:noWrap/>
            <w:vAlign w:val="center"/>
            <w:hideMark/>
          </w:tcPr>
          <w:p w:rsidR="00ED544B" w:rsidRPr="00812046" w:rsidP="007546F9" w14:paraId="3D023B1E" w14:textId="77777777">
            <w:pPr>
              <w:jc w:val="center"/>
              <w:rPr>
                <w:color w:val="000000"/>
                <w:sz w:val="16"/>
                <w:szCs w:val="16"/>
              </w:rPr>
            </w:pPr>
            <w:r w:rsidRPr="00812046">
              <w:rPr>
                <w:color w:val="000000"/>
                <w:sz w:val="16"/>
                <w:szCs w:val="16"/>
              </w:rPr>
              <w:t>75%</w:t>
            </w:r>
          </w:p>
        </w:tc>
        <w:tc>
          <w:tcPr>
            <w:tcW w:w="0" w:type="auto"/>
            <w:tcBorders>
              <w:top w:val="nil"/>
              <w:left w:val="nil"/>
              <w:bottom w:val="nil"/>
              <w:right w:val="nil"/>
            </w:tcBorders>
            <w:shd w:val="clear" w:color="000000" w:fill="FFFFFF"/>
            <w:noWrap/>
            <w:vAlign w:val="center"/>
            <w:hideMark/>
          </w:tcPr>
          <w:p w:rsidR="00ED544B" w:rsidRPr="00812046" w:rsidP="007546F9" w14:paraId="19A2B8FB" w14:textId="77777777">
            <w:pPr>
              <w:jc w:val="center"/>
              <w:rPr>
                <w:color w:val="000000"/>
                <w:sz w:val="16"/>
                <w:szCs w:val="16"/>
              </w:rPr>
            </w:pPr>
            <w:r w:rsidRPr="00812046">
              <w:rPr>
                <w:color w:val="000000"/>
                <w:sz w:val="16"/>
                <w:szCs w:val="16"/>
              </w:rPr>
              <w:t>75%</w:t>
            </w:r>
          </w:p>
        </w:tc>
        <w:tc>
          <w:tcPr>
            <w:tcW w:w="0" w:type="auto"/>
            <w:tcBorders>
              <w:top w:val="nil"/>
              <w:left w:val="nil"/>
              <w:bottom w:val="nil"/>
              <w:right w:val="nil"/>
            </w:tcBorders>
            <w:shd w:val="clear" w:color="000000" w:fill="FFFFFF"/>
            <w:noWrap/>
            <w:vAlign w:val="center"/>
            <w:hideMark/>
          </w:tcPr>
          <w:p w:rsidR="00ED544B" w:rsidRPr="00812046" w:rsidP="007546F9" w14:paraId="129F28D0" w14:textId="77777777">
            <w:pPr>
              <w:jc w:val="center"/>
              <w:rPr>
                <w:color w:val="000000"/>
                <w:sz w:val="16"/>
                <w:szCs w:val="16"/>
              </w:rPr>
            </w:pPr>
            <w:r w:rsidRPr="00812046">
              <w:rPr>
                <w:color w:val="000000"/>
                <w:sz w:val="16"/>
                <w:szCs w:val="16"/>
              </w:rPr>
              <w:t>75%</w:t>
            </w:r>
          </w:p>
        </w:tc>
        <w:tc>
          <w:tcPr>
            <w:tcW w:w="0" w:type="auto"/>
            <w:tcBorders>
              <w:top w:val="nil"/>
              <w:left w:val="nil"/>
              <w:bottom w:val="nil"/>
              <w:right w:val="nil"/>
            </w:tcBorders>
            <w:shd w:val="clear" w:color="000000" w:fill="FFFFFF"/>
            <w:noWrap/>
            <w:vAlign w:val="center"/>
            <w:hideMark/>
          </w:tcPr>
          <w:p w:rsidR="00ED544B" w:rsidRPr="00812046" w:rsidP="007546F9" w14:paraId="7EED6CCE" w14:textId="77777777">
            <w:pPr>
              <w:jc w:val="center"/>
              <w:rPr>
                <w:color w:val="000000"/>
                <w:sz w:val="16"/>
                <w:szCs w:val="16"/>
              </w:rPr>
            </w:pPr>
            <w:r w:rsidRPr="00812046">
              <w:rPr>
                <w:color w:val="000000"/>
                <w:sz w:val="16"/>
                <w:szCs w:val="16"/>
              </w:rPr>
              <w:t>75%</w:t>
            </w:r>
          </w:p>
        </w:tc>
        <w:tc>
          <w:tcPr>
            <w:tcW w:w="0" w:type="auto"/>
            <w:tcBorders>
              <w:top w:val="nil"/>
              <w:left w:val="nil"/>
              <w:bottom w:val="nil"/>
              <w:right w:val="nil"/>
            </w:tcBorders>
            <w:shd w:val="clear" w:color="000000" w:fill="FFFFFF"/>
            <w:noWrap/>
            <w:vAlign w:val="center"/>
            <w:hideMark/>
          </w:tcPr>
          <w:p w:rsidR="00ED544B" w:rsidRPr="00812046" w:rsidP="007546F9" w14:paraId="75741258" w14:textId="77777777">
            <w:pPr>
              <w:jc w:val="center"/>
              <w:rPr>
                <w:color w:val="000000"/>
                <w:sz w:val="16"/>
                <w:szCs w:val="16"/>
              </w:rPr>
            </w:pPr>
            <w:r w:rsidRPr="00812046">
              <w:rPr>
                <w:color w:val="000000"/>
                <w:sz w:val="16"/>
                <w:szCs w:val="16"/>
              </w:rPr>
              <w:t>75%</w:t>
            </w:r>
          </w:p>
        </w:tc>
        <w:tc>
          <w:tcPr>
            <w:tcW w:w="0" w:type="auto"/>
            <w:tcBorders>
              <w:top w:val="nil"/>
              <w:left w:val="nil"/>
              <w:bottom w:val="nil"/>
              <w:right w:val="nil"/>
            </w:tcBorders>
            <w:shd w:val="clear" w:color="000000" w:fill="FFFFFF"/>
            <w:noWrap/>
            <w:vAlign w:val="center"/>
            <w:hideMark/>
          </w:tcPr>
          <w:p w:rsidR="00ED544B" w:rsidRPr="00812046" w:rsidP="007546F9" w14:paraId="00F0AF63" w14:textId="77777777">
            <w:pPr>
              <w:jc w:val="center"/>
              <w:rPr>
                <w:color w:val="000000"/>
                <w:sz w:val="16"/>
                <w:szCs w:val="16"/>
              </w:rPr>
            </w:pPr>
            <w:r w:rsidRPr="00812046">
              <w:rPr>
                <w:color w:val="000000"/>
                <w:sz w:val="16"/>
                <w:szCs w:val="16"/>
              </w:rPr>
              <w:t>50%</w:t>
            </w:r>
          </w:p>
        </w:tc>
        <w:tc>
          <w:tcPr>
            <w:tcW w:w="0" w:type="auto"/>
            <w:tcBorders>
              <w:top w:val="nil"/>
              <w:left w:val="nil"/>
              <w:bottom w:val="nil"/>
              <w:right w:val="nil"/>
            </w:tcBorders>
            <w:shd w:val="clear" w:color="000000" w:fill="FFFFFF"/>
            <w:noWrap/>
            <w:vAlign w:val="center"/>
            <w:hideMark/>
          </w:tcPr>
          <w:p w:rsidR="00ED544B" w:rsidRPr="00812046" w:rsidP="007546F9" w14:paraId="2C850E5B" w14:textId="77777777">
            <w:pPr>
              <w:jc w:val="center"/>
              <w:rPr>
                <w:color w:val="000000"/>
                <w:sz w:val="16"/>
                <w:szCs w:val="16"/>
              </w:rPr>
            </w:pPr>
            <w:r w:rsidRPr="00812046">
              <w:rPr>
                <w:color w:val="000000"/>
                <w:sz w:val="16"/>
                <w:szCs w:val="16"/>
              </w:rPr>
              <w:t>90%</w:t>
            </w:r>
          </w:p>
        </w:tc>
        <w:tc>
          <w:tcPr>
            <w:tcW w:w="0" w:type="auto"/>
            <w:tcBorders>
              <w:top w:val="nil"/>
              <w:left w:val="nil"/>
              <w:bottom w:val="nil"/>
              <w:right w:val="nil"/>
            </w:tcBorders>
            <w:shd w:val="clear" w:color="000000" w:fill="FFFFFF"/>
            <w:noWrap/>
            <w:vAlign w:val="center"/>
            <w:hideMark/>
          </w:tcPr>
          <w:p w:rsidR="00ED544B" w:rsidRPr="00812046" w:rsidP="007546F9" w14:paraId="0784850A" w14:textId="77777777">
            <w:pPr>
              <w:jc w:val="center"/>
              <w:rPr>
                <w:color w:val="000000"/>
                <w:sz w:val="16"/>
                <w:szCs w:val="16"/>
              </w:rPr>
            </w:pPr>
            <w:r w:rsidRPr="00812046">
              <w:rPr>
                <w:color w:val="000000"/>
                <w:sz w:val="16"/>
                <w:szCs w:val="16"/>
              </w:rPr>
              <w:t>75%</w:t>
            </w:r>
          </w:p>
        </w:tc>
        <w:tc>
          <w:tcPr>
            <w:tcW w:w="957" w:type="dxa"/>
            <w:tcBorders>
              <w:top w:val="nil"/>
              <w:left w:val="nil"/>
              <w:bottom w:val="nil"/>
              <w:right w:val="nil"/>
            </w:tcBorders>
            <w:shd w:val="clear" w:color="000000" w:fill="FFFFFF"/>
            <w:noWrap/>
            <w:vAlign w:val="center"/>
            <w:hideMark/>
          </w:tcPr>
          <w:p w:rsidR="00ED544B" w:rsidRPr="00812046" w:rsidP="007546F9" w14:paraId="01F096A8" w14:textId="77777777">
            <w:pPr>
              <w:jc w:val="center"/>
              <w:rPr>
                <w:color w:val="000000"/>
                <w:sz w:val="16"/>
                <w:szCs w:val="16"/>
              </w:rPr>
            </w:pPr>
            <w:r w:rsidRPr="00812046">
              <w:rPr>
                <w:color w:val="000000"/>
                <w:sz w:val="16"/>
                <w:szCs w:val="16"/>
              </w:rPr>
              <w:t>75%</w:t>
            </w:r>
          </w:p>
        </w:tc>
      </w:tr>
      <w:tr w14:paraId="6E372FA5"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single" w:sz="8" w:space="0" w:color="auto"/>
              <w:right w:val="nil"/>
            </w:tcBorders>
            <w:shd w:val="clear" w:color="000000" w:fill="FFFFFF"/>
            <w:noWrap/>
            <w:vAlign w:val="center"/>
            <w:hideMark/>
          </w:tcPr>
          <w:p w:rsidR="00ED544B" w:rsidRPr="00812046" w:rsidP="007546F9" w14:paraId="272C52CD" w14:textId="77777777">
            <w:pPr>
              <w:rPr>
                <w:color w:val="000000"/>
                <w:sz w:val="16"/>
                <w:szCs w:val="16"/>
              </w:rPr>
            </w:pPr>
            <w:r w:rsidRPr="00812046">
              <w:rPr>
                <w:color w:val="000000"/>
                <w:sz w:val="16"/>
                <w:szCs w:val="16"/>
              </w:rPr>
              <w:t>Observations</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6A715153" w14:textId="77777777">
            <w:pPr>
              <w:jc w:val="center"/>
              <w:rPr>
                <w:color w:val="000000"/>
                <w:sz w:val="16"/>
                <w:szCs w:val="16"/>
              </w:rPr>
            </w:pPr>
            <w:r w:rsidRPr="00812046">
              <w:rPr>
                <w:color w:val="000000"/>
                <w:sz w:val="16"/>
                <w:szCs w:val="16"/>
              </w:rPr>
              <w:t>28,519</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1849C1B5" w14:textId="77777777">
            <w:pPr>
              <w:jc w:val="center"/>
              <w:rPr>
                <w:color w:val="000000"/>
                <w:sz w:val="16"/>
                <w:szCs w:val="16"/>
              </w:rPr>
            </w:pPr>
            <w:r w:rsidRPr="00812046">
              <w:rPr>
                <w:color w:val="000000"/>
                <w:sz w:val="16"/>
                <w:szCs w:val="16"/>
              </w:rPr>
              <w:t>28,519</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60990D73" w14:textId="77777777">
            <w:pPr>
              <w:jc w:val="center"/>
              <w:rPr>
                <w:color w:val="000000"/>
                <w:sz w:val="16"/>
                <w:szCs w:val="16"/>
              </w:rPr>
            </w:pPr>
            <w:r w:rsidRPr="00812046">
              <w:rPr>
                <w:color w:val="000000"/>
                <w:sz w:val="16"/>
                <w:szCs w:val="16"/>
              </w:rPr>
              <w:t>28,519</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6AA5E6AB" w14:textId="77777777">
            <w:pPr>
              <w:jc w:val="center"/>
              <w:rPr>
                <w:color w:val="000000"/>
                <w:sz w:val="16"/>
                <w:szCs w:val="16"/>
              </w:rPr>
            </w:pPr>
            <w:r w:rsidRPr="00812046">
              <w:rPr>
                <w:color w:val="000000"/>
                <w:sz w:val="16"/>
                <w:szCs w:val="16"/>
              </w:rPr>
              <w:t>28,519</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798F0B8E" w14:textId="77777777">
            <w:pPr>
              <w:jc w:val="center"/>
              <w:rPr>
                <w:color w:val="000000"/>
                <w:sz w:val="16"/>
                <w:szCs w:val="16"/>
              </w:rPr>
            </w:pPr>
            <w:r w:rsidRPr="00812046">
              <w:rPr>
                <w:color w:val="000000"/>
                <w:sz w:val="16"/>
                <w:szCs w:val="16"/>
              </w:rPr>
              <w:t>28,519</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7FBB33D4" w14:textId="77777777">
            <w:pPr>
              <w:jc w:val="center"/>
              <w:rPr>
                <w:color w:val="000000"/>
                <w:sz w:val="16"/>
                <w:szCs w:val="16"/>
              </w:rPr>
            </w:pPr>
            <w:r w:rsidRPr="00812046">
              <w:rPr>
                <w:color w:val="000000"/>
                <w:sz w:val="16"/>
                <w:szCs w:val="16"/>
              </w:rPr>
              <w:t>53,041</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4BC045EC" w14:textId="77777777">
            <w:pPr>
              <w:jc w:val="center"/>
              <w:rPr>
                <w:color w:val="000000"/>
                <w:sz w:val="16"/>
                <w:szCs w:val="16"/>
              </w:rPr>
            </w:pPr>
            <w:r w:rsidRPr="00812046">
              <w:rPr>
                <w:color w:val="000000"/>
                <w:sz w:val="16"/>
                <w:szCs w:val="16"/>
              </w:rPr>
              <w:t>8,397</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2A475CF5" w14:textId="77777777">
            <w:pPr>
              <w:jc w:val="center"/>
              <w:rPr>
                <w:color w:val="000000"/>
                <w:sz w:val="16"/>
                <w:szCs w:val="16"/>
              </w:rPr>
            </w:pPr>
            <w:r w:rsidRPr="00812046">
              <w:rPr>
                <w:color w:val="000000"/>
                <w:sz w:val="16"/>
                <w:szCs w:val="16"/>
              </w:rPr>
              <w:t>8,397</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0EC5DDE7" w14:textId="77777777">
            <w:pPr>
              <w:jc w:val="center"/>
              <w:rPr>
                <w:color w:val="000000"/>
                <w:sz w:val="16"/>
                <w:szCs w:val="16"/>
              </w:rPr>
            </w:pPr>
            <w:r w:rsidRPr="00812046">
              <w:rPr>
                <w:color w:val="000000"/>
                <w:sz w:val="16"/>
                <w:szCs w:val="16"/>
              </w:rPr>
              <w:t>28,519</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57DE918D" w14:textId="77777777">
            <w:pPr>
              <w:jc w:val="center"/>
              <w:rPr>
                <w:color w:val="000000"/>
                <w:sz w:val="16"/>
                <w:szCs w:val="16"/>
              </w:rPr>
            </w:pPr>
            <w:r w:rsidRPr="00812046">
              <w:rPr>
                <w:color w:val="000000"/>
                <w:sz w:val="16"/>
                <w:szCs w:val="16"/>
              </w:rPr>
              <w:t>28,519</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1082B5A0" w14:textId="77777777">
            <w:pPr>
              <w:jc w:val="center"/>
              <w:rPr>
                <w:color w:val="000000"/>
                <w:sz w:val="16"/>
                <w:szCs w:val="16"/>
              </w:rPr>
            </w:pPr>
            <w:r w:rsidRPr="00812046">
              <w:rPr>
                <w:color w:val="000000"/>
                <w:sz w:val="16"/>
                <w:szCs w:val="16"/>
              </w:rPr>
              <w:t>28,519</w:t>
            </w:r>
          </w:p>
        </w:tc>
        <w:tc>
          <w:tcPr>
            <w:tcW w:w="957" w:type="dxa"/>
            <w:tcBorders>
              <w:top w:val="nil"/>
              <w:left w:val="nil"/>
              <w:bottom w:val="single" w:sz="8" w:space="0" w:color="auto"/>
              <w:right w:val="nil"/>
            </w:tcBorders>
            <w:shd w:val="clear" w:color="000000" w:fill="FFFFFF"/>
            <w:noWrap/>
            <w:vAlign w:val="center"/>
            <w:hideMark/>
          </w:tcPr>
          <w:p w:rsidR="00ED544B" w:rsidRPr="00812046" w:rsidP="007546F9" w14:paraId="017E8815" w14:textId="77777777">
            <w:pPr>
              <w:jc w:val="center"/>
              <w:rPr>
                <w:color w:val="000000"/>
                <w:sz w:val="16"/>
                <w:szCs w:val="16"/>
              </w:rPr>
            </w:pPr>
            <w:r w:rsidRPr="00812046">
              <w:rPr>
                <w:color w:val="000000"/>
                <w:sz w:val="16"/>
                <w:szCs w:val="16"/>
              </w:rPr>
              <w:t>28,519</w:t>
            </w:r>
          </w:p>
        </w:tc>
      </w:tr>
      <w:tr w14:paraId="274FD3BE"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5D69CE2A" w14:textId="77777777">
            <w:pPr>
              <w:rPr>
                <w:color w:val="000000"/>
                <w:sz w:val="16"/>
                <w:szCs w:val="16"/>
              </w:rPr>
            </w:pPr>
            <w:r w:rsidRPr="00812046">
              <w:rPr>
                <w:color w:val="000000"/>
                <w:sz w:val="16"/>
                <w:szCs w:val="16"/>
              </w:rPr>
              <w:t>Threshold 1</w:t>
            </w:r>
          </w:p>
        </w:tc>
        <w:tc>
          <w:tcPr>
            <w:tcW w:w="0" w:type="auto"/>
            <w:tcBorders>
              <w:top w:val="nil"/>
              <w:left w:val="nil"/>
              <w:bottom w:val="nil"/>
              <w:right w:val="nil"/>
            </w:tcBorders>
            <w:shd w:val="clear" w:color="000000" w:fill="FFFFFF"/>
            <w:noWrap/>
            <w:vAlign w:val="center"/>
            <w:hideMark/>
          </w:tcPr>
          <w:p w:rsidR="00ED544B" w:rsidRPr="00812046" w:rsidP="007546F9" w14:paraId="3F171639" w14:textId="77777777">
            <w:pPr>
              <w:jc w:val="center"/>
              <w:rPr>
                <w:color w:val="000000"/>
                <w:sz w:val="16"/>
                <w:szCs w:val="16"/>
              </w:rPr>
            </w:pPr>
            <w:r w:rsidRPr="00812046">
              <w:rPr>
                <w:color w:val="000000"/>
                <w:sz w:val="16"/>
                <w:szCs w:val="16"/>
              </w:rPr>
              <w:t>-1.33**</w:t>
            </w:r>
          </w:p>
        </w:tc>
        <w:tc>
          <w:tcPr>
            <w:tcW w:w="0" w:type="auto"/>
            <w:tcBorders>
              <w:top w:val="nil"/>
              <w:left w:val="nil"/>
              <w:bottom w:val="nil"/>
              <w:right w:val="nil"/>
            </w:tcBorders>
            <w:shd w:val="clear" w:color="000000" w:fill="FFFFFF"/>
            <w:noWrap/>
            <w:vAlign w:val="center"/>
            <w:hideMark/>
          </w:tcPr>
          <w:p w:rsidR="00ED544B" w:rsidRPr="00812046" w:rsidP="007546F9" w14:paraId="73BC50EF" w14:textId="77777777">
            <w:pPr>
              <w:jc w:val="center"/>
              <w:rPr>
                <w:color w:val="000000"/>
                <w:sz w:val="16"/>
                <w:szCs w:val="16"/>
              </w:rPr>
            </w:pPr>
            <w:r w:rsidRPr="00812046">
              <w:rPr>
                <w:color w:val="000000"/>
                <w:sz w:val="16"/>
                <w:szCs w:val="16"/>
              </w:rPr>
              <w:t>-0.54</w:t>
            </w:r>
          </w:p>
        </w:tc>
        <w:tc>
          <w:tcPr>
            <w:tcW w:w="0" w:type="auto"/>
            <w:tcBorders>
              <w:top w:val="nil"/>
              <w:left w:val="nil"/>
              <w:bottom w:val="nil"/>
              <w:right w:val="nil"/>
            </w:tcBorders>
            <w:shd w:val="clear" w:color="000000" w:fill="FFFFFF"/>
            <w:noWrap/>
            <w:vAlign w:val="center"/>
            <w:hideMark/>
          </w:tcPr>
          <w:p w:rsidR="00ED544B" w:rsidRPr="00812046" w:rsidP="007546F9" w14:paraId="1A79E4ED" w14:textId="77777777">
            <w:pPr>
              <w:jc w:val="center"/>
              <w:rPr>
                <w:color w:val="000000"/>
                <w:sz w:val="16"/>
                <w:szCs w:val="16"/>
              </w:rPr>
            </w:pPr>
            <w:r w:rsidRPr="00812046">
              <w:rPr>
                <w:color w:val="000000"/>
                <w:sz w:val="16"/>
                <w:szCs w:val="16"/>
              </w:rPr>
              <w:t>-0.75</w:t>
            </w:r>
          </w:p>
        </w:tc>
        <w:tc>
          <w:tcPr>
            <w:tcW w:w="0" w:type="auto"/>
            <w:tcBorders>
              <w:top w:val="nil"/>
              <w:left w:val="nil"/>
              <w:bottom w:val="nil"/>
              <w:right w:val="nil"/>
            </w:tcBorders>
            <w:shd w:val="clear" w:color="000000" w:fill="FFFFFF"/>
            <w:noWrap/>
            <w:vAlign w:val="center"/>
            <w:hideMark/>
          </w:tcPr>
          <w:p w:rsidR="00ED544B" w:rsidRPr="00812046" w:rsidP="007546F9" w14:paraId="51501490" w14:textId="77777777">
            <w:pPr>
              <w:jc w:val="center"/>
              <w:rPr>
                <w:color w:val="000000"/>
                <w:sz w:val="16"/>
                <w:szCs w:val="16"/>
              </w:rPr>
            </w:pPr>
            <w:r w:rsidRPr="00812046">
              <w:rPr>
                <w:color w:val="000000"/>
                <w:sz w:val="16"/>
                <w:szCs w:val="16"/>
              </w:rPr>
              <w:t>0.14</w:t>
            </w:r>
          </w:p>
        </w:tc>
        <w:tc>
          <w:tcPr>
            <w:tcW w:w="0" w:type="auto"/>
            <w:tcBorders>
              <w:top w:val="nil"/>
              <w:left w:val="nil"/>
              <w:bottom w:val="nil"/>
              <w:right w:val="nil"/>
            </w:tcBorders>
            <w:shd w:val="clear" w:color="000000" w:fill="FFFFFF"/>
            <w:noWrap/>
            <w:vAlign w:val="center"/>
            <w:hideMark/>
          </w:tcPr>
          <w:p w:rsidR="00ED544B" w:rsidRPr="00812046" w:rsidP="007546F9" w14:paraId="0831C88F" w14:textId="77777777">
            <w:pPr>
              <w:jc w:val="center"/>
              <w:rPr>
                <w:color w:val="000000"/>
                <w:sz w:val="16"/>
                <w:szCs w:val="16"/>
              </w:rPr>
            </w:pPr>
            <w:r w:rsidRPr="00812046">
              <w:rPr>
                <w:color w:val="000000"/>
                <w:sz w:val="16"/>
                <w:szCs w:val="16"/>
              </w:rPr>
              <w:t>-2.43***</w:t>
            </w:r>
          </w:p>
        </w:tc>
        <w:tc>
          <w:tcPr>
            <w:tcW w:w="0" w:type="auto"/>
            <w:tcBorders>
              <w:top w:val="nil"/>
              <w:left w:val="nil"/>
              <w:bottom w:val="nil"/>
              <w:right w:val="nil"/>
            </w:tcBorders>
            <w:shd w:val="clear" w:color="000000" w:fill="FFFFFF"/>
            <w:noWrap/>
            <w:vAlign w:val="center"/>
            <w:hideMark/>
          </w:tcPr>
          <w:p w:rsidR="00ED544B" w:rsidRPr="00812046" w:rsidP="007546F9" w14:paraId="78E7CD2B" w14:textId="77777777">
            <w:pPr>
              <w:jc w:val="center"/>
              <w:rPr>
                <w:color w:val="000000"/>
                <w:sz w:val="16"/>
                <w:szCs w:val="16"/>
              </w:rPr>
            </w:pPr>
            <w:r w:rsidRPr="00812046">
              <w:rPr>
                <w:color w:val="000000"/>
                <w:sz w:val="16"/>
                <w:szCs w:val="16"/>
              </w:rPr>
              <w:t>-0.75</w:t>
            </w:r>
          </w:p>
        </w:tc>
        <w:tc>
          <w:tcPr>
            <w:tcW w:w="0" w:type="auto"/>
            <w:tcBorders>
              <w:top w:val="nil"/>
              <w:left w:val="nil"/>
              <w:bottom w:val="nil"/>
              <w:right w:val="nil"/>
            </w:tcBorders>
            <w:shd w:val="clear" w:color="000000" w:fill="FFFFFF"/>
            <w:noWrap/>
            <w:vAlign w:val="center"/>
            <w:hideMark/>
          </w:tcPr>
          <w:p w:rsidR="00ED544B" w:rsidRPr="00812046" w:rsidP="007546F9" w14:paraId="6FB6E5CD" w14:textId="77777777">
            <w:pPr>
              <w:jc w:val="center"/>
              <w:rPr>
                <w:color w:val="000000"/>
                <w:sz w:val="16"/>
                <w:szCs w:val="16"/>
              </w:rPr>
            </w:pPr>
            <w:r w:rsidRPr="00812046">
              <w:rPr>
                <w:color w:val="000000"/>
                <w:sz w:val="16"/>
                <w:szCs w:val="16"/>
              </w:rPr>
              <w:t>-1.99***</w:t>
            </w:r>
          </w:p>
        </w:tc>
        <w:tc>
          <w:tcPr>
            <w:tcW w:w="0" w:type="auto"/>
            <w:tcBorders>
              <w:top w:val="nil"/>
              <w:left w:val="nil"/>
              <w:bottom w:val="nil"/>
              <w:right w:val="nil"/>
            </w:tcBorders>
            <w:shd w:val="clear" w:color="000000" w:fill="FFFFFF"/>
            <w:noWrap/>
            <w:vAlign w:val="center"/>
            <w:hideMark/>
          </w:tcPr>
          <w:p w:rsidR="00ED544B" w:rsidRPr="00812046" w:rsidP="007546F9" w14:paraId="569ADAFD" w14:textId="77777777">
            <w:pPr>
              <w:jc w:val="center"/>
              <w:rPr>
                <w:color w:val="000000"/>
                <w:sz w:val="16"/>
                <w:szCs w:val="16"/>
              </w:rPr>
            </w:pPr>
            <w:r w:rsidRPr="00812046">
              <w:rPr>
                <w:color w:val="000000"/>
                <w:sz w:val="16"/>
                <w:szCs w:val="16"/>
              </w:rPr>
              <w:t>-2.79***</w:t>
            </w:r>
          </w:p>
        </w:tc>
        <w:tc>
          <w:tcPr>
            <w:tcW w:w="0" w:type="auto"/>
            <w:tcBorders>
              <w:top w:val="nil"/>
              <w:left w:val="nil"/>
              <w:bottom w:val="nil"/>
              <w:right w:val="nil"/>
            </w:tcBorders>
            <w:shd w:val="clear" w:color="000000" w:fill="FFFFFF"/>
            <w:noWrap/>
            <w:vAlign w:val="center"/>
            <w:hideMark/>
          </w:tcPr>
          <w:p w:rsidR="00ED544B" w:rsidRPr="00812046" w:rsidP="007546F9" w14:paraId="0DCFFCF2" w14:textId="77777777">
            <w:pPr>
              <w:jc w:val="center"/>
              <w:rPr>
                <w:color w:val="000000"/>
                <w:sz w:val="16"/>
                <w:szCs w:val="16"/>
              </w:rPr>
            </w:pPr>
            <w:r w:rsidRPr="00812046">
              <w:rPr>
                <w:color w:val="000000"/>
                <w:sz w:val="16"/>
                <w:szCs w:val="16"/>
              </w:rPr>
              <w:t>-2.20***</w:t>
            </w:r>
          </w:p>
        </w:tc>
        <w:tc>
          <w:tcPr>
            <w:tcW w:w="0" w:type="auto"/>
            <w:tcBorders>
              <w:top w:val="nil"/>
              <w:left w:val="nil"/>
              <w:bottom w:val="nil"/>
              <w:right w:val="nil"/>
            </w:tcBorders>
            <w:shd w:val="clear" w:color="000000" w:fill="FFFFFF"/>
            <w:noWrap/>
            <w:vAlign w:val="center"/>
            <w:hideMark/>
          </w:tcPr>
          <w:p w:rsidR="00ED544B" w:rsidRPr="00812046" w:rsidP="007546F9" w14:paraId="7F278C01" w14:textId="77777777">
            <w:pPr>
              <w:jc w:val="center"/>
              <w:rPr>
                <w:color w:val="000000"/>
                <w:sz w:val="16"/>
                <w:szCs w:val="16"/>
              </w:rPr>
            </w:pPr>
            <w:r w:rsidRPr="00812046">
              <w:rPr>
                <w:color w:val="000000"/>
                <w:sz w:val="16"/>
                <w:szCs w:val="16"/>
              </w:rPr>
              <w:t>-0.53</w:t>
            </w:r>
          </w:p>
        </w:tc>
        <w:tc>
          <w:tcPr>
            <w:tcW w:w="0" w:type="auto"/>
            <w:tcBorders>
              <w:top w:val="nil"/>
              <w:left w:val="nil"/>
              <w:bottom w:val="nil"/>
              <w:right w:val="nil"/>
            </w:tcBorders>
            <w:shd w:val="clear" w:color="000000" w:fill="FFFFFF"/>
            <w:noWrap/>
            <w:vAlign w:val="center"/>
            <w:hideMark/>
          </w:tcPr>
          <w:p w:rsidR="00ED544B" w:rsidRPr="00812046" w:rsidP="007546F9" w14:paraId="2B32F621" w14:textId="77777777">
            <w:pPr>
              <w:jc w:val="center"/>
              <w:rPr>
                <w:color w:val="000000"/>
                <w:sz w:val="16"/>
                <w:szCs w:val="16"/>
              </w:rPr>
            </w:pPr>
            <w:r w:rsidRPr="00812046">
              <w:rPr>
                <w:color w:val="000000"/>
                <w:sz w:val="16"/>
                <w:szCs w:val="16"/>
              </w:rPr>
              <w:t>-</w:t>
            </w:r>
          </w:p>
        </w:tc>
        <w:tc>
          <w:tcPr>
            <w:tcW w:w="957" w:type="dxa"/>
            <w:tcBorders>
              <w:top w:val="nil"/>
              <w:left w:val="nil"/>
              <w:bottom w:val="nil"/>
              <w:right w:val="nil"/>
            </w:tcBorders>
            <w:shd w:val="clear" w:color="000000" w:fill="FFFFFF"/>
            <w:noWrap/>
            <w:vAlign w:val="center"/>
            <w:hideMark/>
          </w:tcPr>
          <w:p w:rsidR="00ED544B" w:rsidRPr="00812046" w:rsidP="007546F9" w14:paraId="5D191BE4" w14:textId="77777777">
            <w:pPr>
              <w:jc w:val="center"/>
              <w:rPr>
                <w:color w:val="000000"/>
                <w:sz w:val="16"/>
                <w:szCs w:val="16"/>
              </w:rPr>
            </w:pPr>
            <w:r w:rsidRPr="00812046">
              <w:rPr>
                <w:color w:val="000000"/>
                <w:sz w:val="16"/>
                <w:szCs w:val="16"/>
              </w:rPr>
              <w:t>-</w:t>
            </w:r>
          </w:p>
        </w:tc>
      </w:tr>
      <w:tr w14:paraId="497DF0C5"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bottom"/>
            <w:hideMark/>
          </w:tcPr>
          <w:p w:rsidR="00ED544B" w:rsidRPr="00812046" w:rsidP="007546F9" w14:paraId="3C7AF8AA" w14:textId="77777777">
            <w:pPr>
              <w:rPr>
                <w:rFonts w:ascii="Calibri" w:hAnsi="Calibri" w:cs="Calibri"/>
                <w:color w:val="000000"/>
                <w:sz w:val="16"/>
                <w:szCs w:val="16"/>
              </w:rPr>
            </w:pPr>
            <w:r w:rsidRPr="00812046">
              <w:rPr>
                <w:rFonts w:ascii="Calibri" w:hAnsi="Calibri" w:cs="Calibri"/>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54A26706" w14:textId="77777777">
            <w:pPr>
              <w:jc w:val="center"/>
              <w:rPr>
                <w:color w:val="000000"/>
                <w:sz w:val="16"/>
                <w:szCs w:val="16"/>
              </w:rPr>
            </w:pPr>
            <w:r w:rsidRPr="00812046">
              <w:rPr>
                <w:color w:val="000000"/>
                <w:sz w:val="16"/>
                <w:szCs w:val="16"/>
              </w:rPr>
              <w:t>(0.42)</w:t>
            </w:r>
          </w:p>
        </w:tc>
        <w:tc>
          <w:tcPr>
            <w:tcW w:w="0" w:type="auto"/>
            <w:tcBorders>
              <w:top w:val="nil"/>
              <w:left w:val="nil"/>
              <w:bottom w:val="nil"/>
              <w:right w:val="nil"/>
            </w:tcBorders>
            <w:shd w:val="clear" w:color="000000" w:fill="FFFFFF"/>
            <w:noWrap/>
            <w:vAlign w:val="center"/>
            <w:hideMark/>
          </w:tcPr>
          <w:p w:rsidR="00ED544B" w:rsidRPr="00812046" w:rsidP="007546F9" w14:paraId="75574624" w14:textId="77777777">
            <w:pPr>
              <w:jc w:val="center"/>
              <w:rPr>
                <w:color w:val="000000"/>
                <w:sz w:val="16"/>
                <w:szCs w:val="16"/>
              </w:rPr>
            </w:pPr>
            <w:r w:rsidRPr="00812046">
              <w:rPr>
                <w:color w:val="000000"/>
                <w:sz w:val="16"/>
                <w:szCs w:val="16"/>
              </w:rPr>
              <w:t>(0.40)</w:t>
            </w:r>
          </w:p>
        </w:tc>
        <w:tc>
          <w:tcPr>
            <w:tcW w:w="0" w:type="auto"/>
            <w:tcBorders>
              <w:top w:val="nil"/>
              <w:left w:val="nil"/>
              <w:bottom w:val="nil"/>
              <w:right w:val="nil"/>
            </w:tcBorders>
            <w:shd w:val="clear" w:color="000000" w:fill="FFFFFF"/>
            <w:noWrap/>
            <w:vAlign w:val="center"/>
            <w:hideMark/>
          </w:tcPr>
          <w:p w:rsidR="00ED544B" w:rsidRPr="00812046" w:rsidP="007546F9" w14:paraId="302AC1AC" w14:textId="77777777">
            <w:pPr>
              <w:jc w:val="center"/>
              <w:rPr>
                <w:color w:val="000000"/>
                <w:sz w:val="16"/>
                <w:szCs w:val="16"/>
              </w:rPr>
            </w:pPr>
            <w:r w:rsidRPr="00812046">
              <w:rPr>
                <w:color w:val="000000"/>
                <w:sz w:val="16"/>
                <w:szCs w:val="16"/>
              </w:rPr>
              <w:t>(0.43)</w:t>
            </w:r>
          </w:p>
        </w:tc>
        <w:tc>
          <w:tcPr>
            <w:tcW w:w="0" w:type="auto"/>
            <w:tcBorders>
              <w:top w:val="nil"/>
              <w:left w:val="nil"/>
              <w:bottom w:val="nil"/>
              <w:right w:val="nil"/>
            </w:tcBorders>
            <w:shd w:val="clear" w:color="000000" w:fill="FFFFFF"/>
            <w:noWrap/>
            <w:vAlign w:val="center"/>
            <w:hideMark/>
          </w:tcPr>
          <w:p w:rsidR="00ED544B" w:rsidRPr="00812046" w:rsidP="007546F9" w14:paraId="7354C138" w14:textId="77777777">
            <w:pPr>
              <w:jc w:val="center"/>
              <w:rPr>
                <w:color w:val="000000"/>
                <w:sz w:val="16"/>
                <w:szCs w:val="16"/>
              </w:rPr>
            </w:pPr>
            <w:r w:rsidRPr="00812046">
              <w:rPr>
                <w:color w:val="000000"/>
                <w:sz w:val="16"/>
                <w:szCs w:val="16"/>
              </w:rPr>
              <w:t>(0.42)</w:t>
            </w:r>
          </w:p>
        </w:tc>
        <w:tc>
          <w:tcPr>
            <w:tcW w:w="0" w:type="auto"/>
            <w:tcBorders>
              <w:top w:val="nil"/>
              <w:left w:val="nil"/>
              <w:bottom w:val="nil"/>
              <w:right w:val="nil"/>
            </w:tcBorders>
            <w:shd w:val="clear" w:color="000000" w:fill="FFFFFF"/>
            <w:noWrap/>
            <w:vAlign w:val="center"/>
            <w:hideMark/>
          </w:tcPr>
          <w:p w:rsidR="00ED544B" w:rsidRPr="00812046" w:rsidP="007546F9" w14:paraId="1585641A" w14:textId="77777777">
            <w:pPr>
              <w:jc w:val="center"/>
              <w:rPr>
                <w:color w:val="000000"/>
                <w:sz w:val="16"/>
                <w:szCs w:val="16"/>
              </w:rPr>
            </w:pPr>
            <w:r w:rsidRPr="00812046">
              <w:rPr>
                <w:color w:val="000000"/>
                <w:sz w:val="16"/>
                <w:szCs w:val="16"/>
              </w:rPr>
              <w:t>(0.42)</w:t>
            </w:r>
          </w:p>
        </w:tc>
        <w:tc>
          <w:tcPr>
            <w:tcW w:w="0" w:type="auto"/>
            <w:tcBorders>
              <w:top w:val="nil"/>
              <w:left w:val="nil"/>
              <w:bottom w:val="nil"/>
              <w:right w:val="nil"/>
            </w:tcBorders>
            <w:shd w:val="clear" w:color="000000" w:fill="FFFFFF"/>
            <w:noWrap/>
            <w:vAlign w:val="center"/>
            <w:hideMark/>
          </w:tcPr>
          <w:p w:rsidR="00ED544B" w:rsidRPr="00812046" w:rsidP="007546F9" w14:paraId="395DFC82" w14:textId="77777777">
            <w:pPr>
              <w:jc w:val="center"/>
              <w:rPr>
                <w:color w:val="000000"/>
                <w:sz w:val="16"/>
                <w:szCs w:val="16"/>
              </w:rPr>
            </w:pPr>
            <w:r w:rsidRPr="00812046">
              <w:rPr>
                <w:color w:val="000000"/>
                <w:sz w:val="16"/>
                <w:szCs w:val="16"/>
              </w:rPr>
              <w:t>(0.38)</w:t>
            </w:r>
          </w:p>
        </w:tc>
        <w:tc>
          <w:tcPr>
            <w:tcW w:w="0" w:type="auto"/>
            <w:tcBorders>
              <w:top w:val="nil"/>
              <w:left w:val="nil"/>
              <w:bottom w:val="nil"/>
              <w:right w:val="nil"/>
            </w:tcBorders>
            <w:shd w:val="clear" w:color="000000" w:fill="FFFFFF"/>
            <w:noWrap/>
            <w:vAlign w:val="center"/>
            <w:hideMark/>
          </w:tcPr>
          <w:p w:rsidR="00ED544B" w:rsidRPr="00812046" w:rsidP="007546F9" w14:paraId="65ACD081" w14:textId="77777777">
            <w:pPr>
              <w:jc w:val="center"/>
              <w:rPr>
                <w:color w:val="000000"/>
                <w:sz w:val="16"/>
                <w:szCs w:val="16"/>
              </w:rPr>
            </w:pPr>
            <w:r w:rsidRPr="00812046">
              <w:rPr>
                <w:color w:val="000000"/>
                <w:sz w:val="16"/>
                <w:szCs w:val="16"/>
              </w:rPr>
              <w:t>(0.57)</w:t>
            </w:r>
          </w:p>
        </w:tc>
        <w:tc>
          <w:tcPr>
            <w:tcW w:w="0" w:type="auto"/>
            <w:tcBorders>
              <w:top w:val="nil"/>
              <w:left w:val="nil"/>
              <w:bottom w:val="nil"/>
              <w:right w:val="nil"/>
            </w:tcBorders>
            <w:shd w:val="clear" w:color="000000" w:fill="FFFFFF"/>
            <w:noWrap/>
            <w:vAlign w:val="center"/>
            <w:hideMark/>
          </w:tcPr>
          <w:p w:rsidR="00ED544B" w:rsidRPr="00812046" w:rsidP="007546F9" w14:paraId="31C7D76E" w14:textId="77777777">
            <w:pPr>
              <w:jc w:val="center"/>
              <w:rPr>
                <w:color w:val="000000"/>
                <w:sz w:val="16"/>
                <w:szCs w:val="16"/>
              </w:rPr>
            </w:pPr>
            <w:r w:rsidRPr="00812046">
              <w:rPr>
                <w:color w:val="000000"/>
                <w:sz w:val="16"/>
                <w:szCs w:val="16"/>
              </w:rPr>
              <w:t>(0.30)</w:t>
            </w:r>
          </w:p>
        </w:tc>
        <w:tc>
          <w:tcPr>
            <w:tcW w:w="0" w:type="auto"/>
            <w:tcBorders>
              <w:top w:val="nil"/>
              <w:left w:val="nil"/>
              <w:bottom w:val="nil"/>
              <w:right w:val="nil"/>
            </w:tcBorders>
            <w:shd w:val="clear" w:color="000000" w:fill="FFFFFF"/>
            <w:noWrap/>
            <w:vAlign w:val="center"/>
            <w:hideMark/>
          </w:tcPr>
          <w:p w:rsidR="00ED544B" w:rsidRPr="00812046" w:rsidP="007546F9" w14:paraId="5AA06662" w14:textId="77777777">
            <w:pPr>
              <w:jc w:val="center"/>
              <w:rPr>
                <w:color w:val="000000"/>
                <w:sz w:val="16"/>
                <w:szCs w:val="16"/>
              </w:rPr>
            </w:pPr>
            <w:r w:rsidRPr="00812046">
              <w:rPr>
                <w:color w:val="000000"/>
                <w:sz w:val="16"/>
                <w:szCs w:val="16"/>
              </w:rPr>
              <w:t>(0.44)</w:t>
            </w:r>
          </w:p>
        </w:tc>
        <w:tc>
          <w:tcPr>
            <w:tcW w:w="0" w:type="auto"/>
            <w:tcBorders>
              <w:top w:val="nil"/>
              <w:left w:val="nil"/>
              <w:bottom w:val="nil"/>
              <w:right w:val="nil"/>
            </w:tcBorders>
            <w:shd w:val="clear" w:color="000000" w:fill="FFFFFF"/>
            <w:noWrap/>
            <w:vAlign w:val="center"/>
            <w:hideMark/>
          </w:tcPr>
          <w:p w:rsidR="00ED544B" w:rsidRPr="00812046" w:rsidP="007546F9" w14:paraId="5684AC1F" w14:textId="77777777">
            <w:pPr>
              <w:jc w:val="center"/>
              <w:rPr>
                <w:color w:val="000000"/>
                <w:sz w:val="16"/>
                <w:szCs w:val="16"/>
              </w:rPr>
            </w:pPr>
            <w:r w:rsidRPr="00812046">
              <w:rPr>
                <w:color w:val="000000"/>
                <w:sz w:val="16"/>
                <w:szCs w:val="16"/>
              </w:rPr>
              <w:t>(0.40)</w:t>
            </w:r>
          </w:p>
        </w:tc>
        <w:tc>
          <w:tcPr>
            <w:tcW w:w="0" w:type="auto"/>
            <w:tcBorders>
              <w:top w:val="nil"/>
              <w:left w:val="nil"/>
              <w:bottom w:val="nil"/>
              <w:right w:val="nil"/>
            </w:tcBorders>
            <w:shd w:val="clear" w:color="000000" w:fill="FFFFFF"/>
            <w:noWrap/>
            <w:vAlign w:val="center"/>
            <w:hideMark/>
          </w:tcPr>
          <w:p w:rsidR="00ED544B" w:rsidRPr="00812046" w:rsidP="007546F9" w14:paraId="3ACBF808" w14:textId="77777777">
            <w:pPr>
              <w:jc w:val="center"/>
              <w:rPr>
                <w:color w:val="000000"/>
                <w:sz w:val="16"/>
                <w:szCs w:val="16"/>
              </w:rPr>
            </w:pPr>
            <w:r w:rsidRPr="00812046">
              <w:rPr>
                <w:color w:val="000000"/>
                <w:sz w:val="16"/>
                <w:szCs w:val="16"/>
              </w:rPr>
              <w:t>-</w:t>
            </w:r>
          </w:p>
        </w:tc>
        <w:tc>
          <w:tcPr>
            <w:tcW w:w="957" w:type="dxa"/>
            <w:tcBorders>
              <w:top w:val="nil"/>
              <w:left w:val="nil"/>
              <w:bottom w:val="nil"/>
              <w:right w:val="nil"/>
            </w:tcBorders>
            <w:shd w:val="clear" w:color="000000" w:fill="FFFFFF"/>
            <w:noWrap/>
            <w:vAlign w:val="center"/>
            <w:hideMark/>
          </w:tcPr>
          <w:p w:rsidR="00ED544B" w:rsidRPr="00812046" w:rsidP="007546F9" w14:paraId="3DF70B6C" w14:textId="77777777">
            <w:pPr>
              <w:jc w:val="center"/>
              <w:rPr>
                <w:color w:val="000000"/>
                <w:sz w:val="16"/>
                <w:szCs w:val="16"/>
              </w:rPr>
            </w:pPr>
            <w:r w:rsidRPr="00812046">
              <w:rPr>
                <w:color w:val="000000"/>
                <w:sz w:val="16"/>
                <w:szCs w:val="16"/>
              </w:rPr>
              <w:t>-</w:t>
            </w:r>
          </w:p>
        </w:tc>
      </w:tr>
      <w:tr w14:paraId="319FF3CB"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7F8A9ACA" w14:textId="77777777">
            <w:pPr>
              <w:rPr>
                <w:color w:val="000000"/>
                <w:sz w:val="16"/>
                <w:szCs w:val="16"/>
              </w:rPr>
            </w:pPr>
            <w:r w:rsidRPr="00812046">
              <w:rPr>
                <w:color w:val="000000"/>
                <w:sz w:val="16"/>
                <w:szCs w:val="16"/>
              </w:rPr>
              <w:t>Threshold 2</w:t>
            </w:r>
          </w:p>
        </w:tc>
        <w:tc>
          <w:tcPr>
            <w:tcW w:w="0" w:type="auto"/>
            <w:tcBorders>
              <w:top w:val="nil"/>
              <w:left w:val="nil"/>
              <w:bottom w:val="nil"/>
              <w:right w:val="nil"/>
            </w:tcBorders>
            <w:shd w:val="clear" w:color="000000" w:fill="FFFFFF"/>
            <w:noWrap/>
            <w:vAlign w:val="center"/>
            <w:hideMark/>
          </w:tcPr>
          <w:p w:rsidR="00ED544B" w:rsidRPr="00812046" w:rsidP="007546F9" w14:paraId="036146CD" w14:textId="77777777">
            <w:pPr>
              <w:jc w:val="center"/>
              <w:rPr>
                <w:color w:val="000000"/>
                <w:sz w:val="16"/>
                <w:szCs w:val="16"/>
              </w:rPr>
            </w:pPr>
            <w:r w:rsidRPr="00812046">
              <w:rPr>
                <w:color w:val="000000"/>
                <w:sz w:val="16"/>
                <w:szCs w:val="16"/>
              </w:rPr>
              <w:t>0.23</w:t>
            </w:r>
          </w:p>
        </w:tc>
        <w:tc>
          <w:tcPr>
            <w:tcW w:w="0" w:type="auto"/>
            <w:tcBorders>
              <w:top w:val="nil"/>
              <w:left w:val="nil"/>
              <w:bottom w:val="nil"/>
              <w:right w:val="nil"/>
            </w:tcBorders>
            <w:shd w:val="clear" w:color="000000" w:fill="FFFFFF"/>
            <w:noWrap/>
            <w:vAlign w:val="center"/>
            <w:hideMark/>
          </w:tcPr>
          <w:p w:rsidR="00ED544B" w:rsidRPr="00812046" w:rsidP="007546F9" w14:paraId="45E5CD10" w14:textId="77777777">
            <w:pPr>
              <w:jc w:val="center"/>
              <w:rPr>
                <w:color w:val="000000"/>
                <w:sz w:val="16"/>
                <w:szCs w:val="16"/>
              </w:rPr>
            </w:pPr>
            <w:r w:rsidRPr="00812046">
              <w:rPr>
                <w:color w:val="000000"/>
                <w:sz w:val="16"/>
                <w:szCs w:val="16"/>
              </w:rPr>
              <w:t>0.82*</w:t>
            </w:r>
          </w:p>
        </w:tc>
        <w:tc>
          <w:tcPr>
            <w:tcW w:w="0" w:type="auto"/>
            <w:tcBorders>
              <w:top w:val="nil"/>
              <w:left w:val="nil"/>
              <w:bottom w:val="nil"/>
              <w:right w:val="nil"/>
            </w:tcBorders>
            <w:shd w:val="clear" w:color="000000" w:fill="FFFFFF"/>
            <w:noWrap/>
            <w:vAlign w:val="center"/>
            <w:hideMark/>
          </w:tcPr>
          <w:p w:rsidR="00ED544B" w:rsidRPr="00812046" w:rsidP="007546F9" w14:paraId="1BF8A732" w14:textId="77777777">
            <w:pPr>
              <w:jc w:val="center"/>
              <w:rPr>
                <w:color w:val="000000"/>
                <w:sz w:val="16"/>
                <w:szCs w:val="16"/>
              </w:rPr>
            </w:pPr>
            <w:r w:rsidRPr="00812046">
              <w:rPr>
                <w:color w:val="000000"/>
                <w:sz w:val="16"/>
                <w:szCs w:val="16"/>
              </w:rPr>
              <w:t>0.86*</w:t>
            </w:r>
          </w:p>
        </w:tc>
        <w:tc>
          <w:tcPr>
            <w:tcW w:w="0" w:type="auto"/>
            <w:tcBorders>
              <w:top w:val="nil"/>
              <w:left w:val="nil"/>
              <w:bottom w:val="nil"/>
              <w:right w:val="nil"/>
            </w:tcBorders>
            <w:shd w:val="clear" w:color="000000" w:fill="FFFFFF"/>
            <w:noWrap/>
            <w:vAlign w:val="center"/>
            <w:hideMark/>
          </w:tcPr>
          <w:p w:rsidR="00ED544B" w:rsidRPr="00812046" w:rsidP="007546F9" w14:paraId="2D32EE79" w14:textId="77777777">
            <w:pPr>
              <w:jc w:val="center"/>
              <w:rPr>
                <w:color w:val="000000"/>
                <w:sz w:val="16"/>
                <w:szCs w:val="16"/>
              </w:rPr>
            </w:pPr>
            <w:r w:rsidRPr="00812046">
              <w:rPr>
                <w:color w:val="000000"/>
                <w:sz w:val="16"/>
                <w:szCs w:val="16"/>
              </w:rPr>
              <w:t>1.56***</w:t>
            </w:r>
          </w:p>
        </w:tc>
        <w:tc>
          <w:tcPr>
            <w:tcW w:w="0" w:type="auto"/>
            <w:tcBorders>
              <w:top w:val="nil"/>
              <w:left w:val="nil"/>
              <w:bottom w:val="nil"/>
              <w:right w:val="nil"/>
            </w:tcBorders>
            <w:shd w:val="clear" w:color="000000" w:fill="FFFFFF"/>
            <w:noWrap/>
            <w:vAlign w:val="center"/>
            <w:hideMark/>
          </w:tcPr>
          <w:p w:rsidR="00ED544B" w:rsidRPr="00812046" w:rsidP="007546F9" w14:paraId="15F37279" w14:textId="77777777">
            <w:pPr>
              <w:jc w:val="center"/>
              <w:rPr>
                <w:color w:val="000000"/>
                <w:sz w:val="16"/>
                <w:szCs w:val="16"/>
              </w:rPr>
            </w:pPr>
            <w:r w:rsidRPr="00812046">
              <w:rPr>
                <w:color w:val="000000"/>
                <w:sz w:val="16"/>
                <w:szCs w:val="16"/>
              </w:rPr>
              <w:t>-0.88*</w:t>
            </w:r>
          </w:p>
        </w:tc>
        <w:tc>
          <w:tcPr>
            <w:tcW w:w="0" w:type="auto"/>
            <w:tcBorders>
              <w:top w:val="nil"/>
              <w:left w:val="nil"/>
              <w:bottom w:val="nil"/>
              <w:right w:val="nil"/>
            </w:tcBorders>
            <w:shd w:val="clear" w:color="000000" w:fill="FFFFFF"/>
            <w:noWrap/>
            <w:vAlign w:val="center"/>
            <w:hideMark/>
          </w:tcPr>
          <w:p w:rsidR="00ED544B" w:rsidRPr="00812046" w:rsidP="007546F9" w14:paraId="377B4F9E" w14:textId="77777777">
            <w:pPr>
              <w:jc w:val="center"/>
              <w:rPr>
                <w:color w:val="000000"/>
                <w:sz w:val="16"/>
                <w:szCs w:val="16"/>
              </w:rPr>
            </w:pPr>
            <w:r w:rsidRPr="00812046">
              <w:rPr>
                <w:color w:val="000000"/>
                <w:sz w:val="16"/>
                <w:szCs w:val="16"/>
              </w:rPr>
              <w:t>0.73</w:t>
            </w:r>
          </w:p>
        </w:tc>
        <w:tc>
          <w:tcPr>
            <w:tcW w:w="0" w:type="auto"/>
            <w:tcBorders>
              <w:top w:val="nil"/>
              <w:left w:val="nil"/>
              <w:bottom w:val="nil"/>
              <w:right w:val="nil"/>
            </w:tcBorders>
            <w:shd w:val="clear" w:color="000000" w:fill="FFFFFF"/>
            <w:noWrap/>
            <w:vAlign w:val="center"/>
            <w:hideMark/>
          </w:tcPr>
          <w:p w:rsidR="00ED544B" w:rsidRPr="00812046" w:rsidP="007546F9" w14:paraId="10AA3B11" w14:textId="77777777">
            <w:pPr>
              <w:jc w:val="center"/>
              <w:rPr>
                <w:color w:val="000000"/>
                <w:sz w:val="16"/>
                <w:szCs w:val="16"/>
              </w:rPr>
            </w:pPr>
            <w:r w:rsidRPr="00812046">
              <w:rPr>
                <w:color w:val="000000"/>
                <w:sz w:val="16"/>
                <w:szCs w:val="16"/>
              </w:rPr>
              <w:t>-0.29</w:t>
            </w:r>
          </w:p>
        </w:tc>
        <w:tc>
          <w:tcPr>
            <w:tcW w:w="0" w:type="auto"/>
            <w:tcBorders>
              <w:top w:val="nil"/>
              <w:left w:val="nil"/>
              <w:bottom w:val="nil"/>
              <w:right w:val="nil"/>
            </w:tcBorders>
            <w:shd w:val="clear" w:color="000000" w:fill="FFFFFF"/>
            <w:noWrap/>
            <w:vAlign w:val="center"/>
            <w:hideMark/>
          </w:tcPr>
          <w:p w:rsidR="00ED544B" w:rsidRPr="00812046" w:rsidP="007546F9" w14:paraId="6DA8A668" w14:textId="77777777">
            <w:pPr>
              <w:jc w:val="center"/>
              <w:rPr>
                <w:color w:val="000000"/>
                <w:sz w:val="16"/>
                <w:szCs w:val="16"/>
              </w:rPr>
            </w:pPr>
            <w:r w:rsidRPr="00812046">
              <w:rPr>
                <w:color w:val="000000"/>
                <w:sz w:val="16"/>
                <w:szCs w:val="16"/>
              </w:rPr>
              <w:t>-1.14***</w:t>
            </w:r>
          </w:p>
        </w:tc>
        <w:tc>
          <w:tcPr>
            <w:tcW w:w="0" w:type="auto"/>
            <w:tcBorders>
              <w:top w:val="nil"/>
              <w:left w:val="nil"/>
              <w:bottom w:val="nil"/>
              <w:right w:val="nil"/>
            </w:tcBorders>
            <w:shd w:val="clear" w:color="000000" w:fill="FFFFFF"/>
            <w:noWrap/>
            <w:vAlign w:val="center"/>
            <w:hideMark/>
          </w:tcPr>
          <w:p w:rsidR="00ED544B" w:rsidRPr="00812046" w:rsidP="007546F9" w14:paraId="7A04DC90" w14:textId="77777777">
            <w:pPr>
              <w:jc w:val="center"/>
              <w:rPr>
                <w:color w:val="000000"/>
                <w:sz w:val="16"/>
                <w:szCs w:val="16"/>
              </w:rPr>
            </w:pPr>
            <w:r w:rsidRPr="00812046">
              <w:rPr>
                <w:color w:val="000000"/>
                <w:sz w:val="16"/>
                <w:szCs w:val="16"/>
              </w:rPr>
              <w:t>-0.36</w:t>
            </w:r>
          </w:p>
        </w:tc>
        <w:tc>
          <w:tcPr>
            <w:tcW w:w="0" w:type="auto"/>
            <w:tcBorders>
              <w:top w:val="nil"/>
              <w:left w:val="nil"/>
              <w:bottom w:val="nil"/>
              <w:right w:val="nil"/>
            </w:tcBorders>
            <w:shd w:val="clear" w:color="000000" w:fill="FFFFFF"/>
            <w:noWrap/>
            <w:vAlign w:val="center"/>
            <w:hideMark/>
          </w:tcPr>
          <w:p w:rsidR="00ED544B" w:rsidRPr="00812046" w:rsidP="007546F9" w14:paraId="278E7906" w14:textId="77777777">
            <w:pPr>
              <w:jc w:val="center"/>
              <w:rPr>
                <w:color w:val="000000"/>
                <w:sz w:val="16"/>
                <w:szCs w:val="16"/>
              </w:rPr>
            </w:pPr>
            <w:r w:rsidRPr="00812046">
              <w:rPr>
                <w:color w:val="000000"/>
                <w:sz w:val="16"/>
                <w:szCs w:val="16"/>
              </w:rPr>
              <w:t>1.14**</w:t>
            </w:r>
          </w:p>
        </w:tc>
        <w:tc>
          <w:tcPr>
            <w:tcW w:w="0" w:type="auto"/>
            <w:tcBorders>
              <w:top w:val="nil"/>
              <w:left w:val="nil"/>
              <w:bottom w:val="nil"/>
              <w:right w:val="nil"/>
            </w:tcBorders>
            <w:shd w:val="clear" w:color="000000" w:fill="FFFFFF"/>
            <w:noWrap/>
            <w:vAlign w:val="center"/>
            <w:hideMark/>
          </w:tcPr>
          <w:p w:rsidR="00ED544B" w:rsidRPr="00812046" w:rsidP="007546F9" w14:paraId="1FC5A6A3" w14:textId="77777777">
            <w:pPr>
              <w:jc w:val="center"/>
              <w:rPr>
                <w:color w:val="000000"/>
                <w:sz w:val="16"/>
                <w:szCs w:val="16"/>
              </w:rPr>
            </w:pPr>
            <w:r w:rsidRPr="00812046">
              <w:rPr>
                <w:color w:val="000000"/>
                <w:sz w:val="16"/>
                <w:szCs w:val="16"/>
              </w:rPr>
              <w:t>-</w:t>
            </w:r>
          </w:p>
        </w:tc>
        <w:tc>
          <w:tcPr>
            <w:tcW w:w="957" w:type="dxa"/>
            <w:tcBorders>
              <w:top w:val="nil"/>
              <w:left w:val="nil"/>
              <w:bottom w:val="nil"/>
              <w:right w:val="nil"/>
            </w:tcBorders>
            <w:shd w:val="clear" w:color="000000" w:fill="FFFFFF"/>
            <w:noWrap/>
            <w:vAlign w:val="center"/>
            <w:hideMark/>
          </w:tcPr>
          <w:p w:rsidR="00ED544B" w:rsidRPr="00812046" w:rsidP="007546F9" w14:paraId="7C966B51" w14:textId="77777777">
            <w:pPr>
              <w:jc w:val="center"/>
              <w:rPr>
                <w:color w:val="000000"/>
                <w:sz w:val="16"/>
                <w:szCs w:val="16"/>
              </w:rPr>
            </w:pPr>
            <w:r w:rsidRPr="00812046">
              <w:rPr>
                <w:color w:val="000000"/>
                <w:sz w:val="16"/>
                <w:szCs w:val="16"/>
              </w:rPr>
              <w:t>-</w:t>
            </w:r>
          </w:p>
        </w:tc>
      </w:tr>
      <w:tr w14:paraId="68AF042E"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bottom"/>
            <w:hideMark/>
          </w:tcPr>
          <w:p w:rsidR="00ED544B" w:rsidRPr="00812046" w:rsidP="007546F9" w14:paraId="605885D7" w14:textId="77777777">
            <w:pPr>
              <w:rPr>
                <w:rFonts w:ascii="Calibri" w:hAnsi="Calibri" w:cs="Calibri"/>
                <w:color w:val="000000"/>
                <w:sz w:val="16"/>
                <w:szCs w:val="16"/>
              </w:rPr>
            </w:pPr>
            <w:r w:rsidRPr="00812046">
              <w:rPr>
                <w:rFonts w:ascii="Calibri" w:hAnsi="Calibri" w:cs="Calibri"/>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3F1373CE" w14:textId="77777777">
            <w:pPr>
              <w:jc w:val="center"/>
              <w:rPr>
                <w:color w:val="000000"/>
                <w:sz w:val="16"/>
                <w:szCs w:val="16"/>
              </w:rPr>
            </w:pPr>
            <w:r w:rsidRPr="00812046">
              <w:rPr>
                <w:color w:val="000000"/>
                <w:sz w:val="16"/>
                <w:szCs w:val="16"/>
              </w:rPr>
              <w:t>(0.42)</w:t>
            </w:r>
          </w:p>
        </w:tc>
        <w:tc>
          <w:tcPr>
            <w:tcW w:w="0" w:type="auto"/>
            <w:tcBorders>
              <w:top w:val="nil"/>
              <w:left w:val="nil"/>
              <w:bottom w:val="nil"/>
              <w:right w:val="nil"/>
            </w:tcBorders>
            <w:shd w:val="clear" w:color="000000" w:fill="FFFFFF"/>
            <w:noWrap/>
            <w:vAlign w:val="center"/>
            <w:hideMark/>
          </w:tcPr>
          <w:p w:rsidR="00ED544B" w:rsidRPr="00812046" w:rsidP="007546F9" w14:paraId="684E727C" w14:textId="77777777">
            <w:pPr>
              <w:jc w:val="center"/>
              <w:rPr>
                <w:color w:val="000000"/>
                <w:sz w:val="16"/>
                <w:szCs w:val="16"/>
              </w:rPr>
            </w:pPr>
            <w:r w:rsidRPr="00812046">
              <w:rPr>
                <w:color w:val="000000"/>
                <w:sz w:val="16"/>
                <w:szCs w:val="16"/>
              </w:rPr>
              <w:t>(0.40)</w:t>
            </w:r>
          </w:p>
        </w:tc>
        <w:tc>
          <w:tcPr>
            <w:tcW w:w="0" w:type="auto"/>
            <w:tcBorders>
              <w:top w:val="nil"/>
              <w:left w:val="nil"/>
              <w:bottom w:val="nil"/>
              <w:right w:val="nil"/>
            </w:tcBorders>
            <w:shd w:val="clear" w:color="000000" w:fill="FFFFFF"/>
            <w:noWrap/>
            <w:vAlign w:val="center"/>
            <w:hideMark/>
          </w:tcPr>
          <w:p w:rsidR="00ED544B" w:rsidRPr="00812046" w:rsidP="007546F9" w14:paraId="248AF848" w14:textId="77777777">
            <w:pPr>
              <w:jc w:val="center"/>
              <w:rPr>
                <w:color w:val="000000"/>
                <w:sz w:val="16"/>
                <w:szCs w:val="16"/>
              </w:rPr>
            </w:pPr>
            <w:r w:rsidRPr="00812046">
              <w:rPr>
                <w:color w:val="000000"/>
                <w:sz w:val="16"/>
                <w:szCs w:val="16"/>
              </w:rPr>
              <w:t>(0.43)</w:t>
            </w:r>
          </w:p>
        </w:tc>
        <w:tc>
          <w:tcPr>
            <w:tcW w:w="0" w:type="auto"/>
            <w:tcBorders>
              <w:top w:val="nil"/>
              <w:left w:val="nil"/>
              <w:bottom w:val="nil"/>
              <w:right w:val="nil"/>
            </w:tcBorders>
            <w:shd w:val="clear" w:color="000000" w:fill="FFFFFF"/>
            <w:noWrap/>
            <w:vAlign w:val="center"/>
            <w:hideMark/>
          </w:tcPr>
          <w:p w:rsidR="00ED544B" w:rsidRPr="00812046" w:rsidP="007546F9" w14:paraId="0263B7F4" w14:textId="77777777">
            <w:pPr>
              <w:jc w:val="center"/>
              <w:rPr>
                <w:color w:val="000000"/>
                <w:sz w:val="16"/>
                <w:szCs w:val="16"/>
              </w:rPr>
            </w:pPr>
            <w:r w:rsidRPr="00812046">
              <w:rPr>
                <w:color w:val="000000"/>
                <w:sz w:val="16"/>
                <w:szCs w:val="16"/>
              </w:rPr>
              <w:t>(0.42)</w:t>
            </w:r>
          </w:p>
        </w:tc>
        <w:tc>
          <w:tcPr>
            <w:tcW w:w="0" w:type="auto"/>
            <w:tcBorders>
              <w:top w:val="nil"/>
              <w:left w:val="nil"/>
              <w:bottom w:val="nil"/>
              <w:right w:val="nil"/>
            </w:tcBorders>
            <w:shd w:val="clear" w:color="000000" w:fill="FFFFFF"/>
            <w:noWrap/>
            <w:vAlign w:val="center"/>
            <w:hideMark/>
          </w:tcPr>
          <w:p w:rsidR="00ED544B" w:rsidRPr="00812046" w:rsidP="007546F9" w14:paraId="4694BE4B" w14:textId="77777777">
            <w:pPr>
              <w:jc w:val="center"/>
              <w:rPr>
                <w:color w:val="000000"/>
                <w:sz w:val="16"/>
                <w:szCs w:val="16"/>
              </w:rPr>
            </w:pPr>
            <w:r w:rsidRPr="00812046">
              <w:rPr>
                <w:color w:val="000000"/>
                <w:sz w:val="16"/>
                <w:szCs w:val="16"/>
              </w:rPr>
              <w:t>(0.41)</w:t>
            </w:r>
          </w:p>
        </w:tc>
        <w:tc>
          <w:tcPr>
            <w:tcW w:w="0" w:type="auto"/>
            <w:tcBorders>
              <w:top w:val="nil"/>
              <w:left w:val="nil"/>
              <w:bottom w:val="nil"/>
              <w:right w:val="nil"/>
            </w:tcBorders>
            <w:shd w:val="clear" w:color="000000" w:fill="FFFFFF"/>
            <w:noWrap/>
            <w:vAlign w:val="center"/>
            <w:hideMark/>
          </w:tcPr>
          <w:p w:rsidR="00ED544B" w:rsidRPr="00812046" w:rsidP="007546F9" w14:paraId="535514FF" w14:textId="77777777">
            <w:pPr>
              <w:jc w:val="center"/>
              <w:rPr>
                <w:color w:val="000000"/>
                <w:sz w:val="16"/>
                <w:szCs w:val="16"/>
              </w:rPr>
            </w:pPr>
            <w:r w:rsidRPr="00812046">
              <w:rPr>
                <w:color w:val="000000"/>
                <w:sz w:val="16"/>
                <w:szCs w:val="16"/>
              </w:rPr>
              <w:t>(0.38)</w:t>
            </w:r>
          </w:p>
        </w:tc>
        <w:tc>
          <w:tcPr>
            <w:tcW w:w="0" w:type="auto"/>
            <w:tcBorders>
              <w:top w:val="nil"/>
              <w:left w:val="nil"/>
              <w:bottom w:val="nil"/>
              <w:right w:val="nil"/>
            </w:tcBorders>
            <w:shd w:val="clear" w:color="000000" w:fill="FFFFFF"/>
            <w:noWrap/>
            <w:vAlign w:val="center"/>
            <w:hideMark/>
          </w:tcPr>
          <w:p w:rsidR="00ED544B" w:rsidRPr="00812046" w:rsidP="007546F9" w14:paraId="02134BA3" w14:textId="77777777">
            <w:pPr>
              <w:jc w:val="center"/>
              <w:rPr>
                <w:color w:val="000000"/>
                <w:sz w:val="16"/>
                <w:szCs w:val="16"/>
              </w:rPr>
            </w:pPr>
            <w:r w:rsidRPr="00812046">
              <w:rPr>
                <w:color w:val="000000"/>
                <w:sz w:val="16"/>
                <w:szCs w:val="16"/>
              </w:rPr>
              <w:t>(0.56)</w:t>
            </w:r>
          </w:p>
        </w:tc>
        <w:tc>
          <w:tcPr>
            <w:tcW w:w="0" w:type="auto"/>
            <w:tcBorders>
              <w:top w:val="nil"/>
              <w:left w:val="nil"/>
              <w:bottom w:val="nil"/>
              <w:right w:val="nil"/>
            </w:tcBorders>
            <w:shd w:val="clear" w:color="000000" w:fill="FFFFFF"/>
            <w:noWrap/>
            <w:vAlign w:val="center"/>
            <w:hideMark/>
          </w:tcPr>
          <w:p w:rsidR="00ED544B" w:rsidRPr="00812046" w:rsidP="007546F9" w14:paraId="39496D41" w14:textId="77777777">
            <w:pPr>
              <w:jc w:val="center"/>
              <w:rPr>
                <w:color w:val="000000"/>
                <w:sz w:val="16"/>
                <w:szCs w:val="16"/>
              </w:rPr>
            </w:pPr>
            <w:r w:rsidRPr="00812046">
              <w:rPr>
                <w:color w:val="000000"/>
                <w:sz w:val="16"/>
                <w:szCs w:val="16"/>
              </w:rPr>
              <w:t>(0.30)</w:t>
            </w:r>
          </w:p>
        </w:tc>
        <w:tc>
          <w:tcPr>
            <w:tcW w:w="0" w:type="auto"/>
            <w:tcBorders>
              <w:top w:val="nil"/>
              <w:left w:val="nil"/>
              <w:bottom w:val="nil"/>
              <w:right w:val="nil"/>
            </w:tcBorders>
            <w:shd w:val="clear" w:color="000000" w:fill="FFFFFF"/>
            <w:noWrap/>
            <w:vAlign w:val="center"/>
            <w:hideMark/>
          </w:tcPr>
          <w:p w:rsidR="00ED544B" w:rsidRPr="00812046" w:rsidP="007546F9" w14:paraId="50F12391" w14:textId="77777777">
            <w:pPr>
              <w:jc w:val="center"/>
              <w:rPr>
                <w:color w:val="000000"/>
                <w:sz w:val="16"/>
                <w:szCs w:val="16"/>
              </w:rPr>
            </w:pPr>
            <w:r w:rsidRPr="00812046">
              <w:rPr>
                <w:color w:val="000000"/>
                <w:sz w:val="16"/>
                <w:szCs w:val="16"/>
              </w:rPr>
              <w:t>(0.44)</w:t>
            </w:r>
          </w:p>
        </w:tc>
        <w:tc>
          <w:tcPr>
            <w:tcW w:w="0" w:type="auto"/>
            <w:tcBorders>
              <w:top w:val="nil"/>
              <w:left w:val="nil"/>
              <w:bottom w:val="nil"/>
              <w:right w:val="nil"/>
            </w:tcBorders>
            <w:shd w:val="clear" w:color="000000" w:fill="FFFFFF"/>
            <w:noWrap/>
            <w:vAlign w:val="center"/>
            <w:hideMark/>
          </w:tcPr>
          <w:p w:rsidR="00ED544B" w:rsidRPr="00812046" w:rsidP="007546F9" w14:paraId="4DEE510F" w14:textId="77777777">
            <w:pPr>
              <w:jc w:val="center"/>
              <w:rPr>
                <w:color w:val="000000"/>
                <w:sz w:val="16"/>
                <w:szCs w:val="16"/>
              </w:rPr>
            </w:pPr>
            <w:r w:rsidRPr="00812046">
              <w:rPr>
                <w:color w:val="000000"/>
                <w:sz w:val="16"/>
                <w:szCs w:val="16"/>
              </w:rPr>
              <w:t>(0.40)</w:t>
            </w:r>
          </w:p>
        </w:tc>
        <w:tc>
          <w:tcPr>
            <w:tcW w:w="0" w:type="auto"/>
            <w:tcBorders>
              <w:top w:val="nil"/>
              <w:left w:val="nil"/>
              <w:bottom w:val="nil"/>
              <w:right w:val="nil"/>
            </w:tcBorders>
            <w:shd w:val="clear" w:color="000000" w:fill="FFFFFF"/>
            <w:noWrap/>
            <w:vAlign w:val="center"/>
            <w:hideMark/>
          </w:tcPr>
          <w:p w:rsidR="00ED544B" w:rsidRPr="00812046" w:rsidP="007546F9" w14:paraId="4AA88F0E" w14:textId="77777777">
            <w:pPr>
              <w:jc w:val="center"/>
              <w:rPr>
                <w:color w:val="000000"/>
                <w:sz w:val="16"/>
                <w:szCs w:val="16"/>
              </w:rPr>
            </w:pPr>
            <w:r w:rsidRPr="00812046">
              <w:rPr>
                <w:color w:val="000000"/>
                <w:sz w:val="16"/>
                <w:szCs w:val="16"/>
              </w:rPr>
              <w:t>-</w:t>
            </w:r>
          </w:p>
        </w:tc>
        <w:tc>
          <w:tcPr>
            <w:tcW w:w="957" w:type="dxa"/>
            <w:tcBorders>
              <w:top w:val="nil"/>
              <w:left w:val="nil"/>
              <w:bottom w:val="nil"/>
              <w:right w:val="nil"/>
            </w:tcBorders>
            <w:shd w:val="clear" w:color="000000" w:fill="FFFFFF"/>
            <w:noWrap/>
            <w:vAlign w:val="center"/>
            <w:hideMark/>
          </w:tcPr>
          <w:p w:rsidR="00ED544B" w:rsidRPr="00812046" w:rsidP="007546F9" w14:paraId="3F84E76D" w14:textId="77777777">
            <w:pPr>
              <w:jc w:val="center"/>
              <w:rPr>
                <w:color w:val="000000"/>
                <w:sz w:val="16"/>
                <w:szCs w:val="16"/>
              </w:rPr>
            </w:pPr>
            <w:r w:rsidRPr="00812046">
              <w:rPr>
                <w:color w:val="000000"/>
                <w:sz w:val="16"/>
                <w:szCs w:val="16"/>
              </w:rPr>
              <w:t>-</w:t>
            </w:r>
          </w:p>
        </w:tc>
      </w:tr>
      <w:tr w14:paraId="69D129E4"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1D4052C6" w14:textId="77777777">
            <w:pPr>
              <w:rPr>
                <w:color w:val="000000"/>
                <w:sz w:val="16"/>
                <w:szCs w:val="16"/>
              </w:rPr>
            </w:pPr>
            <w:r w:rsidRPr="00812046">
              <w:rPr>
                <w:color w:val="000000"/>
                <w:sz w:val="16"/>
                <w:szCs w:val="16"/>
              </w:rPr>
              <w:t>Threshold 3</w:t>
            </w:r>
          </w:p>
        </w:tc>
        <w:tc>
          <w:tcPr>
            <w:tcW w:w="0" w:type="auto"/>
            <w:tcBorders>
              <w:top w:val="nil"/>
              <w:left w:val="nil"/>
              <w:bottom w:val="nil"/>
              <w:right w:val="nil"/>
            </w:tcBorders>
            <w:shd w:val="clear" w:color="000000" w:fill="FFFFFF"/>
            <w:noWrap/>
            <w:vAlign w:val="center"/>
            <w:hideMark/>
          </w:tcPr>
          <w:p w:rsidR="00ED544B" w:rsidRPr="00812046" w:rsidP="007546F9" w14:paraId="47B42549" w14:textId="77777777">
            <w:pPr>
              <w:jc w:val="center"/>
              <w:rPr>
                <w:color w:val="000000"/>
                <w:sz w:val="16"/>
                <w:szCs w:val="16"/>
              </w:rPr>
            </w:pPr>
            <w:r w:rsidRPr="00812046">
              <w:rPr>
                <w:color w:val="000000"/>
                <w:sz w:val="16"/>
                <w:szCs w:val="16"/>
              </w:rPr>
              <w:t>1.79***</w:t>
            </w:r>
          </w:p>
        </w:tc>
        <w:tc>
          <w:tcPr>
            <w:tcW w:w="0" w:type="auto"/>
            <w:tcBorders>
              <w:top w:val="nil"/>
              <w:left w:val="nil"/>
              <w:bottom w:val="nil"/>
              <w:right w:val="nil"/>
            </w:tcBorders>
            <w:shd w:val="clear" w:color="000000" w:fill="FFFFFF"/>
            <w:noWrap/>
            <w:vAlign w:val="center"/>
            <w:hideMark/>
          </w:tcPr>
          <w:p w:rsidR="00ED544B" w:rsidRPr="00812046" w:rsidP="007546F9" w14:paraId="65073390" w14:textId="77777777">
            <w:pPr>
              <w:jc w:val="center"/>
              <w:rPr>
                <w:color w:val="000000"/>
                <w:sz w:val="16"/>
                <w:szCs w:val="16"/>
              </w:rPr>
            </w:pPr>
            <w:r w:rsidRPr="00812046">
              <w:rPr>
                <w:color w:val="000000"/>
                <w:sz w:val="16"/>
                <w:szCs w:val="16"/>
              </w:rPr>
              <w:t>2.33***</w:t>
            </w:r>
          </w:p>
        </w:tc>
        <w:tc>
          <w:tcPr>
            <w:tcW w:w="0" w:type="auto"/>
            <w:tcBorders>
              <w:top w:val="nil"/>
              <w:left w:val="nil"/>
              <w:bottom w:val="nil"/>
              <w:right w:val="nil"/>
            </w:tcBorders>
            <w:shd w:val="clear" w:color="000000" w:fill="FFFFFF"/>
            <w:noWrap/>
            <w:vAlign w:val="center"/>
            <w:hideMark/>
          </w:tcPr>
          <w:p w:rsidR="00ED544B" w:rsidRPr="00812046" w:rsidP="007546F9" w14:paraId="6052178B" w14:textId="77777777">
            <w:pPr>
              <w:jc w:val="center"/>
              <w:rPr>
                <w:color w:val="000000"/>
                <w:sz w:val="16"/>
                <w:szCs w:val="16"/>
              </w:rPr>
            </w:pPr>
            <w:r w:rsidRPr="00812046">
              <w:rPr>
                <w:color w:val="000000"/>
                <w:sz w:val="16"/>
                <w:szCs w:val="16"/>
              </w:rPr>
              <w:t>2.47***</w:t>
            </w:r>
          </w:p>
        </w:tc>
        <w:tc>
          <w:tcPr>
            <w:tcW w:w="0" w:type="auto"/>
            <w:tcBorders>
              <w:top w:val="nil"/>
              <w:left w:val="nil"/>
              <w:bottom w:val="nil"/>
              <w:right w:val="nil"/>
            </w:tcBorders>
            <w:shd w:val="clear" w:color="000000" w:fill="FFFFFF"/>
            <w:noWrap/>
            <w:vAlign w:val="center"/>
            <w:hideMark/>
          </w:tcPr>
          <w:p w:rsidR="00ED544B" w:rsidRPr="00812046" w:rsidP="007546F9" w14:paraId="485E0F7B" w14:textId="77777777">
            <w:pPr>
              <w:jc w:val="center"/>
              <w:rPr>
                <w:color w:val="000000"/>
                <w:sz w:val="16"/>
                <w:szCs w:val="16"/>
              </w:rPr>
            </w:pPr>
            <w:r w:rsidRPr="00812046">
              <w:rPr>
                <w:color w:val="000000"/>
                <w:sz w:val="16"/>
                <w:szCs w:val="16"/>
              </w:rPr>
              <w:t>3.15***</w:t>
            </w:r>
          </w:p>
        </w:tc>
        <w:tc>
          <w:tcPr>
            <w:tcW w:w="0" w:type="auto"/>
            <w:tcBorders>
              <w:top w:val="nil"/>
              <w:left w:val="nil"/>
              <w:bottom w:val="nil"/>
              <w:right w:val="nil"/>
            </w:tcBorders>
            <w:shd w:val="clear" w:color="000000" w:fill="FFFFFF"/>
            <w:noWrap/>
            <w:vAlign w:val="center"/>
            <w:hideMark/>
          </w:tcPr>
          <w:p w:rsidR="00ED544B" w:rsidRPr="00812046" w:rsidP="007546F9" w14:paraId="5B84AF4F" w14:textId="77777777">
            <w:pPr>
              <w:jc w:val="center"/>
              <w:rPr>
                <w:color w:val="000000"/>
                <w:sz w:val="16"/>
                <w:szCs w:val="16"/>
              </w:rPr>
            </w:pPr>
            <w:r w:rsidRPr="00812046">
              <w:rPr>
                <w:color w:val="000000"/>
                <w:sz w:val="16"/>
                <w:szCs w:val="16"/>
              </w:rPr>
              <w:t>0.67</w:t>
            </w:r>
          </w:p>
        </w:tc>
        <w:tc>
          <w:tcPr>
            <w:tcW w:w="0" w:type="auto"/>
            <w:tcBorders>
              <w:top w:val="nil"/>
              <w:left w:val="nil"/>
              <w:bottom w:val="nil"/>
              <w:right w:val="nil"/>
            </w:tcBorders>
            <w:shd w:val="clear" w:color="000000" w:fill="FFFFFF"/>
            <w:noWrap/>
            <w:vAlign w:val="center"/>
            <w:hideMark/>
          </w:tcPr>
          <w:p w:rsidR="00ED544B" w:rsidRPr="00812046" w:rsidP="007546F9" w14:paraId="0C464A6F" w14:textId="77777777">
            <w:pPr>
              <w:jc w:val="center"/>
              <w:rPr>
                <w:color w:val="000000"/>
                <w:sz w:val="16"/>
                <w:szCs w:val="16"/>
              </w:rPr>
            </w:pPr>
            <w:r w:rsidRPr="00812046">
              <w:rPr>
                <w:color w:val="000000"/>
                <w:sz w:val="16"/>
                <w:szCs w:val="16"/>
              </w:rPr>
              <w:t>2.19***</w:t>
            </w:r>
          </w:p>
        </w:tc>
        <w:tc>
          <w:tcPr>
            <w:tcW w:w="0" w:type="auto"/>
            <w:tcBorders>
              <w:top w:val="nil"/>
              <w:left w:val="nil"/>
              <w:bottom w:val="nil"/>
              <w:right w:val="nil"/>
            </w:tcBorders>
            <w:shd w:val="clear" w:color="000000" w:fill="FFFFFF"/>
            <w:noWrap/>
            <w:vAlign w:val="center"/>
            <w:hideMark/>
          </w:tcPr>
          <w:p w:rsidR="00ED544B" w:rsidRPr="00812046" w:rsidP="007546F9" w14:paraId="7FA24AE7" w14:textId="77777777">
            <w:pPr>
              <w:jc w:val="center"/>
              <w:rPr>
                <w:color w:val="000000"/>
                <w:sz w:val="16"/>
                <w:szCs w:val="16"/>
              </w:rPr>
            </w:pPr>
            <w:r w:rsidRPr="00812046">
              <w:rPr>
                <w:color w:val="000000"/>
                <w:sz w:val="16"/>
                <w:szCs w:val="16"/>
              </w:rPr>
              <w:t>1.37*</w:t>
            </w:r>
          </w:p>
        </w:tc>
        <w:tc>
          <w:tcPr>
            <w:tcW w:w="0" w:type="auto"/>
            <w:tcBorders>
              <w:top w:val="nil"/>
              <w:left w:val="nil"/>
              <w:bottom w:val="nil"/>
              <w:right w:val="nil"/>
            </w:tcBorders>
            <w:shd w:val="clear" w:color="000000" w:fill="FFFFFF"/>
            <w:noWrap/>
            <w:vAlign w:val="center"/>
            <w:hideMark/>
          </w:tcPr>
          <w:p w:rsidR="00ED544B" w:rsidRPr="00812046" w:rsidP="007546F9" w14:paraId="1020842B" w14:textId="77777777">
            <w:pPr>
              <w:jc w:val="center"/>
              <w:rPr>
                <w:color w:val="000000"/>
                <w:sz w:val="16"/>
                <w:szCs w:val="16"/>
              </w:rPr>
            </w:pPr>
            <w:r w:rsidRPr="00812046">
              <w:rPr>
                <w:color w:val="000000"/>
                <w:sz w:val="16"/>
                <w:szCs w:val="16"/>
              </w:rPr>
              <w:t>0.54</w:t>
            </w:r>
          </w:p>
        </w:tc>
        <w:tc>
          <w:tcPr>
            <w:tcW w:w="0" w:type="auto"/>
            <w:tcBorders>
              <w:top w:val="nil"/>
              <w:left w:val="nil"/>
              <w:bottom w:val="nil"/>
              <w:right w:val="nil"/>
            </w:tcBorders>
            <w:shd w:val="clear" w:color="000000" w:fill="FFFFFF"/>
            <w:noWrap/>
            <w:vAlign w:val="center"/>
            <w:hideMark/>
          </w:tcPr>
          <w:p w:rsidR="00ED544B" w:rsidRPr="00812046" w:rsidP="007546F9" w14:paraId="4A7B3006" w14:textId="77777777">
            <w:pPr>
              <w:jc w:val="center"/>
              <w:rPr>
                <w:color w:val="000000"/>
                <w:sz w:val="16"/>
                <w:szCs w:val="16"/>
              </w:rPr>
            </w:pPr>
            <w:r w:rsidRPr="00812046">
              <w:rPr>
                <w:color w:val="000000"/>
                <w:sz w:val="16"/>
                <w:szCs w:val="16"/>
              </w:rPr>
              <w:t>0.99*</w:t>
            </w:r>
          </w:p>
        </w:tc>
        <w:tc>
          <w:tcPr>
            <w:tcW w:w="0" w:type="auto"/>
            <w:tcBorders>
              <w:top w:val="nil"/>
              <w:left w:val="nil"/>
              <w:bottom w:val="nil"/>
              <w:right w:val="nil"/>
            </w:tcBorders>
            <w:shd w:val="clear" w:color="000000" w:fill="FFFFFF"/>
            <w:noWrap/>
            <w:vAlign w:val="center"/>
            <w:hideMark/>
          </w:tcPr>
          <w:p w:rsidR="00ED544B" w:rsidRPr="00812046" w:rsidP="007546F9" w14:paraId="72EE3E2D" w14:textId="77777777">
            <w:pPr>
              <w:jc w:val="center"/>
              <w:rPr>
                <w:color w:val="000000"/>
                <w:sz w:val="16"/>
                <w:szCs w:val="16"/>
              </w:rPr>
            </w:pPr>
            <w:r w:rsidRPr="00812046">
              <w:rPr>
                <w:color w:val="000000"/>
                <w:sz w:val="16"/>
                <w:szCs w:val="16"/>
              </w:rPr>
              <w:t>2.82***</w:t>
            </w:r>
          </w:p>
        </w:tc>
        <w:tc>
          <w:tcPr>
            <w:tcW w:w="0" w:type="auto"/>
            <w:tcBorders>
              <w:top w:val="nil"/>
              <w:left w:val="nil"/>
              <w:bottom w:val="nil"/>
              <w:right w:val="nil"/>
            </w:tcBorders>
            <w:shd w:val="clear" w:color="000000" w:fill="FFFFFF"/>
            <w:noWrap/>
            <w:vAlign w:val="center"/>
            <w:hideMark/>
          </w:tcPr>
          <w:p w:rsidR="00ED544B" w:rsidRPr="00812046" w:rsidP="007546F9" w14:paraId="38D4490C" w14:textId="77777777">
            <w:pPr>
              <w:jc w:val="center"/>
              <w:rPr>
                <w:color w:val="000000"/>
                <w:sz w:val="16"/>
                <w:szCs w:val="16"/>
              </w:rPr>
            </w:pPr>
            <w:r w:rsidRPr="00812046">
              <w:rPr>
                <w:color w:val="000000"/>
                <w:sz w:val="16"/>
                <w:szCs w:val="16"/>
              </w:rPr>
              <w:t>-</w:t>
            </w:r>
          </w:p>
        </w:tc>
        <w:tc>
          <w:tcPr>
            <w:tcW w:w="957" w:type="dxa"/>
            <w:tcBorders>
              <w:top w:val="nil"/>
              <w:left w:val="nil"/>
              <w:bottom w:val="nil"/>
              <w:right w:val="nil"/>
            </w:tcBorders>
            <w:shd w:val="clear" w:color="000000" w:fill="FFFFFF"/>
            <w:noWrap/>
            <w:vAlign w:val="center"/>
            <w:hideMark/>
          </w:tcPr>
          <w:p w:rsidR="00ED544B" w:rsidRPr="00812046" w:rsidP="007546F9" w14:paraId="43031F36" w14:textId="77777777">
            <w:pPr>
              <w:jc w:val="center"/>
              <w:rPr>
                <w:color w:val="000000"/>
                <w:sz w:val="16"/>
                <w:szCs w:val="16"/>
              </w:rPr>
            </w:pPr>
            <w:r w:rsidRPr="00812046">
              <w:rPr>
                <w:color w:val="000000"/>
                <w:sz w:val="16"/>
                <w:szCs w:val="16"/>
              </w:rPr>
              <w:t>-</w:t>
            </w:r>
          </w:p>
        </w:tc>
      </w:tr>
      <w:tr w14:paraId="09F96E52"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bottom"/>
            <w:hideMark/>
          </w:tcPr>
          <w:p w:rsidR="00ED544B" w:rsidRPr="00812046" w:rsidP="007546F9" w14:paraId="1840F06A" w14:textId="77777777">
            <w:pPr>
              <w:rPr>
                <w:rFonts w:ascii="Calibri" w:hAnsi="Calibri" w:cs="Calibri"/>
                <w:color w:val="000000"/>
                <w:sz w:val="16"/>
                <w:szCs w:val="16"/>
              </w:rPr>
            </w:pPr>
            <w:r w:rsidRPr="00812046">
              <w:rPr>
                <w:rFonts w:ascii="Calibri" w:hAnsi="Calibri" w:cs="Calibri"/>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0E53CB28" w14:textId="77777777">
            <w:pPr>
              <w:jc w:val="center"/>
              <w:rPr>
                <w:color w:val="000000"/>
                <w:sz w:val="16"/>
                <w:szCs w:val="16"/>
              </w:rPr>
            </w:pPr>
            <w:r w:rsidRPr="00812046">
              <w:rPr>
                <w:color w:val="000000"/>
                <w:sz w:val="16"/>
                <w:szCs w:val="16"/>
              </w:rPr>
              <w:t>(0.41)</w:t>
            </w:r>
          </w:p>
        </w:tc>
        <w:tc>
          <w:tcPr>
            <w:tcW w:w="0" w:type="auto"/>
            <w:tcBorders>
              <w:top w:val="nil"/>
              <w:left w:val="nil"/>
              <w:bottom w:val="nil"/>
              <w:right w:val="nil"/>
            </w:tcBorders>
            <w:shd w:val="clear" w:color="000000" w:fill="FFFFFF"/>
            <w:noWrap/>
            <w:vAlign w:val="center"/>
            <w:hideMark/>
          </w:tcPr>
          <w:p w:rsidR="00ED544B" w:rsidRPr="00812046" w:rsidP="007546F9" w14:paraId="3FA57D4C" w14:textId="77777777">
            <w:pPr>
              <w:jc w:val="center"/>
              <w:rPr>
                <w:color w:val="000000"/>
                <w:sz w:val="16"/>
                <w:szCs w:val="16"/>
              </w:rPr>
            </w:pPr>
            <w:r w:rsidRPr="00812046">
              <w:rPr>
                <w:color w:val="000000"/>
                <w:sz w:val="16"/>
                <w:szCs w:val="16"/>
              </w:rPr>
              <w:t>(0.40)</w:t>
            </w:r>
          </w:p>
        </w:tc>
        <w:tc>
          <w:tcPr>
            <w:tcW w:w="0" w:type="auto"/>
            <w:tcBorders>
              <w:top w:val="nil"/>
              <w:left w:val="nil"/>
              <w:bottom w:val="nil"/>
              <w:right w:val="nil"/>
            </w:tcBorders>
            <w:shd w:val="clear" w:color="000000" w:fill="FFFFFF"/>
            <w:noWrap/>
            <w:vAlign w:val="center"/>
            <w:hideMark/>
          </w:tcPr>
          <w:p w:rsidR="00ED544B" w:rsidRPr="00812046" w:rsidP="007546F9" w14:paraId="4AC49630" w14:textId="77777777">
            <w:pPr>
              <w:jc w:val="center"/>
              <w:rPr>
                <w:color w:val="000000"/>
                <w:sz w:val="16"/>
                <w:szCs w:val="16"/>
              </w:rPr>
            </w:pPr>
            <w:r w:rsidRPr="00812046">
              <w:rPr>
                <w:color w:val="000000"/>
                <w:sz w:val="16"/>
                <w:szCs w:val="16"/>
              </w:rPr>
              <w:t>(0.43)</w:t>
            </w:r>
          </w:p>
        </w:tc>
        <w:tc>
          <w:tcPr>
            <w:tcW w:w="0" w:type="auto"/>
            <w:tcBorders>
              <w:top w:val="nil"/>
              <w:left w:val="nil"/>
              <w:bottom w:val="nil"/>
              <w:right w:val="nil"/>
            </w:tcBorders>
            <w:shd w:val="clear" w:color="000000" w:fill="FFFFFF"/>
            <w:noWrap/>
            <w:vAlign w:val="center"/>
            <w:hideMark/>
          </w:tcPr>
          <w:p w:rsidR="00ED544B" w:rsidRPr="00812046" w:rsidP="007546F9" w14:paraId="72C29783" w14:textId="77777777">
            <w:pPr>
              <w:jc w:val="center"/>
              <w:rPr>
                <w:color w:val="000000"/>
                <w:sz w:val="16"/>
                <w:szCs w:val="16"/>
              </w:rPr>
            </w:pPr>
            <w:r w:rsidRPr="00812046">
              <w:rPr>
                <w:color w:val="000000"/>
                <w:sz w:val="16"/>
                <w:szCs w:val="16"/>
              </w:rPr>
              <w:t>(0.42)</w:t>
            </w:r>
          </w:p>
        </w:tc>
        <w:tc>
          <w:tcPr>
            <w:tcW w:w="0" w:type="auto"/>
            <w:tcBorders>
              <w:top w:val="nil"/>
              <w:left w:val="nil"/>
              <w:bottom w:val="nil"/>
              <w:right w:val="nil"/>
            </w:tcBorders>
            <w:shd w:val="clear" w:color="000000" w:fill="FFFFFF"/>
            <w:noWrap/>
            <w:vAlign w:val="center"/>
            <w:hideMark/>
          </w:tcPr>
          <w:p w:rsidR="00ED544B" w:rsidRPr="00812046" w:rsidP="007546F9" w14:paraId="2E3B61E5" w14:textId="77777777">
            <w:pPr>
              <w:jc w:val="center"/>
              <w:rPr>
                <w:color w:val="000000"/>
                <w:sz w:val="16"/>
                <w:szCs w:val="16"/>
              </w:rPr>
            </w:pPr>
            <w:r w:rsidRPr="00812046">
              <w:rPr>
                <w:color w:val="000000"/>
                <w:sz w:val="16"/>
                <w:szCs w:val="16"/>
              </w:rPr>
              <w:t>(0.41)</w:t>
            </w:r>
          </w:p>
        </w:tc>
        <w:tc>
          <w:tcPr>
            <w:tcW w:w="0" w:type="auto"/>
            <w:tcBorders>
              <w:top w:val="nil"/>
              <w:left w:val="nil"/>
              <w:bottom w:val="nil"/>
              <w:right w:val="nil"/>
            </w:tcBorders>
            <w:shd w:val="clear" w:color="000000" w:fill="FFFFFF"/>
            <w:noWrap/>
            <w:vAlign w:val="center"/>
            <w:hideMark/>
          </w:tcPr>
          <w:p w:rsidR="00ED544B" w:rsidRPr="00812046" w:rsidP="007546F9" w14:paraId="372757D9" w14:textId="77777777">
            <w:pPr>
              <w:jc w:val="center"/>
              <w:rPr>
                <w:color w:val="000000"/>
                <w:sz w:val="16"/>
                <w:szCs w:val="16"/>
              </w:rPr>
            </w:pPr>
            <w:r w:rsidRPr="00812046">
              <w:rPr>
                <w:color w:val="000000"/>
                <w:sz w:val="16"/>
                <w:szCs w:val="16"/>
              </w:rPr>
              <w:t>(0.38)</w:t>
            </w:r>
          </w:p>
        </w:tc>
        <w:tc>
          <w:tcPr>
            <w:tcW w:w="0" w:type="auto"/>
            <w:tcBorders>
              <w:top w:val="nil"/>
              <w:left w:val="nil"/>
              <w:bottom w:val="nil"/>
              <w:right w:val="nil"/>
            </w:tcBorders>
            <w:shd w:val="clear" w:color="000000" w:fill="FFFFFF"/>
            <w:noWrap/>
            <w:vAlign w:val="center"/>
            <w:hideMark/>
          </w:tcPr>
          <w:p w:rsidR="00ED544B" w:rsidRPr="00812046" w:rsidP="007546F9" w14:paraId="7B61E882" w14:textId="77777777">
            <w:pPr>
              <w:jc w:val="center"/>
              <w:rPr>
                <w:color w:val="000000"/>
                <w:sz w:val="16"/>
                <w:szCs w:val="16"/>
              </w:rPr>
            </w:pPr>
            <w:r w:rsidRPr="00812046">
              <w:rPr>
                <w:color w:val="000000"/>
                <w:sz w:val="16"/>
                <w:szCs w:val="16"/>
              </w:rPr>
              <w:t>(0.56)</w:t>
            </w:r>
          </w:p>
        </w:tc>
        <w:tc>
          <w:tcPr>
            <w:tcW w:w="0" w:type="auto"/>
            <w:tcBorders>
              <w:top w:val="nil"/>
              <w:left w:val="nil"/>
              <w:bottom w:val="nil"/>
              <w:right w:val="nil"/>
            </w:tcBorders>
            <w:shd w:val="clear" w:color="000000" w:fill="FFFFFF"/>
            <w:noWrap/>
            <w:vAlign w:val="center"/>
            <w:hideMark/>
          </w:tcPr>
          <w:p w:rsidR="00ED544B" w:rsidRPr="00812046" w:rsidP="007546F9" w14:paraId="7621CAC5" w14:textId="77777777">
            <w:pPr>
              <w:jc w:val="center"/>
              <w:rPr>
                <w:color w:val="000000"/>
                <w:sz w:val="16"/>
                <w:szCs w:val="16"/>
              </w:rPr>
            </w:pPr>
            <w:r w:rsidRPr="00812046">
              <w:rPr>
                <w:color w:val="000000"/>
                <w:sz w:val="16"/>
                <w:szCs w:val="16"/>
              </w:rPr>
              <w:t>(0.30)</w:t>
            </w:r>
          </w:p>
        </w:tc>
        <w:tc>
          <w:tcPr>
            <w:tcW w:w="0" w:type="auto"/>
            <w:tcBorders>
              <w:top w:val="nil"/>
              <w:left w:val="nil"/>
              <w:bottom w:val="nil"/>
              <w:right w:val="nil"/>
            </w:tcBorders>
            <w:shd w:val="clear" w:color="000000" w:fill="FFFFFF"/>
            <w:noWrap/>
            <w:vAlign w:val="center"/>
            <w:hideMark/>
          </w:tcPr>
          <w:p w:rsidR="00ED544B" w:rsidRPr="00812046" w:rsidP="007546F9" w14:paraId="096CD80A" w14:textId="77777777">
            <w:pPr>
              <w:jc w:val="center"/>
              <w:rPr>
                <w:color w:val="000000"/>
                <w:sz w:val="16"/>
                <w:szCs w:val="16"/>
              </w:rPr>
            </w:pPr>
            <w:r w:rsidRPr="00812046">
              <w:rPr>
                <w:color w:val="000000"/>
                <w:sz w:val="16"/>
                <w:szCs w:val="16"/>
              </w:rPr>
              <w:t>(0.44)</w:t>
            </w:r>
          </w:p>
        </w:tc>
        <w:tc>
          <w:tcPr>
            <w:tcW w:w="0" w:type="auto"/>
            <w:tcBorders>
              <w:top w:val="nil"/>
              <w:left w:val="nil"/>
              <w:bottom w:val="nil"/>
              <w:right w:val="nil"/>
            </w:tcBorders>
            <w:shd w:val="clear" w:color="000000" w:fill="FFFFFF"/>
            <w:noWrap/>
            <w:vAlign w:val="center"/>
            <w:hideMark/>
          </w:tcPr>
          <w:p w:rsidR="00ED544B" w:rsidRPr="00812046" w:rsidP="007546F9" w14:paraId="2FA89D79" w14:textId="77777777">
            <w:pPr>
              <w:jc w:val="center"/>
              <w:rPr>
                <w:color w:val="000000"/>
                <w:sz w:val="16"/>
                <w:szCs w:val="16"/>
              </w:rPr>
            </w:pPr>
            <w:r w:rsidRPr="00812046">
              <w:rPr>
                <w:color w:val="000000"/>
                <w:sz w:val="16"/>
                <w:szCs w:val="16"/>
              </w:rPr>
              <w:t>(0.40)</w:t>
            </w:r>
          </w:p>
        </w:tc>
        <w:tc>
          <w:tcPr>
            <w:tcW w:w="0" w:type="auto"/>
            <w:tcBorders>
              <w:top w:val="nil"/>
              <w:left w:val="nil"/>
              <w:bottom w:val="nil"/>
              <w:right w:val="nil"/>
            </w:tcBorders>
            <w:shd w:val="clear" w:color="000000" w:fill="FFFFFF"/>
            <w:noWrap/>
            <w:vAlign w:val="center"/>
            <w:hideMark/>
          </w:tcPr>
          <w:p w:rsidR="00ED544B" w:rsidRPr="00812046" w:rsidP="007546F9" w14:paraId="72ADFA61" w14:textId="77777777">
            <w:pPr>
              <w:jc w:val="center"/>
              <w:rPr>
                <w:color w:val="000000"/>
                <w:sz w:val="16"/>
                <w:szCs w:val="16"/>
              </w:rPr>
            </w:pPr>
            <w:r w:rsidRPr="00812046">
              <w:rPr>
                <w:color w:val="000000"/>
                <w:sz w:val="16"/>
                <w:szCs w:val="16"/>
              </w:rPr>
              <w:t>-</w:t>
            </w:r>
          </w:p>
        </w:tc>
        <w:tc>
          <w:tcPr>
            <w:tcW w:w="957" w:type="dxa"/>
            <w:tcBorders>
              <w:top w:val="nil"/>
              <w:left w:val="nil"/>
              <w:bottom w:val="nil"/>
              <w:right w:val="nil"/>
            </w:tcBorders>
            <w:shd w:val="clear" w:color="000000" w:fill="FFFFFF"/>
            <w:noWrap/>
            <w:vAlign w:val="center"/>
            <w:hideMark/>
          </w:tcPr>
          <w:p w:rsidR="00ED544B" w:rsidRPr="00812046" w:rsidP="007546F9" w14:paraId="176B49C3" w14:textId="77777777">
            <w:pPr>
              <w:jc w:val="center"/>
              <w:rPr>
                <w:color w:val="000000"/>
                <w:sz w:val="16"/>
                <w:szCs w:val="16"/>
              </w:rPr>
            </w:pPr>
            <w:r w:rsidRPr="00812046">
              <w:rPr>
                <w:color w:val="000000"/>
                <w:sz w:val="16"/>
                <w:szCs w:val="16"/>
              </w:rPr>
              <w:t>-</w:t>
            </w:r>
          </w:p>
        </w:tc>
      </w:tr>
      <w:tr w14:paraId="305BDACD"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410A0745" w14:textId="77777777">
            <w:pPr>
              <w:rPr>
                <w:color w:val="000000"/>
                <w:sz w:val="16"/>
                <w:szCs w:val="16"/>
              </w:rPr>
            </w:pPr>
            <w:r w:rsidRPr="00812046">
              <w:rPr>
                <w:color w:val="000000"/>
                <w:sz w:val="16"/>
                <w:szCs w:val="16"/>
              </w:rPr>
              <w:t>Threshold 4</w:t>
            </w:r>
          </w:p>
        </w:tc>
        <w:tc>
          <w:tcPr>
            <w:tcW w:w="0" w:type="auto"/>
            <w:tcBorders>
              <w:top w:val="nil"/>
              <w:left w:val="nil"/>
              <w:bottom w:val="nil"/>
              <w:right w:val="nil"/>
            </w:tcBorders>
            <w:shd w:val="clear" w:color="000000" w:fill="FFFFFF"/>
            <w:noWrap/>
            <w:vAlign w:val="center"/>
            <w:hideMark/>
          </w:tcPr>
          <w:p w:rsidR="00ED544B" w:rsidRPr="00812046" w:rsidP="007546F9" w14:paraId="38C5C6D9" w14:textId="77777777">
            <w:pPr>
              <w:jc w:val="center"/>
              <w:rPr>
                <w:color w:val="000000"/>
                <w:sz w:val="16"/>
                <w:szCs w:val="16"/>
              </w:rPr>
            </w:pPr>
            <w:r w:rsidRPr="00812046">
              <w:rPr>
                <w:color w:val="000000"/>
                <w:sz w:val="16"/>
                <w:szCs w:val="16"/>
              </w:rPr>
              <w:t>4.20***</w:t>
            </w:r>
          </w:p>
        </w:tc>
        <w:tc>
          <w:tcPr>
            <w:tcW w:w="0" w:type="auto"/>
            <w:tcBorders>
              <w:top w:val="nil"/>
              <w:left w:val="nil"/>
              <w:bottom w:val="nil"/>
              <w:right w:val="nil"/>
            </w:tcBorders>
            <w:shd w:val="clear" w:color="000000" w:fill="FFFFFF"/>
            <w:noWrap/>
            <w:vAlign w:val="center"/>
            <w:hideMark/>
          </w:tcPr>
          <w:p w:rsidR="00ED544B" w:rsidRPr="00812046" w:rsidP="007546F9" w14:paraId="166A3213" w14:textId="77777777">
            <w:pPr>
              <w:jc w:val="center"/>
              <w:rPr>
                <w:color w:val="000000"/>
                <w:sz w:val="16"/>
                <w:szCs w:val="16"/>
              </w:rPr>
            </w:pPr>
            <w:r w:rsidRPr="00812046">
              <w:rPr>
                <w:color w:val="000000"/>
                <w:sz w:val="16"/>
                <w:szCs w:val="16"/>
              </w:rPr>
              <w:t>4.47***</w:t>
            </w:r>
          </w:p>
        </w:tc>
        <w:tc>
          <w:tcPr>
            <w:tcW w:w="0" w:type="auto"/>
            <w:tcBorders>
              <w:top w:val="nil"/>
              <w:left w:val="nil"/>
              <w:bottom w:val="nil"/>
              <w:right w:val="nil"/>
            </w:tcBorders>
            <w:shd w:val="clear" w:color="000000" w:fill="FFFFFF"/>
            <w:noWrap/>
            <w:vAlign w:val="center"/>
            <w:hideMark/>
          </w:tcPr>
          <w:p w:rsidR="00ED544B" w:rsidRPr="00812046" w:rsidP="007546F9" w14:paraId="030FC212" w14:textId="77777777">
            <w:pPr>
              <w:jc w:val="center"/>
              <w:rPr>
                <w:color w:val="000000"/>
                <w:sz w:val="16"/>
                <w:szCs w:val="16"/>
              </w:rPr>
            </w:pPr>
            <w:r w:rsidRPr="00812046">
              <w:rPr>
                <w:color w:val="000000"/>
                <w:sz w:val="16"/>
                <w:szCs w:val="16"/>
              </w:rPr>
              <w:t>4.89***</w:t>
            </w:r>
          </w:p>
        </w:tc>
        <w:tc>
          <w:tcPr>
            <w:tcW w:w="0" w:type="auto"/>
            <w:tcBorders>
              <w:top w:val="nil"/>
              <w:left w:val="nil"/>
              <w:bottom w:val="nil"/>
              <w:right w:val="nil"/>
            </w:tcBorders>
            <w:shd w:val="clear" w:color="000000" w:fill="FFFFFF"/>
            <w:noWrap/>
            <w:vAlign w:val="center"/>
            <w:hideMark/>
          </w:tcPr>
          <w:p w:rsidR="00ED544B" w:rsidRPr="00812046" w:rsidP="007546F9" w14:paraId="0E94E4BD" w14:textId="77777777">
            <w:pPr>
              <w:jc w:val="center"/>
              <w:rPr>
                <w:color w:val="000000"/>
                <w:sz w:val="16"/>
                <w:szCs w:val="16"/>
              </w:rPr>
            </w:pPr>
            <w:r w:rsidRPr="00812046">
              <w:rPr>
                <w:color w:val="000000"/>
                <w:sz w:val="16"/>
                <w:szCs w:val="16"/>
              </w:rPr>
              <w:t>5.33***</w:t>
            </w:r>
          </w:p>
        </w:tc>
        <w:tc>
          <w:tcPr>
            <w:tcW w:w="0" w:type="auto"/>
            <w:tcBorders>
              <w:top w:val="nil"/>
              <w:left w:val="nil"/>
              <w:bottom w:val="nil"/>
              <w:right w:val="nil"/>
            </w:tcBorders>
            <w:shd w:val="clear" w:color="000000" w:fill="FFFFFF"/>
            <w:noWrap/>
            <w:vAlign w:val="center"/>
            <w:hideMark/>
          </w:tcPr>
          <w:p w:rsidR="00ED544B" w:rsidRPr="00812046" w:rsidP="007546F9" w14:paraId="0117E2FC" w14:textId="77777777">
            <w:pPr>
              <w:jc w:val="center"/>
              <w:rPr>
                <w:color w:val="000000"/>
                <w:sz w:val="16"/>
                <w:szCs w:val="16"/>
              </w:rPr>
            </w:pPr>
            <w:r w:rsidRPr="00812046">
              <w:rPr>
                <w:color w:val="000000"/>
                <w:sz w:val="16"/>
                <w:szCs w:val="16"/>
              </w:rPr>
              <w:t>3.10***</w:t>
            </w:r>
          </w:p>
        </w:tc>
        <w:tc>
          <w:tcPr>
            <w:tcW w:w="0" w:type="auto"/>
            <w:tcBorders>
              <w:top w:val="nil"/>
              <w:left w:val="nil"/>
              <w:bottom w:val="nil"/>
              <w:right w:val="nil"/>
            </w:tcBorders>
            <w:shd w:val="clear" w:color="000000" w:fill="FFFFFF"/>
            <w:noWrap/>
            <w:vAlign w:val="center"/>
            <w:hideMark/>
          </w:tcPr>
          <w:p w:rsidR="00ED544B" w:rsidRPr="00812046" w:rsidP="007546F9" w14:paraId="0C6B8A22" w14:textId="77777777">
            <w:pPr>
              <w:jc w:val="center"/>
              <w:rPr>
                <w:color w:val="000000"/>
                <w:sz w:val="16"/>
                <w:szCs w:val="16"/>
              </w:rPr>
            </w:pPr>
            <w:r w:rsidRPr="00812046">
              <w:rPr>
                <w:color w:val="000000"/>
                <w:sz w:val="16"/>
                <w:szCs w:val="16"/>
              </w:rPr>
              <w:t>4.38***</w:t>
            </w:r>
          </w:p>
        </w:tc>
        <w:tc>
          <w:tcPr>
            <w:tcW w:w="0" w:type="auto"/>
            <w:tcBorders>
              <w:top w:val="nil"/>
              <w:left w:val="nil"/>
              <w:bottom w:val="nil"/>
              <w:right w:val="nil"/>
            </w:tcBorders>
            <w:shd w:val="clear" w:color="000000" w:fill="FFFFFF"/>
            <w:noWrap/>
            <w:vAlign w:val="center"/>
            <w:hideMark/>
          </w:tcPr>
          <w:p w:rsidR="00ED544B" w:rsidRPr="00812046" w:rsidP="007546F9" w14:paraId="149EF0C1" w14:textId="77777777">
            <w:pPr>
              <w:jc w:val="center"/>
              <w:rPr>
                <w:color w:val="000000"/>
                <w:sz w:val="16"/>
                <w:szCs w:val="16"/>
              </w:rPr>
            </w:pPr>
            <w:r w:rsidRPr="00812046">
              <w:rPr>
                <w:color w:val="000000"/>
                <w:sz w:val="16"/>
                <w:szCs w:val="16"/>
              </w:rPr>
              <w:t>4.11***</w:t>
            </w:r>
          </w:p>
        </w:tc>
        <w:tc>
          <w:tcPr>
            <w:tcW w:w="0" w:type="auto"/>
            <w:tcBorders>
              <w:top w:val="nil"/>
              <w:left w:val="nil"/>
              <w:bottom w:val="nil"/>
              <w:right w:val="nil"/>
            </w:tcBorders>
            <w:shd w:val="clear" w:color="000000" w:fill="FFFFFF"/>
            <w:noWrap/>
            <w:vAlign w:val="center"/>
            <w:hideMark/>
          </w:tcPr>
          <w:p w:rsidR="00ED544B" w:rsidRPr="00812046" w:rsidP="007546F9" w14:paraId="3086D626" w14:textId="77777777">
            <w:pPr>
              <w:jc w:val="center"/>
              <w:rPr>
                <w:color w:val="000000"/>
                <w:sz w:val="16"/>
                <w:szCs w:val="16"/>
              </w:rPr>
            </w:pPr>
            <w:r w:rsidRPr="00812046">
              <w:rPr>
                <w:color w:val="000000"/>
                <w:sz w:val="16"/>
                <w:szCs w:val="16"/>
              </w:rPr>
              <w:t>2.89***</w:t>
            </w:r>
          </w:p>
        </w:tc>
        <w:tc>
          <w:tcPr>
            <w:tcW w:w="0" w:type="auto"/>
            <w:tcBorders>
              <w:top w:val="nil"/>
              <w:left w:val="nil"/>
              <w:bottom w:val="nil"/>
              <w:right w:val="nil"/>
            </w:tcBorders>
            <w:shd w:val="clear" w:color="000000" w:fill="FFFFFF"/>
            <w:noWrap/>
            <w:vAlign w:val="center"/>
            <w:hideMark/>
          </w:tcPr>
          <w:p w:rsidR="00ED544B" w:rsidRPr="00812046" w:rsidP="007546F9" w14:paraId="3FD22A36" w14:textId="77777777">
            <w:pPr>
              <w:jc w:val="center"/>
              <w:rPr>
                <w:color w:val="000000"/>
                <w:sz w:val="16"/>
                <w:szCs w:val="16"/>
              </w:rPr>
            </w:pPr>
            <w:r w:rsidRPr="00812046">
              <w:rPr>
                <w:color w:val="000000"/>
                <w:sz w:val="16"/>
                <w:szCs w:val="16"/>
              </w:rPr>
              <w:t>3.36***</w:t>
            </w:r>
          </w:p>
        </w:tc>
        <w:tc>
          <w:tcPr>
            <w:tcW w:w="0" w:type="auto"/>
            <w:tcBorders>
              <w:top w:val="nil"/>
              <w:left w:val="nil"/>
              <w:bottom w:val="nil"/>
              <w:right w:val="nil"/>
            </w:tcBorders>
            <w:shd w:val="clear" w:color="000000" w:fill="FFFFFF"/>
            <w:noWrap/>
            <w:vAlign w:val="center"/>
            <w:hideMark/>
          </w:tcPr>
          <w:p w:rsidR="00ED544B" w:rsidRPr="00812046" w:rsidP="007546F9" w14:paraId="7CAA36DD" w14:textId="77777777">
            <w:pPr>
              <w:jc w:val="center"/>
              <w:rPr>
                <w:color w:val="000000"/>
                <w:sz w:val="16"/>
                <w:szCs w:val="16"/>
              </w:rPr>
            </w:pPr>
            <w:r w:rsidRPr="00812046">
              <w:rPr>
                <w:color w:val="000000"/>
                <w:sz w:val="16"/>
                <w:szCs w:val="16"/>
              </w:rPr>
              <w:t>5.18***</w:t>
            </w:r>
          </w:p>
        </w:tc>
        <w:tc>
          <w:tcPr>
            <w:tcW w:w="0" w:type="auto"/>
            <w:tcBorders>
              <w:top w:val="nil"/>
              <w:left w:val="nil"/>
              <w:bottom w:val="nil"/>
              <w:right w:val="nil"/>
            </w:tcBorders>
            <w:shd w:val="clear" w:color="000000" w:fill="FFFFFF"/>
            <w:noWrap/>
            <w:vAlign w:val="center"/>
            <w:hideMark/>
          </w:tcPr>
          <w:p w:rsidR="00ED544B" w:rsidRPr="00812046" w:rsidP="007546F9" w14:paraId="2907AB55" w14:textId="77777777">
            <w:pPr>
              <w:jc w:val="center"/>
              <w:rPr>
                <w:color w:val="000000"/>
                <w:sz w:val="16"/>
                <w:szCs w:val="16"/>
              </w:rPr>
            </w:pPr>
            <w:r w:rsidRPr="00812046">
              <w:rPr>
                <w:color w:val="000000"/>
                <w:sz w:val="16"/>
                <w:szCs w:val="16"/>
              </w:rPr>
              <w:t>-</w:t>
            </w:r>
          </w:p>
        </w:tc>
        <w:tc>
          <w:tcPr>
            <w:tcW w:w="957" w:type="dxa"/>
            <w:tcBorders>
              <w:top w:val="nil"/>
              <w:left w:val="nil"/>
              <w:bottom w:val="nil"/>
              <w:right w:val="nil"/>
            </w:tcBorders>
            <w:shd w:val="clear" w:color="000000" w:fill="FFFFFF"/>
            <w:noWrap/>
            <w:vAlign w:val="center"/>
            <w:hideMark/>
          </w:tcPr>
          <w:p w:rsidR="00ED544B" w:rsidRPr="00812046" w:rsidP="007546F9" w14:paraId="264496D9" w14:textId="77777777">
            <w:pPr>
              <w:jc w:val="center"/>
              <w:rPr>
                <w:color w:val="000000"/>
                <w:sz w:val="16"/>
                <w:szCs w:val="16"/>
              </w:rPr>
            </w:pPr>
            <w:r w:rsidRPr="00812046">
              <w:rPr>
                <w:color w:val="000000"/>
                <w:sz w:val="16"/>
                <w:szCs w:val="16"/>
              </w:rPr>
              <w:t>-</w:t>
            </w:r>
          </w:p>
        </w:tc>
      </w:tr>
      <w:tr w14:paraId="19A24649"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bottom"/>
            <w:hideMark/>
          </w:tcPr>
          <w:p w:rsidR="00ED544B" w:rsidRPr="00812046" w:rsidP="007546F9" w14:paraId="4EE5A764" w14:textId="77777777">
            <w:pPr>
              <w:rPr>
                <w:rFonts w:ascii="Calibri" w:hAnsi="Calibri" w:cs="Calibri"/>
                <w:color w:val="000000"/>
                <w:sz w:val="16"/>
                <w:szCs w:val="16"/>
              </w:rPr>
            </w:pPr>
            <w:r w:rsidRPr="00812046">
              <w:rPr>
                <w:rFonts w:ascii="Calibri" w:hAnsi="Calibri" w:cs="Calibri"/>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5B5374A7" w14:textId="77777777">
            <w:pPr>
              <w:jc w:val="center"/>
              <w:rPr>
                <w:color w:val="000000"/>
                <w:sz w:val="16"/>
                <w:szCs w:val="16"/>
              </w:rPr>
            </w:pPr>
            <w:r w:rsidRPr="00812046">
              <w:rPr>
                <w:color w:val="000000"/>
                <w:sz w:val="16"/>
                <w:szCs w:val="16"/>
              </w:rPr>
              <w:t>(0.41)</w:t>
            </w:r>
          </w:p>
        </w:tc>
        <w:tc>
          <w:tcPr>
            <w:tcW w:w="0" w:type="auto"/>
            <w:tcBorders>
              <w:top w:val="nil"/>
              <w:left w:val="nil"/>
              <w:bottom w:val="nil"/>
              <w:right w:val="nil"/>
            </w:tcBorders>
            <w:shd w:val="clear" w:color="000000" w:fill="FFFFFF"/>
            <w:noWrap/>
            <w:vAlign w:val="center"/>
            <w:hideMark/>
          </w:tcPr>
          <w:p w:rsidR="00ED544B" w:rsidRPr="00812046" w:rsidP="007546F9" w14:paraId="2BAF15E4" w14:textId="77777777">
            <w:pPr>
              <w:jc w:val="center"/>
              <w:rPr>
                <w:color w:val="000000"/>
                <w:sz w:val="16"/>
                <w:szCs w:val="16"/>
              </w:rPr>
            </w:pPr>
            <w:r w:rsidRPr="00812046">
              <w:rPr>
                <w:color w:val="000000"/>
                <w:sz w:val="16"/>
                <w:szCs w:val="16"/>
              </w:rPr>
              <w:t>(0.40)</w:t>
            </w:r>
          </w:p>
        </w:tc>
        <w:tc>
          <w:tcPr>
            <w:tcW w:w="0" w:type="auto"/>
            <w:tcBorders>
              <w:top w:val="nil"/>
              <w:left w:val="nil"/>
              <w:bottom w:val="nil"/>
              <w:right w:val="nil"/>
            </w:tcBorders>
            <w:shd w:val="clear" w:color="000000" w:fill="FFFFFF"/>
            <w:noWrap/>
            <w:vAlign w:val="center"/>
            <w:hideMark/>
          </w:tcPr>
          <w:p w:rsidR="00ED544B" w:rsidRPr="00812046" w:rsidP="007546F9" w14:paraId="76E7A2E4" w14:textId="77777777">
            <w:pPr>
              <w:jc w:val="center"/>
              <w:rPr>
                <w:color w:val="000000"/>
                <w:sz w:val="16"/>
                <w:szCs w:val="16"/>
              </w:rPr>
            </w:pPr>
            <w:r w:rsidRPr="00812046">
              <w:rPr>
                <w:color w:val="000000"/>
                <w:sz w:val="16"/>
                <w:szCs w:val="16"/>
              </w:rPr>
              <w:t>(0.43)</w:t>
            </w:r>
          </w:p>
        </w:tc>
        <w:tc>
          <w:tcPr>
            <w:tcW w:w="0" w:type="auto"/>
            <w:tcBorders>
              <w:top w:val="nil"/>
              <w:left w:val="nil"/>
              <w:bottom w:val="nil"/>
              <w:right w:val="nil"/>
            </w:tcBorders>
            <w:shd w:val="clear" w:color="000000" w:fill="FFFFFF"/>
            <w:noWrap/>
            <w:vAlign w:val="center"/>
            <w:hideMark/>
          </w:tcPr>
          <w:p w:rsidR="00ED544B" w:rsidRPr="00812046" w:rsidP="007546F9" w14:paraId="2F610794" w14:textId="77777777">
            <w:pPr>
              <w:jc w:val="center"/>
              <w:rPr>
                <w:color w:val="000000"/>
                <w:sz w:val="16"/>
                <w:szCs w:val="16"/>
              </w:rPr>
            </w:pPr>
            <w:r w:rsidRPr="00812046">
              <w:rPr>
                <w:color w:val="000000"/>
                <w:sz w:val="16"/>
                <w:szCs w:val="16"/>
              </w:rPr>
              <w:t>(0.42)</w:t>
            </w:r>
          </w:p>
        </w:tc>
        <w:tc>
          <w:tcPr>
            <w:tcW w:w="0" w:type="auto"/>
            <w:tcBorders>
              <w:top w:val="nil"/>
              <w:left w:val="nil"/>
              <w:bottom w:val="nil"/>
              <w:right w:val="nil"/>
            </w:tcBorders>
            <w:shd w:val="clear" w:color="000000" w:fill="FFFFFF"/>
            <w:noWrap/>
            <w:vAlign w:val="center"/>
            <w:hideMark/>
          </w:tcPr>
          <w:p w:rsidR="00ED544B" w:rsidRPr="00812046" w:rsidP="007546F9" w14:paraId="386C9142" w14:textId="77777777">
            <w:pPr>
              <w:jc w:val="center"/>
              <w:rPr>
                <w:color w:val="000000"/>
                <w:sz w:val="16"/>
                <w:szCs w:val="16"/>
              </w:rPr>
            </w:pPr>
            <w:r w:rsidRPr="00812046">
              <w:rPr>
                <w:color w:val="000000"/>
                <w:sz w:val="16"/>
                <w:szCs w:val="16"/>
              </w:rPr>
              <w:t>(0.41)</w:t>
            </w:r>
          </w:p>
        </w:tc>
        <w:tc>
          <w:tcPr>
            <w:tcW w:w="0" w:type="auto"/>
            <w:tcBorders>
              <w:top w:val="nil"/>
              <w:left w:val="nil"/>
              <w:bottom w:val="nil"/>
              <w:right w:val="nil"/>
            </w:tcBorders>
            <w:shd w:val="clear" w:color="000000" w:fill="FFFFFF"/>
            <w:noWrap/>
            <w:vAlign w:val="center"/>
            <w:hideMark/>
          </w:tcPr>
          <w:p w:rsidR="00ED544B" w:rsidRPr="00812046" w:rsidP="007546F9" w14:paraId="380D584F" w14:textId="77777777">
            <w:pPr>
              <w:jc w:val="center"/>
              <w:rPr>
                <w:color w:val="000000"/>
                <w:sz w:val="16"/>
                <w:szCs w:val="16"/>
              </w:rPr>
            </w:pPr>
            <w:r w:rsidRPr="00812046">
              <w:rPr>
                <w:color w:val="000000"/>
                <w:sz w:val="16"/>
                <w:szCs w:val="16"/>
              </w:rPr>
              <w:t>(0.38)</w:t>
            </w:r>
          </w:p>
        </w:tc>
        <w:tc>
          <w:tcPr>
            <w:tcW w:w="0" w:type="auto"/>
            <w:tcBorders>
              <w:top w:val="nil"/>
              <w:left w:val="nil"/>
              <w:bottom w:val="nil"/>
              <w:right w:val="nil"/>
            </w:tcBorders>
            <w:shd w:val="clear" w:color="000000" w:fill="FFFFFF"/>
            <w:noWrap/>
            <w:vAlign w:val="center"/>
            <w:hideMark/>
          </w:tcPr>
          <w:p w:rsidR="00ED544B" w:rsidRPr="00812046" w:rsidP="007546F9" w14:paraId="7301A58A" w14:textId="77777777">
            <w:pPr>
              <w:jc w:val="center"/>
              <w:rPr>
                <w:color w:val="000000"/>
                <w:sz w:val="16"/>
                <w:szCs w:val="16"/>
              </w:rPr>
            </w:pPr>
            <w:r w:rsidRPr="00812046">
              <w:rPr>
                <w:color w:val="000000"/>
                <w:sz w:val="16"/>
                <w:szCs w:val="16"/>
              </w:rPr>
              <w:t>(0.56)</w:t>
            </w:r>
          </w:p>
        </w:tc>
        <w:tc>
          <w:tcPr>
            <w:tcW w:w="0" w:type="auto"/>
            <w:tcBorders>
              <w:top w:val="nil"/>
              <w:left w:val="nil"/>
              <w:bottom w:val="nil"/>
              <w:right w:val="nil"/>
            </w:tcBorders>
            <w:shd w:val="clear" w:color="000000" w:fill="FFFFFF"/>
            <w:noWrap/>
            <w:vAlign w:val="center"/>
            <w:hideMark/>
          </w:tcPr>
          <w:p w:rsidR="00ED544B" w:rsidRPr="00812046" w:rsidP="007546F9" w14:paraId="21388CFB" w14:textId="77777777">
            <w:pPr>
              <w:jc w:val="center"/>
              <w:rPr>
                <w:color w:val="000000"/>
                <w:sz w:val="16"/>
                <w:szCs w:val="16"/>
              </w:rPr>
            </w:pPr>
            <w:r w:rsidRPr="00812046">
              <w:rPr>
                <w:color w:val="000000"/>
                <w:sz w:val="16"/>
                <w:szCs w:val="16"/>
              </w:rPr>
              <w:t>(0.30)</w:t>
            </w:r>
          </w:p>
        </w:tc>
        <w:tc>
          <w:tcPr>
            <w:tcW w:w="0" w:type="auto"/>
            <w:tcBorders>
              <w:top w:val="nil"/>
              <w:left w:val="nil"/>
              <w:bottom w:val="nil"/>
              <w:right w:val="nil"/>
            </w:tcBorders>
            <w:shd w:val="clear" w:color="000000" w:fill="FFFFFF"/>
            <w:noWrap/>
            <w:vAlign w:val="center"/>
            <w:hideMark/>
          </w:tcPr>
          <w:p w:rsidR="00ED544B" w:rsidRPr="00812046" w:rsidP="007546F9" w14:paraId="118537C0" w14:textId="77777777">
            <w:pPr>
              <w:jc w:val="center"/>
              <w:rPr>
                <w:color w:val="000000"/>
                <w:sz w:val="16"/>
                <w:szCs w:val="16"/>
              </w:rPr>
            </w:pPr>
            <w:r w:rsidRPr="00812046">
              <w:rPr>
                <w:color w:val="000000"/>
                <w:sz w:val="16"/>
                <w:szCs w:val="16"/>
              </w:rPr>
              <w:t>(0.43)</w:t>
            </w:r>
          </w:p>
        </w:tc>
        <w:tc>
          <w:tcPr>
            <w:tcW w:w="0" w:type="auto"/>
            <w:tcBorders>
              <w:top w:val="nil"/>
              <w:left w:val="nil"/>
              <w:bottom w:val="nil"/>
              <w:right w:val="nil"/>
            </w:tcBorders>
            <w:shd w:val="clear" w:color="000000" w:fill="FFFFFF"/>
            <w:noWrap/>
            <w:vAlign w:val="center"/>
            <w:hideMark/>
          </w:tcPr>
          <w:p w:rsidR="00ED544B" w:rsidRPr="00812046" w:rsidP="007546F9" w14:paraId="3EB88DED" w14:textId="77777777">
            <w:pPr>
              <w:jc w:val="center"/>
              <w:rPr>
                <w:color w:val="000000"/>
                <w:sz w:val="16"/>
                <w:szCs w:val="16"/>
              </w:rPr>
            </w:pPr>
            <w:r w:rsidRPr="00812046">
              <w:rPr>
                <w:color w:val="000000"/>
                <w:sz w:val="16"/>
                <w:szCs w:val="16"/>
              </w:rPr>
              <w:t>(0.40)</w:t>
            </w:r>
          </w:p>
        </w:tc>
        <w:tc>
          <w:tcPr>
            <w:tcW w:w="0" w:type="auto"/>
            <w:tcBorders>
              <w:top w:val="nil"/>
              <w:left w:val="nil"/>
              <w:bottom w:val="nil"/>
              <w:right w:val="nil"/>
            </w:tcBorders>
            <w:shd w:val="clear" w:color="000000" w:fill="FFFFFF"/>
            <w:noWrap/>
            <w:vAlign w:val="center"/>
            <w:hideMark/>
          </w:tcPr>
          <w:p w:rsidR="00ED544B" w:rsidRPr="00812046" w:rsidP="007546F9" w14:paraId="49299A62" w14:textId="77777777">
            <w:pPr>
              <w:jc w:val="center"/>
              <w:rPr>
                <w:color w:val="000000"/>
                <w:sz w:val="16"/>
                <w:szCs w:val="16"/>
              </w:rPr>
            </w:pPr>
            <w:r w:rsidRPr="00812046">
              <w:rPr>
                <w:color w:val="000000"/>
                <w:sz w:val="16"/>
                <w:szCs w:val="16"/>
              </w:rPr>
              <w:t>-</w:t>
            </w:r>
          </w:p>
        </w:tc>
        <w:tc>
          <w:tcPr>
            <w:tcW w:w="957" w:type="dxa"/>
            <w:tcBorders>
              <w:top w:val="nil"/>
              <w:left w:val="nil"/>
              <w:bottom w:val="nil"/>
              <w:right w:val="nil"/>
            </w:tcBorders>
            <w:shd w:val="clear" w:color="000000" w:fill="FFFFFF"/>
            <w:noWrap/>
            <w:vAlign w:val="center"/>
            <w:hideMark/>
          </w:tcPr>
          <w:p w:rsidR="00ED544B" w:rsidRPr="00812046" w:rsidP="007546F9" w14:paraId="5C1480E9" w14:textId="77777777">
            <w:pPr>
              <w:jc w:val="center"/>
              <w:rPr>
                <w:color w:val="000000"/>
                <w:sz w:val="16"/>
                <w:szCs w:val="16"/>
              </w:rPr>
            </w:pPr>
            <w:r w:rsidRPr="00812046">
              <w:rPr>
                <w:color w:val="000000"/>
                <w:sz w:val="16"/>
                <w:szCs w:val="16"/>
              </w:rPr>
              <w:t>-</w:t>
            </w:r>
          </w:p>
        </w:tc>
      </w:tr>
      <w:tr w14:paraId="1F9459DF"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nil"/>
              <w:right w:val="nil"/>
            </w:tcBorders>
            <w:shd w:val="clear" w:color="000000" w:fill="FFFFFF"/>
            <w:noWrap/>
            <w:vAlign w:val="center"/>
            <w:hideMark/>
          </w:tcPr>
          <w:p w:rsidR="00ED544B" w:rsidRPr="00812046" w:rsidP="007546F9" w14:paraId="016F179E" w14:textId="77777777">
            <w:pPr>
              <w:rPr>
                <w:color w:val="000000"/>
                <w:sz w:val="16"/>
                <w:szCs w:val="16"/>
              </w:rPr>
            </w:pPr>
            <w:r w:rsidRPr="00812046">
              <w:rPr>
                <w:color w:val="000000"/>
                <w:sz w:val="16"/>
                <w:szCs w:val="16"/>
              </w:rPr>
              <w:t>Threshold 5</w:t>
            </w:r>
          </w:p>
        </w:tc>
        <w:tc>
          <w:tcPr>
            <w:tcW w:w="0" w:type="auto"/>
            <w:tcBorders>
              <w:top w:val="nil"/>
              <w:left w:val="nil"/>
              <w:bottom w:val="nil"/>
              <w:right w:val="nil"/>
            </w:tcBorders>
            <w:shd w:val="clear" w:color="000000" w:fill="FFFFFF"/>
            <w:noWrap/>
            <w:vAlign w:val="center"/>
            <w:hideMark/>
          </w:tcPr>
          <w:p w:rsidR="00ED544B" w:rsidRPr="00812046" w:rsidP="007546F9" w14:paraId="1DE9CB9D"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2D34F6E4" w14:textId="77777777">
            <w:pPr>
              <w:jc w:val="center"/>
              <w:rPr>
                <w:color w:val="000000"/>
                <w:sz w:val="16"/>
                <w:szCs w:val="16"/>
              </w:rPr>
            </w:pPr>
            <w:r w:rsidRPr="00812046">
              <w:rPr>
                <w:color w:val="000000"/>
                <w:sz w:val="16"/>
                <w:szCs w:val="16"/>
              </w:rPr>
              <w:t>7.47***</w:t>
            </w:r>
          </w:p>
        </w:tc>
        <w:tc>
          <w:tcPr>
            <w:tcW w:w="0" w:type="auto"/>
            <w:tcBorders>
              <w:top w:val="nil"/>
              <w:left w:val="nil"/>
              <w:bottom w:val="nil"/>
              <w:right w:val="nil"/>
            </w:tcBorders>
            <w:shd w:val="clear" w:color="000000" w:fill="FFFFFF"/>
            <w:noWrap/>
            <w:vAlign w:val="center"/>
            <w:hideMark/>
          </w:tcPr>
          <w:p w:rsidR="00ED544B" w:rsidRPr="00812046" w:rsidP="007546F9" w14:paraId="63F0584A"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1677EDB5" w14:textId="77777777">
            <w:pPr>
              <w:jc w:val="center"/>
              <w:rPr>
                <w:color w:val="000000"/>
                <w:sz w:val="16"/>
                <w:szCs w:val="16"/>
              </w:rPr>
            </w:pPr>
            <w:r w:rsidRPr="00812046">
              <w:rPr>
                <w:color w:val="000000"/>
                <w:sz w:val="16"/>
                <w:szCs w:val="16"/>
              </w:rPr>
              <w:t>8.26***</w:t>
            </w:r>
          </w:p>
        </w:tc>
        <w:tc>
          <w:tcPr>
            <w:tcW w:w="0" w:type="auto"/>
            <w:tcBorders>
              <w:top w:val="nil"/>
              <w:left w:val="nil"/>
              <w:bottom w:val="nil"/>
              <w:right w:val="nil"/>
            </w:tcBorders>
            <w:shd w:val="clear" w:color="000000" w:fill="FFFFFF"/>
            <w:noWrap/>
            <w:vAlign w:val="center"/>
            <w:hideMark/>
          </w:tcPr>
          <w:p w:rsidR="00ED544B" w:rsidRPr="00812046" w:rsidP="007546F9" w14:paraId="11E6FA3F"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651AECEB"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54FFEFC0"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799D86AB"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2B4439DF"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736CDB47" w14:textId="77777777">
            <w:pPr>
              <w:jc w:val="center"/>
              <w:rPr>
                <w:color w:val="000000"/>
                <w:sz w:val="16"/>
                <w:szCs w:val="16"/>
              </w:rPr>
            </w:pPr>
            <w:r w:rsidRPr="00812046">
              <w:rPr>
                <w:color w:val="000000"/>
                <w:sz w:val="16"/>
                <w:szCs w:val="16"/>
              </w:rPr>
              <w:t>-</w:t>
            </w:r>
          </w:p>
        </w:tc>
        <w:tc>
          <w:tcPr>
            <w:tcW w:w="0" w:type="auto"/>
            <w:tcBorders>
              <w:top w:val="nil"/>
              <w:left w:val="nil"/>
              <w:bottom w:val="nil"/>
              <w:right w:val="nil"/>
            </w:tcBorders>
            <w:shd w:val="clear" w:color="000000" w:fill="FFFFFF"/>
            <w:noWrap/>
            <w:vAlign w:val="center"/>
            <w:hideMark/>
          </w:tcPr>
          <w:p w:rsidR="00ED544B" w:rsidRPr="00812046" w:rsidP="007546F9" w14:paraId="322526A2" w14:textId="77777777">
            <w:pPr>
              <w:jc w:val="center"/>
              <w:rPr>
                <w:color w:val="000000"/>
                <w:sz w:val="16"/>
                <w:szCs w:val="16"/>
              </w:rPr>
            </w:pPr>
            <w:r w:rsidRPr="00812046">
              <w:rPr>
                <w:color w:val="000000"/>
                <w:sz w:val="16"/>
                <w:szCs w:val="16"/>
              </w:rPr>
              <w:t>-</w:t>
            </w:r>
          </w:p>
        </w:tc>
        <w:tc>
          <w:tcPr>
            <w:tcW w:w="957" w:type="dxa"/>
            <w:tcBorders>
              <w:top w:val="nil"/>
              <w:left w:val="nil"/>
              <w:bottom w:val="nil"/>
              <w:right w:val="nil"/>
            </w:tcBorders>
            <w:shd w:val="clear" w:color="000000" w:fill="FFFFFF"/>
            <w:noWrap/>
            <w:vAlign w:val="center"/>
            <w:hideMark/>
          </w:tcPr>
          <w:p w:rsidR="00ED544B" w:rsidRPr="00812046" w:rsidP="007546F9" w14:paraId="5647E7CC" w14:textId="77777777">
            <w:pPr>
              <w:jc w:val="center"/>
              <w:rPr>
                <w:color w:val="000000"/>
                <w:sz w:val="16"/>
                <w:szCs w:val="16"/>
              </w:rPr>
            </w:pPr>
            <w:r w:rsidRPr="00812046">
              <w:rPr>
                <w:color w:val="000000"/>
                <w:sz w:val="16"/>
                <w:szCs w:val="16"/>
              </w:rPr>
              <w:t>-</w:t>
            </w:r>
          </w:p>
        </w:tc>
      </w:tr>
      <w:tr w14:paraId="0E070879" w14:textId="77777777" w:rsidTr="00AE015D">
        <w:tblPrEx>
          <w:tblW w:w="13680" w:type="dxa"/>
          <w:tblCellMar>
            <w:left w:w="115" w:type="dxa"/>
            <w:right w:w="115" w:type="dxa"/>
          </w:tblCellMar>
          <w:tblLook w:val="04A0"/>
        </w:tblPrEx>
        <w:trPr>
          <w:trHeight w:hRule="exact" w:val="360"/>
        </w:trPr>
        <w:tc>
          <w:tcPr>
            <w:tcW w:w="2912" w:type="dxa"/>
            <w:tcBorders>
              <w:top w:val="nil"/>
              <w:left w:val="nil"/>
              <w:bottom w:val="single" w:sz="8" w:space="0" w:color="auto"/>
              <w:right w:val="nil"/>
            </w:tcBorders>
            <w:shd w:val="clear" w:color="000000" w:fill="FFFFFF"/>
            <w:noWrap/>
            <w:vAlign w:val="bottom"/>
            <w:hideMark/>
          </w:tcPr>
          <w:p w:rsidR="00ED544B" w:rsidRPr="00812046" w:rsidP="007546F9" w14:paraId="194894E8" w14:textId="77777777">
            <w:pPr>
              <w:rPr>
                <w:rFonts w:ascii="Calibri" w:hAnsi="Calibri" w:cs="Calibri"/>
                <w:color w:val="000000"/>
                <w:sz w:val="16"/>
                <w:szCs w:val="16"/>
              </w:rPr>
            </w:pPr>
            <w:r w:rsidRPr="00812046">
              <w:rPr>
                <w:rFonts w:ascii="Calibri" w:hAnsi="Calibri" w:cs="Calibri"/>
                <w:color w:val="000000"/>
                <w:sz w:val="16"/>
                <w:szCs w:val="16"/>
              </w:rPr>
              <w:t> </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10855A68" w14:textId="77777777">
            <w:pPr>
              <w:jc w:val="center"/>
              <w:rPr>
                <w:color w:val="000000"/>
                <w:sz w:val="16"/>
                <w:szCs w:val="16"/>
              </w:rPr>
            </w:pPr>
            <w:r w:rsidRPr="00812046">
              <w:rPr>
                <w:color w:val="000000"/>
                <w:sz w:val="16"/>
                <w:szCs w:val="16"/>
              </w:rPr>
              <w:t>-</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66E9FE41" w14:textId="77777777">
            <w:pPr>
              <w:jc w:val="center"/>
              <w:rPr>
                <w:color w:val="000000"/>
                <w:sz w:val="16"/>
                <w:szCs w:val="16"/>
              </w:rPr>
            </w:pPr>
            <w:r w:rsidRPr="00812046">
              <w:rPr>
                <w:color w:val="000000"/>
                <w:sz w:val="16"/>
                <w:szCs w:val="16"/>
              </w:rPr>
              <w:t>(0.40)</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39CBDF7A" w14:textId="77777777">
            <w:pPr>
              <w:jc w:val="center"/>
              <w:rPr>
                <w:color w:val="000000"/>
                <w:sz w:val="16"/>
                <w:szCs w:val="16"/>
              </w:rPr>
            </w:pPr>
            <w:r w:rsidRPr="00812046">
              <w:rPr>
                <w:color w:val="000000"/>
                <w:sz w:val="16"/>
                <w:szCs w:val="16"/>
              </w:rPr>
              <w:t>-</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5D491952" w14:textId="77777777">
            <w:pPr>
              <w:jc w:val="center"/>
              <w:rPr>
                <w:color w:val="000000"/>
                <w:sz w:val="16"/>
                <w:szCs w:val="16"/>
              </w:rPr>
            </w:pPr>
            <w:r w:rsidRPr="00812046">
              <w:rPr>
                <w:color w:val="000000"/>
                <w:sz w:val="16"/>
                <w:szCs w:val="16"/>
              </w:rPr>
              <w:t>(0.42)</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585D3C00" w14:textId="77777777">
            <w:pPr>
              <w:jc w:val="center"/>
              <w:rPr>
                <w:color w:val="000000"/>
                <w:sz w:val="16"/>
                <w:szCs w:val="16"/>
              </w:rPr>
            </w:pPr>
            <w:r w:rsidRPr="00812046">
              <w:rPr>
                <w:color w:val="000000"/>
                <w:sz w:val="16"/>
                <w:szCs w:val="16"/>
              </w:rPr>
              <w:t>-</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0BD3A458" w14:textId="77777777">
            <w:pPr>
              <w:jc w:val="center"/>
              <w:rPr>
                <w:color w:val="000000"/>
                <w:sz w:val="16"/>
                <w:szCs w:val="16"/>
              </w:rPr>
            </w:pPr>
            <w:r w:rsidRPr="00812046">
              <w:rPr>
                <w:color w:val="000000"/>
                <w:sz w:val="16"/>
                <w:szCs w:val="16"/>
              </w:rPr>
              <w:t>-</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51547D5D" w14:textId="77777777">
            <w:pPr>
              <w:jc w:val="center"/>
              <w:rPr>
                <w:color w:val="000000"/>
                <w:sz w:val="16"/>
                <w:szCs w:val="16"/>
              </w:rPr>
            </w:pPr>
            <w:r w:rsidRPr="00812046">
              <w:rPr>
                <w:color w:val="000000"/>
                <w:sz w:val="16"/>
                <w:szCs w:val="16"/>
              </w:rPr>
              <w:t>-</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315A37DF" w14:textId="77777777">
            <w:pPr>
              <w:jc w:val="center"/>
              <w:rPr>
                <w:color w:val="000000"/>
                <w:sz w:val="16"/>
                <w:szCs w:val="16"/>
              </w:rPr>
            </w:pPr>
            <w:r w:rsidRPr="00812046">
              <w:rPr>
                <w:color w:val="000000"/>
                <w:sz w:val="16"/>
                <w:szCs w:val="16"/>
              </w:rPr>
              <w:t>-</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6D1E2CBE" w14:textId="77777777">
            <w:pPr>
              <w:jc w:val="center"/>
              <w:rPr>
                <w:color w:val="000000"/>
                <w:sz w:val="16"/>
                <w:szCs w:val="16"/>
              </w:rPr>
            </w:pPr>
            <w:r w:rsidRPr="00812046">
              <w:rPr>
                <w:color w:val="000000"/>
                <w:sz w:val="16"/>
                <w:szCs w:val="16"/>
              </w:rPr>
              <w:t>-</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39A760D9" w14:textId="77777777">
            <w:pPr>
              <w:jc w:val="center"/>
              <w:rPr>
                <w:color w:val="000000"/>
                <w:sz w:val="16"/>
                <w:szCs w:val="16"/>
              </w:rPr>
            </w:pPr>
            <w:r w:rsidRPr="00812046">
              <w:rPr>
                <w:color w:val="000000"/>
                <w:sz w:val="16"/>
                <w:szCs w:val="16"/>
              </w:rPr>
              <w:t>-</w:t>
            </w:r>
          </w:p>
        </w:tc>
        <w:tc>
          <w:tcPr>
            <w:tcW w:w="0" w:type="auto"/>
            <w:tcBorders>
              <w:top w:val="nil"/>
              <w:left w:val="nil"/>
              <w:bottom w:val="single" w:sz="8" w:space="0" w:color="auto"/>
              <w:right w:val="nil"/>
            </w:tcBorders>
            <w:shd w:val="clear" w:color="000000" w:fill="FFFFFF"/>
            <w:noWrap/>
            <w:vAlign w:val="center"/>
            <w:hideMark/>
          </w:tcPr>
          <w:p w:rsidR="00ED544B" w:rsidRPr="00812046" w:rsidP="007546F9" w14:paraId="653B26FE" w14:textId="77777777">
            <w:pPr>
              <w:jc w:val="center"/>
              <w:rPr>
                <w:color w:val="000000"/>
                <w:sz w:val="16"/>
                <w:szCs w:val="16"/>
              </w:rPr>
            </w:pPr>
            <w:r w:rsidRPr="00812046">
              <w:rPr>
                <w:color w:val="000000"/>
                <w:sz w:val="16"/>
                <w:szCs w:val="16"/>
              </w:rPr>
              <w:t>-</w:t>
            </w:r>
          </w:p>
        </w:tc>
        <w:tc>
          <w:tcPr>
            <w:tcW w:w="957" w:type="dxa"/>
            <w:tcBorders>
              <w:top w:val="nil"/>
              <w:left w:val="nil"/>
              <w:bottom w:val="single" w:sz="8" w:space="0" w:color="auto"/>
              <w:right w:val="nil"/>
            </w:tcBorders>
            <w:shd w:val="clear" w:color="000000" w:fill="FFFFFF"/>
            <w:noWrap/>
            <w:vAlign w:val="center"/>
            <w:hideMark/>
          </w:tcPr>
          <w:p w:rsidR="00ED544B" w:rsidRPr="00812046" w:rsidP="007546F9" w14:paraId="2953C706" w14:textId="77777777">
            <w:pPr>
              <w:jc w:val="center"/>
              <w:rPr>
                <w:color w:val="000000"/>
                <w:sz w:val="16"/>
                <w:szCs w:val="16"/>
              </w:rPr>
            </w:pPr>
            <w:r w:rsidRPr="00812046">
              <w:rPr>
                <w:color w:val="000000"/>
                <w:sz w:val="16"/>
                <w:szCs w:val="16"/>
              </w:rPr>
              <w:t>-</w:t>
            </w:r>
          </w:p>
        </w:tc>
      </w:tr>
      <w:tr w14:paraId="454EC139" w14:textId="77777777" w:rsidTr="00AE015D">
        <w:tblPrEx>
          <w:tblW w:w="13680" w:type="dxa"/>
          <w:tblCellMar>
            <w:left w:w="115" w:type="dxa"/>
            <w:right w:w="115" w:type="dxa"/>
          </w:tblCellMar>
          <w:tblLook w:val="04A0"/>
        </w:tblPrEx>
        <w:trPr>
          <w:trHeight w:hRule="exact" w:val="360"/>
        </w:trPr>
        <w:tc>
          <w:tcPr>
            <w:tcW w:w="0" w:type="auto"/>
            <w:gridSpan w:val="4"/>
            <w:tcBorders>
              <w:top w:val="nil"/>
              <w:left w:val="nil"/>
              <w:bottom w:val="nil"/>
              <w:right w:val="nil"/>
            </w:tcBorders>
            <w:shd w:val="clear" w:color="000000" w:fill="FFFFFF"/>
            <w:noWrap/>
            <w:vAlign w:val="center"/>
            <w:hideMark/>
          </w:tcPr>
          <w:p w:rsidR="00ED544B" w:rsidRPr="00812046" w:rsidP="007546F9" w14:paraId="3EDCD4E3" w14:textId="77777777">
            <w:pPr>
              <w:rPr>
                <w:color w:val="000000"/>
                <w:sz w:val="16"/>
                <w:szCs w:val="16"/>
              </w:rPr>
            </w:pPr>
            <w:r w:rsidRPr="00812046">
              <w:rPr>
                <w:color w:val="000000"/>
                <w:sz w:val="16"/>
                <w:szCs w:val="16"/>
              </w:rPr>
              <w:t>Notes: Robust standard errors in parentheses; *** p&lt;0.01, ** p&lt;0.05, * p&lt;0.10</w:t>
            </w:r>
          </w:p>
        </w:tc>
        <w:tc>
          <w:tcPr>
            <w:tcW w:w="0" w:type="auto"/>
            <w:tcBorders>
              <w:top w:val="nil"/>
              <w:left w:val="nil"/>
              <w:bottom w:val="nil"/>
              <w:right w:val="nil"/>
            </w:tcBorders>
            <w:shd w:val="clear" w:color="000000" w:fill="FFFFFF"/>
            <w:noWrap/>
            <w:vAlign w:val="center"/>
            <w:hideMark/>
          </w:tcPr>
          <w:p w:rsidR="00ED544B" w:rsidRPr="00812046" w:rsidP="007546F9" w14:paraId="38DFD485"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7DE8B3CD"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6346B63B"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2AC9F1E4"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2051865B" w14:textId="77777777">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729C1252" w14:textId="77777777">
            <w:pPr>
              <w:jc w:val="cente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center"/>
            <w:hideMark/>
          </w:tcPr>
          <w:p w:rsidR="00ED544B" w:rsidRPr="00812046" w:rsidP="007546F9" w14:paraId="6877B5A5" w14:textId="77777777">
            <w:pPr>
              <w:jc w:val="cente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bottom"/>
            <w:hideMark/>
          </w:tcPr>
          <w:p w:rsidR="00ED544B" w:rsidRPr="00812046" w:rsidP="007546F9" w14:paraId="53805D79" w14:textId="77777777">
            <w:pPr>
              <w:rPr>
                <w:rFonts w:ascii="Calibri" w:hAnsi="Calibri" w:cs="Calibri"/>
                <w:color w:val="000000"/>
                <w:sz w:val="16"/>
                <w:szCs w:val="16"/>
              </w:rPr>
            </w:pPr>
            <w:r w:rsidRPr="00812046">
              <w:rPr>
                <w:rFonts w:ascii="Calibri" w:hAnsi="Calibri" w:cs="Calibri"/>
                <w:color w:val="000000"/>
                <w:sz w:val="16"/>
                <w:szCs w:val="16"/>
              </w:rPr>
              <w:t> </w:t>
            </w:r>
          </w:p>
        </w:tc>
        <w:tc>
          <w:tcPr>
            <w:tcW w:w="957" w:type="dxa"/>
            <w:tcBorders>
              <w:top w:val="nil"/>
              <w:left w:val="nil"/>
              <w:bottom w:val="nil"/>
              <w:right w:val="nil"/>
            </w:tcBorders>
            <w:shd w:val="clear" w:color="000000" w:fill="FFFFFF"/>
            <w:noWrap/>
            <w:vAlign w:val="bottom"/>
            <w:hideMark/>
          </w:tcPr>
          <w:p w:rsidR="00ED544B" w:rsidRPr="00812046" w:rsidP="007546F9" w14:paraId="7E8EBF53" w14:textId="77777777">
            <w:pPr>
              <w:rPr>
                <w:rFonts w:ascii="Calibri" w:hAnsi="Calibri" w:cs="Calibri"/>
                <w:color w:val="000000"/>
                <w:sz w:val="16"/>
                <w:szCs w:val="16"/>
              </w:rPr>
            </w:pPr>
            <w:r w:rsidRPr="00812046">
              <w:rPr>
                <w:rFonts w:ascii="Calibri" w:hAnsi="Calibri" w:cs="Calibri"/>
                <w:color w:val="000000"/>
                <w:sz w:val="16"/>
                <w:szCs w:val="16"/>
              </w:rPr>
              <w:t> </w:t>
            </w:r>
          </w:p>
        </w:tc>
      </w:tr>
      <w:tr w14:paraId="61D82ADB" w14:textId="77777777" w:rsidTr="00AE015D">
        <w:tblPrEx>
          <w:tblW w:w="13680" w:type="dxa"/>
          <w:tblCellMar>
            <w:left w:w="115" w:type="dxa"/>
            <w:right w:w="115" w:type="dxa"/>
          </w:tblCellMar>
          <w:tblLook w:val="04A0"/>
        </w:tblPrEx>
        <w:trPr>
          <w:trHeight w:hRule="exact" w:val="360"/>
        </w:trPr>
        <w:tc>
          <w:tcPr>
            <w:tcW w:w="0" w:type="auto"/>
            <w:gridSpan w:val="7"/>
            <w:tcBorders>
              <w:top w:val="nil"/>
              <w:left w:val="nil"/>
              <w:bottom w:val="nil"/>
              <w:right w:val="nil"/>
            </w:tcBorders>
            <w:shd w:val="clear" w:color="000000" w:fill="FFFFFF"/>
            <w:noWrap/>
            <w:vAlign w:val="center"/>
            <w:hideMark/>
          </w:tcPr>
          <w:p w:rsidR="00ED544B" w:rsidRPr="00812046" w:rsidP="007546F9" w14:paraId="2F13B549" w14:textId="77777777">
            <w:pPr>
              <w:rPr>
                <w:color w:val="000000"/>
                <w:sz w:val="16"/>
                <w:szCs w:val="16"/>
              </w:rPr>
            </w:pPr>
            <w:r w:rsidRPr="00812046">
              <w:rPr>
                <w:color w:val="000000"/>
                <w:sz w:val="16"/>
                <w:szCs w:val="16"/>
              </w:rPr>
              <w:t>Spec</w:t>
            </w:r>
            <w:r>
              <w:rPr>
                <w:color w:val="000000"/>
                <w:sz w:val="16"/>
                <w:szCs w:val="16"/>
              </w:rPr>
              <w:t>s (1</w:t>
            </w:r>
            <w:r w:rsidRPr="00812046">
              <w:rPr>
                <w:color w:val="000000"/>
                <w:sz w:val="16"/>
                <w:szCs w:val="16"/>
              </w:rPr>
              <w:t xml:space="preserve">1) and (12) are logit models where the binary outcome is whether the block group is served by </w:t>
            </w:r>
            <w:r>
              <w:rPr>
                <w:color w:val="000000"/>
                <w:sz w:val="16"/>
                <w:szCs w:val="16"/>
              </w:rPr>
              <w:t xml:space="preserve">any </w:t>
            </w:r>
            <w:r w:rsidRPr="00812046">
              <w:rPr>
                <w:color w:val="000000"/>
                <w:sz w:val="16"/>
                <w:szCs w:val="16"/>
              </w:rPr>
              <w:t>carrier.</w:t>
            </w:r>
          </w:p>
          <w:p w:rsidR="00ED544B" w:rsidRPr="00812046" w:rsidP="007546F9" w14:paraId="2C1A74A8" w14:textId="1B33D8DF">
            <w:pPr>
              <w:rPr>
                <w:color w:val="000000"/>
                <w:sz w:val="16"/>
                <w:szCs w:val="16"/>
              </w:rPr>
            </w:pPr>
            <w:r w:rsidRPr="00812046">
              <w:rPr>
                <w:color w:val="000000"/>
                <w:sz w:val="16"/>
                <w:szCs w:val="16"/>
              </w:rPr>
              <w:t> </w:t>
            </w:r>
          </w:p>
        </w:tc>
        <w:tc>
          <w:tcPr>
            <w:tcW w:w="0" w:type="auto"/>
            <w:tcBorders>
              <w:top w:val="nil"/>
              <w:left w:val="nil"/>
              <w:bottom w:val="nil"/>
              <w:right w:val="nil"/>
            </w:tcBorders>
            <w:shd w:val="clear" w:color="000000" w:fill="FFFFFF"/>
            <w:noWrap/>
            <w:vAlign w:val="bottom"/>
            <w:hideMark/>
          </w:tcPr>
          <w:p w:rsidR="00ED544B" w:rsidRPr="00812046" w:rsidP="007546F9" w14:paraId="0DFA0D34" w14:textId="77777777">
            <w:pPr>
              <w:rPr>
                <w:rFonts w:ascii="Calibri" w:hAnsi="Calibri" w:cs="Calibri"/>
                <w:color w:val="000000"/>
                <w:sz w:val="16"/>
                <w:szCs w:val="16"/>
              </w:rPr>
            </w:pPr>
            <w:r w:rsidRPr="00812046">
              <w:rPr>
                <w:rFonts w:ascii="Calibri" w:hAnsi="Calibri" w:cs="Calibri"/>
                <w:color w:val="000000"/>
                <w:sz w:val="16"/>
                <w:szCs w:val="16"/>
              </w:rPr>
              <w:t> </w:t>
            </w:r>
          </w:p>
        </w:tc>
        <w:tc>
          <w:tcPr>
            <w:tcW w:w="0" w:type="auto"/>
            <w:tcBorders>
              <w:top w:val="nil"/>
              <w:left w:val="nil"/>
              <w:bottom w:val="nil"/>
              <w:right w:val="nil"/>
            </w:tcBorders>
            <w:shd w:val="clear" w:color="000000" w:fill="FFFFFF"/>
            <w:noWrap/>
            <w:vAlign w:val="bottom"/>
            <w:hideMark/>
          </w:tcPr>
          <w:p w:rsidR="00ED544B" w:rsidRPr="00812046" w:rsidP="007546F9" w14:paraId="4CD931E5" w14:textId="77777777">
            <w:pPr>
              <w:rPr>
                <w:rFonts w:ascii="Calibri" w:hAnsi="Calibri" w:cs="Calibri"/>
                <w:color w:val="000000"/>
                <w:sz w:val="16"/>
                <w:szCs w:val="16"/>
              </w:rPr>
            </w:pPr>
            <w:r w:rsidRPr="00812046">
              <w:rPr>
                <w:rFonts w:ascii="Calibri" w:hAnsi="Calibri" w:cs="Calibri"/>
                <w:color w:val="000000"/>
                <w:sz w:val="16"/>
                <w:szCs w:val="16"/>
              </w:rPr>
              <w:t> </w:t>
            </w:r>
          </w:p>
        </w:tc>
        <w:tc>
          <w:tcPr>
            <w:tcW w:w="0" w:type="auto"/>
            <w:tcBorders>
              <w:top w:val="nil"/>
              <w:left w:val="nil"/>
              <w:bottom w:val="nil"/>
              <w:right w:val="nil"/>
            </w:tcBorders>
            <w:shd w:val="clear" w:color="000000" w:fill="FFFFFF"/>
            <w:noWrap/>
            <w:vAlign w:val="bottom"/>
            <w:hideMark/>
          </w:tcPr>
          <w:p w:rsidR="00ED544B" w:rsidRPr="00812046" w:rsidP="007546F9" w14:paraId="435C0C43" w14:textId="77777777">
            <w:pPr>
              <w:rPr>
                <w:rFonts w:ascii="Calibri" w:hAnsi="Calibri" w:cs="Calibri"/>
                <w:color w:val="000000"/>
                <w:sz w:val="16"/>
                <w:szCs w:val="16"/>
              </w:rPr>
            </w:pPr>
            <w:r w:rsidRPr="00812046">
              <w:rPr>
                <w:rFonts w:ascii="Calibri" w:hAnsi="Calibri" w:cs="Calibri"/>
                <w:color w:val="000000"/>
                <w:sz w:val="16"/>
                <w:szCs w:val="16"/>
              </w:rPr>
              <w:t> </w:t>
            </w:r>
          </w:p>
        </w:tc>
        <w:tc>
          <w:tcPr>
            <w:tcW w:w="0" w:type="auto"/>
            <w:tcBorders>
              <w:top w:val="nil"/>
              <w:left w:val="nil"/>
              <w:bottom w:val="nil"/>
              <w:right w:val="nil"/>
            </w:tcBorders>
            <w:shd w:val="clear" w:color="000000" w:fill="FFFFFF"/>
            <w:noWrap/>
            <w:vAlign w:val="bottom"/>
            <w:hideMark/>
          </w:tcPr>
          <w:p w:rsidR="00ED544B" w:rsidRPr="00812046" w:rsidP="007546F9" w14:paraId="3D4F39A9" w14:textId="77777777">
            <w:pPr>
              <w:rPr>
                <w:rFonts w:ascii="Calibri" w:hAnsi="Calibri" w:cs="Calibri"/>
                <w:color w:val="000000"/>
                <w:sz w:val="16"/>
                <w:szCs w:val="16"/>
              </w:rPr>
            </w:pPr>
            <w:r w:rsidRPr="00812046">
              <w:rPr>
                <w:rFonts w:ascii="Calibri" w:hAnsi="Calibri" w:cs="Calibri"/>
                <w:color w:val="000000"/>
                <w:sz w:val="16"/>
                <w:szCs w:val="16"/>
              </w:rPr>
              <w:t> </w:t>
            </w:r>
          </w:p>
        </w:tc>
        <w:tc>
          <w:tcPr>
            <w:tcW w:w="0" w:type="auto"/>
            <w:tcBorders>
              <w:top w:val="nil"/>
              <w:left w:val="nil"/>
              <w:bottom w:val="nil"/>
              <w:right w:val="nil"/>
            </w:tcBorders>
            <w:shd w:val="clear" w:color="000000" w:fill="FFFFFF"/>
            <w:noWrap/>
            <w:vAlign w:val="bottom"/>
            <w:hideMark/>
          </w:tcPr>
          <w:p w:rsidR="00ED544B" w:rsidRPr="00812046" w:rsidP="007546F9" w14:paraId="2363E1A3" w14:textId="77777777">
            <w:pPr>
              <w:rPr>
                <w:rFonts w:ascii="Calibri" w:hAnsi="Calibri" w:cs="Calibri"/>
                <w:color w:val="000000"/>
                <w:sz w:val="16"/>
                <w:szCs w:val="16"/>
              </w:rPr>
            </w:pPr>
            <w:r w:rsidRPr="00812046">
              <w:rPr>
                <w:rFonts w:ascii="Calibri" w:hAnsi="Calibri" w:cs="Calibri"/>
                <w:color w:val="000000"/>
                <w:sz w:val="16"/>
                <w:szCs w:val="16"/>
              </w:rPr>
              <w:t> </w:t>
            </w:r>
          </w:p>
        </w:tc>
        <w:tc>
          <w:tcPr>
            <w:tcW w:w="957" w:type="dxa"/>
            <w:tcBorders>
              <w:top w:val="nil"/>
              <w:left w:val="nil"/>
              <w:bottom w:val="nil"/>
              <w:right w:val="nil"/>
            </w:tcBorders>
            <w:shd w:val="clear" w:color="000000" w:fill="FFFFFF"/>
            <w:noWrap/>
            <w:vAlign w:val="bottom"/>
            <w:hideMark/>
          </w:tcPr>
          <w:p w:rsidR="00ED544B" w:rsidRPr="00812046" w:rsidP="007546F9" w14:paraId="49D3EA81" w14:textId="77777777">
            <w:pPr>
              <w:rPr>
                <w:rFonts w:ascii="Calibri" w:hAnsi="Calibri" w:cs="Calibri"/>
                <w:color w:val="000000"/>
                <w:sz w:val="16"/>
                <w:szCs w:val="16"/>
              </w:rPr>
            </w:pPr>
            <w:r w:rsidRPr="00812046">
              <w:rPr>
                <w:rFonts w:ascii="Calibri" w:hAnsi="Calibri" w:cs="Calibri"/>
                <w:color w:val="000000"/>
                <w:sz w:val="16"/>
                <w:szCs w:val="16"/>
              </w:rPr>
              <w:t> </w:t>
            </w:r>
          </w:p>
        </w:tc>
      </w:tr>
      <w:bookmarkEnd w:id="8"/>
    </w:tbl>
    <w:p w:rsidR="00A47720" w:rsidP="00A47720" w14:paraId="04975DBF" w14:textId="682C90A1">
      <w:pPr>
        <w:keepNext/>
        <w:keepLines/>
        <w:jc w:val="center"/>
        <w:rPr>
          <w:szCs w:val="22"/>
        </w:rPr>
      </w:pPr>
    </w:p>
    <w:p w:rsidR="00A47720" w:rsidP="00A47720" w14:paraId="3DF41874" w14:textId="77777777">
      <w:pPr>
        <w:pStyle w:val="ParaNum"/>
        <w:numPr>
          <w:ilvl w:val="0"/>
          <w:numId w:val="0"/>
        </w:numPr>
        <w:rPr>
          <w:szCs w:val="22"/>
        </w:rPr>
        <w:sectPr w:rsidSect="003E6F2B">
          <w:headerReference w:type="default" r:id="rId8"/>
          <w:endnotePr>
            <w:numFmt w:val="decimal"/>
          </w:endnotePr>
          <w:pgSz w:w="15840" w:h="12240" w:orient="landscape" w:code="1"/>
          <w:pgMar w:top="1440" w:right="1080" w:bottom="1440" w:left="1080" w:header="634" w:footer="720" w:gutter="0"/>
          <w:cols w:space="720"/>
          <w:noEndnote/>
          <w:docGrid w:linePitch="299"/>
        </w:sectPr>
      </w:pPr>
    </w:p>
    <w:p w:rsidR="00A47720" w:rsidRPr="00043DED" w:rsidP="00043DED" w14:paraId="585AF4D7" w14:textId="22CC7749">
      <w:pPr>
        <w:keepNext/>
        <w:keepLines/>
        <w:spacing w:before="120" w:after="120"/>
        <w:jc w:val="center"/>
        <w:rPr>
          <w:sz w:val="22"/>
          <w:szCs w:val="22"/>
        </w:rPr>
      </w:pPr>
      <w:r w:rsidRPr="00043DED">
        <w:rPr>
          <w:b/>
          <w:bCs/>
          <w:sz w:val="22"/>
          <w:szCs w:val="22"/>
        </w:rPr>
        <w:t>Fig. B-3: Terrain Spline Estimates (Specification 1)</w:t>
      </w:r>
    </w:p>
    <w:p w:rsidR="00A47720" w:rsidRPr="00023E7D" w:rsidP="00A47720" w14:paraId="3ECE9DA0" w14:textId="77777777">
      <w:pPr>
        <w:keepNext/>
        <w:keepLines/>
        <w:jc w:val="center"/>
        <w:rPr>
          <w:b/>
        </w:rPr>
      </w:pPr>
      <w:r w:rsidRPr="00023E7D">
        <w:rPr>
          <w:noProof/>
        </w:rPr>
        <w:drawing>
          <wp:inline distT="0" distB="0" distL="0" distR="0">
            <wp:extent cx="5200650" cy="3782292"/>
            <wp:effectExtent l="0" t="0" r="0" b="8890"/>
            <wp:docPr id="1514681680" name="Picture 151468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349139" name="Picture 4"/>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240184" cy="3811044"/>
                    </a:xfrm>
                    <a:prstGeom prst="rect">
                      <a:avLst/>
                    </a:prstGeom>
                    <a:noFill/>
                    <a:ln>
                      <a:noFill/>
                    </a:ln>
                  </pic:spPr>
                </pic:pic>
              </a:graphicData>
            </a:graphic>
          </wp:inline>
        </w:drawing>
      </w:r>
    </w:p>
    <w:p w:rsidR="00A47720" w:rsidP="00A47720" w14:paraId="1781E6C8" w14:textId="77777777">
      <w:pPr>
        <w:pStyle w:val="ParaNum"/>
        <w:numPr>
          <w:ilvl w:val="0"/>
          <w:numId w:val="0"/>
        </w:numPr>
        <w:rPr>
          <w:szCs w:val="22"/>
        </w:rPr>
      </w:pPr>
    </w:p>
    <w:p w:rsidR="00A47720" w:rsidRPr="00043DED" w:rsidP="00043DED" w14:paraId="23F98EFD" w14:textId="77777777">
      <w:pPr>
        <w:keepNext/>
        <w:keepLines/>
        <w:spacing w:before="120" w:after="120"/>
        <w:jc w:val="center"/>
        <w:rPr>
          <w:b/>
          <w:sz w:val="22"/>
          <w:szCs w:val="22"/>
        </w:rPr>
      </w:pPr>
      <w:r w:rsidRPr="00043DED">
        <w:rPr>
          <w:b/>
          <w:sz w:val="22"/>
          <w:szCs w:val="22"/>
        </w:rPr>
        <w:t>Fig. B-4: Adjustment Factor Estimates (Baseline Specification)</w:t>
      </w:r>
    </w:p>
    <w:tbl>
      <w:tblPr>
        <w:tblW w:w="8835" w:type="dxa"/>
        <w:jc w:val="center"/>
        <w:tblBorders>
          <w:top w:val="double" w:sz="6" w:space="0" w:color="auto"/>
          <w:left w:val="double" w:sz="6" w:space="0" w:color="auto"/>
          <w:bottom w:val="double" w:sz="6" w:space="0" w:color="auto"/>
          <w:right w:val="double" w:sz="6" w:space="0" w:color="auto"/>
        </w:tblBorders>
        <w:tblLook w:val="04A0"/>
      </w:tblPr>
      <w:tblGrid>
        <w:gridCol w:w="1889"/>
        <w:gridCol w:w="1423"/>
        <w:gridCol w:w="1765"/>
        <w:gridCol w:w="1765"/>
        <w:gridCol w:w="1993"/>
      </w:tblGrid>
      <w:tr w14:paraId="7B8FBB47" w14:textId="77777777" w:rsidTr="00B17053">
        <w:tblPrEx>
          <w:tblW w:w="8835" w:type="dxa"/>
          <w:jc w:val="center"/>
          <w:tblBorders>
            <w:top w:val="double" w:sz="6" w:space="0" w:color="auto"/>
            <w:left w:val="double" w:sz="6" w:space="0" w:color="auto"/>
            <w:bottom w:val="double" w:sz="6" w:space="0" w:color="auto"/>
            <w:right w:val="double" w:sz="6" w:space="0" w:color="auto"/>
          </w:tblBorders>
          <w:tblLook w:val="04A0"/>
        </w:tblPrEx>
        <w:trPr>
          <w:trHeight w:val="385"/>
          <w:jc w:val="center"/>
        </w:trPr>
        <w:tc>
          <w:tcPr>
            <w:tcW w:w="1889" w:type="dxa"/>
            <w:shd w:val="clear" w:color="auto" w:fill="auto"/>
            <w:noWrap/>
            <w:vAlign w:val="bottom"/>
            <w:hideMark/>
          </w:tcPr>
          <w:p w:rsidR="00A47720" w:rsidRPr="007C7D6A" w:rsidP="00B17053" w14:paraId="7211266A" w14:textId="77777777">
            <w:pPr>
              <w:keepNext/>
              <w:keepLines/>
            </w:pPr>
          </w:p>
        </w:tc>
        <w:tc>
          <w:tcPr>
            <w:tcW w:w="1423" w:type="dxa"/>
            <w:tcBorders>
              <w:bottom w:val="single" w:sz="4" w:space="0" w:color="auto"/>
            </w:tcBorders>
            <w:shd w:val="clear" w:color="auto" w:fill="auto"/>
            <w:noWrap/>
            <w:vAlign w:val="center"/>
            <w:hideMark/>
          </w:tcPr>
          <w:p w:rsidR="00A47720" w:rsidRPr="00C6787F" w:rsidP="00B17053" w14:paraId="16FBA09A" w14:textId="77777777">
            <w:pPr>
              <w:keepNext/>
              <w:keepLines/>
              <w:rPr>
                <w:rFonts w:ascii="Calibri" w:hAnsi="Calibri" w:cs="Calibri"/>
                <w:color w:val="000000"/>
                <w:sz w:val="20"/>
              </w:rPr>
            </w:pPr>
            <w:r w:rsidRPr="00C6787F">
              <w:rPr>
                <w:rFonts w:ascii="Calibri" w:hAnsi="Calibri" w:cs="Calibri"/>
                <w:color w:val="000000"/>
                <w:sz w:val="20"/>
              </w:rPr>
              <w:t> </w:t>
            </w:r>
          </w:p>
        </w:tc>
        <w:tc>
          <w:tcPr>
            <w:tcW w:w="5523" w:type="dxa"/>
            <w:gridSpan w:val="3"/>
            <w:tcBorders>
              <w:bottom w:val="single" w:sz="4" w:space="0" w:color="auto"/>
            </w:tcBorders>
            <w:shd w:val="clear" w:color="auto" w:fill="auto"/>
            <w:noWrap/>
            <w:vAlign w:val="center"/>
            <w:hideMark/>
          </w:tcPr>
          <w:p w:rsidR="00A47720" w:rsidRPr="00C6787F" w:rsidP="00B17053" w14:paraId="4E4D0398" w14:textId="77777777">
            <w:pPr>
              <w:keepNext/>
              <w:keepLines/>
              <w:jc w:val="center"/>
              <w:rPr>
                <w:color w:val="000000"/>
                <w:sz w:val="20"/>
              </w:rPr>
            </w:pPr>
            <w:r w:rsidRPr="00C6787F">
              <w:rPr>
                <w:color w:val="000000"/>
                <w:sz w:val="20"/>
              </w:rPr>
              <w:t>Terrain Roughness</w:t>
            </w:r>
          </w:p>
        </w:tc>
      </w:tr>
      <w:tr w14:paraId="49532F97" w14:textId="77777777" w:rsidTr="00B17053">
        <w:tblPrEx>
          <w:tblW w:w="8835" w:type="dxa"/>
          <w:jc w:val="center"/>
          <w:tblLook w:val="04A0"/>
        </w:tblPrEx>
        <w:trPr>
          <w:trHeight w:val="403"/>
          <w:jc w:val="center"/>
        </w:trPr>
        <w:tc>
          <w:tcPr>
            <w:tcW w:w="1889" w:type="dxa"/>
            <w:tcBorders>
              <w:right w:val="single" w:sz="4" w:space="0" w:color="auto"/>
            </w:tcBorders>
            <w:shd w:val="clear" w:color="auto" w:fill="auto"/>
            <w:noWrap/>
            <w:vAlign w:val="center"/>
            <w:hideMark/>
          </w:tcPr>
          <w:p w:rsidR="00A47720" w:rsidRPr="007C7D6A" w:rsidP="00B17053" w14:paraId="5410838F" w14:textId="77777777">
            <w:pPr>
              <w:keepNext/>
              <w:keepLines/>
              <w:rPr>
                <w:rFonts w:ascii="Calibri" w:hAnsi="Calibri" w:cs="Calibri"/>
                <w:color w:val="000000"/>
              </w:rPr>
            </w:pPr>
            <w:r w:rsidRPr="007C7D6A">
              <w:rPr>
                <w:rFonts w:ascii="Calibri" w:hAnsi="Calibri" w:cs="Calibri"/>
                <w:color w:val="000000"/>
              </w:rPr>
              <w:t> </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720" w:rsidRPr="00C6787F" w:rsidP="00B17053" w14:paraId="1893ED07" w14:textId="77777777">
            <w:pPr>
              <w:keepNext/>
              <w:keepLines/>
              <w:rPr>
                <w:color w:val="000000"/>
                <w:sz w:val="20"/>
              </w:rPr>
            </w:pPr>
            <w:r w:rsidRPr="00C6787F">
              <w:rPr>
                <w:color w:val="000000"/>
                <w:sz w:val="20"/>
              </w:rPr>
              <w:t> </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720" w:rsidRPr="00C6787F" w:rsidP="00B17053" w14:paraId="7DF8E47B" w14:textId="77777777">
            <w:pPr>
              <w:keepNext/>
              <w:keepLines/>
              <w:jc w:val="center"/>
              <w:rPr>
                <w:color w:val="000000"/>
                <w:sz w:val="20"/>
              </w:rPr>
            </w:pPr>
            <w:r w:rsidRPr="00C6787F">
              <w:rPr>
                <w:color w:val="000000"/>
                <w:sz w:val="20"/>
              </w:rPr>
              <w:t>Flat</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720" w:rsidRPr="00C6787F" w:rsidP="00B17053" w14:paraId="506232B3" w14:textId="77777777">
            <w:pPr>
              <w:keepNext/>
              <w:keepLines/>
              <w:jc w:val="center"/>
              <w:rPr>
                <w:color w:val="000000"/>
                <w:sz w:val="20"/>
              </w:rPr>
            </w:pPr>
            <w:r w:rsidRPr="00C6787F">
              <w:rPr>
                <w:color w:val="000000"/>
                <w:sz w:val="20"/>
              </w:rPr>
              <w:t>Hilly</w:t>
            </w:r>
          </w:p>
        </w:tc>
        <w:tc>
          <w:tcPr>
            <w:tcW w:w="1993"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A47720" w:rsidRPr="00C6787F" w:rsidP="00B17053" w14:paraId="623FEC25" w14:textId="77777777">
            <w:pPr>
              <w:keepNext/>
              <w:keepLines/>
              <w:jc w:val="center"/>
              <w:rPr>
                <w:color w:val="000000"/>
                <w:sz w:val="20"/>
              </w:rPr>
            </w:pPr>
            <w:r w:rsidRPr="00C6787F">
              <w:rPr>
                <w:color w:val="000000"/>
                <w:sz w:val="20"/>
              </w:rPr>
              <w:t>Mountainous</w:t>
            </w:r>
          </w:p>
        </w:tc>
      </w:tr>
      <w:tr w14:paraId="5EE4E598" w14:textId="77777777" w:rsidTr="00B17053">
        <w:tblPrEx>
          <w:tblW w:w="8835" w:type="dxa"/>
          <w:jc w:val="center"/>
          <w:tblLook w:val="04A0"/>
        </w:tblPrEx>
        <w:trPr>
          <w:trHeight w:val="367"/>
          <w:jc w:val="center"/>
        </w:trPr>
        <w:tc>
          <w:tcPr>
            <w:tcW w:w="1889" w:type="dxa"/>
            <w:vMerge w:val="restart"/>
            <w:tcBorders>
              <w:right w:val="single" w:sz="4" w:space="0" w:color="auto"/>
            </w:tcBorders>
            <w:shd w:val="clear" w:color="auto" w:fill="auto"/>
            <w:vAlign w:val="center"/>
            <w:hideMark/>
          </w:tcPr>
          <w:p w:rsidR="00A47720" w:rsidRPr="00C6787F" w:rsidP="00B17053" w14:paraId="1755A021" w14:textId="77777777">
            <w:pPr>
              <w:keepNext/>
              <w:keepLines/>
              <w:jc w:val="center"/>
              <w:rPr>
                <w:color w:val="000000"/>
                <w:sz w:val="20"/>
              </w:rPr>
            </w:pPr>
            <w:r w:rsidRPr="00C6787F">
              <w:rPr>
                <w:color w:val="000000"/>
                <w:sz w:val="20"/>
              </w:rPr>
              <w:t>Median Household Income</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720" w:rsidRPr="00C6787F" w:rsidP="00B17053" w14:paraId="4AECD785" w14:textId="77777777">
            <w:pPr>
              <w:keepNext/>
              <w:keepLines/>
              <w:jc w:val="center"/>
              <w:rPr>
                <w:color w:val="000000"/>
                <w:sz w:val="20"/>
              </w:rPr>
            </w:pPr>
            <w:r w:rsidRPr="00C6787F">
              <w:rPr>
                <w:color w:val="000000"/>
                <w:sz w:val="20"/>
              </w:rPr>
              <w:t>Low</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720" w:rsidRPr="00C6787F" w:rsidP="00B17053" w14:paraId="7B14F8BB" w14:textId="77777777">
            <w:pPr>
              <w:keepNext/>
              <w:keepLines/>
              <w:jc w:val="center"/>
              <w:rPr>
                <w:color w:val="000000"/>
                <w:sz w:val="20"/>
              </w:rPr>
            </w:pPr>
            <w:r w:rsidRPr="00C6787F">
              <w:rPr>
                <w:color w:val="000000"/>
                <w:sz w:val="20"/>
              </w:rPr>
              <w:t>1.35</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720" w:rsidRPr="00C6787F" w:rsidP="00B17053" w14:paraId="6E9721F4" w14:textId="77777777">
            <w:pPr>
              <w:keepNext/>
              <w:keepLines/>
              <w:jc w:val="center"/>
              <w:rPr>
                <w:color w:val="000000"/>
                <w:sz w:val="20"/>
              </w:rPr>
            </w:pPr>
            <w:r w:rsidRPr="00C6787F">
              <w:rPr>
                <w:color w:val="000000"/>
                <w:sz w:val="20"/>
              </w:rPr>
              <w:t>2.81</w:t>
            </w:r>
          </w:p>
        </w:tc>
        <w:tc>
          <w:tcPr>
            <w:tcW w:w="1993"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A47720" w:rsidRPr="00C6787F" w:rsidP="00B17053" w14:paraId="36FE8FF1" w14:textId="77777777">
            <w:pPr>
              <w:keepNext/>
              <w:keepLines/>
              <w:jc w:val="center"/>
              <w:rPr>
                <w:color w:val="000000"/>
                <w:sz w:val="20"/>
              </w:rPr>
            </w:pPr>
            <w:r w:rsidRPr="00C6787F">
              <w:rPr>
                <w:color w:val="000000"/>
                <w:sz w:val="20"/>
              </w:rPr>
              <w:t>4.06</w:t>
            </w:r>
          </w:p>
        </w:tc>
      </w:tr>
      <w:tr w14:paraId="1F632221" w14:textId="77777777" w:rsidTr="00B17053">
        <w:tblPrEx>
          <w:tblW w:w="8835" w:type="dxa"/>
          <w:jc w:val="center"/>
          <w:tblLook w:val="04A0"/>
        </w:tblPrEx>
        <w:trPr>
          <w:trHeight w:val="367"/>
          <w:jc w:val="center"/>
        </w:trPr>
        <w:tc>
          <w:tcPr>
            <w:tcW w:w="1889" w:type="dxa"/>
            <w:vMerge/>
            <w:tcBorders>
              <w:right w:val="single" w:sz="4" w:space="0" w:color="auto"/>
            </w:tcBorders>
            <w:vAlign w:val="center"/>
            <w:hideMark/>
          </w:tcPr>
          <w:p w:rsidR="00A47720" w:rsidRPr="007C7D6A" w:rsidP="00B17053" w14:paraId="0E48D848" w14:textId="77777777">
            <w:pPr>
              <w:keepNext/>
              <w:keepLines/>
              <w:rPr>
                <w:color w:val="000000"/>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A47720" w:rsidRPr="00C6787F" w:rsidP="00B17053" w14:paraId="1B9DF064" w14:textId="77777777">
            <w:pPr>
              <w:keepNext/>
              <w:keepLines/>
              <w:rPr>
                <w:color w:val="000000"/>
                <w:sz w:val="20"/>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720" w:rsidRPr="00C6787F" w:rsidP="00B17053" w14:paraId="151BE294" w14:textId="77777777">
            <w:pPr>
              <w:keepNext/>
              <w:keepLines/>
              <w:jc w:val="center"/>
              <w:rPr>
                <w:color w:val="000000"/>
                <w:sz w:val="20"/>
              </w:rPr>
            </w:pPr>
            <w:r w:rsidRPr="00C6787F">
              <w:rPr>
                <w:color w:val="000000"/>
                <w:sz w:val="20"/>
              </w:rPr>
              <w:t>[1.25, 1.45]</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720" w:rsidRPr="00C6787F" w:rsidP="00B17053" w14:paraId="69D00EB8" w14:textId="77777777">
            <w:pPr>
              <w:keepNext/>
              <w:keepLines/>
              <w:jc w:val="center"/>
              <w:rPr>
                <w:color w:val="000000"/>
                <w:sz w:val="20"/>
              </w:rPr>
            </w:pPr>
            <w:r w:rsidRPr="00C6787F">
              <w:rPr>
                <w:color w:val="000000" w:themeColor="text1"/>
                <w:sz w:val="20"/>
              </w:rPr>
              <w:t>[2.50, 3.12]</w:t>
            </w:r>
          </w:p>
        </w:tc>
        <w:tc>
          <w:tcPr>
            <w:tcW w:w="1993"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A47720" w:rsidRPr="00C6787F" w:rsidP="00B17053" w14:paraId="6DD1A991" w14:textId="77777777">
            <w:pPr>
              <w:keepNext/>
              <w:keepLines/>
              <w:jc w:val="center"/>
              <w:rPr>
                <w:color w:val="000000"/>
                <w:sz w:val="20"/>
              </w:rPr>
            </w:pPr>
            <w:r w:rsidRPr="00C6787F">
              <w:rPr>
                <w:color w:val="000000"/>
                <w:sz w:val="20"/>
              </w:rPr>
              <w:t>[3.69, 4.42]</w:t>
            </w:r>
          </w:p>
        </w:tc>
      </w:tr>
      <w:tr w14:paraId="5721BCD5" w14:textId="77777777" w:rsidTr="00B17053">
        <w:tblPrEx>
          <w:tblW w:w="8835" w:type="dxa"/>
          <w:jc w:val="center"/>
          <w:tblLook w:val="04A0"/>
        </w:tblPrEx>
        <w:trPr>
          <w:trHeight w:val="367"/>
          <w:jc w:val="center"/>
        </w:trPr>
        <w:tc>
          <w:tcPr>
            <w:tcW w:w="1889" w:type="dxa"/>
            <w:vMerge/>
            <w:tcBorders>
              <w:right w:val="single" w:sz="4" w:space="0" w:color="auto"/>
            </w:tcBorders>
            <w:vAlign w:val="center"/>
            <w:hideMark/>
          </w:tcPr>
          <w:p w:rsidR="00A47720" w:rsidRPr="007C7D6A" w:rsidP="00B17053" w14:paraId="3921089B" w14:textId="77777777">
            <w:pPr>
              <w:keepNext/>
              <w:keepLines/>
              <w:rPr>
                <w:color w:val="000000"/>
              </w:rPr>
            </w:pP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720" w:rsidRPr="00C6787F" w:rsidP="00B17053" w14:paraId="4353FA20" w14:textId="77777777">
            <w:pPr>
              <w:keepNext/>
              <w:keepLines/>
              <w:jc w:val="center"/>
              <w:rPr>
                <w:color w:val="000000"/>
                <w:sz w:val="20"/>
              </w:rPr>
            </w:pPr>
            <w:r w:rsidRPr="00C6787F">
              <w:rPr>
                <w:color w:val="000000"/>
                <w:sz w:val="20"/>
              </w:rPr>
              <w:t>Medium</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720" w:rsidRPr="00C6787F" w:rsidP="00B17053" w14:paraId="07AF72F9" w14:textId="77777777">
            <w:pPr>
              <w:keepNext/>
              <w:keepLines/>
              <w:jc w:val="center"/>
              <w:rPr>
                <w:color w:val="000000"/>
                <w:sz w:val="20"/>
              </w:rPr>
            </w:pPr>
            <w:r w:rsidRPr="00C6787F">
              <w:rPr>
                <w:color w:val="000000"/>
                <w:sz w:val="20"/>
              </w:rPr>
              <w:t>1.24</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720" w:rsidRPr="00C6787F" w:rsidP="00B17053" w14:paraId="70DA69A9" w14:textId="77777777">
            <w:pPr>
              <w:keepNext/>
              <w:keepLines/>
              <w:jc w:val="center"/>
              <w:rPr>
                <w:color w:val="000000"/>
                <w:sz w:val="20"/>
              </w:rPr>
            </w:pPr>
            <w:r w:rsidRPr="00C6787F">
              <w:rPr>
                <w:color w:val="000000"/>
                <w:sz w:val="20"/>
              </w:rPr>
              <w:t>2.69</w:t>
            </w:r>
          </w:p>
        </w:tc>
        <w:tc>
          <w:tcPr>
            <w:tcW w:w="1993"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A47720" w:rsidRPr="00C6787F" w:rsidP="00B17053" w14:paraId="061462DF" w14:textId="77777777">
            <w:pPr>
              <w:keepNext/>
              <w:keepLines/>
              <w:jc w:val="center"/>
              <w:rPr>
                <w:color w:val="000000"/>
                <w:sz w:val="20"/>
              </w:rPr>
            </w:pPr>
            <w:r w:rsidRPr="00C6787F">
              <w:rPr>
                <w:color w:val="000000"/>
                <w:sz w:val="20"/>
              </w:rPr>
              <w:t>3.96</w:t>
            </w:r>
          </w:p>
        </w:tc>
      </w:tr>
      <w:tr w14:paraId="6BA82569" w14:textId="77777777" w:rsidTr="00B17053">
        <w:tblPrEx>
          <w:tblW w:w="8835" w:type="dxa"/>
          <w:jc w:val="center"/>
          <w:tblLook w:val="04A0"/>
        </w:tblPrEx>
        <w:trPr>
          <w:trHeight w:val="367"/>
          <w:jc w:val="center"/>
        </w:trPr>
        <w:tc>
          <w:tcPr>
            <w:tcW w:w="1889" w:type="dxa"/>
            <w:vMerge/>
            <w:tcBorders>
              <w:right w:val="single" w:sz="4" w:space="0" w:color="auto"/>
            </w:tcBorders>
            <w:vAlign w:val="center"/>
            <w:hideMark/>
          </w:tcPr>
          <w:p w:rsidR="00A47720" w:rsidRPr="007C7D6A" w:rsidP="00B17053" w14:paraId="44561D95" w14:textId="77777777">
            <w:pPr>
              <w:keepNext/>
              <w:keepLines/>
              <w:rPr>
                <w:color w:val="000000"/>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A47720" w:rsidRPr="00C6787F" w:rsidP="00B17053" w14:paraId="36B9ADAD" w14:textId="77777777">
            <w:pPr>
              <w:keepNext/>
              <w:keepLines/>
              <w:rPr>
                <w:color w:val="000000"/>
                <w:sz w:val="20"/>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720" w:rsidRPr="00C6787F" w:rsidP="00B17053" w14:paraId="0C48A9CE" w14:textId="77777777">
            <w:pPr>
              <w:keepNext/>
              <w:keepLines/>
              <w:jc w:val="center"/>
              <w:rPr>
                <w:color w:val="000000"/>
                <w:sz w:val="20"/>
              </w:rPr>
            </w:pPr>
            <w:r w:rsidRPr="00C6787F">
              <w:rPr>
                <w:color w:val="000000"/>
                <w:sz w:val="20"/>
              </w:rPr>
              <w:t>[1.18, 1.30]</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720" w:rsidRPr="00C6787F" w:rsidP="00B17053" w14:paraId="5AA70326" w14:textId="77777777">
            <w:pPr>
              <w:keepNext/>
              <w:keepLines/>
              <w:jc w:val="center"/>
              <w:rPr>
                <w:color w:val="000000"/>
                <w:sz w:val="20"/>
              </w:rPr>
            </w:pPr>
            <w:r w:rsidRPr="00C6787F">
              <w:rPr>
                <w:color w:val="000000"/>
                <w:sz w:val="20"/>
              </w:rPr>
              <w:t>[2.40, 2.98]</w:t>
            </w:r>
          </w:p>
        </w:tc>
        <w:tc>
          <w:tcPr>
            <w:tcW w:w="1993"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A47720" w:rsidRPr="00C6787F" w:rsidP="00B17053" w14:paraId="5430B54D" w14:textId="77777777">
            <w:pPr>
              <w:keepNext/>
              <w:keepLines/>
              <w:jc w:val="center"/>
              <w:rPr>
                <w:color w:val="000000"/>
                <w:sz w:val="20"/>
              </w:rPr>
            </w:pPr>
            <w:r w:rsidRPr="00C6787F">
              <w:rPr>
                <w:color w:val="000000"/>
                <w:sz w:val="20"/>
              </w:rPr>
              <w:t>[3.61, 4.30]</w:t>
            </w:r>
          </w:p>
        </w:tc>
      </w:tr>
      <w:tr w14:paraId="6FAF042E" w14:textId="77777777" w:rsidTr="00B17053">
        <w:tblPrEx>
          <w:tblW w:w="8835" w:type="dxa"/>
          <w:jc w:val="center"/>
          <w:tblLook w:val="04A0"/>
        </w:tblPrEx>
        <w:trPr>
          <w:trHeight w:val="367"/>
          <w:jc w:val="center"/>
        </w:trPr>
        <w:tc>
          <w:tcPr>
            <w:tcW w:w="1889" w:type="dxa"/>
            <w:vMerge/>
            <w:tcBorders>
              <w:right w:val="single" w:sz="4" w:space="0" w:color="auto"/>
            </w:tcBorders>
            <w:vAlign w:val="center"/>
            <w:hideMark/>
          </w:tcPr>
          <w:p w:rsidR="00A47720" w:rsidRPr="007C7D6A" w:rsidP="00B17053" w14:paraId="2CB01034" w14:textId="77777777">
            <w:pPr>
              <w:keepNext/>
              <w:keepLines/>
              <w:rPr>
                <w:color w:val="000000"/>
              </w:rPr>
            </w:pP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720" w:rsidRPr="00C6787F" w:rsidP="00B17053" w14:paraId="796A5375" w14:textId="77777777">
            <w:pPr>
              <w:keepNext/>
              <w:keepLines/>
              <w:jc w:val="center"/>
              <w:rPr>
                <w:color w:val="000000"/>
                <w:sz w:val="20"/>
              </w:rPr>
            </w:pPr>
            <w:r w:rsidRPr="00C6787F">
              <w:rPr>
                <w:color w:val="000000"/>
                <w:sz w:val="20"/>
              </w:rPr>
              <w:t>High</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720" w:rsidRPr="00C6787F" w:rsidP="00B17053" w14:paraId="7F10B506" w14:textId="77777777">
            <w:pPr>
              <w:keepNext/>
              <w:keepLines/>
              <w:jc w:val="center"/>
              <w:rPr>
                <w:color w:val="000000"/>
                <w:sz w:val="20"/>
              </w:rPr>
            </w:pPr>
            <w:r w:rsidRPr="00C6787F">
              <w:rPr>
                <w:color w:val="000000"/>
                <w:sz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720" w:rsidRPr="00C6787F" w:rsidP="00B17053" w14:paraId="3EFD9B65" w14:textId="77777777">
            <w:pPr>
              <w:keepNext/>
              <w:keepLines/>
              <w:jc w:val="center"/>
              <w:rPr>
                <w:color w:val="000000"/>
                <w:sz w:val="20"/>
              </w:rPr>
            </w:pPr>
            <w:r w:rsidRPr="00C6787F">
              <w:rPr>
                <w:color w:val="000000"/>
                <w:sz w:val="20"/>
              </w:rPr>
              <w:t>2.40</w:t>
            </w:r>
          </w:p>
        </w:tc>
        <w:tc>
          <w:tcPr>
            <w:tcW w:w="1993"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A47720" w:rsidRPr="00C6787F" w:rsidP="00B17053" w14:paraId="223F410B" w14:textId="77777777">
            <w:pPr>
              <w:keepNext/>
              <w:keepLines/>
              <w:jc w:val="center"/>
              <w:rPr>
                <w:color w:val="000000"/>
                <w:sz w:val="20"/>
              </w:rPr>
            </w:pPr>
            <w:r w:rsidRPr="00C6787F">
              <w:rPr>
                <w:color w:val="000000"/>
                <w:sz w:val="20"/>
              </w:rPr>
              <w:t>3.67</w:t>
            </w:r>
          </w:p>
        </w:tc>
      </w:tr>
      <w:tr w14:paraId="377E9DB3" w14:textId="77777777" w:rsidTr="00B17053">
        <w:tblPrEx>
          <w:tblW w:w="8835" w:type="dxa"/>
          <w:jc w:val="center"/>
          <w:tblLook w:val="04A0"/>
        </w:tblPrEx>
        <w:trPr>
          <w:trHeight w:val="385"/>
          <w:jc w:val="center"/>
        </w:trPr>
        <w:tc>
          <w:tcPr>
            <w:tcW w:w="1889" w:type="dxa"/>
            <w:vMerge/>
            <w:tcBorders>
              <w:right w:val="single" w:sz="4" w:space="0" w:color="auto"/>
            </w:tcBorders>
            <w:vAlign w:val="center"/>
            <w:hideMark/>
          </w:tcPr>
          <w:p w:rsidR="00A47720" w:rsidRPr="007C7D6A" w:rsidP="00B17053" w14:paraId="284059F7" w14:textId="77777777">
            <w:pPr>
              <w:keepNext/>
              <w:keepLines/>
              <w:rPr>
                <w:color w:val="000000"/>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A47720" w:rsidRPr="00C6787F" w:rsidP="00B17053" w14:paraId="47C818F2" w14:textId="77777777">
            <w:pPr>
              <w:keepNext/>
              <w:keepLines/>
              <w:rPr>
                <w:color w:val="000000"/>
                <w:sz w:val="20"/>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720" w:rsidRPr="00C6787F" w:rsidP="00B17053" w14:paraId="6271C8F0" w14:textId="77777777">
            <w:pPr>
              <w:keepNext/>
              <w:keepLines/>
              <w:jc w:val="center"/>
              <w:rPr>
                <w:color w:val="000000"/>
                <w:sz w:val="20"/>
              </w:rPr>
            </w:pPr>
            <w:r w:rsidRPr="00C6787F">
              <w:rPr>
                <w:color w:val="000000"/>
                <w:sz w:val="20"/>
              </w:rPr>
              <w:t> </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720" w:rsidRPr="00C6787F" w:rsidP="00B17053" w14:paraId="423694E6" w14:textId="77777777">
            <w:pPr>
              <w:keepNext/>
              <w:keepLines/>
              <w:jc w:val="center"/>
              <w:rPr>
                <w:color w:val="000000"/>
                <w:sz w:val="20"/>
              </w:rPr>
            </w:pPr>
            <w:r w:rsidRPr="00C6787F">
              <w:rPr>
                <w:color w:val="000000"/>
                <w:sz w:val="20"/>
              </w:rPr>
              <w:t>[2.14, 2.66]</w:t>
            </w:r>
          </w:p>
        </w:tc>
        <w:tc>
          <w:tcPr>
            <w:tcW w:w="1993"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A47720" w:rsidRPr="00C6787F" w:rsidP="00B17053" w14:paraId="42FB231B" w14:textId="77777777">
            <w:pPr>
              <w:keepNext/>
              <w:keepLines/>
              <w:jc w:val="center"/>
              <w:rPr>
                <w:color w:val="000000"/>
                <w:sz w:val="20"/>
              </w:rPr>
            </w:pPr>
            <w:r w:rsidRPr="00C6787F">
              <w:rPr>
                <w:color w:val="000000"/>
                <w:sz w:val="20"/>
              </w:rPr>
              <w:t>[3.36, 3.98]</w:t>
            </w:r>
          </w:p>
        </w:tc>
      </w:tr>
      <w:tr w14:paraId="69065DAE" w14:textId="77777777" w:rsidTr="00B17053">
        <w:tblPrEx>
          <w:tblW w:w="8835" w:type="dxa"/>
          <w:jc w:val="center"/>
          <w:tblLook w:val="04A0"/>
        </w:tblPrEx>
        <w:trPr>
          <w:trHeight w:val="385"/>
          <w:jc w:val="center"/>
        </w:trPr>
        <w:tc>
          <w:tcPr>
            <w:tcW w:w="1889" w:type="dxa"/>
            <w:shd w:val="clear" w:color="auto" w:fill="auto"/>
            <w:noWrap/>
            <w:vAlign w:val="bottom"/>
            <w:hideMark/>
          </w:tcPr>
          <w:p w:rsidR="00A47720" w:rsidRPr="007C7D6A" w:rsidP="00B17053" w14:paraId="0F749C2B" w14:textId="77777777">
            <w:pPr>
              <w:keepNext/>
              <w:keepLines/>
              <w:jc w:val="center"/>
              <w:rPr>
                <w:color w:val="000000"/>
              </w:rPr>
            </w:pPr>
          </w:p>
        </w:tc>
        <w:tc>
          <w:tcPr>
            <w:tcW w:w="6946" w:type="dxa"/>
            <w:gridSpan w:val="4"/>
            <w:tcBorders>
              <w:top w:val="single" w:sz="4" w:space="0" w:color="auto"/>
            </w:tcBorders>
            <w:shd w:val="clear" w:color="auto" w:fill="auto"/>
            <w:noWrap/>
            <w:vAlign w:val="center"/>
            <w:hideMark/>
          </w:tcPr>
          <w:p w:rsidR="00A47720" w:rsidRPr="00C6787F" w:rsidP="00B17053" w14:paraId="0797E3AF" w14:textId="77777777">
            <w:pPr>
              <w:keepNext/>
              <w:keepLines/>
              <w:rPr>
                <w:color w:val="000000"/>
                <w:sz w:val="20"/>
              </w:rPr>
            </w:pPr>
            <w:r w:rsidRPr="00C6787F">
              <w:rPr>
                <w:color w:val="000000"/>
                <w:sz w:val="20"/>
              </w:rPr>
              <w:t>95% confidence intervals are shown in brackets.</w:t>
            </w:r>
          </w:p>
        </w:tc>
      </w:tr>
    </w:tbl>
    <w:p w:rsidR="00A47720" w:rsidP="00A47720" w14:paraId="4D088B60" w14:textId="77777777">
      <w:pPr>
        <w:pStyle w:val="ParaNum"/>
        <w:numPr>
          <w:ilvl w:val="0"/>
          <w:numId w:val="0"/>
        </w:numPr>
        <w:rPr>
          <w:szCs w:val="22"/>
        </w:rPr>
      </w:pPr>
    </w:p>
    <w:p w:rsidR="00A47720" w:rsidP="00043DED" w14:paraId="7D85B5F1" w14:textId="22542ACF">
      <w:pPr>
        <w:pStyle w:val="ParaNum"/>
        <w:keepNext/>
        <w:numPr>
          <w:ilvl w:val="0"/>
          <w:numId w:val="0"/>
        </w:numPr>
        <w:spacing w:before="120"/>
        <w:jc w:val="center"/>
        <w:rPr>
          <w:b/>
        </w:rPr>
      </w:pPr>
      <w:r>
        <w:rPr>
          <w:b/>
        </w:rPr>
        <w:t>Fig. B-5: Adjustment Factor Estimates (All Specifications)</w:t>
      </w:r>
    </w:p>
    <w:tbl>
      <w:tblPr>
        <w:tblW w:w="0" w:type="auto"/>
        <w:tblInd w:w="-144" w:type="dxa"/>
        <w:tblLayout w:type="fixed"/>
        <w:tblLook w:val="04A0"/>
      </w:tblPr>
      <w:tblGrid>
        <w:gridCol w:w="914"/>
        <w:gridCol w:w="808"/>
        <w:gridCol w:w="1008"/>
        <w:gridCol w:w="1008"/>
        <w:gridCol w:w="1236"/>
        <w:gridCol w:w="236"/>
        <w:gridCol w:w="1008"/>
        <w:gridCol w:w="1236"/>
        <w:gridCol w:w="1236"/>
        <w:gridCol w:w="236"/>
        <w:gridCol w:w="326"/>
      </w:tblGrid>
      <w:tr w14:paraId="400B425B" w14:textId="77777777" w:rsidTr="00DB4A77">
        <w:tblPrEx>
          <w:tblW w:w="0" w:type="auto"/>
          <w:tblInd w:w="-144" w:type="dxa"/>
          <w:tblLayout w:type="fixed"/>
          <w:tblLook w:val="04A0"/>
        </w:tblPrEx>
        <w:trPr>
          <w:trHeight w:val="320"/>
        </w:trPr>
        <w:tc>
          <w:tcPr>
            <w:tcW w:w="914" w:type="dxa"/>
            <w:tcBorders>
              <w:top w:val="nil"/>
              <w:left w:val="nil"/>
              <w:bottom w:val="nil"/>
              <w:right w:val="nil"/>
            </w:tcBorders>
            <w:shd w:val="clear" w:color="000000" w:fill="FFFFFF"/>
            <w:noWrap/>
            <w:vAlign w:val="bottom"/>
            <w:hideMark/>
          </w:tcPr>
          <w:p w:rsidR="00AE015D" w:rsidRPr="00F31188" w:rsidP="00B31ED2" w14:paraId="79B9F659" w14:textId="77777777">
            <w:pPr>
              <w:keepNext/>
              <w:rPr>
                <w:color w:val="000000"/>
                <w:sz w:val="16"/>
                <w:szCs w:val="16"/>
              </w:rPr>
            </w:pPr>
            <w:bookmarkStart w:id="9" w:name="_Hlk40702183"/>
            <w:r w:rsidRPr="00F31188">
              <w:rPr>
                <w:color w:val="000000"/>
                <w:sz w:val="16"/>
                <w:szCs w:val="16"/>
              </w:rPr>
              <w:t> </w:t>
            </w:r>
          </w:p>
        </w:tc>
        <w:tc>
          <w:tcPr>
            <w:tcW w:w="808" w:type="dxa"/>
            <w:tcBorders>
              <w:top w:val="nil"/>
              <w:left w:val="nil"/>
              <w:bottom w:val="nil"/>
              <w:right w:val="nil"/>
            </w:tcBorders>
            <w:shd w:val="clear" w:color="000000" w:fill="FFFFFF"/>
            <w:noWrap/>
            <w:vAlign w:val="bottom"/>
            <w:hideMark/>
          </w:tcPr>
          <w:p w:rsidR="00AE015D" w:rsidRPr="00F31188" w:rsidP="00B31ED2" w14:paraId="6E2CB1D6" w14:textId="77777777">
            <w:pPr>
              <w:keepNext/>
              <w:rPr>
                <w:color w:val="000000"/>
                <w:sz w:val="16"/>
                <w:szCs w:val="16"/>
              </w:rPr>
            </w:pPr>
            <w:r w:rsidRPr="00F31188">
              <w:rPr>
                <w:color w:val="000000"/>
                <w:sz w:val="16"/>
                <w:szCs w:val="16"/>
              </w:rPr>
              <w:t> </w:t>
            </w:r>
          </w:p>
        </w:tc>
        <w:tc>
          <w:tcPr>
            <w:tcW w:w="1008" w:type="dxa"/>
            <w:gridSpan w:val="7"/>
            <w:tcBorders>
              <w:top w:val="nil"/>
              <w:left w:val="nil"/>
              <w:bottom w:val="nil"/>
              <w:right w:val="nil"/>
            </w:tcBorders>
            <w:shd w:val="clear" w:color="000000" w:fill="FFFFFF"/>
            <w:noWrap/>
            <w:vAlign w:val="bottom"/>
            <w:hideMark/>
          </w:tcPr>
          <w:p w:rsidR="00AE015D" w:rsidRPr="00F31188" w:rsidP="00B31ED2" w14:paraId="43AF422C" w14:textId="77777777">
            <w:pPr>
              <w:keepNext/>
              <w:jc w:val="center"/>
              <w:rPr>
                <w:color w:val="000000"/>
                <w:sz w:val="16"/>
                <w:szCs w:val="16"/>
              </w:rPr>
            </w:pPr>
            <w:r w:rsidRPr="00F31188">
              <w:rPr>
                <w:color w:val="000000"/>
                <w:sz w:val="16"/>
                <w:szCs w:val="16"/>
              </w:rPr>
              <w:t>Terrain Roughness</w:t>
            </w:r>
          </w:p>
        </w:tc>
        <w:tc>
          <w:tcPr>
            <w:tcW w:w="236" w:type="dxa"/>
            <w:tcBorders>
              <w:top w:val="nil"/>
              <w:left w:val="nil"/>
              <w:bottom w:val="nil"/>
              <w:right w:val="nil"/>
            </w:tcBorders>
            <w:shd w:val="clear" w:color="000000" w:fill="FFFFFF"/>
            <w:noWrap/>
            <w:vAlign w:val="bottom"/>
            <w:hideMark/>
          </w:tcPr>
          <w:p w:rsidR="00AE015D" w:rsidRPr="00F31188" w:rsidP="00B31ED2" w14:paraId="358A6D53" w14:textId="77777777">
            <w:pPr>
              <w:keepNext/>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1A90CCBE" w14:textId="77777777">
            <w:pPr>
              <w:keepNext/>
              <w:rPr>
                <w:rFonts w:ascii="Calibri" w:hAnsi="Calibri" w:cs="Calibri"/>
                <w:color w:val="000000"/>
              </w:rPr>
            </w:pPr>
            <w:r w:rsidRPr="00F31188">
              <w:rPr>
                <w:rFonts w:ascii="Calibri" w:hAnsi="Calibri" w:cs="Calibri"/>
                <w:color w:val="000000"/>
              </w:rPr>
              <w:t> </w:t>
            </w:r>
          </w:p>
        </w:tc>
        <w:bookmarkStart w:id="10" w:name="_GoBack"/>
        <w:bookmarkEnd w:id="10"/>
      </w:tr>
      <w:tr w14:paraId="6AD37C24" w14:textId="77777777" w:rsidTr="00DB4A77">
        <w:tblPrEx>
          <w:tblW w:w="0" w:type="auto"/>
          <w:tblInd w:w="-144" w:type="dxa"/>
          <w:tblLayout w:type="fixed"/>
          <w:tblLook w:val="04A0"/>
        </w:tblPrEx>
        <w:trPr>
          <w:trHeight w:val="320"/>
        </w:trPr>
        <w:tc>
          <w:tcPr>
            <w:tcW w:w="914" w:type="dxa"/>
            <w:tcBorders>
              <w:top w:val="nil"/>
              <w:left w:val="nil"/>
              <w:bottom w:val="nil"/>
              <w:right w:val="nil"/>
            </w:tcBorders>
            <w:shd w:val="clear" w:color="000000" w:fill="FFFFFF"/>
            <w:noWrap/>
            <w:vAlign w:val="bottom"/>
            <w:hideMark/>
          </w:tcPr>
          <w:p w:rsidR="00AE015D" w:rsidRPr="00F31188" w:rsidP="00B31ED2" w14:paraId="0AFD72C8" w14:textId="77777777">
            <w:pPr>
              <w:keepNext/>
              <w:rPr>
                <w:color w:val="000000"/>
                <w:sz w:val="16"/>
                <w:szCs w:val="16"/>
              </w:rPr>
            </w:pPr>
            <w:r w:rsidRPr="00F31188">
              <w:rPr>
                <w:color w:val="000000"/>
                <w:sz w:val="16"/>
                <w:szCs w:val="16"/>
              </w:rPr>
              <w:t> </w:t>
            </w:r>
          </w:p>
        </w:tc>
        <w:tc>
          <w:tcPr>
            <w:tcW w:w="808" w:type="dxa"/>
            <w:tcBorders>
              <w:top w:val="double" w:sz="6" w:space="0" w:color="auto"/>
              <w:left w:val="double" w:sz="6" w:space="0" w:color="auto"/>
              <w:bottom w:val="nil"/>
              <w:right w:val="nil"/>
            </w:tcBorders>
            <w:shd w:val="clear" w:color="000000" w:fill="FFFFFF"/>
            <w:noWrap/>
            <w:vAlign w:val="bottom"/>
            <w:hideMark/>
          </w:tcPr>
          <w:p w:rsidR="00AE015D" w:rsidRPr="00F31188" w:rsidP="00B31ED2" w14:paraId="38290E57" w14:textId="77777777">
            <w:pPr>
              <w:keepNext/>
              <w:jc w:val="center"/>
              <w:rPr>
                <w:color w:val="000000"/>
                <w:sz w:val="16"/>
                <w:szCs w:val="16"/>
              </w:rPr>
            </w:pPr>
            <w:r w:rsidRPr="00F31188">
              <w:rPr>
                <w:color w:val="000000"/>
                <w:sz w:val="16"/>
                <w:szCs w:val="16"/>
              </w:rPr>
              <w:t> </w:t>
            </w:r>
          </w:p>
        </w:tc>
        <w:tc>
          <w:tcPr>
            <w:tcW w:w="1008" w:type="dxa"/>
            <w:tcBorders>
              <w:top w:val="double" w:sz="6" w:space="0" w:color="auto"/>
              <w:left w:val="nil"/>
              <w:bottom w:val="single" w:sz="4" w:space="0" w:color="auto"/>
              <w:right w:val="nil"/>
            </w:tcBorders>
            <w:shd w:val="clear" w:color="000000" w:fill="FFFFFF"/>
            <w:noWrap/>
            <w:vAlign w:val="bottom"/>
            <w:hideMark/>
          </w:tcPr>
          <w:p w:rsidR="00AE015D" w:rsidRPr="00F31188" w:rsidP="00B31ED2" w14:paraId="1A17F57A" w14:textId="77777777">
            <w:pPr>
              <w:keepNext/>
              <w:jc w:val="center"/>
              <w:rPr>
                <w:color w:val="000000"/>
                <w:sz w:val="16"/>
                <w:szCs w:val="16"/>
              </w:rPr>
            </w:pPr>
            <w:r w:rsidRPr="00F31188">
              <w:rPr>
                <w:color w:val="000000"/>
                <w:sz w:val="16"/>
                <w:szCs w:val="16"/>
              </w:rPr>
              <w:t>Flat</w:t>
            </w:r>
          </w:p>
        </w:tc>
        <w:tc>
          <w:tcPr>
            <w:tcW w:w="1008" w:type="dxa"/>
            <w:tcBorders>
              <w:top w:val="double" w:sz="6" w:space="0" w:color="auto"/>
              <w:left w:val="nil"/>
              <w:bottom w:val="single" w:sz="4" w:space="0" w:color="auto"/>
              <w:right w:val="nil"/>
            </w:tcBorders>
            <w:shd w:val="clear" w:color="000000" w:fill="FFFFFF"/>
            <w:noWrap/>
            <w:vAlign w:val="bottom"/>
            <w:hideMark/>
          </w:tcPr>
          <w:p w:rsidR="00AE015D" w:rsidRPr="00F31188" w:rsidP="00B31ED2" w14:paraId="243102F1" w14:textId="77777777">
            <w:pPr>
              <w:keepNext/>
              <w:jc w:val="center"/>
              <w:rPr>
                <w:color w:val="000000"/>
                <w:sz w:val="16"/>
                <w:szCs w:val="16"/>
              </w:rPr>
            </w:pPr>
            <w:r w:rsidRPr="00F31188">
              <w:rPr>
                <w:color w:val="000000"/>
                <w:sz w:val="16"/>
                <w:szCs w:val="16"/>
              </w:rPr>
              <w:t>Hilly</w:t>
            </w:r>
          </w:p>
        </w:tc>
        <w:tc>
          <w:tcPr>
            <w:tcW w:w="1236" w:type="dxa"/>
            <w:tcBorders>
              <w:top w:val="double" w:sz="6" w:space="0" w:color="auto"/>
              <w:left w:val="nil"/>
              <w:bottom w:val="single" w:sz="4" w:space="0" w:color="auto"/>
              <w:right w:val="nil"/>
            </w:tcBorders>
            <w:shd w:val="clear" w:color="000000" w:fill="FFFFFF"/>
            <w:noWrap/>
            <w:vAlign w:val="bottom"/>
            <w:hideMark/>
          </w:tcPr>
          <w:p w:rsidR="00AE015D" w:rsidRPr="00F31188" w:rsidP="00B31ED2" w14:paraId="074AA52E" w14:textId="77777777">
            <w:pPr>
              <w:keepNext/>
              <w:jc w:val="center"/>
              <w:rPr>
                <w:color w:val="000000"/>
                <w:sz w:val="16"/>
                <w:szCs w:val="16"/>
              </w:rPr>
            </w:pPr>
            <w:r w:rsidRPr="00F31188">
              <w:rPr>
                <w:color w:val="000000"/>
                <w:sz w:val="16"/>
                <w:szCs w:val="16"/>
              </w:rPr>
              <w:t>Mountainous</w:t>
            </w:r>
          </w:p>
        </w:tc>
        <w:tc>
          <w:tcPr>
            <w:tcW w:w="144" w:type="dxa"/>
            <w:tcBorders>
              <w:top w:val="double" w:sz="6" w:space="0" w:color="auto"/>
              <w:left w:val="nil"/>
              <w:bottom w:val="single" w:sz="4" w:space="0" w:color="auto"/>
              <w:right w:val="nil"/>
            </w:tcBorders>
            <w:shd w:val="clear" w:color="000000" w:fill="FFFFFF"/>
            <w:noWrap/>
            <w:vAlign w:val="bottom"/>
            <w:hideMark/>
          </w:tcPr>
          <w:p w:rsidR="00AE015D" w:rsidRPr="00F31188" w:rsidP="00B31ED2" w14:paraId="55AF9014" w14:textId="77777777">
            <w:pPr>
              <w:keepNext/>
              <w:jc w:val="center"/>
              <w:rPr>
                <w:color w:val="000000"/>
                <w:sz w:val="16"/>
                <w:szCs w:val="16"/>
              </w:rPr>
            </w:pPr>
            <w:r w:rsidRPr="00F31188">
              <w:rPr>
                <w:color w:val="000000"/>
                <w:sz w:val="16"/>
                <w:szCs w:val="16"/>
              </w:rPr>
              <w:t> </w:t>
            </w:r>
          </w:p>
        </w:tc>
        <w:tc>
          <w:tcPr>
            <w:tcW w:w="1008" w:type="dxa"/>
            <w:tcBorders>
              <w:top w:val="double" w:sz="6" w:space="0" w:color="auto"/>
              <w:left w:val="nil"/>
              <w:bottom w:val="single" w:sz="4" w:space="0" w:color="auto"/>
              <w:right w:val="nil"/>
            </w:tcBorders>
            <w:shd w:val="clear" w:color="000000" w:fill="FFFFFF"/>
            <w:noWrap/>
            <w:vAlign w:val="bottom"/>
            <w:hideMark/>
          </w:tcPr>
          <w:p w:rsidR="00AE015D" w:rsidRPr="00F31188" w:rsidP="00B31ED2" w14:paraId="4B373C36" w14:textId="77777777">
            <w:pPr>
              <w:keepNext/>
              <w:jc w:val="center"/>
              <w:rPr>
                <w:color w:val="000000"/>
                <w:sz w:val="16"/>
                <w:szCs w:val="16"/>
              </w:rPr>
            </w:pPr>
            <w:r w:rsidRPr="00F31188">
              <w:rPr>
                <w:color w:val="000000"/>
                <w:sz w:val="16"/>
                <w:szCs w:val="16"/>
              </w:rPr>
              <w:t>Flat</w:t>
            </w:r>
          </w:p>
        </w:tc>
        <w:tc>
          <w:tcPr>
            <w:tcW w:w="1236" w:type="dxa"/>
            <w:tcBorders>
              <w:top w:val="double" w:sz="6" w:space="0" w:color="auto"/>
              <w:left w:val="nil"/>
              <w:bottom w:val="single" w:sz="4" w:space="0" w:color="auto"/>
              <w:right w:val="nil"/>
            </w:tcBorders>
            <w:shd w:val="clear" w:color="000000" w:fill="FFFFFF"/>
            <w:noWrap/>
            <w:vAlign w:val="bottom"/>
            <w:hideMark/>
          </w:tcPr>
          <w:p w:rsidR="00AE015D" w:rsidRPr="00F31188" w:rsidP="00B31ED2" w14:paraId="210DC181" w14:textId="77777777">
            <w:pPr>
              <w:keepNext/>
              <w:jc w:val="center"/>
              <w:rPr>
                <w:color w:val="000000"/>
                <w:sz w:val="16"/>
                <w:szCs w:val="16"/>
              </w:rPr>
            </w:pPr>
            <w:r w:rsidRPr="00F31188">
              <w:rPr>
                <w:color w:val="000000"/>
                <w:sz w:val="16"/>
                <w:szCs w:val="16"/>
              </w:rPr>
              <w:t>Hilly</w:t>
            </w:r>
          </w:p>
        </w:tc>
        <w:tc>
          <w:tcPr>
            <w:tcW w:w="1236" w:type="dxa"/>
            <w:tcBorders>
              <w:top w:val="double" w:sz="6" w:space="0" w:color="auto"/>
              <w:left w:val="nil"/>
              <w:bottom w:val="single" w:sz="4" w:space="0" w:color="auto"/>
              <w:right w:val="nil"/>
            </w:tcBorders>
            <w:shd w:val="clear" w:color="000000" w:fill="FFFFFF"/>
            <w:noWrap/>
            <w:vAlign w:val="bottom"/>
            <w:hideMark/>
          </w:tcPr>
          <w:p w:rsidR="00AE015D" w:rsidRPr="00F31188" w:rsidP="00B31ED2" w14:paraId="27C53C32" w14:textId="77777777">
            <w:pPr>
              <w:keepNext/>
              <w:jc w:val="center"/>
              <w:rPr>
                <w:color w:val="000000"/>
                <w:sz w:val="16"/>
                <w:szCs w:val="16"/>
              </w:rPr>
            </w:pPr>
            <w:r w:rsidRPr="00F31188">
              <w:rPr>
                <w:color w:val="000000"/>
                <w:sz w:val="16"/>
                <w:szCs w:val="16"/>
              </w:rPr>
              <w:t>Mountainous</w:t>
            </w:r>
          </w:p>
        </w:tc>
        <w:tc>
          <w:tcPr>
            <w:tcW w:w="236" w:type="dxa"/>
            <w:tcBorders>
              <w:top w:val="double" w:sz="6" w:space="0" w:color="auto"/>
              <w:left w:val="nil"/>
              <w:bottom w:val="nil"/>
              <w:right w:val="double" w:sz="6" w:space="0" w:color="auto"/>
            </w:tcBorders>
            <w:shd w:val="clear" w:color="000000" w:fill="FFFFFF"/>
            <w:noWrap/>
            <w:vAlign w:val="bottom"/>
            <w:hideMark/>
          </w:tcPr>
          <w:p w:rsidR="00AE015D" w:rsidRPr="00F31188" w:rsidP="00B31ED2" w14:paraId="54A304D5" w14:textId="77777777">
            <w:pPr>
              <w:keepNext/>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0CFD41D7" w14:textId="77777777">
            <w:pPr>
              <w:keepNext/>
              <w:rPr>
                <w:rFonts w:ascii="Calibri" w:hAnsi="Calibri" w:cs="Calibri"/>
                <w:color w:val="000000"/>
              </w:rPr>
            </w:pPr>
            <w:r w:rsidRPr="00F31188">
              <w:rPr>
                <w:rFonts w:ascii="Calibri" w:hAnsi="Calibri" w:cs="Calibri"/>
                <w:color w:val="000000"/>
              </w:rPr>
              <w:t> </w:t>
            </w:r>
          </w:p>
        </w:tc>
      </w:tr>
      <w:tr w14:paraId="52E15FB1" w14:textId="77777777" w:rsidTr="00DB4A77">
        <w:tblPrEx>
          <w:tblW w:w="0" w:type="auto"/>
          <w:tblInd w:w="-144" w:type="dxa"/>
          <w:tblLayout w:type="fixed"/>
          <w:tblLook w:val="04A0"/>
        </w:tblPrEx>
        <w:trPr>
          <w:trHeight w:val="305"/>
        </w:trPr>
        <w:tc>
          <w:tcPr>
            <w:tcW w:w="914" w:type="dxa"/>
            <w:tcBorders>
              <w:top w:val="nil"/>
              <w:left w:val="nil"/>
              <w:bottom w:val="nil"/>
              <w:right w:val="nil"/>
            </w:tcBorders>
            <w:shd w:val="clear" w:color="000000" w:fill="FFFFFF"/>
            <w:noWrap/>
            <w:vAlign w:val="bottom"/>
            <w:hideMark/>
          </w:tcPr>
          <w:p w:rsidR="00AE015D" w:rsidRPr="00F31188" w:rsidP="00B31ED2" w14:paraId="4E4E6345" w14:textId="77777777">
            <w:pPr>
              <w:keepNext/>
              <w:rPr>
                <w:color w:val="000000"/>
                <w:sz w:val="16"/>
                <w:szCs w:val="16"/>
              </w:rPr>
            </w:pPr>
            <w:r w:rsidRPr="00F31188">
              <w:rPr>
                <w:color w:val="000000"/>
                <w:sz w:val="16"/>
                <w:szCs w:val="16"/>
              </w:rPr>
              <w:t> </w:t>
            </w: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30432103" w14:textId="77777777">
            <w:pPr>
              <w:keepNext/>
              <w:jc w:val="center"/>
              <w:rPr>
                <w:color w:val="000000"/>
                <w:sz w:val="16"/>
                <w:szCs w:val="16"/>
              </w:rPr>
            </w:pPr>
            <w:r w:rsidRPr="00F31188">
              <w:rPr>
                <w:color w:val="000000"/>
                <w:sz w:val="16"/>
                <w:szCs w:val="16"/>
              </w:rPr>
              <w:t> </w:t>
            </w:r>
          </w:p>
        </w:tc>
        <w:tc>
          <w:tcPr>
            <w:tcW w:w="1008" w:type="dxa"/>
            <w:gridSpan w:val="3"/>
            <w:tcBorders>
              <w:top w:val="nil"/>
              <w:left w:val="nil"/>
              <w:bottom w:val="nil"/>
              <w:right w:val="nil"/>
            </w:tcBorders>
            <w:shd w:val="clear" w:color="000000" w:fill="FFFFFF"/>
            <w:noWrap/>
            <w:vAlign w:val="bottom"/>
            <w:hideMark/>
          </w:tcPr>
          <w:p w:rsidR="00AE015D" w:rsidRPr="00F31188" w:rsidP="00B31ED2" w14:paraId="1A564CDB" w14:textId="77777777">
            <w:pPr>
              <w:keepNext/>
              <w:jc w:val="center"/>
              <w:rPr>
                <w:b/>
                <w:bCs/>
                <w:color w:val="000000"/>
                <w:sz w:val="16"/>
                <w:szCs w:val="16"/>
              </w:rPr>
            </w:pPr>
            <w:r w:rsidRPr="00F31188">
              <w:rPr>
                <w:b/>
                <w:bCs/>
                <w:color w:val="000000"/>
                <w:sz w:val="16"/>
                <w:szCs w:val="16"/>
              </w:rPr>
              <w:t>(1)</w:t>
            </w:r>
          </w:p>
        </w:tc>
        <w:tc>
          <w:tcPr>
            <w:tcW w:w="144" w:type="dxa"/>
            <w:tcBorders>
              <w:top w:val="nil"/>
              <w:left w:val="nil"/>
              <w:bottom w:val="nil"/>
              <w:right w:val="nil"/>
            </w:tcBorders>
            <w:shd w:val="clear" w:color="000000" w:fill="FFFFFF"/>
            <w:noWrap/>
            <w:vAlign w:val="center"/>
            <w:hideMark/>
          </w:tcPr>
          <w:p w:rsidR="00AE015D" w:rsidRPr="00F31188" w:rsidP="00B31ED2" w14:paraId="7BCF1C16" w14:textId="77777777">
            <w:pPr>
              <w:keepNext/>
              <w:jc w:val="center"/>
              <w:rPr>
                <w:color w:val="000000"/>
                <w:sz w:val="16"/>
                <w:szCs w:val="16"/>
              </w:rPr>
            </w:pPr>
            <w:r w:rsidRPr="00F31188">
              <w:rPr>
                <w:color w:val="000000"/>
                <w:sz w:val="16"/>
                <w:szCs w:val="16"/>
              </w:rPr>
              <w:t> </w:t>
            </w:r>
          </w:p>
        </w:tc>
        <w:tc>
          <w:tcPr>
            <w:tcW w:w="1008" w:type="dxa"/>
            <w:gridSpan w:val="3"/>
            <w:tcBorders>
              <w:top w:val="nil"/>
              <w:left w:val="nil"/>
              <w:bottom w:val="nil"/>
              <w:right w:val="nil"/>
            </w:tcBorders>
            <w:shd w:val="clear" w:color="000000" w:fill="FFFFFF"/>
            <w:noWrap/>
            <w:vAlign w:val="bottom"/>
            <w:hideMark/>
          </w:tcPr>
          <w:p w:rsidR="00AE015D" w:rsidRPr="00F31188" w:rsidP="00B31ED2" w14:paraId="5375707A" w14:textId="77777777">
            <w:pPr>
              <w:keepNext/>
              <w:jc w:val="center"/>
              <w:rPr>
                <w:b/>
                <w:bCs/>
                <w:color w:val="000000"/>
                <w:sz w:val="16"/>
                <w:szCs w:val="16"/>
              </w:rPr>
            </w:pPr>
            <w:r w:rsidRPr="00F31188">
              <w:rPr>
                <w:b/>
                <w:bCs/>
                <w:color w:val="000000"/>
                <w:sz w:val="16"/>
                <w:szCs w:val="16"/>
              </w:rPr>
              <w:t>(2)</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5B68D528" w14:textId="77777777">
            <w:pPr>
              <w:keepNext/>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5FC63B64" w14:textId="77777777">
            <w:pPr>
              <w:keepNext/>
              <w:rPr>
                <w:rFonts w:ascii="Calibri" w:hAnsi="Calibri" w:cs="Calibri"/>
                <w:color w:val="000000"/>
              </w:rPr>
            </w:pPr>
            <w:r w:rsidRPr="00F31188">
              <w:rPr>
                <w:rFonts w:ascii="Calibri" w:hAnsi="Calibri" w:cs="Calibri"/>
                <w:color w:val="000000"/>
              </w:rPr>
              <w:t> </w:t>
            </w:r>
          </w:p>
        </w:tc>
      </w:tr>
      <w:tr w14:paraId="3B2BEF09" w14:textId="77777777" w:rsidTr="00DB4A77">
        <w:tblPrEx>
          <w:tblW w:w="0" w:type="auto"/>
          <w:tblInd w:w="-144" w:type="dxa"/>
          <w:tblLayout w:type="fixed"/>
          <w:tblLook w:val="04A0"/>
        </w:tblPrEx>
        <w:trPr>
          <w:trHeight w:val="305"/>
        </w:trPr>
        <w:tc>
          <w:tcPr>
            <w:tcW w:w="914" w:type="dxa"/>
            <w:vMerge w:val="restart"/>
            <w:tcBorders>
              <w:top w:val="nil"/>
              <w:left w:val="nil"/>
              <w:bottom w:val="nil"/>
              <w:right w:val="nil"/>
            </w:tcBorders>
            <w:shd w:val="clear" w:color="000000" w:fill="FFFFFF"/>
            <w:vAlign w:val="center"/>
            <w:hideMark/>
          </w:tcPr>
          <w:p w:rsidR="00AE015D" w:rsidRPr="00F31188" w:rsidP="00B31ED2" w14:paraId="2B20E683" w14:textId="77777777">
            <w:pPr>
              <w:keepNext/>
              <w:keepLines/>
              <w:jc w:val="center"/>
              <w:rPr>
                <w:color w:val="000000"/>
                <w:sz w:val="16"/>
                <w:szCs w:val="16"/>
              </w:rPr>
            </w:pPr>
            <w:r w:rsidRPr="00F31188">
              <w:rPr>
                <w:color w:val="000000"/>
                <w:sz w:val="16"/>
                <w:szCs w:val="16"/>
              </w:rPr>
              <w:t>Median Household Income</w:t>
            </w: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283807EF" w14:textId="77777777">
            <w:pPr>
              <w:keepNext/>
              <w:keepLines/>
              <w:jc w:val="center"/>
              <w:rPr>
                <w:color w:val="000000"/>
                <w:sz w:val="16"/>
                <w:szCs w:val="16"/>
              </w:rPr>
            </w:pPr>
            <w:r w:rsidRPr="00F31188">
              <w:rPr>
                <w:color w:val="000000"/>
                <w:sz w:val="16"/>
                <w:szCs w:val="16"/>
              </w:rPr>
              <w:t>Low</w:t>
            </w:r>
          </w:p>
        </w:tc>
        <w:tc>
          <w:tcPr>
            <w:tcW w:w="1008" w:type="dxa"/>
            <w:tcBorders>
              <w:top w:val="single" w:sz="4" w:space="0" w:color="auto"/>
              <w:left w:val="single" w:sz="4" w:space="0" w:color="auto"/>
              <w:bottom w:val="nil"/>
              <w:right w:val="nil"/>
            </w:tcBorders>
            <w:shd w:val="clear" w:color="000000" w:fill="FFFFFF"/>
            <w:noWrap/>
            <w:vAlign w:val="center"/>
            <w:hideMark/>
          </w:tcPr>
          <w:p w:rsidR="00AE015D" w:rsidRPr="00F31188" w:rsidP="00B31ED2" w14:paraId="08951539" w14:textId="77777777">
            <w:pPr>
              <w:keepNext/>
              <w:keepLines/>
              <w:jc w:val="center"/>
              <w:rPr>
                <w:color w:val="000000"/>
                <w:sz w:val="16"/>
                <w:szCs w:val="16"/>
              </w:rPr>
            </w:pPr>
            <w:r w:rsidRPr="00F31188">
              <w:rPr>
                <w:color w:val="000000"/>
                <w:sz w:val="16"/>
                <w:szCs w:val="16"/>
              </w:rPr>
              <w:t>1.35</w:t>
            </w:r>
          </w:p>
        </w:tc>
        <w:tc>
          <w:tcPr>
            <w:tcW w:w="1008" w:type="dxa"/>
            <w:tcBorders>
              <w:top w:val="single" w:sz="4" w:space="0" w:color="auto"/>
              <w:left w:val="nil"/>
              <w:bottom w:val="nil"/>
              <w:right w:val="nil"/>
            </w:tcBorders>
            <w:shd w:val="clear" w:color="000000" w:fill="FFFFFF"/>
            <w:noWrap/>
            <w:vAlign w:val="center"/>
            <w:hideMark/>
          </w:tcPr>
          <w:p w:rsidR="00AE015D" w:rsidRPr="00F31188" w:rsidP="00B31ED2" w14:paraId="5A5BE46D" w14:textId="77777777">
            <w:pPr>
              <w:keepNext/>
              <w:keepLines/>
              <w:jc w:val="center"/>
              <w:rPr>
                <w:color w:val="000000"/>
                <w:sz w:val="16"/>
                <w:szCs w:val="16"/>
              </w:rPr>
            </w:pPr>
            <w:r w:rsidRPr="00F31188">
              <w:rPr>
                <w:color w:val="000000"/>
                <w:sz w:val="16"/>
                <w:szCs w:val="16"/>
              </w:rPr>
              <w:t>2.81</w:t>
            </w:r>
          </w:p>
        </w:tc>
        <w:tc>
          <w:tcPr>
            <w:tcW w:w="1236" w:type="dxa"/>
            <w:tcBorders>
              <w:top w:val="single" w:sz="4" w:space="0" w:color="auto"/>
              <w:left w:val="nil"/>
              <w:bottom w:val="nil"/>
              <w:right w:val="single" w:sz="4" w:space="0" w:color="auto"/>
            </w:tcBorders>
            <w:shd w:val="clear" w:color="000000" w:fill="FFFFFF"/>
            <w:noWrap/>
            <w:vAlign w:val="center"/>
            <w:hideMark/>
          </w:tcPr>
          <w:p w:rsidR="00AE015D" w:rsidRPr="00F31188" w:rsidP="00B31ED2" w14:paraId="125716B2" w14:textId="77777777">
            <w:pPr>
              <w:keepNext/>
              <w:keepLines/>
              <w:jc w:val="center"/>
              <w:rPr>
                <w:color w:val="000000"/>
                <w:sz w:val="16"/>
                <w:szCs w:val="16"/>
              </w:rPr>
            </w:pPr>
            <w:r w:rsidRPr="00F31188">
              <w:rPr>
                <w:color w:val="000000"/>
                <w:sz w:val="16"/>
                <w:szCs w:val="16"/>
              </w:rPr>
              <w:t>4.06</w:t>
            </w:r>
          </w:p>
        </w:tc>
        <w:tc>
          <w:tcPr>
            <w:tcW w:w="144" w:type="dxa"/>
            <w:tcBorders>
              <w:top w:val="nil"/>
              <w:left w:val="nil"/>
              <w:bottom w:val="nil"/>
              <w:right w:val="nil"/>
            </w:tcBorders>
            <w:shd w:val="clear" w:color="000000" w:fill="FFFFFF"/>
            <w:noWrap/>
            <w:vAlign w:val="center"/>
            <w:hideMark/>
          </w:tcPr>
          <w:p w:rsidR="00AE015D" w:rsidRPr="00F31188" w:rsidP="00B31ED2" w14:paraId="320E7020" w14:textId="77777777">
            <w:pPr>
              <w:keepNext/>
              <w:keepLines/>
              <w:jc w:val="center"/>
              <w:rPr>
                <w:color w:val="000000"/>
                <w:sz w:val="16"/>
                <w:szCs w:val="16"/>
              </w:rPr>
            </w:pPr>
            <w:r w:rsidRPr="00F31188">
              <w:rPr>
                <w:color w:val="000000"/>
                <w:sz w:val="16"/>
                <w:szCs w:val="16"/>
              </w:rPr>
              <w:t> </w:t>
            </w:r>
          </w:p>
        </w:tc>
        <w:tc>
          <w:tcPr>
            <w:tcW w:w="1008" w:type="dxa"/>
            <w:tcBorders>
              <w:top w:val="single" w:sz="4" w:space="0" w:color="auto"/>
              <w:left w:val="single" w:sz="4" w:space="0" w:color="auto"/>
              <w:bottom w:val="nil"/>
              <w:right w:val="nil"/>
            </w:tcBorders>
            <w:shd w:val="clear" w:color="000000" w:fill="FFFFFF"/>
            <w:noWrap/>
            <w:vAlign w:val="center"/>
            <w:hideMark/>
          </w:tcPr>
          <w:p w:rsidR="00AE015D" w:rsidRPr="00F31188" w:rsidP="00B31ED2" w14:paraId="6EF03DB6" w14:textId="77777777">
            <w:pPr>
              <w:keepNext/>
              <w:keepLines/>
              <w:jc w:val="center"/>
              <w:rPr>
                <w:color w:val="000000"/>
                <w:sz w:val="16"/>
                <w:szCs w:val="16"/>
              </w:rPr>
            </w:pPr>
            <w:r w:rsidRPr="00F31188">
              <w:rPr>
                <w:color w:val="000000"/>
                <w:sz w:val="16"/>
                <w:szCs w:val="16"/>
              </w:rPr>
              <w:t>1.35</w:t>
            </w:r>
          </w:p>
        </w:tc>
        <w:tc>
          <w:tcPr>
            <w:tcW w:w="1236" w:type="dxa"/>
            <w:tcBorders>
              <w:top w:val="single" w:sz="4" w:space="0" w:color="auto"/>
              <w:left w:val="nil"/>
              <w:bottom w:val="nil"/>
              <w:right w:val="nil"/>
            </w:tcBorders>
            <w:shd w:val="clear" w:color="000000" w:fill="FFFFFF"/>
            <w:noWrap/>
            <w:vAlign w:val="center"/>
            <w:hideMark/>
          </w:tcPr>
          <w:p w:rsidR="00AE015D" w:rsidRPr="00F31188" w:rsidP="00B31ED2" w14:paraId="117C50E7" w14:textId="77777777">
            <w:pPr>
              <w:keepNext/>
              <w:keepLines/>
              <w:jc w:val="center"/>
              <w:rPr>
                <w:color w:val="000000"/>
                <w:sz w:val="16"/>
                <w:szCs w:val="16"/>
              </w:rPr>
            </w:pPr>
            <w:r w:rsidRPr="00F31188">
              <w:rPr>
                <w:color w:val="000000"/>
                <w:sz w:val="16"/>
                <w:szCs w:val="16"/>
              </w:rPr>
              <w:t>2.91</w:t>
            </w:r>
          </w:p>
        </w:tc>
        <w:tc>
          <w:tcPr>
            <w:tcW w:w="1236" w:type="dxa"/>
            <w:tcBorders>
              <w:top w:val="single" w:sz="4" w:space="0" w:color="auto"/>
              <w:left w:val="nil"/>
              <w:bottom w:val="nil"/>
              <w:right w:val="single" w:sz="4" w:space="0" w:color="auto"/>
            </w:tcBorders>
            <w:shd w:val="clear" w:color="000000" w:fill="FFFFFF"/>
            <w:noWrap/>
            <w:vAlign w:val="center"/>
            <w:hideMark/>
          </w:tcPr>
          <w:p w:rsidR="00AE015D" w:rsidRPr="00F31188" w:rsidP="00B31ED2" w14:paraId="6938630A" w14:textId="77777777">
            <w:pPr>
              <w:keepNext/>
              <w:keepLines/>
              <w:jc w:val="center"/>
              <w:rPr>
                <w:color w:val="000000"/>
                <w:sz w:val="16"/>
                <w:szCs w:val="16"/>
              </w:rPr>
            </w:pPr>
            <w:r w:rsidRPr="00F31188">
              <w:rPr>
                <w:color w:val="000000"/>
                <w:sz w:val="16"/>
                <w:szCs w:val="16"/>
              </w:rPr>
              <w:t>4.01</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333C6E85"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3068AFC5" w14:textId="77777777">
            <w:pPr>
              <w:keepNext/>
              <w:keepLines/>
              <w:rPr>
                <w:rFonts w:ascii="Calibri" w:hAnsi="Calibri" w:cs="Calibri"/>
                <w:color w:val="000000"/>
              </w:rPr>
            </w:pPr>
            <w:r w:rsidRPr="00F31188">
              <w:rPr>
                <w:rFonts w:ascii="Calibri" w:hAnsi="Calibri" w:cs="Calibri"/>
                <w:color w:val="000000"/>
              </w:rPr>
              <w:t> </w:t>
            </w:r>
          </w:p>
        </w:tc>
      </w:tr>
      <w:tr w14:paraId="217644FC"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1F7DF746"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3E840B73" w14:textId="77777777">
            <w:pPr>
              <w:keepNext/>
              <w:keepLines/>
              <w:jc w:val="center"/>
              <w:rPr>
                <w:color w:val="000000"/>
                <w:sz w:val="16"/>
                <w:szCs w:val="16"/>
              </w:rPr>
            </w:pPr>
            <w:r w:rsidRPr="00F31188">
              <w:rPr>
                <w:color w:val="000000"/>
                <w:sz w:val="16"/>
                <w:szCs w:val="16"/>
              </w:rPr>
              <w:t>Medium</w:t>
            </w:r>
          </w:p>
        </w:tc>
        <w:tc>
          <w:tcPr>
            <w:tcW w:w="1008" w:type="dxa"/>
            <w:tcBorders>
              <w:top w:val="nil"/>
              <w:left w:val="single" w:sz="4" w:space="0" w:color="auto"/>
              <w:bottom w:val="nil"/>
              <w:right w:val="nil"/>
            </w:tcBorders>
            <w:shd w:val="clear" w:color="000000" w:fill="FFFFFF"/>
            <w:noWrap/>
            <w:vAlign w:val="center"/>
            <w:hideMark/>
          </w:tcPr>
          <w:p w:rsidR="00AE015D" w:rsidRPr="00F31188" w:rsidP="00B31ED2" w14:paraId="6AB81E81" w14:textId="77777777">
            <w:pPr>
              <w:keepNext/>
              <w:keepLines/>
              <w:jc w:val="center"/>
              <w:rPr>
                <w:color w:val="000000"/>
                <w:sz w:val="16"/>
                <w:szCs w:val="16"/>
              </w:rPr>
            </w:pPr>
            <w:r w:rsidRPr="00F31188">
              <w:rPr>
                <w:color w:val="000000"/>
                <w:sz w:val="16"/>
                <w:szCs w:val="16"/>
              </w:rPr>
              <w:t>1.24</w:t>
            </w:r>
          </w:p>
        </w:tc>
        <w:tc>
          <w:tcPr>
            <w:tcW w:w="1008" w:type="dxa"/>
            <w:tcBorders>
              <w:top w:val="nil"/>
              <w:left w:val="nil"/>
              <w:bottom w:val="nil"/>
              <w:right w:val="nil"/>
            </w:tcBorders>
            <w:shd w:val="clear" w:color="000000" w:fill="FFFFFF"/>
            <w:noWrap/>
            <w:vAlign w:val="center"/>
            <w:hideMark/>
          </w:tcPr>
          <w:p w:rsidR="00AE015D" w:rsidRPr="00F31188" w:rsidP="00B31ED2" w14:paraId="34773200" w14:textId="77777777">
            <w:pPr>
              <w:keepNext/>
              <w:keepLines/>
              <w:jc w:val="center"/>
              <w:rPr>
                <w:color w:val="000000"/>
                <w:sz w:val="16"/>
                <w:szCs w:val="16"/>
              </w:rPr>
            </w:pPr>
            <w:r w:rsidRPr="00F31188">
              <w:rPr>
                <w:color w:val="000000"/>
                <w:sz w:val="16"/>
                <w:szCs w:val="16"/>
              </w:rPr>
              <w:t>2.69</w:t>
            </w:r>
          </w:p>
        </w:tc>
        <w:tc>
          <w:tcPr>
            <w:tcW w:w="1236" w:type="dxa"/>
            <w:tcBorders>
              <w:top w:val="nil"/>
              <w:left w:val="nil"/>
              <w:bottom w:val="nil"/>
              <w:right w:val="single" w:sz="4" w:space="0" w:color="auto"/>
            </w:tcBorders>
            <w:shd w:val="clear" w:color="000000" w:fill="FFFFFF"/>
            <w:noWrap/>
            <w:vAlign w:val="center"/>
            <w:hideMark/>
          </w:tcPr>
          <w:p w:rsidR="00AE015D" w:rsidRPr="00F31188" w:rsidP="00B31ED2" w14:paraId="5BC5FC7F" w14:textId="77777777">
            <w:pPr>
              <w:keepNext/>
              <w:keepLines/>
              <w:jc w:val="center"/>
              <w:rPr>
                <w:color w:val="000000"/>
                <w:sz w:val="16"/>
                <w:szCs w:val="16"/>
              </w:rPr>
            </w:pPr>
            <w:r w:rsidRPr="00F31188">
              <w:rPr>
                <w:color w:val="000000"/>
                <w:sz w:val="16"/>
                <w:szCs w:val="16"/>
              </w:rPr>
              <w:t>3.96</w:t>
            </w:r>
          </w:p>
        </w:tc>
        <w:tc>
          <w:tcPr>
            <w:tcW w:w="144" w:type="dxa"/>
            <w:tcBorders>
              <w:top w:val="nil"/>
              <w:left w:val="nil"/>
              <w:bottom w:val="nil"/>
              <w:right w:val="nil"/>
            </w:tcBorders>
            <w:shd w:val="clear" w:color="000000" w:fill="FFFFFF"/>
            <w:noWrap/>
            <w:vAlign w:val="center"/>
            <w:hideMark/>
          </w:tcPr>
          <w:p w:rsidR="00AE015D" w:rsidRPr="00F31188" w:rsidP="00B31ED2" w14:paraId="55746D73" w14:textId="77777777">
            <w:pPr>
              <w:keepNext/>
              <w:keepLines/>
              <w:jc w:val="center"/>
              <w:rPr>
                <w:color w:val="000000"/>
                <w:sz w:val="16"/>
                <w:szCs w:val="16"/>
              </w:rPr>
            </w:pPr>
            <w:r w:rsidRPr="00F31188">
              <w:rPr>
                <w:color w:val="000000"/>
                <w:sz w:val="16"/>
                <w:szCs w:val="16"/>
              </w:rPr>
              <w:t> </w:t>
            </w:r>
          </w:p>
        </w:tc>
        <w:tc>
          <w:tcPr>
            <w:tcW w:w="1008" w:type="dxa"/>
            <w:tcBorders>
              <w:top w:val="nil"/>
              <w:left w:val="single" w:sz="4" w:space="0" w:color="auto"/>
              <w:bottom w:val="nil"/>
              <w:right w:val="nil"/>
            </w:tcBorders>
            <w:shd w:val="clear" w:color="000000" w:fill="FFFFFF"/>
            <w:noWrap/>
            <w:vAlign w:val="center"/>
            <w:hideMark/>
          </w:tcPr>
          <w:p w:rsidR="00AE015D" w:rsidRPr="00F31188" w:rsidP="00B31ED2" w14:paraId="6E97C265" w14:textId="77777777">
            <w:pPr>
              <w:keepNext/>
              <w:keepLines/>
              <w:jc w:val="center"/>
              <w:rPr>
                <w:color w:val="000000"/>
                <w:sz w:val="16"/>
                <w:szCs w:val="16"/>
              </w:rPr>
            </w:pPr>
            <w:r w:rsidRPr="00F31188">
              <w:rPr>
                <w:color w:val="000000"/>
                <w:sz w:val="16"/>
                <w:szCs w:val="16"/>
              </w:rPr>
              <w:t>1.23</w:t>
            </w:r>
          </w:p>
        </w:tc>
        <w:tc>
          <w:tcPr>
            <w:tcW w:w="1236" w:type="dxa"/>
            <w:tcBorders>
              <w:top w:val="nil"/>
              <w:left w:val="nil"/>
              <w:bottom w:val="nil"/>
              <w:right w:val="nil"/>
            </w:tcBorders>
            <w:shd w:val="clear" w:color="000000" w:fill="FFFFFF"/>
            <w:noWrap/>
            <w:vAlign w:val="center"/>
            <w:hideMark/>
          </w:tcPr>
          <w:p w:rsidR="00AE015D" w:rsidRPr="00F31188" w:rsidP="00B31ED2" w14:paraId="4F0992ED" w14:textId="77777777">
            <w:pPr>
              <w:keepNext/>
              <w:keepLines/>
              <w:jc w:val="center"/>
              <w:rPr>
                <w:color w:val="000000"/>
                <w:sz w:val="16"/>
                <w:szCs w:val="16"/>
              </w:rPr>
            </w:pPr>
            <w:r w:rsidRPr="00F31188">
              <w:rPr>
                <w:color w:val="000000"/>
                <w:sz w:val="16"/>
                <w:szCs w:val="16"/>
              </w:rPr>
              <w:t>2.79</w:t>
            </w:r>
          </w:p>
        </w:tc>
        <w:tc>
          <w:tcPr>
            <w:tcW w:w="1236" w:type="dxa"/>
            <w:tcBorders>
              <w:top w:val="nil"/>
              <w:left w:val="nil"/>
              <w:bottom w:val="nil"/>
              <w:right w:val="single" w:sz="4" w:space="0" w:color="auto"/>
            </w:tcBorders>
            <w:shd w:val="clear" w:color="000000" w:fill="FFFFFF"/>
            <w:noWrap/>
            <w:vAlign w:val="center"/>
            <w:hideMark/>
          </w:tcPr>
          <w:p w:rsidR="00AE015D" w:rsidRPr="00F31188" w:rsidP="00B31ED2" w14:paraId="3D568037" w14:textId="77777777">
            <w:pPr>
              <w:keepNext/>
              <w:keepLines/>
              <w:jc w:val="center"/>
              <w:rPr>
                <w:color w:val="000000"/>
                <w:sz w:val="16"/>
                <w:szCs w:val="16"/>
              </w:rPr>
            </w:pPr>
            <w:r w:rsidRPr="00F31188">
              <w:rPr>
                <w:color w:val="000000"/>
                <w:sz w:val="16"/>
                <w:szCs w:val="16"/>
              </w:rPr>
              <w:t>3.90</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3A8189F5"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16965CE4" w14:textId="77777777">
            <w:pPr>
              <w:keepNext/>
              <w:keepLines/>
              <w:rPr>
                <w:rFonts w:ascii="Calibri" w:hAnsi="Calibri" w:cs="Calibri"/>
                <w:color w:val="000000"/>
              </w:rPr>
            </w:pPr>
            <w:r w:rsidRPr="00F31188">
              <w:rPr>
                <w:rFonts w:ascii="Calibri" w:hAnsi="Calibri" w:cs="Calibri"/>
                <w:color w:val="000000"/>
              </w:rPr>
              <w:t> </w:t>
            </w:r>
          </w:p>
        </w:tc>
      </w:tr>
      <w:tr w14:paraId="0451995D"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51414D30"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513B1BE1" w14:textId="77777777">
            <w:pPr>
              <w:keepNext/>
              <w:keepLines/>
              <w:jc w:val="center"/>
              <w:rPr>
                <w:color w:val="000000"/>
                <w:sz w:val="16"/>
                <w:szCs w:val="16"/>
              </w:rPr>
            </w:pPr>
            <w:r w:rsidRPr="00F31188">
              <w:rPr>
                <w:color w:val="000000"/>
                <w:sz w:val="16"/>
                <w:szCs w:val="16"/>
              </w:rPr>
              <w:t>High</w:t>
            </w:r>
          </w:p>
        </w:tc>
        <w:tc>
          <w:tcPr>
            <w:tcW w:w="1008" w:type="dxa"/>
            <w:tcBorders>
              <w:top w:val="nil"/>
              <w:left w:val="single" w:sz="4" w:space="0" w:color="auto"/>
              <w:bottom w:val="single" w:sz="4" w:space="0" w:color="auto"/>
              <w:right w:val="nil"/>
            </w:tcBorders>
            <w:shd w:val="clear" w:color="000000" w:fill="FFFFFF"/>
            <w:noWrap/>
            <w:vAlign w:val="center"/>
            <w:hideMark/>
          </w:tcPr>
          <w:p w:rsidR="00AE015D" w:rsidRPr="00F31188" w:rsidP="00B31ED2" w14:paraId="63A960BA" w14:textId="77777777">
            <w:pPr>
              <w:keepNext/>
              <w:keepLines/>
              <w:jc w:val="center"/>
              <w:rPr>
                <w:color w:val="000000"/>
                <w:sz w:val="16"/>
                <w:szCs w:val="16"/>
              </w:rPr>
            </w:pPr>
            <w:r w:rsidRPr="00F31188">
              <w:rPr>
                <w:color w:val="000000"/>
                <w:sz w:val="16"/>
                <w:szCs w:val="16"/>
              </w:rPr>
              <w:t>1</w:t>
            </w:r>
          </w:p>
        </w:tc>
        <w:tc>
          <w:tcPr>
            <w:tcW w:w="1008" w:type="dxa"/>
            <w:tcBorders>
              <w:top w:val="nil"/>
              <w:left w:val="nil"/>
              <w:bottom w:val="single" w:sz="4" w:space="0" w:color="auto"/>
              <w:right w:val="nil"/>
            </w:tcBorders>
            <w:shd w:val="clear" w:color="000000" w:fill="FFFFFF"/>
            <w:noWrap/>
            <w:vAlign w:val="center"/>
            <w:hideMark/>
          </w:tcPr>
          <w:p w:rsidR="00AE015D" w:rsidRPr="00F31188" w:rsidP="00B31ED2" w14:paraId="73F09F2D" w14:textId="77777777">
            <w:pPr>
              <w:keepNext/>
              <w:keepLines/>
              <w:jc w:val="center"/>
              <w:rPr>
                <w:color w:val="000000"/>
                <w:sz w:val="16"/>
                <w:szCs w:val="16"/>
              </w:rPr>
            </w:pPr>
            <w:r w:rsidRPr="00F31188">
              <w:rPr>
                <w:color w:val="000000"/>
                <w:sz w:val="16"/>
                <w:szCs w:val="16"/>
              </w:rPr>
              <w:t>2.40</w:t>
            </w:r>
          </w:p>
        </w:tc>
        <w:tc>
          <w:tcPr>
            <w:tcW w:w="1236" w:type="dxa"/>
            <w:tcBorders>
              <w:top w:val="nil"/>
              <w:left w:val="nil"/>
              <w:bottom w:val="single" w:sz="4" w:space="0" w:color="auto"/>
              <w:right w:val="single" w:sz="4" w:space="0" w:color="auto"/>
            </w:tcBorders>
            <w:shd w:val="clear" w:color="000000" w:fill="FFFFFF"/>
            <w:noWrap/>
            <w:vAlign w:val="center"/>
            <w:hideMark/>
          </w:tcPr>
          <w:p w:rsidR="00AE015D" w:rsidRPr="00F31188" w:rsidP="00B31ED2" w14:paraId="711778DB" w14:textId="77777777">
            <w:pPr>
              <w:keepNext/>
              <w:keepLines/>
              <w:jc w:val="center"/>
              <w:rPr>
                <w:color w:val="000000"/>
                <w:sz w:val="16"/>
                <w:szCs w:val="16"/>
              </w:rPr>
            </w:pPr>
            <w:r w:rsidRPr="00F31188">
              <w:rPr>
                <w:color w:val="000000"/>
                <w:sz w:val="16"/>
                <w:szCs w:val="16"/>
              </w:rPr>
              <w:t>3.67</w:t>
            </w:r>
          </w:p>
        </w:tc>
        <w:tc>
          <w:tcPr>
            <w:tcW w:w="144" w:type="dxa"/>
            <w:tcBorders>
              <w:top w:val="nil"/>
              <w:left w:val="nil"/>
              <w:bottom w:val="nil"/>
              <w:right w:val="nil"/>
            </w:tcBorders>
            <w:shd w:val="clear" w:color="000000" w:fill="FFFFFF"/>
            <w:noWrap/>
            <w:vAlign w:val="center"/>
            <w:hideMark/>
          </w:tcPr>
          <w:p w:rsidR="00AE015D" w:rsidRPr="00F31188" w:rsidP="00B31ED2" w14:paraId="2C845EF9" w14:textId="77777777">
            <w:pPr>
              <w:keepNext/>
              <w:keepLines/>
              <w:jc w:val="center"/>
              <w:rPr>
                <w:color w:val="000000"/>
                <w:sz w:val="16"/>
                <w:szCs w:val="16"/>
              </w:rPr>
            </w:pPr>
            <w:r w:rsidRPr="00F31188">
              <w:rPr>
                <w:color w:val="000000"/>
                <w:sz w:val="16"/>
                <w:szCs w:val="16"/>
              </w:rPr>
              <w:t> </w:t>
            </w:r>
          </w:p>
        </w:tc>
        <w:tc>
          <w:tcPr>
            <w:tcW w:w="1008" w:type="dxa"/>
            <w:tcBorders>
              <w:top w:val="nil"/>
              <w:left w:val="single" w:sz="4" w:space="0" w:color="auto"/>
              <w:bottom w:val="single" w:sz="4" w:space="0" w:color="auto"/>
              <w:right w:val="nil"/>
            </w:tcBorders>
            <w:shd w:val="clear" w:color="000000" w:fill="FFFFFF"/>
            <w:noWrap/>
            <w:vAlign w:val="center"/>
            <w:hideMark/>
          </w:tcPr>
          <w:p w:rsidR="00AE015D" w:rsidRPr="00F31188" w:rsidP="00B31ED2" w14:paraId="6D3C4235" w14:textId="77777777">
            <w:pPr>
              <w:keepNext/>
              <w:keepLines/>
              <w:jc w:val="center"/>
              <w:rPr>
                <w:color w:val="000000"/>
                <w:sz w:val="16"/>
                <w:szCs w:val="16"/>
              </w:rPr>
            </w:pPr>
            <w:r w:rsidRPr="00F31188">
              <w:rPr>
                <w:color w:val="000000"/>
                <w:sz w:val="16"/>
                <w:szCs w:val="16"/>
              </w:rPr>
              <w:t>1</w:t>
            </w:r>
          </w:p>
        </w:tc>
        <w:tc>
          <w:tcPr>
            <w:tcW w:w="1236" w:type="dxa"/>
            <w:tcBorders>
              <w:top w:val="nil"/>
              <w:left w:val="nil"/>
              <w:bottom w:val="single" w:sz="4" w:space="0" w:color="auto"/>
              <w:right w:val="nil"/>
            </w:tcBorders>
            <w:shd w:val="clear" w:color="000000" w:fill="FFFFFF"/>
            <w:noWrap/>
            <w:vAlign w:val="center"/>
            <w:hideMark/>
          </w:tcPr>
          <w:p w:rsidR="00AE015D" w:rsidRPr="00F31188" w:rsidP="00B31ED2" w14:paraId="3BC4DD98" w14:textId="77777777">
            <w:pPr>
              <w:keepNext/>
              <w:keepLines/>
              <w:jc w:val="center"/>
              <w:rPr>
                <w:color w:val="000000"/>
                <w:sz w:val="16"/>
                <w:szCs w:val="16"/>
              </w:rPr>
            </w:pPr>
            <w:r w:rsidRPr="00F31188">
              <w:rPr>
                <w:color w:val="000000"/>
                <w:sz w:val="16"/>
                <w:szCs w:val="16"/>
              </w:rPr>
              <w:t>2.52</w:t>
            </w:r>
          </w:p>
        </w:tc>
        <w:tc>
          <w:tcPr>
            <w:tcW w:w="1236" w:type="dxa"/>
            <w:tcBorders>
              <w:top w:val="nil"/>
              <w:left w:val="nil"/>
              <w:bottom w:val="single" w:sz="4" w:space="0" w:color="auto"/>
              <w:right w:val="single" w:sz="4" w:space="0" w:color="auto"/>
            </w:tcBorders>
            <w:shd w:val="clear" w:color="000000" w:fill="FFFFFF"/>
            <w:noWrap/>
            <w:vAlign w:val="center"/>
            <w:hideMark/>
          </w:tcPr>
          <w:p w:rsidR="00AE015D" w:rsidRPr="00F31188" w:rsidP="00B31ED2" w14:paraId="0A75F141" w14:textId="77777777">
            <w:pPr>
              <w:keepNext/>
              <w:keepLines/>
              <w:jc w:val="center"/>
              <w:rPr>
                <w:color w:val="000000"/>
                <w:sz w:val="16"/>
                <w:szCs w:val="16"/>
              </w:rPr>
            </w:pPr>
            <w:r w:rsidRPr="00F31188">
              <w:rPr>
                <w:color w:val="000000"/>
                <w:sz w:val="16"/>
                <w:szCs w:val="16"/>
              </w:rPr>
              <w:t>3.63</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69B506B4"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60CF1B27" w14:textId="77777777">
            <w:pPr>
              <w:keepNext/>
              <w:keepLines/>
              <w:rPr>
                <w:rFonts w:ascii="Calibri" w:hAnsi="Calibri" w:cs="Calibri"/>
                <w:color w:val="000000"/>
              </w:rPr>
            </w:pPr>
            <w:r w:rsidRPr="00F31188">
              <w:rPr>
                <w:rFonts w:ascii="Calibri" w:hAnsi="Calibri" w:cs="Calibri"/>
                <w:color w:val="000000"/>
              </w:rPr>
              <w:t> </w:t>
            </w:r>
          </w:p>
        </w:tc>
      </w:tr>
      <w:tr w14:paraId="6FC852F9"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4975315E"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2FF3BFE9" w14:textId="77777777">
            <w:pPr>
              <w:keepNext/>
              <w:keepLines/>
              <w:jc w:val="center"/>
              <w:rPr>
                <w:color w:val="000000"/>
                <w:sz w:val="16"/>
                <w:szCs w:val="16"/>
              </w:rPr>
            </w:pPr>
            <w:r w:rsidRPr="00F31188">
              <w:rPr>
                <w:color w:val="000000"/>
                <w:sz w:val="16"/>
                <w:szCs w:val="16"/>
              </w:rPr>
              <w:t> </w:t>
            </w:r>
          </w:p>
        </w:tc>
        <w:tc>
          <w:tcPr>
            <w:tcW w:w="1008" w:type="dxa"/>
            <w:gridSpan w:val="3"/>
            <w:tcBorders>
              <w:top w:val="nil"/>
              <w:left w:val="nil"/>
              <w:bottom w:val="nil"/>
              <w:right w:val="nil"/>
            </w:tcBorders>
            <w:shd w:val="clear" w:color="000000" w:fill="FFFFFF"/>
            <w:noWrap/>
            <w:vAlign w:val="bottom"/>
            <w:hideMark/>
          </w:tcPr>
          <w:p w:rsidR="00AE015D" w:rsidRPr="00F31188" w:rsidP="00B31ED2" w14:paraId="3516228A" w14:textId="77777777">
            <w:pPr>
              <w:keepNext/>
              <w:keepLines/>
              <w:jc w:val="center"/>
              <w:rPr>
                <w:b/>
                <w:bCs/>
                <w:color w:val="000000"/>
                <w:sz w:val="16"/>
                <w:szCs w:val="16"/>
              </w:rPr>
            </w:pPr>
            <w:r w:rsidRPr="00F31188">
              <w:rPr>
                <w:b/>
                <w:bCs/>
                <w:color w:val="000000"/>
                <w:sz w:val="16"/>
                <w:szCs w:val="16"/>
              </w:rPr>
              <w:t>(3)</w:t>
            </w:r>
          </w:p>
        </w:tc>
        <w:tc>
          <w:tcPr>
            <w:tcW w:w="144" w:type="dxa"/>
            <w:tcBorders>
              <w:top w:val="nil"/>
              <w:left w:val="nil"/>
              <w:bottom w:val="nil"/>
              <w:right w:val="nil"/>
            </w:tcBorders>
            <w:shd w:val="clear" w:color="000000" w:fill="FFFFFF"/>
            <w:noWrap/>
            <w:vAlign w:val="center"/>
            <w:hideMark/>
          </w:tcPr>
          <w:p w:rsidR="00AE015D" w:rsidRPr="00F31188" w:rsidP="00B31ED2" w14:paraId="2D37DA41" w14:textId="77777777">
            <w:pPr>
              <w:keepNext/>
              <w:keepLines/>
              <w:jc w:val="center"/>
              <w:rPr>
                <w:color w:val="000000"/>
                <w:sz w:val="16"/>
                <w:szCs w:val="16"/>
              </w:rPr>
            </w:pPr>
            <w:r w:rsidRPr="00F31188">
              <w:rPr>
                <w:color w:val="000000"/>
                <w:sz w:val="16"/>
                <w:szCs w:val="16"/>
              </w:rPr>
              <w:t> </w:t>
            </w:r>
          </w:p>
        </w:tc>
        <w:tc>
          <w:tcPr>
            <w:tcW w:w="1008" w:type="dxa"/>
            <w:gridSpan w:val="3"/>
            <w:tcBorders>
              <w:top w:val="nil"/>
              <w:left w:val="nil"/>
              <w:bottom w:val="nil"/>
              <w:right w:val="nil"/>
            </w:tcBorders>
            <w:shd w:val="clear" w:color="000000" w:fill="FFFFFF"/>
            <w:noWrap/>
            <w:vAlign w:val="bottom"/>
            <w:hideMark/>
          </w:tcPr>
          <w:p w:rsidR="00AE015D" w:rsidRPr="00F31188" w:rsidP="00B31ED2" w14:paraId="52BCCC73" w14:textId="77777777">
            <w:pPr>
              <w:keepNext/>
              <w:keepLines/>
              <w:jc w:val="center"/>
              <w:rPr>
                <w:b/>
                <w:bCs/>
                <w:color w:val="000000"/>
                <w:sz w:val="16"/>
                <w:szCs w:val="16"/>
              </w:rPr>
            </w:pPr>
            <w:r w:rsidRPr="00F31188">
              <w:rPr>
                <w:b/>
                <w:bCs/>
                <w:color w:val="000000"/>
                <w:sz w:val="16"/>
                <w:szCs w:val="16"/>
              </w:rPr>
              <w:t>(4)</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2FFC33A4"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7955E893" w14:textId="77777777">
            <w:pPr>
              <w:keepNext/>
              <w:keepLines/>
              <w:rPr>
                <w:rFonts w:ascii="Calibri" w:hAnsi="Calibri" w:cs="Calibri"/>
                <w:color w:val="000000"/>
              </w:rPr>
            </w:pPr>
            <w:r w:rsidRPr="00F31188">
              <w:rPr>
                <w:rFonts w:ascii="Calibri" w:hAnsi="Calibri" w:cs="Calibri"/>
                <w:color w:val="000000"/>
              </w:rPr>
              <w:t> </w:t>
            </w:r>
          </w:p>
        </w:tc>
      </w:tr>
      <w:tr w14:paraId="0F698D81"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73241928"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4AE619BA" w14:textId="77777777">
            <w:pPr>
              <w:keepNext/>
              <w:keepLines/>
              <w:jc w:val="center"/>
              <w:rPr>
                <w:color w:val="000000"/>
                <w:sz w:val="16"/>
                <w:szCs w:val="16"/>
              </w:rPr>
            </w:pPr>
            <w:r w:rsidRPr="00F31188">
              <w:rPr>
                <w:color w:val="000000"/>
                <w:sz w:val="16"/>
                <w:szCs w:val="16"/>
              </w:rPr>
              <w:t>Low</w:t>
            </w:r>
          </w:p>
        </w:tc>
        <w:tc>
          <w:tcPr>
            <w:tcW w:w="1008" w:type="dxa"/>
            <w:tcBorders>
              <w:top w:val="single" w:sz="4" w:space="0" w:color="auto"/>
              <w:left w:val="single" w:sz="4" w:space="0" w:color="auto"/>
              <w:bottom w:val="nil"/>
              <w:right w:val="nil"/>
            </w:tcBorders>
            <w:shd w:val="clear" w:color="000000" w:fill="FFFFFF"/>
            <w:noWrap/>
            <w:vAlign w:val="center"/>
            <w:hideMark/>
          </w:tcPr>
          <w:p w:rsidR="00AE015D" w:rsidRPr="00F31188" w:rsidP="00B31ED2" w14:paraId="7875DAB2" w14:textId="77777777">
            <w:pPr>
              <w:keepNext/>
              <w:keepLines/>
              <w:jc w:val="center"/>
              <w:rPr>
                <w:color w:val="000000"/>
                <w:sz w:val="16"/>
                <w:szCs w:val="16"/>
              </w:rPr>
            </w:pPr>
            <w:r w:rsidRPr="00F31188">
              <w:rPr>
                <w:color w:val="000000"/>
                <w:sz w:val="16"/>
                <w:szCs w:val="16"/>
              </w:rPr>
              <w:t>1.25</w:t>
            </w:r>
          </w:p>
        </w:tc>
        <w:tc>
          <w:tcPr>
            <w:tcW w:w="1008" w:type="dxa"/>
            <w:tcBorders>
              <w:top w:val="single" w:sz="4" w:space="0" w:color="auto"/>
              <w:left w:val="nil"/>
              <w:bottom w:val="nil"/>
              <w:right w:val="nil"/>
            </w:tcBorders>
            <w:shd w:val="clear" w:color="000000" w:fill="FFFFFF"/>
            <w:noWrap/>
            <w:vAlign w:val="center"/>
            <w:hideMark/>
          </w:tcPr>
          <w:p w:rsidR="00AE015D" w:rsidRPr="00F31188" w:rsidP="00B31ED2" w14:paraId="5C53CE9B" w14:textId="77777777">
            <w:pPr>
              <w:keepNext/>
              <w:keepLines/>
              <w:jc w:val="center"/>
              <w:rPr>
                <w:color w:val="000000"/>
                <w:sz w:val="16"/>
                <w:szCs w:val="16"/>
              </w:rPr>
            </w:pPr>
            <w:r w:rsidRPr="00F31188">
              <w:rPr>
                <w:color w:val="000000"/>
                <w:sz w:val="16"/>
                <w:szCs w:val="16"/>
              </w:rPr>
              <w:t>2.19</w:t>
            </w:r>
          </w:p>
        </w:tc>
        <w:tc>
          <w:tcPr>
            <w:tcW w:w="1236" w:type="dxa"/>
            <w:tcBorders>
              <w:top w:val="single" w:sz="4" w:space="0" w:color="auto"/>
              <w:left w:val="nil"/>
              <w:bottom w:val="nil"/>
              <w:right w:val="single" w:sz="4" w:space="0" w:color="auto"/>
            </w:tcBorders>
            <w:shd w:val="clear" w:color="000000" w:fill="FFFFFF"/>
            <w:noWrap/>
            <w:vAlign w:val="center"/>
            <w:hideMark/>
          </w:tcPr>
          <w:p w:rsidR="00AE015D" w:rsidRPr="00F31188" w:rsidP="00B31ED2" w14:paraId="1629F889" w14:textId="77777777">
            <w:pPr>
              <w:keepNext/>
              <w:keepLines/>
              <w:jc w:val="center"/>
              <w:rPr>
                <w:color w:val="000000"/>
                <w:sz w:val="16"/>
                <w:szCs w:val="16"/>
              </w:rPr>
            </w:pPr>
            <w:r w:rsidRPr="00F31188">
              <w:rPr>
                <w:color w:val="000000"/>
                <w:sz w:val="16"/>
                <w:szCs w:val="16"/>
              </w:rPr>
              <w:t>3.13</w:t>
            </w:r>
          </w:p>
        </w:tc>
        <w:tc>
          <w:tcPr>
            <w:tcW w:w="144" w:type="dxa"/>
            <w:tcBorders>
              <w:top w:val="nil"/>
              <w:left w:val="nil"/>
              <w:bottom w:val="nil"/>
              <w:right w:val="nil"/>
            </w:tcBorders>
            <w:shd w:val="clear" w:color="000000" w:fill="FFFFFF"/>
            <w:noWrap/>
            <w:vAlign w:val="center"/>
            <w:hideMark/>
          </w:tcPr>
          <w:p w:rsidR="00AE015D" w:rsidRPr="00F31188" w:rsidP="00B31ED2" w14:paraId="63306CA5" w14:textId="77777777">
            <w:pPr>
              <w:keepNext/>
              <w:keepLines/>
              <w:jc w:val="center"/>
              <w:rPr>
                <w:color w:val="000000"/>
                <w:sz w:val="16"/>
                <w:szCs w:val="16"/>
              </w:rPr>
            </w:pPr>
            <w:r w:rsidRPr="00F31188">
              <w:rPr>
                <w:color w:val="000000"/>
                <w:sz w:val="16"/>
                <w:szCs w:val="16"/>
              </w:rPr>
              <w:t> </w:t>
            </w:r>
          </w:p>
        </w:tc>
        <w:tc>
          <w:tcPr>
            <w:tcW w:w="1008" w:type="dxa"/>
            <w:tcBorders>
              <w:top w:val="single" w:sz="4" w:space="0" w:color="auto"/>
              <w:left w:val="single" w:sz="4" w:space="0" w:color="auto"/>
              <w:bottom w:val="nil"/>
              <w:right w:val="nil"/>
            </w:tcBorders>
            <w:shd w:val="clear" w:color="000000" w:fill="FFFFFF"/>
            <w:noWrap/>
            <w:vAlign w:val="center"/>
            <w:hideMark/>
          </w:tcPr>
          <w:p w:rsidR="00AE015D" w:rsidRPr="00F31188" w:rsidP="00B31ED2" w14:paraId="53C4DDB7" w14:textId="77777777">
            <w:pPr>
              <w:keepNext/>
              <w:keepLines/>
              <w:jc w:val="center"/>
              <w:rPr>
                <w:color w:val="000000"/>
                <w:sz w:val="16"/>
                <w:szCs w:val="16"/>
              </w:rPr>
            </w:pPr>
            <w:r w:rsidRPr="00F31188">
              <w:rPr>
                <w:color w:val="000000"/>
                <w:sz w:val="16"/>
                <w:szCs w:val="16"/>
              </w:rPr>
              <w:t>1.27</w:t>
            </w:r>
          </w:p>
        </w:tc>
        <w:tc>
          <w:tcPr>
            <w:tcW w:w="1236" w:type="dxa"/>
            <w:tcBorders>
              <w:top w:val="single" w:sz="4" w:space="0" w:color="auto"/>
              <w:left w:val="nil"/>
              <w:bottom w:val="nil"/>
              <w:right w:val="nil"/>
            </w:tcBorders>
            <w:shd w:val="clear" w:color="000000" w:fill="FFFFFF"/>
            <w:noWrap/>
            <w:vAlign w:val="center"/>
            <w:hideMark/>
          </w:tcPr>
          <w:p w:rsidR="00AE015D" w:rsidRPr="00F31188" w:rsidP="00B31ED2" w14:paraId="427AA546" w14:textId="77777777">
            <w:pPr>
              <w:keepNext/>
              <w:keepLines/>
              <w:jc w:val="center"/>
              <w:rPr>
                <w:color w:val="000000"/>
                <w:sz w:val="16"/>
                <w:szCs w:val="16"/>
              </w:rPr>
            </w:pPr>
            <w:r w:rsidRPr="00F31188">
              <w:rPr>
                <w:color w:val="000000"/>
                <w:sz w:val="16"/>
                <w:szCs w:val="16"/>
              </w:rPr>
              <w:t>2.25</w:t>
            </w:r>
          </w:p>
        </w:tc>
        <w:tc>
          <w:tcPr>
            <w:tcW w:w="1236" w:type="dxa"/>
            <w:tcBorders>
              <w:top w:val="single" w:sz="4" w:space="0" w:color="auto"/>
              <w:left w:val="nil"/>
              <w:bottom w:val="nil"/>
              <w:right w:val="single" w:sz="4" w:space="0" w:color="auto"/>
            </w:tcBorders>
            <w:shd w:val="clear" w:color="000000" w:fill="FFFFFF"/>
            <w:noWrap/>
            <w:vAlign w:val="center"/>
            <w:hideMark/>
          </w:tcPr>
          <w:p w:rsidR="00AE015D" w:rsidRPr="00F31188" w:rsidP="00B31ED2" w14:paraId="76234891" w14:textId="77777777">
            <w:pPr>
              <w:keepNext/>
              <w:keepLines/>
              <w:jc w:val="center"/>
              <w:rPr>
                <w:color w:val="000000"/>
                <w:sz w:val="16"/>
                <w:szCs w:val="16"/>
              </w:rPr>
            </w:pPr>
            <w:r w:rsidRPr="00F31188">
              <w:rPr>
                <w:color w:val="000000"/>
                <w:sz w:val="16"/>
                <w:szCs w:val="16"/>
              </w:rPr>
              <w:t>3.08</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42A3D039"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2177E3C4" w14:textId="77777777">
            <w:pPr>
              <w:keepNext/>
              <w:keepLines/>
              <w:rPr>
                <w:rFonts w:ascii="Calibri" w:hAnsi="Calibri" w:cs="Calibri"/>
                <w:color w:val="000000"/>
              </w:rPr>
            </w:pPr>
            <w:r w:rsidRPr="00F31188">
              <w:rPr>
                <w:rFonts w:ascii="Calibri" w:hAnsi="Calibri" w:cs="Calibri"/>
                <w:color w:val="000000"/>
              </w:rPr>
              <w:t> </w:t>
            </w:r>
          </w:p>
        </w:tc>
      </w:tr>
      <w:tr w14:paraId="77EEC5C0"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5F664349"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713034EA" w14:textId="77777777">
            <w:pPr>
              <w:keepNext/>
              <w:keepLines/>
              <w:jc w:val="center"/>
              <w:rPr>
                <w:color w:val="000000"/>
                <w:sz w:val="16"/>
                <w:szCs w:val="16"/>
              </w:rPr>
            </w:pPr>
            <w:r w:rsidRPr="00F31188">
              <w:rPr>
                <w:color w:val="000000"/>
                <w:sz w:val="16"/>
                <w:szCs w:val="16"/>
              </w:rPr>
              <w:t>Medium</w:t>
            </w:r>
          </w:p>
        </w:tc>
        <w:tc>
          <w:tcPr>
            <w:tcW w:w="1008" w:type="dxa"/>
            <w:tcBorders>
              <w:top w:val="nil"/>
              <w:left w:val="single" w:sz="4" w:space="0" w:color="auto"/>
              <w:bottom w:val="nil"/>
              <w:right w:val="nil"/>
            </w:tcBorders>
            <w:shd w:val="clear" w:color="000000" w:fill="FFFFFF"/>
            <w:noWrap/>
            <w:vAlign w:val="center"/>
            <w:hideMark/>
          </w:tcPr>
          <w:p w:rsidR="00AE015D" w:rsidRPr="00F31188" w:rsidP="00B31ED2" w14:paraId="616AD657" w14:textId="77777777">
            <w:pPr>
              <w:keepNext/>
              <w:keepLines/>
              <w:jc w:val="center"/>
              <w:rPr>
                <w:color w:val="000000"/>
                <w:sz w:val="16"/>
                <w:szCs w:val="16"/>
              </w:rPr>
            </w:pPr>
            <w:r w:rsidRPr="00F31188">
              <w:rPr>
                <w:color w:val="000000"/>
                <w:sz w:val="16"/>
                <w:szCs w:val="16"/>
              </w:rPr>
              <w:t>1.18</w:t>
            </w:r>
          </w:p>
        </w:tc>
        <w:tc>
          <w:tcPr>
            <w:tcW w:w="1008" w:type="dxa"/>
            <w:tcBorders>
              <w:top w:val="nil"/>
              <w:left w:val="nil"/>
              <w:bottom w:val="nil"/>
              <w:right w:val="nil"/>
            </w:tcBorders>
            <w:shd w:val="clear" w:color="000000" w:fill="FFFFFF"/>
            <w:noWrap/>
            <w:vAlign w:val="center"/>
            <w:hideMark/>
          </w:tcPr>
          <w:p w:rsidR="00AE015D" w:rsidRPr="00F31188" w:rsidP="00B31ED2" w14:paraId="5AAD9FA5" w14:textId="77777777">
            <w:pPr>
              <w:keepNext/>
              <w:keepLines/>
              <w:jc w:val="center"/>
              <w:rPr>
                <w:color w:val="000000"/>
                <w:sz w:val="16"/>
                <w:szCs w:val="16"/>
              </w:rPr>
            </w:pPr>
            <w:r w:rsidRPr="00F31188">
              <w:rPr>
                <w:color w:val="000000"/>
                <w:sz w:val="16"/>
                <w:szCs w:val="16"/>
              </w:rPr>
              <w:t>2.11</w:t>
            </w:r>
          </w:p>
        </w:tc>
        <w:tc>
          <w:tcPr>
            <w:tcW w:w="1236" w:type="dxa"/>
            <w:tcBorders>
              <w:top w:val="nil"/>
              <w:left w:val="nil"/>
              <w:bottom w:val="nil"/>
              <w:right w:val="single" w:sz="4" w:space="0" w:color="auto"/>
            </w:tcBorders>
            <w:shd w:val="clear" w:color="000000" w:fill="FFFFFF"/>
            <w:noWrap/>
            <w:vAlign w:val="center"/>
            <w:hideMark/>
          </w:tcPr>
          <w:p w:rsidR="00AE015D" w:rsidRPr="00F31188" w:rsidP="00B31ED2" w14:paraId="51D26730" w14:textId="77777777">
            <w:pPr>
              <w:keepNext/>
              <w:keepLines/>
              <w:jc w:val="center"/>
              <w:rPr>
                <w:color w:val="000000"/>
                <w:sz w:val="16"/>
                <w:szCs w:val="16"/>
              </w:rPr>
            </w:pPr>
            <w:r w:rsidRPr="00F31188">
              <w:rPr>
                <w:color w:val="000000"/>
                <w:sz w:val="16"/>
                <w:szCs w:val="16"/>
              </w:rPr>
              <w:t>3.06</w:t>
            </w:r>
          </w:p>
        </w:tc>
        <w:tc>
          <w:tcPr>
            <w:tcW w:w="144" w:type="dxa"/>
            <w:tcBorders>
              <w:top w:val="nil"/>
              <w:left w:val="nil"/>
              <w:bottom w:val="nil"/>
              <w:right w:val="nil"/>
            </w:tcBorders>
            <w:shd w:val="clear" w:color="000000" w:fill="FFFFFF"/>
            <w:noWrap/>
            <w:vAlign w:val="center"/>
            <w:hideMark/>
          </w:tcPr>
          <w:p w:rsidR="00AE015D" w:rsidRPr="00F31188" w:rsidP="00B31ED2" w14:paraId="0FCD8C02" w14:textId="77777777">
            <w:pPr>
              <w:keepNext/>
              <w:keepLines/>
              <w:jc w:val="center"/>
              <w:rPr>
                <w:color w:val="000000"/>
                <w:sz w:val="16"/>
                <w:szCs w:val="16"/>
              </w:rPr>
            </w:pPr>
            <w:r w:rsidRPr="00F31188">
              <w:rPr>
                <w:color w:val="000000"/>
                <w:sz w:val="16"/>
                <w:szCs w:val="16"/>
              </w:rPr>
              <w:t> </w:t>
            </w:r>
          </w:p>
        </w:tc>
        <w:tc>
          <w:tcPr>
            <w:tcW w:w="1008" w:type="dxa"/>
            <w:tcBorders>
              <w:top w:val="nil"/>
              <w:left w:val="single" w:sz="4" w:space="0" w:color="auto"/>
              <w:bottom w:val="nil"/>
              <w:right w:val="nil"/>
            </w:tcBorders>
            <w:shd w:val="clear" w:color="000000" w:fill="FFFFFF"/>
            <w:noWrap/>
            <w:vAlign w:val="center"/>
            <w:hideMark/>
          </w:tcPr>
          <w:p w:rsidR="00AE015D" w:rsidRPr="00F31188" w:rsidP="00B31ED2" w14:paraId="5B80EDF5" w14:textId="77777777">
            <w:pPr>
              <w:keepNext/>
              <w:keepLines/>
              <w:jc w:val="center"/>
              <w:rPr>
                <w:color w:val="000000"/>
                <w:sz w:val="16"/>
                <w:szCs w:val="16"/>
              </w:rPr>
            </w:pPr>
            <w:r w:rsidRPr="00F31188">
              <w:rPr>
                <w:color w:val="000000"/>
                <w:sz w:val="16"/>
                <w:szCs w:val="16"/>
              </w:rPr>
              <w:t>1.19</w:t>
            </w:r>
          </w:p>
        </w:tc>
        <w:tc>
          <w:tcPr>
            <w:tcW w:w="1236" w:type="dxa"/>
            <w:tcBorders>
              <w:top w:val="nil"/>
              <w:left w:val="nil"/>
              <w:bottom w:val="nil"/>
              <w:right w:val="nil"/>
            </w:tcBorders>
            <w:shd w:val="clear" w:color="000000" w:fill="FFFFFF"/>
            <w:noWrap/>
            <w:vAlign w:val="center"/>
            <w:hideMark/>
          </w:tcPr>
          <w:p w:rsidR="00AE015D" w:rsidRPr="00F31188" w:rsidP="00B31ED2" w14:paraId="7C35C9E9" w14:textId="77777777">
            <w:pPr>
              <w:keepNext/>
              <w:keepLines/>
              <w:jc w:val="center"/>
              <w:rPr>
                <w:color w:val="000000"/>
                <w:sz w:val="16"/>
                <w:szCs w:val="16"/>
              </w:rPr>
            </w:pPr>
            <w:r w:rsidRPr="00F31188">
              <w:rPr>
                <w:color w:val="000000"/>
                <w:sz w:val="16"/>
                <w:szCs w:val="16"/>
              </w:rPr>
              <w:t>2.16</w:t>
            </w:r>
          </w:p>
        </w:tc>
        <w:tc>
          <w:tcPr>
            <w:tcW w:w="1236" w:type="dxa"/>
            <w:tcBorders>
              <w:top w:val="nil"/>
              <w:left w:val="nil"/>
              <w:bottom w:val="nil"/>
              <w:right w:val="single" w:sz="4" w:space="0" w:color="auto"/>
            </w:tcBorders>
            <w:shd w:val="clear" w:color="000000" w:fill="FFFFFF"/>
            <w:noWrap/>
            <w:vAlign w:val="center"/>
            <w:hideMark/>
          </w:tcPr>
          <w:p w:rsidR="00AE015D" w:rsidRPr="00F31188" w:rsidP="00B31ED2" w14:paraId="368FDDCA" w14:textId="77777777">
            <w:pPr>
              <w:keepNext/>
              <w:keepLines/>
              <w:jc w:val="center"/>
              <w:rPr>
                <w:color w:val="000000"/>
                <w:sz w:val="16"/>
                <w:szCs w:val="16"/>
              </w:rPr>
            </w:pPr>
            <w:r w:rsidRPr="00F31188">
              <w:rPr>
                <w:color w:val="000000"/>
                <w:sz w:val="16"/>
                <w:szCs w:val="16"/>
              </w:rPr>
              <w:t>3.01</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483C68D2"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508E2358" w14:textId="77777777">
            <w:pPr>
              <w:keepNext/>
              <w:keepLines/>
              <w:rPr>
                <w:rFonts w:ascii="Calibri" w:hAnsi="Calibri" w:cs="Calibri"/>
                <w:color w:val="000000"/>
              </w:rPr>
            </w:pPr>
            <w:r w:rsidRPr="00F31188">
              <w:rPr>
                <w:rFonts w:ascii="Calibri" w:hAnsi="Calibri" w:cs="Calibri"/>
                <w:color w:val="000000"/>
              </w:rPr>
              <w:t> </w:t>
            </w:r>
          </w:p>
        </w:tc>
      </w:tr>
      <w:tr w14:paraId="3725B096"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1E254E57"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183B0F30" w14:textId="77777777">
            <w:pPr>
              <w:keepNext/>
              <w:keepLines/>
              <w:jc w:val="center"/>
              <w:rPr>
                <w:color w:val="000000"/>
                <w:sz w:val="16"/>
                <w:szCs w:val="16"/>
              </w:rPr>
            </w:pPr>
            <w:r w:rsidRPr="00F31188">
              <w:rPr>
                <w:color w:val="000000"/>
                <w:sz w:val="16"/>
                <w:szCs w:val="16"/>
              </w:rPr>
              <w:t>High</w:t>
            </w:r>
          </w:p>
        </w:tc>
        <w:tc>
          <w:tcPr>
            <w:tcW w:w="1008" w:type="dxa"/>
            <w:tcBorders>
              <w:top w:val="nil"/>
              <w:left w:val="single" w:sz="4" w:space="0" w:color="auto"/>
              <w:bottom w:val="single" w:sz="4" w:space="0" w:color="auto"/>
              <w:right w:val="nil"/>
            </w:tcBorders>
            <w:shd w:val="clear" w:color="000000" w:fill="FFFFFF"/>
            <w:noWrap/>
            <w:vAlign w:val="center"/>
            <w:hideMark/>
          </w:tcPr>
          <w:p w:rsidR="00AE015D" w:rsidRPr="00F31188" w:rsidP="00B31ED2" w14:paraId="2CC26507" w14:textId="77777777">
            <w:pPr>
              <w:keepNext/>
              <w:keepLines/>
              <w:jc w:val="center"/>
              <w:rPr>
                <w:color w:val="000000"/>
                <w:sz w:val="16"/>
                <w:szCs w:val="16"/>
              </w:rPr>
            </w:pPr>
            <w:r w:rsidRPr="00F31188">
              <w:rPr>
                <w:color w:val="000000"/>
                <w:sz w:val="16"/>
                <w:szCs w:val="16"/>
              </w:rPr>
              <w:t>1</w:t>
            </w:r>
          </w:p>
        </w:tc>
        <w:tc>
          <w:tcPr>
            <w:tcW w:w="1008" w:type="dxa"/>
            <w:tcBorders>
              <w:top w:val="nil"/>
              <w:left w:val="nil"/>
              <w:bottom w:val="single" w:sz="4" w:space="0" w:color="auto"/>
              <w:right w:val="nil"/>
            </w:tcBorders>
            <w:shd w:val="clear" w:color="000000" w:fill="FFFFFF"/>
            <w:noWrap/>
            <w:vAlign w:val="center"/>
            <w:hideMark/>
          </w:tcPr>
          <w:p w:rsidR="00AE015D" w:rsidRPr="00F31188" w:rsidP="00B31ED2" w14:paraId="38AA870C" w14:textId="77777777">
            <w:pPr>
              <w:keepNext/>
              <w:keepLines/>
              <w:jc w:val="center"/>
              <w:rPr>
                <w:color w:val="000000"/>
                <w:sz w:val="16"/>
                <w:szCs w:val="16"/>
              </w:rPr>
            </w:pPr>
            <w:r w:rsidRPr="00F31188">
              <w:rPr>
                <w:color w:val="000000"/>
                <w:sz w:val="16"/>
                <w:szCs w:val="16"/>
              </w:rPr>
              <w:t>1.90</w:t>
            </w:r>
          </w:p>
        </w:tc>
        <w:tc>
          <w:tcPr>
            <w:tcW w:w="1236" w:type="dxa"/>
            <w:tcBorders>
              <w:top w:val="nil"/>
              <w:left w:val="nil"/>
              <w:bottom w:val="single" w:sz="4" w:space="0" w:color="auto"/>
              <w:right w:val="single" w:sz="4" w:space="0" w:color="auto"/>
            </w:tcBorders>
            <w:shd w:val="clear" w:color="000000" w:fill="FFFFFF"/>
            <w:noWrap/>
            <w:vAlign w:val="center"/>
            <w:hideMark/>
          </w:tcPr>
          <w:p w:rsidR="00AE015D" w:rsidRPr="00F31188" w:rsidP="00B31ED2" w14:paraId="010BB878" w14:textId="77777777">
            <w:pPr>
              <w:keepNext/>
              <w:keepLines/>
              <w:jc w:val="center"/>
              <w:rPr>
                <w:color w:val="000000"/>
                <w:sz w:val="16"/>
                <w:szCs w:val="16"/>
              </w:rPr>
            </w:pPr>
            <w:r w:rsidRPr="00F31188">
              <w:rPr>
                <w:color w:val="000000"/>
                <w:sz w:val="16"/>
                <w:szCs w:val="16"/>
              </w:rPr>
              <w:t>2.86</w:t>
            </w:r>
          </w:p>
        </w:tc>
        <w:tc>
          <w:tcPr>
            <w:tcW w:w="144" w:type="dxa"/>
            <w:tcBorders>
              <w:top w:val="nil"/>
              <w:left w:val="nil"/>
              <w:bottom w:val="nil"/>
              <w:right w:val="nil"/>
            </w:tcBorders>
            <w:shd w:val="clear" w:color="000000" w:fill="FFFFFF"/>
            <w:noWrap/>
            <w:vAlign w:val="center"/>
            <w:hideMark/>
          </w:tcPr>
          <w:p w:rsidR="00AE015D" w:rsidRPr="00F31188" w:rsidP="00B31ED2" w14:paraId="39B096A8" w14:textId="77777777">
            <w:pPr>
              <w:keepNext/>
              <w:keepLines/>
              <w:jc w:val="center"/>
              <w:rPr>
                <w:color w:val="000000"/>
                <w:sz w:val="16"/>
                <w:szCs w:val="16"/>
              </w:rPr>
            </w:pPr>
            <w:r w:rsidRPr="00F31188">
              <w:rPr>
                <w:color w:val="000000"/>
                <w:sz w:val="16"/>
                <w:szCs w:val="16"/>
              </w:rPr>
              <w:t> </w:t>
            </w:r>
          </w:p>
        </w:tc>
        <w:tc>
          <w:tcPr>
            <w:tcW w:w="1008" w:type="dxa"/>
            <w:tcBorders>
              <w:top w:val="nil"/>
              <w:left w:val="single" w:sz="4" w:space="0" w:color="auto"/>
              <w:bottom w:val="single" w:sz="4" w:space="0" w:color="auto"/>
              <w:right w:val="nil"/>
            </w:tcBorders>
            <w:shd w:val="clear" w:color="000000" w:fill="FFFFFF"/>
            <w:noWrap/>
            <w:vAlign w:val="center"/>
            <w:hideMark/>
          </w:tcPr>
          <w:p w:rsidR="00AE015D" w:rsidRPr="00F31188" w:rsidP="00B31ED2" w14:paraId="46907450" w14:textId="77777777">
            <w:pPr>
              <w:keepNext/>
              <w:keepLines/>
              <w:jc w:val="center"/>
              <w:rPr>
                <w:color w:val="000000"/>
                <w:sz w:val="16"/>
                <w:szCs w:val="16"/>
              </w:rPr>
            </w:pPr>
            <w:r w:rsidRPr="00F31188">
              <w:rPr>
                <w:color w:val="000000"/>
                <w:sz w:val="16"/>
                <w:szCs w:val="16"/>
              </w:rPr>
              <w:t>1</w:t>
            </w:r>
          </w:p>
        </w:tc>
        <w:tc>
          <w:tcPr>
            <w:tcW w:w="1236" w:type="dxa"/>
            <w:tcBorders>
              <w:top w:val="nil"/>
              <w:left w:val="nil"/>
              <w:bottom w:val="single" w:sz="4" w:space="0" w:color="auto"/>
              <w:right w:val="nil"/>
            </w:tcBorders>
            <w:shd w:val="clear" w:color="000000" w:fill="FFFFFF"/>
            <w:noWrap/>
            <w:vAlign w:val="center"/>
            <w:hideMark/>
          </w:tcPr>
          <w:p w:rsidR="00AE015D" w:rsidRPr="00F31188" w:rsidP="00B31ED2" w14:paraId="2ECAF8BB" w14:textId="77777777">
            <w:pPr>
              <w:keepNext/>
              <w:keepLines/>
              <w:jc w:val="center"/>
              <w:rPr>
                <w:color w:val="000000"/>
                <w:sz w:val="16"/>
                <w:szCs w:val="16"/>
              </w:rPr>
            </w:pPr>
            <w:r w:rsidRPr="00F31188">
              <w:rPr>
                <w:color w:val="000000"/>
                <w:sz w:val="16"/>
                <w:szCs w:val="16"/>
              </w:rPr>
              <w:t>1.95</w:t>
            </w:r>
          </w:p>
        </w:tc>
        <w:tc>
          <w:tcPr>
            <w:tcW w:w="1236" w:type="dxa"/>
            <w:tcBorders>
              <w:top w:val="nil"/>
              <w:left w:val="nil"/>
              <w:bottom w:val="single" w:sz="4" w:space="0" w:color="auto"/>
              <w:right w:val="single" w:sz="4" w:space="0" w:color="auto"/>
            </w:tcBorders>
            <w:shd w:val="clear" w:color="000000" w:fill="FFFFFF"/>
            <w:noWrap/>
            <w:vAlign w:val="center"/>
            <w:hideMark/>
          </w:tcPr>
          <w:p w:rsidR="00AE015D" w:rsidRPr="00F31188" w:rsidP="00B31ED2" w14:paraId="3BB4E557" w14:textId="77777777">
            <w:pPr>
              <w:keepNext/>
              <w:keepLines/>
              <w:jc w:val="center"/>
              <w:rPr>
                <w:color w:val="000000"/>
                <w:sz w:val="16"/>
                <w:szCs w:val="16"/>
              </w:rPr>
            </w:pPr>
            <w:r w:rsidRPr="00F31188">
              <w:rPr>
                <w:color w:val="000000"/>
                <w:sz w:val="16"/>
                <w:szCs w:val="16"/>
              </w:rPr>
              <w:t>2.80</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25CF186B"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14E8843C" w14:textId="77777777">
            <w:pPr>
              <w:keepNext/>
              <w:keepLines/>
              <w:rPr>
                <w:rFonts w:ascii="Calibri" w:hAnsi="Calibri" w:cs="Calibri"/>
                <w:color w:val="000000"/>
              </w:rPr>
            </w:pPr>
            <w:r w:rsidRPr="00F31188">
              <w:rPr>
                <w:rFonts w:ascii="Calibri" w:hAnsi="Calibri" w:cs="Calibri"/>
                <w:color w:val="000000"/>
              </w:rPr>
              <w:t> </w:t>
            </w:r>
          </w:p>
        </w:tc>
      </w:tr>
      <w:tr w14:paraId="2E4C50EC"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3BF44C93"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262A7454" w14:textId="77777777">
            <w:pPr>
              <w:keepNext/>
              <w:keepLines/>
              <w:jc w:val="center"/>
              <w:rPr>
                <w:color w:val="000000"/>
                <w:sz w:val="16"/>
                <w:szCs w:val="16"/>
              </w:rPr>
            </w:pPr>
            <w:r w:rsidRPr="00F31188">
              <w:rPr>
                <w:color w:val="000000"/>
                <w:sz w:val="16"/>
                <w:szCs w:val="16"/>
              </w:rPr>
              <w:t> </w:t>
            </w:r>
          </w:p>
        </w:tc>
        <w:tc>
          <w:tcPr>
            <w:tcW w:w="1008" w:type="dxa"/>
            <w:gridSpan w:val="3"/>
            <w:tcBorders>
              <w:top w:val="nil"/>
              <w:left w:val="nil"/>
              <w:bottom w:val="nil"/>
              <w:right w:val="nil"/>
            </w:tcBorders>
            <w:shd w:val="clear" w:color="000000" w:fill="FFFFFF"/>
            <w:noWrap/>
            <w:vAlign w:val="bottom"/>
            <w:hideMark/>
          </w:tcPr>
          <w:p w:rsidR="00AE015D" w:rsidRPr="00F31188" w:rsidP="00B31ED2" w14:paraId="45BD7496" w14:textId="77777777">
            <w:pPr>
              <w:keepNext/>
              <w:keepLines/>
              <w:jc w:val="center"/>
              <w:rPr>
                <w:b/>
                <w:bCs/>
                <w:color w:val="000000"/>
                <w:sz w:val="16"/>
                <w:szCs w:val="16"/>
              </w:rPr>
            </w:pPr>
            <w:r w:rsidRPr="00F31188">
              <w:rPr>
                <w:b/>
                <w:bCs/>
                <w:color w:val="000000"/>
                <w:sz w:val="16"/>
                <w:szCs w:val="16"/>
              </w:rPr>
              <w:t>(5)</w:t>
            </w:r>
          </w:p>
        </w:tc>
        <w:tc>
          <w:tcPr>
            <w:tcW w:w="144" w:type="dxa"/>
            <w:tcBorders>
              <w:top w:val="nil"/>
              <w:left w:val="nil"/>
              <w:bottom w:val="nil"/>
              <w:right w:val="nil"/>
            </w:tcBorders>
            <w:shd w:val="clear" w:color="000000" w:fill="FFFFFF"/>
            <w:noWrap/>
            <w:vAlign w:val="center"/>
            <w:hideMark/>
          </w:tcPr>
          <w:p w:rsidR="00AE015D" w:rsidRPr="00F31188" w:rsidP="00B31ED2" w14:paraId="102E6F91" w14:textId="77777777">
            <w:pPr>
              <w:keepNext/>
              <w:keepLines/>
              <w:jc w:val="center"/>
              <w:rPr>
                <w:color w:val="000000"/>
                <w:sz w:val="16"/>
                <w:szCs w:val="16"/>
              </w:rPr>
            </w:pPr>
            <w:r w:rsidRPr="00F31188">
              <w:rPr>
                <w:color w:val="000000"/>
                <w:sz w:val="16"/>
                <w:szCs w:val="16"/>
              </w:rPr>
              <w:t> </w:t>
            </w:r>
          </w:p>
        </w:tc>
        <w:tc>
          <w:tcPr>
            <w:tcW w:w="1008" w:type="dxa"/>
            <w:gridSpan w:val="3"/>
            <w:tcBorders>
              <w:top w:val="nil"/>
              <w:left w:val="nil"/>
              <w:bottom w:val="nil"/>
              <w:right w:val="nil"/>
            </w:tcBorders>
            <w:shd w:val="clear" w:color="000000" w:fill="FFFFFF"/>
            <w:noWrap/>
            <w:vAlign w:val="bottom"/>
            <w:hideMark/>
          </w:tcPr>
          <w:p w:rsidR="00AE015D" w:rsidRPr="00F31188" w:rsidP="00B31ED2" w14:paraId="607AD5AE" w14:textId="77777777">
            <w:pPr>
              <w:keepNext/>
              <w:keepLines/>
              <w:jc w:val="center"/>
              <w:rPr>
                <w:b/>
                <w:bCs/>
                <w:color w:val="000000"/>
                <w:sz w:val="16"/>
                <w:szCs w:val="16"/>
              </w:rPr>
            </w:pPr>
            <w:r w:rsidRPr="00F31188">
              <w:rPr>
                <w:b/>
                <w:bCs/>
                <w:color w:val="000000"/>
                <w:sz w:val="16"/>
                <w:szCs w:val="16"/>
              </w:rPr>
              <w:t>(6)</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63646367"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1D46558A" w14:textId="77777777">
            <w:pPr>
              <w:keepNext/>
              <w:keepLines/>
              <w:rPr>
                <w:rFonts w:ascii="Calibri" w:hAnsi="Calibri" w:cs="Calibri"/>
                <w:color w:val="000000"/>
              </w:rPr>
            </w:pPr>
            <w:r w:rsidRPr="00F31188">
              <w:rPr>
                <w:rFonts w:ascii="Calibri" w:hAnsi="Calibri" w:cs="Calibri"/>
                <w:color w:val="000000"/>
              </w:rPr>
              <w:t> </w:t>
            </w:r>
          </w:p>
        </w:tc>
      </w:tr>
      <w:tr w14:paraId="5F41F285"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40C933A5"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01CF067B" w14:textId="77777777">
            <w:pPr>
              <w:keepNext/>
              <w:keepLines/>
              <w:jc w:val="center"/>
              <w:rPr>
                <w:color w:val="000000"/>
                <w:sz w:val="16"/>
                <w:szCs w:val="16"/>
              </w:rPr>
            </w:pPr>
            <w:r w:rsidRPr="00F31188">
              <w:rPr>
                <w:color w:val="000000"/>
                <w:sz w:val="16"/>
                <w:szCs w:val="16"/>
              </w:rPr>
              <w:t>Low</w:t>
            </w:r>
          </w:p>
        </w:tc>
        <w:tc>
          <w:tcPr>
            <w:tcW w:w="1008" w:type="dxa"/>
            <w:tcBorders>
              <w:top w:val="single" w:sz="4" w:space="0" w:color="auto"/>
              <w:left w:val="single" w:sz="4" w:space="0" w:color="auto"/>
              <w:bottom w:val="nil"/>
              <w:right w:val="nil"/>
            </w:tcBorders>
            <w:shd w:val="clear" w:color="000000" w:fill="FFFFFF"/>
            <w:noWrap/>
            <w:vAlign w:val="center"/>
            <w:hideMark/>
          </w:tcPr>
          <w:p w:rsidR="00AE015D" w:rsidRPr="00F31188" w:rsidP="00B31ED2" w14:paraId="7E383F5F" w14:textId="77777777">
            <w:pPr>
              <w:keepNext/>
              <w:keepLines/>
              <w:jc w:val="center"/>
              <w:rPr>
                <w:color w:val="000000"/>
                <w:sz w:val="16"/>
                <w:szCs w:val="16"/>
              </w:rPr>
            </w:pPr>
            <w:r w:rsidRPr="00F31188">
              <w:rPr>
                <w:color w:val="000000"/>
                <w:sz w:val="16"/>
                <w:szCs w:val="16"/>
              </w:rPr>
              <w:t>1.34</w:t>
            </w:r>
          </w:p>
        </w:tc>
        <w:tc>
          <w:tcPr>
            <w:tcW w:w="1008" w:type="dxa"/>
            <w:tcBorders>
              <w:top w:val="single" w:sz="4" w:space="0" w:color="auto"/>
              <w:left w:val="nil"/>
              <w:bottom w:val="nil"/>
              <w:right w:val="nil"/>
            </w:tcBorders>
            <w:shd w:val="clear" w:color="000000" w:fill="FFFFFF"/>
            <w:noWrap/>
            <w:vAlign w:val="center"/>
            <w:hideMark/>
          </w:tcPr>
          <w:p w:rsidR="00AE015D" w:rsidRPr="00F31188" w:rsidP="00B31ED2" w14:paraId="4EE4238A" w14:textId="77777777">
            <w:pPr>
              <w:keepNext/>
              <w:keepLines/>
              <w:jc w:val="center"/>
              <w:rPr>
                <w:color w:val="000000"/>
                <w:sz w:val="16"/>
                <w:szCs w:val="16"/>
              </w:rPr>
            </w:pPr>
            <w:r w:rsidRPr="00F31188">
              <w:rPr>
                <w:color w:val="000000"/>
                <w:sz w:val="16"/>
                <w:szCs w:val="16"/>
              </w:rPr>
              <w:t>2.71</w:t>
            </w:r>
          </w:p>
        </w:tc>
        <w:tc>
          <w:tcPr>
            <w:tcW w:w="1236" w:type="dxa"/>
            <w:tcBorders>
              <w:top w:val="single" w:sz="4" w:space="0" w:color="auto"/>
              <w:left w:val="nil"/>
              <w:bottom w:val="nil"/>
              <w:right w:val="single" w:sz="4" w:space="0" w:color="auto"/>
            </w:tcBorders>
            <w:shd w:val="clear" w:color="000000" w:fill="FFFFFF"/>
            <w:noWrap/>
            <w:vAlign w:val="center"/>
            <w:hideMark/>
          </w:tcPr>
          <w:p w:rsidR="00AE015D" w:rsidRPr="00F31188" w:rsidP="00B31ED2" w14:paraId="213431A3" w14:textId="77777777">
            <w:pPr>
              <w:keepNext/>
              <w:keepLines/>
              <w:jc w:val="center"/>
              <w:rPr>
                <w:color w:val="000000"/>
                <w:sz w:val="16"/>
                <w:szCs w:val="16"/>
              </w:rPr>
            </w:pPr>
            <w:r w:rsidRPr="00F31188">
              <w:rPr>
                <w:color w:val="000000"/>
                <w:sz w:val="16"/>
                <w:szCs w:val="16"/>
              </w:rPr>
              <w:t>3.59</w:t>
            </w:r>
          </w:p>
        </w:tc>
        <w:tc>
          <w:tcPr>
            <w:tcW w:w="144" w:type="dxa"/>
            <w:tcBorders>
              <w:top w:val="nil"/>
              <w:left w:val="nil"/>
              <w:bottom w:val="nil"/>
              <w:right w:val="nil"/>
            </w:tcBorders>
            <w:shd w:val="clear" w:color="000000" w:fill="FFFFFF"/>
            <w:noWrap/>
            <w:vAlign w:val="center"/>
            <w:hideMark/>
          </w:tcPr>
          <w:p w:rsidR="00AE015D" w:rsidRPr="00F31188" w:rsidP="00B31ED2" w14:paraId="6A60FF26" w14:textId="77777777">
            <w:pPr>
              <w:keepNext/>
              <w:keepLines/>
              <w:jc w:val="center"/>
              <w:rPr>
                <w:color w:val="000000"/>
                <w:sz w:val="16"/>
                <w:szCs w:val="16"/>
              </w:rPr>
            </w:pPr>
            <w:r w:rsidRPr="00F31188">
              <w:rPr>
                <w:color w:val="000000"/>
                <w:sz w:val="16"/>
                <w:szCs w:val="16"/>
              </w:rPr>
              <w:t> </w:t>
            </w:r>
          </w:p>
        </w:tc>
        <w:tc>
          <w:tcPr>
            <w:tcW w:w="1008" w:type="dxa"/>
            <w:tcBorders>
              <w:top w:val="single" w:sz="4" w:space="0" w:color="auto"/>
              <w:left w:val="single" w:sz="4" w:space="0" w:color="auto"/>
              <w:bottom w:val="nil"/>
              <w:right w:val="nil"/>
            </w:tcBorders>
            <w:shd w:val="clear" w:color="000000" w:fill="FFFFFF"/>
            <w:noWrap/>
            <w:vAlign w:val="center"/>
            <w:hideMark/>
          </w:tcPr>
          <w:p w:rsidR="00AE015D" w:rsidRPr="00F31188" w:rsidP="00B31ED2" w14:paraId="262932D7" w14:textId="77777777">
            <w:pPr>
              <w:keepNext/>
              <w:keepLines/>
              <w:jc w:val="center"/>
              <w:rPr>
                <w:color w:val="000000"/>
                <w:sz w:val="16"/>
                <w:szCs w:val="16"/>
              </w:rPr>
            </w:pPr>
            <w:r w:rsidRPr="00F31188">
              <w:rPr>
                <w:color w:val="000000"/>
                <w:sz w:val="16"/>
                <w:szCs w:val="16"/>
              </w:rPr>
              <w:t>1.43</w:t>
            </w:r>
          </w:p>
        </w:tc>
        <w:tc>
          <w:tcPr>
            <w:tcW w:w="1236" w:type="dxa"/>
            <w:tcBorders>
              <w:top w:val="single" w:sz="4" w:space="0" w:color="auto"/>
              <w:left w:val="nil"/>
              <w:bottom w:val="nil"/>
              <w:right w:val="nil"/>
            </w:tcBorders>
            <w:shd w:val="clear" w:color="000000" w:fill="FFFFFF"/>
            <w:noWrap/>
            <w:vAlign w:val="center"/>
            <w:hideMark/>
          </w:tcPr>
          <w:p w:rsidR="00AE015D" w:rsidRPr="00F31188" w:rsidP="00B31ED2" w14:paraId="15903A60" w14:textId="77777777">
            <w:pPr>
              <w:keepNext/>
              <w:keepLines/>
              <w:jc w:val="center"/>
              <w:rPr>
                <w:color w:val="000000"/>
                <w:sz w:val="16"/>
                <w:szCs w:val="16"/>
              </w:rPr>
            </w:pPr>
            <w:r w:rsidRPr="00F31188">
              <w:rPr>
                <w:color w:val="000000"/>
                <w:sz w:val="16"/>
                <w:szCs w:val="16"/>
              </w:rPr>
              <w:t>2.91</w:t>
            </w:r>
          </w:p>
        </w:tc>
        <w:tc>
          <w:tcPr>
            <w:tcW w:w="1236" w:type="dxa"/>
            <w:tcBorders>
              <w:top w:val="single" w:sz="4" w:space="0" w:color="auto"/>
              <w:left w:val="nil"/>
              <w:bottom w:val="nil"/>
              <w:right w:val="single" w:sz="4" w:space="0" w:color="auto"/>
            </w:tcBorders>
            <w:shd w:val="clear" w:color="000000" w:fill="FFFFFF"/>
            <w:noWrap/>
            <w:vAlign w:val="center"/>
            <w:hideMark/>
          </w:tcPr>
          <w:p w:rsidR="00AE015D" w:rsidRPr="00F31188" w:rsidP="00B31ED2" w14:paraId="591C274D" w14:textId="77777777">
            <w:pPr>
              <w:keepNext/>
              <w:keepLines/>
              <w:jc w:val="center"/>
              <w:rPr>
                <w:color w:val="000000"/>
                <w:sz w:val="16"/>
                <w:szCs w:val="16"/>
              </w:rPr>
            </w:pPr>
            <w:r w:rsidRPr="00F31188">
              <w:rPr>
                <w:color w:val="000000"/>
                <w:sz w:val="16"/>
                <w:szCs w:val="16"/>
              </w:rPr>
              <w:t>4.13</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281C982E"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6C06E311" w14:textId="77777777">
            <w:pPr>
              <w:keepNext/>
              <w:keepLines/>
              <w:rPr>
                <w:rFonts w:ascii="Calibri" w:hAnsi="Calibri" w:cs="Calibri"/>
                <w:color w:val="000000"/>
              </w:rPr>
            </w:pPr>
            <w:r w:rsidRPr="00F31188">
              <w:rPr>
                <w:rFonts w:ascii="Calibri" w:hAnsi="Calibri" w:cs="Calibri"/>
                <w:color w:val="000000"/>
              </w:rPr>
              <w:t> </w:t>
            </w:r>
          </w:p>
        </w:tc>
      </w:tr>
      <w:tr w14:paraId="6D236709"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0001AF2A"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5BA97F60" w14:textId="77777777">
            <w:pPr>
              <w:keepNext/>
              <w:keepLines/>
              <w:jc w:val="center"/>
              <w:rPr>
                <w:color w:val="000000"/>
                <w:sz w:val="16"/>
                <w:szCs w:val="16"/>
              </w:rPr>
            </w:pPr>
            <w:r w:rsidRPr="00F31188">
              <w:rPr>
                <w:color w:val="000000"/>
                <w:sz w:val="16"/>
                <w:szCs w:val="16"/>
              </w:rPr>
              <w:t>Medium</w:t>
            </w:r>
          </w:p>
        </w:tc>
        <w:tc>
          <w:tcPr>
            <w:tcW w:w="1008" w:type="dxa"/>
            <w:tcBorders>
              <w:top w:val="nil"/>
              <w:left w:val="single" w:sz="4" w:space="0" w:color="auto"/>
              <w:bottom w:val="nil"/>
              <w:right w:val="nil"/>
            </w:tcBorders>
            <w:shd w:val="clear" w:color="000000" w:fill="FFFFFF"/>
            <w:noWrap/>
            <w:vAlign w:val="center"/>
            <w:hideMark/>
          </w:tcPr>
          <w:p w:rsidR="00AE015D" w:rsidRPr="00F31188" w:rsidP="00B31ED2" w14:paraId="10886AA8" w14:textId="77777777">
            <w:pPr>
              <w:keepNext/>
              <w:keepLines/>
              <w:jc w:val="center"/>
              <w:rPr>
                <w:color w:val="000000"/>
                <w:sz w:val="16"/>
                <w:szCs w:val="16"/>
              </w:rPr>
            </w:pPr>
            <w:r w:rsidRPr="00F31188">
              <w:rPr>
                <w:color w:val="000000"/>
                <w:sz w:val="16"/>
                <w:szCs w:val="16"/>
              </w:rPr>
              <w:t>1.23</w:t>
            </w:r>
          </w:p>
        </w:tc>
        <w:tc>
          <w:tcPr>
            <w:tcW w:w="1008" w:type="dxa"/>
            <w:tcBorders>
              <w:top w:val="nil"/>
              <w:left w:val="nil"/>
              <w:bottom w:val="nil"/>
              <w:right w:val="nil"/>
            </w:tcBorders>
            <w:shd w:val="clear" w:color="000000" w:fill="FFFFFF"/>
            <w:noWrap/>
            <w:vAlign w:val="center"/>
            <w:hideMark/>
          </w:tcPr>
          <w:p w:rsidR="00AE015D" w:rsidRPr="00F31188" w:rsidP="00B31ED2" w14:paraId="5C707C22" w14:textId="77777777">
            <w:pPr>
              <w:keepNext/>
              <w:keepLines/>
              <w:jc w:val="center"/>
              <w:rPr>
                <w:color w:val="000000"/>
                <w:sz w:val="16"/>
                <w:szCs w:val="16"/>
              </w:rPr>
            </w:pPr>
            <w:r w:rsidRPr="00F31188">
              <w:rPr>
                <w:color w:val="000000"/>
                <w:sz w:val="16"/>
                <w:szCs w:val="16"/>
              </w:rPr>
              <w:t>2.59</w:t>
            </w:r>
          </w:p>
        </w:tc>
        <w:tc>
          <w:tcPr>
            <w:tcW w:w="1236" w:type="dxa"/>
            <w:tcBorders>
              <w:top w:val="nil"/>
              <w:left w:val="nil"/>
              <w:bottom w:val="nil"/>
              <w:right w:val="single" w:sz="4" w:space="0" w:color="auto"/>
            </w:tcBorders>
            <w:shd w:val="clear" w:color="000000" w:fill="FFFFFF"/>
            <w:noWrap/>
            <w:vAlign w:val="center"/>
            <w:hideMark/>
          </w:tcPr>
          <w:p w:rsidR="00AE015D" w:rsidRPr="00F31188" w:rsidP="00B31ED2" w14:paraId="6256FAAB" w14:textId="77777777">
            <w:pPr>
              <w:keepNext/>
              <w:keepLines/>
              <w:jc w:val="center"/>
              <w:rPr>
                <w:color w:val="000000"/>
                <w:sz w:val="16"/>
                <w:szCs w:val="16"/>
              </w:rPr>
            </w:pPr>
            <w:r w:rsidRPr="00F31188">
              <w:rPr>
                <w:color w:val="000000"/>
                <w:sz w:val="16"/>
                <w:szCs w:val="16"/>
              </w:rPr>
              <w:t>3.49</w:t>
            </w:r>
          </w:p>
        </w:tc>
        <w:tc>
          <w:tcPr>
            <w:tcW w:w="144" w:type="dxa"/>
            <w:tcBorders>
              <w:top w:val="nil"/>
              <w:left w:val="nil"/>
              <w:bottom w:val="nil"/>
              <w:right w:val="nil"/>
            </w:tcBorders>
            <w:shd w:val="clear" w:color="000000" w:fill="FFFFFF"/>
            <w:noWrap/>
            <w:vAlign w:val="center"/>
            <w:hideMark/>
          </w:tcPr>
          <w:p w:rsidR="00AE015D" w:rsidRPr="00F31188" w:rsidP="00B31ED2" w14:paraId="3DDB558D" w14:textId="77777777">
            <w:pPr>
              <w:keepNext/>
              <w:keepLines/>
              <w:jc w:val="center"/>
              <w:rPr>
                <w:color w:val="000000"/>
                <w:sz w:val="16"/>
                <w:szCs w:val="16"/>
              </w:rPr>
            </w:pPr>
            <w:r w:rsidRPr="00F31188">
              <w:rPr>
                <w:color w:val="000000"/>
                <w:sz w:val="16"/>
                <w:szCs w:val="16"/>
              </w:rPr>
              <w:t> </w:t>
            </w:r>
          </w:p>
        </w:tc>
        <w:tc>
          <w:tcPr>
            <w:tcW w:w="1008" w:type="dxa"/>
            <w:tcBorders>
              <w:top w:val="nil"/>
              <w:left w:val="single" w:sz="4" w:space="0" w:color="auto"/>
              <w:bottom w:val="nil"/>
              <w:right w:val="nil"/>
            </w:tcBorders>
            <w:shd w:val="clear" w:color="000000" w:fill="FFFFFF"/>
            <w:noWrap/>
            <w:vAlign w:val="center"/>
            <w:hideMark/>
          </w:tcPr>
          <w:p w:rsidR="00AE015D" w:rsidRPr="00F31188" w:rsidP="00B31ED2" w14:paraId="226DDD7D" w14:textId="77777777">
            <w:pPr>
              <w:keepNext/>
              <w:keepLines/>
              <w:jc w:val="center"/>
              <w:rPr>
                <w:color w:val="000000"/>
                <w:sz w:val="16"/>
                <w:szCs w:val="16"/>
              </w:rPr>
            </w:pPr>
            <w:r w:rsidRPr="00F31188">
              <w:rPr>
                <w:color w:val="000000"/>
                <w:sz w:val="16"/>
                <w:szCs w:val="16"/>
              </w:rPr>
              <w:t>1.30</w:t>
            </w:r>
          </w:p>
        </w:tc>
        <w:tc>
          <w:tcPr>
            <w:tcW w:w="1236" w:type="dxa"/>
            <w:tcBorders>
              <w:top w:val="nil"/>
              <w:left w:val="nil"/>
              <w:bottom w:val="nil"/>
              <w:right w:val="nil"/>
            </w:tcBorders>
            <w:shd w:val="clear" w:color="000000" w:fill="FFFFFF"/>
            <w:noWrap/>
            <w:vAlign w:val="center"/>
            <w:hideMark/>
          </w:tcPr>
          <w:p w:rsidR="00AE015D" w:rsidRPr="00F31188" w:rsidP="00B31ED2" w14:paraId="6BD6C106" w14:textId="77777777">
            <w:pPr>
              <w:keepNext/>
              <w:keepLines/>
              <w:jc w:val="center"/>
              <w:rPr>
                <w:color w:val="000000"/>
                <w:sz w:val="16"/>
                <w:szCs w:val="16"/>
              </w:rPr>
            </w:pPr>
            <w:r w:rsidRPr="00F31188">
              <w:rPr>
                <w:color w:val="000000"/>
                <w:sz w:val="16"/>
                <w:szCs w:val="16"/>
              </w:rPr>
              <w:t>2.77</w:t>
            </w:r>
          </w:p>
        </w:tc>
        <w:tc>
          <w:tcPr>
            <w:tcW w:w="1236" w:type="dxa"/>
            <w:tcBorders>
              <w:top w:val="nil"/>
              <w:left w:val="nil"/>
              <w:bottom w:val="nil"/>
              <w:right w:val="single" w:sz="4" w:space="0" w:color="auto"/>
            </w:tcBorders>
            <w:shd w:val="clear" w:color="000000" w:fill="FFFFFF"/>
            <w:noWrap/>
            <w:vAlign w:val="center"/>
            <w:hideMark/>
          </w:tcPr>
          <w:p w:rsidR="00AE015D" w:rsidRPr="00F31188" w:rsidP="00B31ED2" w14:paraId="28B8015C" w14:textId="77777777">
            <w:pPr>
              <w:keepNext/>
              <w:keepLines/>
              <w:jc w:val="center"/>
              <w:rPr>
                <w:color w:val="000000"/>
                <w:sz w:val="16"/>
                <w:szCs w:val="16"/>
              </w:rPr>
            </w:pPr>
            <w:r w:rsidRPr="00F31188">
              <w:rPr>
                <w:color w:val="000000"/>
                <w:sz w:val="16"/>
                <w:szCs w:val="16"/>
              </w:rPr>
              <w:t>4.01</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3618FBC4"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777F63C5" w14:textId="77777777">
            <w:pPr>
              <w:keepNext/>
              <w:keepLines/>
              <w:rPr>
                <w:rFonts w:ascii="Calibri" w:hAnsi="Calibri" w:cs="Calibri"/>
                <w:color w:val="000000"/>
              </w:rPr>
            </w:pPr>
            <w:r w:rsidRPr="00F31188">
              <w:rPr>
                <w:rFonts w:ascii="Calibri" w:hAnsi="Calibri" w:cs="Calibri"/>
                <w:color w:val="000000"/>
              </w:rPr>
              <w:t> </w:t>
            </w:r>
          </w:p>
        </w:tc>
      </w:tr>
      <w:tr w14:paraId="407D96C5"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0234C8D2"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3E08E034" w14:textId="77777777">
            <w:pPr>
              <w:keepNext/>
              <w:keepLines/>
              <w:jc w:val="center"/>
              <w:rPr>
                <w:color w:val="000000"/>
                <w:sz w:val="16"/>
                <w:szCs w:val="16"/>
              </w:rPr>
            </w:pPr>
            <w:r w:rsidRPr="00F31188">
              <w:rPr>
                <w:color w:val="000000"/>
                <w:sz w:val="16"/>
                <w:szCs w:val="16"/>
              </w:rPr>
              <w:t>High</w:t>
            </w:r>
          </w:p>
        </w:tc>
        <w:tc>
          <w:tcPr>
            <w:tcW w:w="1008" w:type="dxa"/>
            <w:tcBorders>
              <w:top w:val="nil"/>
              <w:left w:val="single" w:sz="4" w:space="0" w:color="auto"/>
              <w:bottom w:val="single" w:sz="4" w:space="0" w:color="auto"/>
              <w:right w:val="nil"/>
            </w:tcBorders>
            <w:shd w:val="clear" w:color="000000" w:fill="FFFFFF"/>
            <w:noWrap/>
            <w:vAlign w:val="center"/>
            <w:hideMark/>
          </w:tcPr>
          <w:p w:rsidR="00AE015D" w:rsidRPr="00F31188" w:rsidP="00B31ED2" w14:paraId="758E0268" w14:textId="77777777">
            <w:pPr>
              <w:keepNext/>
              <w:keepLines/>
              <w:jc w:val="center"/>
              <w:rPr>
                <w:color w:val="000000"/>
                <w:sz w:val="16"/>
                <w:szCs w:val="16"/>
              </w:rPr>
            </w:pPr>
            <w:r w:rsidRPr="00F31188">
              <w:rPr>
                <w:color w:val="000000"/>
                <w:sz w:val="16"/>
                <w:szCs w:val="16"/>
              </w:rPr>
              <w:t>1</w:t>
            </w:r>
          </w:p>
        </w:tc>
        <w:tc>
          <w:tcPr>
            <w:tcW w:w="1008" w:type="dxa"/>
            <w:tcBorders>
              <w:top w:val="nil"/>
              <w:left w:val="nil"/>
              <w:bottom w:val="single" w:sz="4" w:space="0" w:color="auto"/>
              <w:right w:val="nil"/>
            </w:tcBorders>
            <w:shd w:val="clear" w:color="000000" w:fill="FFFFFF"/>
            <w:noWrap/>
            <w:vAlign w:val="center"/>
            <w:hideMark/>
          </w:tcPr>
          <w:p w:rsidR="00AE015D" w:rsidRPr="00F31188" w:rsidP="00B31ED2" w14:paraId="63FF469E" w14:textId="77777777">
            <w:pPr>
              <w:keepNext/>
              <w:keepLines/>
              <w:jc w:val="center"/>
              <w:rPr>
                <w:color w:val="000000"/>
                <w:sz w:val="16"/>
                <w:szCs w:val="16"/>
              </w:rPr>
            </w:pPr>
            <w:r w:rsidRPr="00F31188">
              <w:rPr>
                <w:color w:val="000000"/>
                <w:sz w:val="16"/>
                <w:szCs w:val="16"/>
              </w:rPr>
              <w:t>2.32</w:t>
            </w:r>
          </w:p>
        </w:tc>
        <w:tc>
          <w:tcPr>
            <w:tcW w:w="1236" w:type="dxa"/>
            <w:tcBorders>
              <w:top w:val="nil"/>
              <w:left w:val="nil"/>
              <w:bottom w:val="single" w:sz="4" w:space="0" w:color="auto"/>
              <w:right w:val="single" w:sz="4" w:space="0" w:color="auto"/>
            </w:tcBorders>
            <w:shd w:val="clear" w:color="000000" w:fill="FFFFFF"/>
            <w:noWrap/>
            <w:vAlign w:val="center"/>
            <w:hideMark/>
          </w:tcPr>
          <w:p w:rsidR="00AE015D" w:rsidRPr="00F31188" w:rsidP="00B31ED2" w14:paraId="5344F889" w14:textId="77777777">
            <w:pPr>
              <w:keepNext/>
              <w:keepLines/>
              <w:jc w:val="center"/>
              <w:rPr>
                <w:color w:val="000000"/>
                <w:sz w:val="16"/>
                <w:szCs w:val="16"/>
              </w:rPr>
            </w:pPr>
            <w:r w:rsidRPr="00F31188">
              <w:rPr>
                <w:color w:val="000000"/>
                <w:sz w:val="16"/>
                <w:szCs w:val="16"/>
              </w:rPr>
              <w:t>3.23</w:t>
            </w:r>
          </w:p>
        </w:tc>
        <w:tc>
          <w:tcPr>
            <w:tcW w:w="144" w:type="dxa"/>
            <w:tcBorders>
              <w:top w:val="nil"/>
              <w:left w:val="nil"/>
              <w:bottom w:val="nil"/>
              <w:right w:val="nil"/>
            </w:tcBorders>
            <w:shd w:val="clear" w:color="000000" w:fill="FFFFFF"/>
            <w:noWrap/>
            <w:vAlign w:val="center"/>
            <w:hideMark/>
          </w:tcPr>
          <w:p w:rsidR="00AE015D" w:rsidRPr="00F31188" w:rsidP="00B31ED2" w14:paraId="17FF7125" w14:textId="77777777">
            <w:pPr>
              <w:keepNext/>
              <w:keepLines/>
              <w:jc w:val="center"/>
              <w:rPr>
                <w:color w:val="000000"/>
                <w:sz w:val="16"/>
                <w:szCs w:val="16"/>
              </w:rPr>
            </w:pPr>
            <w:r w:rsidRPr="00F31188">
              <w:rPr>
                <w:color w:val="000000"/>
                <w:sz w:val="16"/>
                <w:szCs w:val="16"/>
              </w:rPr>
              <w:t> </w:t>
            </w:r>
          </w:p>
        </w:tc>
        <w:tc>
          <w:tcPr>
            <w:tcW w:w="1008" w:type="dxa"/>
            <w:tcBorders>
              <w:top w:val="nil"/>
              <w:left w:val="single" w:sz="4" w:space="0" w:color="auto"/>
              <w:bottom w:val="single" w:sz="4" w:space="0" w:color="auto"/>
              <w:right w:val="nil"/>
            </w:tcBorders>
            <w:shd w:val="clear" w:color="000000" w:fill="FFFFFF"/>
            <w:noWrap/>
            <w:vAlign w:val="center"/>
            <w:hideMark/>
          </w:tcPr>
          <w:p w:rsidR="00AE015D" w:rsidRPr="00F31188" w:rsidP="00B31ED2" w14:paraId="3DA455F5" w14:textId="77777777">
            <w:pPr>
              <w:keepNext/>
              <w:keepLines/>
              <w:jc w:val="center"/>
              <w:rPr>
                <w:color w:val="000000"/>
                <w:sz w:val="16"/>
                <w:szCs w:val="16"/>
              </w:rPr>
            </w:pPr>
            <w:r w:rsidRPr="00F31188">
              <w:rPr>
                <w:color w:val="000000"/>
                <w:sz w:val="16"/>
                <w:szCs w:val="16"/>
              </w:rPr>
              <w:t>1</w:t>
            </w:r>
          </w:p>
        </w:tc>
        <w:tc>
          <w:tcPr>
            <w:tcW w:w="1236" w:type="dxa"/>
            <w:tcBorders>
              <w:top w:val="nil"/>
              <w:left w:val="nil"/>
              <w:bottom w:val="single" w:sz="4" w:space="0" w:color="auto"/>
              <w:right w:val="nil"/>
            </w:tcBorders>
            <w:shd w:val="clear" w:color="000000" w:fill="FFFFFF"/>
            <w:noWrap/>
            <w:vAlign w:val="center"/>
            <w:hideMark/>
          </w:tcPr>
          <w:p w:rsidR="00AE015D" w:rsidRPr="00F31188" w:rsidP="00B31ED2" w14:paraId="648276B6" w14:textId="77777777">
            <w:pPr>
              <w:keepNext/>
              <w:keepLines/>
              <w:jc w:val="center"/>
              <w:rPr>
                <w:color w:val="000000"/>
                <w:sz w:val="16"/>
                <w:szCs w:val="16"/>
              </w:rPr>
            </w:pPr>
            <w:r w:rsidRPr="00F31188">
              <w:rPr>
                <w:color w:val="000000"/>
                <w:sz w:val="16"/>
                <w:szCs w:val="16"/>
              </w:rPr>
              <w:t>2.39</w:t>
            </w:r>
          </w:p>
        </w:tc>
        <w:tc>
          <w:tcPr>
            <w:tcW w:w="1236" w:type="dxa"/>
            <w:tcBorders>
              <w:top w:val="nil"/>
              <w:left w:val="nil"/>
              <w:bottom w:val="single" w:sz="4" w:space="0" w:color="auto"/>
              <w:right w:val="single" w:sz="4" w:space="0" w:color="auto"/>
            </w:tcBorders>
            <w:shd w:val="clear" w:color="000000" w:fill="FFFFFF"/>
            <w:noWrap/>
            <w:vAlign w:val="center"/>
            <w:hideMark/>
          </w:tcPr>
          <w:p w:rsidR="00AE015D" w:rsidRPr="00F31188" w:rsidP="00B31ED2" w14:paraId="7C1114BB" w14:textId="77777777">
            <w:pPr>
              <w:keepNext/>
              <w:keepLines/>
              <w:jc w:val="center"/>
              <w:rPr>
                <w:color w:val="000000"/>
                <w:sz w:val="16"/>
                <w:szCs w:val="16"/>
              </w:rPr>
            </w:pPr>
            <w:r w:rsidRPr="00F31188">
              <w:rPr>
                <w:color w:val="000000"/>
                <w:sz w:val="16"/>
                <w:szCs w:val="16"/>
              </w:rPr>
              <w:t>3.64</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36554A5D"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01129227" w14:textId="77777777">
            <w:pPr>
              <w:keepNext/>
              <w:keepLines/>
              <w:rPr>
                <w:rFonts w:ascii="Calibri" w:hAnsi="Calibri" w:cs="Calibri"/>
                <w:color w:val="000000"/>
              </w:rPr>
            </w:pPr>
            <w:r w:rsidRPr="00F31188">
              <w:rPr>
                <w:rFonts w:ascii="Calibri" w:hAnsi="Calibri" w:cs="Calibri"/>
                <w:color w:val="000000"/>
              </w:rPr>
              <w:t> </w:t>
            </w:r>
          </w:p>
        </w:tc>
      </w:tr>
      <w:tr w14:paraId="74CAB7FE"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2D0DCAAD"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05251C41" w14:textId="77777777">
            <w:pPr>
              <w:keepNext/>
              <w:keepLines/>
              <w:jc w:val="center"/>
              <w:rPr>
                <w:color w:val="000000"/>
                <w:sz w:val="16"/>
                <w:szCs w:val="16"/>
              </w:rPr>
            </w:pPr>
            <w:r w:rsidRPr="00F31188">
              <w:rPr>
                <w:color w:val="000000"/>
                <w:sz w:val="16"/>
                <w:szCs w:val="16"/>
              </w:rPr>
              <w:t> </w:t>
            </w:r>
          </w:p>
        </w:tc>
        <w:tc>
          <w:tcPr>
            <w:tcW w:w="1008" w:type="dxa"/>
            <w:gridSpan w:val="3"/>
            <w:tcBorders>
              <w:top w:val="nil"/>
              <w:left w:val="nil"/>
              <w:bottom w:val="nil"/>
              <w:right w:val="nil"/>
            </w:tcBorders>
            <w:shd w:val="clear" w:color="000000" w:fill="FFFFFF"/>
            <w:noWrap/>
            <w:vAlign w:val="bottom"/>
            <w:hideMark/>
          </w:tcPr>
          <w:p w:rsidR="00AE015D" w:rsidRPr="00F31188" w:rsidP="00B31ED2" w14:paraId="7BB98F13" w14:textId="77777777">
            <w:pPr>
              <w:keepNext/>
              <w:keepLines/>
              <w:jc w:val="center"/>
              <w:rPr>
                <w:b/>
                <w:bCs/>
                <w:color w:val="000000"/>
                <w:sz w:val="16"/>
                <w:szCs w:val="16"/>
              </w:rPr>
            </w:pPr>
            <w:r w:rsidRPr="00F31188">
              <w:rPr>
                <w:b/>
                <w:bCs/>
                <w:color w:val="000000"/>
                <w:sz w:val="16"/>
                <w:szCs w:val="16"/>
              </w:rPr>
              <w:t>(7)</w:t>
            </w:r>
          </w:p>
        </w:tc>
        <w:tc>
          <w:tcPr>
            <w:tcW w:w="144" w:type="dxa"/>
            <w:tcBorders>
              <w:top w:val="nil"/>
              <w:left w:val="nil"/>
              <w:bottom w:val="nil"/>
              <w:right w:val="nil"/>
            </w:tcBorders>
            <w:shd w:val="clear" w:color="000000" w:fill="FFFFFF"/>
            <w:noWrap/>
            <w:vAlign w:val="center"/>
            <w:hideMark/>
          </w:tcPr>
          <w:p w:rsidR="00AE015D" w:rsidRPr="00F31188" w:rsidP="00B31ED2" w14:paraId="18B2C537" w14:textId="77777777">
            <w:pPr>
              <w:keepNext/>
              <w:keepLines/>
              <w:jc w:val="center"/>
              <w:rPr>
                <w:color w:val="000000"/>
                <w:sz w:val="16"/>
                <w:szCs w:val="16"/>
              </w:rPr>
            </w:pPr>
            <w:r w:rsidRPr="00F31188">
              <w:rPr>
                <w:color w:val="000000"/>
                <w:sz w:val="16"/>
                <w:szCs w:val="16"/>
              </w:rPr>
              <w:t> </w:t>
            </w:r>
          </w:p>
        </w:tc>
        <w:tc>
          <w:tcPr>
            <w:tcW w:w="1008" w:type="dxa"/>
            <w:gridSpan w:val="3"/>
            <w:tcBorders>
              <w:top w:val="nil"/>
              <w:left w:val="nil"/>
              <w:bottom w:val="nil"/>
              <w:right w:val="nil"/>
            </w:tcBorders>
            <w:shd w:val="clear" w:color="000000" w:fill="FFFFFF"/>
            <w:noWrap/>
            <w:vAlign w:val="bottom"/>
            <w:hideMark/>
          </w:tcPr>
          <w:p w:rsidR="00AE015D" w:rsidRPr="00F31188" w:rsidP="00B31ED2" w14:paraId="1D448575" w14:textId="77777777">
            <w:pPr>
              <w:keepNext/>
              <w:keepLines/>
              <w:jc w:val="center"/>
              <w:rPr>
                <w:b/>
                <w:bCs/>
                <w:color w:val="000000"/>
                <w:sz w:val="16"/>
                <w:szCs w:val="16"/>
              </w:rPr>
            </w:pPr>
            <w:r w:rsidRPr="00F31188">
              <w:rPr>
                <w:b/>
                <w:bCs/>
                <w:color w:val="000000"/>
                <w:sz w:val="16"/>
                <w:szCs w:val="16"/>
              </w:rPr>
              <w:t>(8)</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68C08F00"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3E3AE75D" w14:textId="77777777">
            <w:pPr>
              <w:keepNext/>
              <w:keepLines/>
              <w:rPr>
                <w:rFonts w:ascii="Calibri" w:hAnsi="Calibri" w:cs="Calibri"/>
                <w:color w:val="000000"/>
              </w:rPr>
            </w:pPr>
            <w:r w:rsidRPr="00F31188">
              <w:rPr>
                <w:rFonts w:ascii="Calibri" w:hAnsi="Calibri" w:cs="Calibri"/>
                <w:color w:val="000000"/>
              </w:rPr>
              <w:t> </w:t>
            </w:r>
          </w:p>
        </w:tc>
      </w:tr>
      <w:tr w14:paraId="2DA466FA"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200189FB"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76171BA7" w14:textId="77777777">
            <w:pPr>
              <w:keepNext/>
              <w:keepLines/>
              <w:jc w:val="center"/>
              <w:rPr>
                <w:color w:val="000000"/>
                <w:sz w:val="16"/>
                <w:szCs w:val="16"/>
              </w:rPr>
            </w:pPr>
            <w:r w:rsidRPr="00F31188">
              <w:rPr>
                <w:color w:val="000000"/>
                <w:sz w:val="16"/>
                <w:szCs w:val="16"/>
              </w:rPr>
              <w:t>Low</w:t>
            </w:r>
          </w:p>
        </w:tc>
        <w:tc>
          <w:tcPr>
            <w:tcW w:w="1008" w:type="dxa"/>
            <w:tcBorders>
              <w:top w:val="single" w:sz="4" w:space="0" w:color="auto"/>
              <w:left w:val="single" w:sz="4" w:space="0" w:color="auto"/>
              <w:bottom w:val="nil"/>
              <w:right w:val="nil"/>
            </w:tcBorders>
            <w:shd w:val="clear" w:color="000000" w:fill="FFFFFF"/>
            <w:noWrap/>
            <w:vAlign w:val="center"/>
            <w:hideMark/>
          </w:tcPr>
          <w:p w:rsidR="00AE015D" w:rsidRPr="00F31188" w:rsidP="00B31ED2" w14:paraId="6F8CBBB8" w14:textId="77777777">
            <w:pPr>
              <w:keepNext/>
              <w:keepLines/>
              <w:jc w:val="center"/>
              <w:rPr>
                <w:color w:val="000000"/>
                <w:sz w:val="16"/>
                <w:szCs w:val="16"/>
              </w:rPr>
            </w:pPr>
            <w:r w:rsidRPr="00F31188">
              <w:rPr>
                <w:color w:val="000000"/>
                <w:sz w:val="16"/>
                <w:szCs w:val="16"/>
              </w:rPr>
              <w:t>1.16</w:t>
            </w:r>
          </w:p>
        </w:tc>
        <w:tc>
          <w:tcPr>
            <w:tcW w:w="1008" w:type="dxa"/>
            <w:tcBorders>
              <w:top w:val="single" w:sz="4" w:space="0" w:color="auto"/>
              <w:left w:val="nil"/>
              <w:bottom w:val="nil"/>
              <w:right w:val="nil"/>
            </w:tcBorders>
            <w:shd w:val="clear" w:color="000000" w:fill="FFFFFF"/>
            <w:noWrap/>
            <w:vAlign w:val="center"/>
            <w:hideMark/>
          </w:tcPr>
          <w:p w:rsidR="00AE015D" w:rsidRPr="00F31188" w:rsidP="00B31ED2" w14:paraId="050A6AF9" w14:textId="77777777">
            <w:pPr>
              <w:keepNext/>
              <w:keepLines/>
              <w:jc w:val="center"/>
              <w:rPr>
                <w:color w:val="000000"/>
                <w:sz w:val="16"/>
                <w:szCs w:val="16"/>
              </w:rPr>
            </w:pPr>
            <w:r w:rsidRPr="00F31188">
              <w:rPr>
                <w:color w:val="000000"/>
                <w:sz w:val="16"/>
                <w:szCs w:val="16"/>
              </w:rPr>
              <w:t>2.15</w:t>
            </w:r>
          </w:p>
        </w:tc>
        <w:tc>
          <w:tcPr>
            <w:tcW w:w="1008" w:type="dxa"/>
            <w:tcBorders>
              <w:top w:val="single" w:sz="4" w:space="0" w:color="auto"/>
              <w:left w:val="nil"/>
              <w:bottom w:val="nil"/>
              <w:right w:val="single" w:sz="4" w:space="0" w:color="auto"/>
            </w:tcBorders>
            <w:shd w:val="clear" w:color="000000" w:fill="FFFFFF"/>
            <w:noWrap/>
            <w:vAlign w:val="center"/>
            <w:hideMark/>
          </w:tcPr>
          <w:p w:rsidR="00AE015D" w:rsidRPr="00F31188" w:rsidP="00B31ED2" w14:paraId="7BB67FEF" w14:textId="77777777">
            <w:pPr>
              <w:keepNext/>
              <w:keepLines/>
              <w:jc w:val="center"/>
              <w:rPr>
                <w:color w:val="000000"/>
                <w:sz w:val="16"/>
                <w:szCs w:val="16"/>
              </w:rPr>
            </w:pPr>
            <w:r w:rsidRPr="00F31188">
              <w:rPr>
                <w:color w:val="000000"/>
                <w:sz w:val="16"/>
                <w:szCs w:val="16"/>
              </w:rPr>
              <w:t>3.27</w:t>
            </w:r>
          </w:p>
        </w:tc>
        <w:tc>
          <w:tcPr>
            <w:tcW w:w="144" w:type="dxa"/>
            <w:tcBorders>
              <w:top w:val="nil"/>
              <w:left w:val="nil"/>
              <w:bottom w:val="nil"/>
              <w:right w:val="nil"/>
            </w:tcBorders>
            <w:shd w:val="clear" w:color="000000" w:fill="FFFFFF"/>
            <w:noWrap/>
            <w:vAlign w:val="center"/>
            <w:hideMark/>
          </w:tcPr>
          <w:p w:rsidR="00AE015D" w:rsidRPr="00F31188" w:rsidP="00B31ED2" w14:paraId="2356FDD8" w14:textId="77777777">
            <w:pPr>
              <w:keepNext/>
              <w:keepLines/>
              <w:jc w:val="center"/>
              <w:rPr>
                <w:color w:val="000000"/>
                <w:sz w:val="16"/>
                <w:szCs w:val="16"/>
              </w:rPr>
            </w:pPr>
            <w:r w:rsidRPr="00F31188">
              <w:rPr>
                <w:color w:val="000000"/>
                <w:sz w:val="16"/>
                <w:szCs w:val="16"/>
              </w:rPr>
              <w:t> </w:t>
            </w:r>
          </w:p>
        </w:tc>
        <w:tc>
          <w:tcPr>
            <w:tcW w:w="1008" w:type="dxa"/>
            <w:tcBorders>
              <w:top w:val="single" w:sz="4" w:space="0" w:color="auto"/>
              <w:left w:val="single" w:sz="4" w:space="0" w:color="auto"/>
              <w:bottom w:val="nil"/>
              <w:right w:val="nil"/>
            </w:tcBorders>
            <w:shd w:val="clear" w:color="000000" w:fill="FFFFFF"/>
            <w:noWrap/>
            <w:vAlign w:val="center"/>
            <w:hideMark/>
          </w:tcPr>
          <w:p w:rsidR="00AE015D" w:rsidRPr="00F31188" w:rsidP="00B31ED2" w14:paraId="5B55116C" w14:textId="77777777">
            <w:pPr>
              <w:keepNext/>
              <w:keepLines/>
              <w:jc w:val="center"/>
              <w:rPr>
                <w:color w:val="000000"/>
                <w:sz w:val="16"/>
                <w:szCs w:val="16"/>
              </w:rPr>
            </w:pPr>
            <w:r w:rsidRPr="00F31188">
              <w:rPr>
                <w:color w:val="000000"/>
                <w:sz w:val="16"/>
                <w:szCs w:val="16"/>
              </w:rPr>
              <w:t>1.30</w:t>
            </w:r>
          </w:p>
        </w:tc>
        <w:tc>
          <w:tcPr>
            <w:tcW w:w="1236" w:type="dxa"/>
            <w:tcBorders>
              <w:top w:val="single" w:sz="4" w:space="0" w:color="auto"/>
              <w:left w:val="nil"/>
              <w:bottom w:val="nil"/>
              <w:right w:val="nil"/>
            </w:tcBorders>
            <w:shd w:val="clear" w:color="000000" w:fill="FFFFFF"/>
            <w:noWrap/>
            <w:vAlign w:val="center"/>
            <w:hideMark/>
          </w:tcPr>
          <w:p w:rsidR="00AE015D" w:rsidRPr="00F31188" w:rsidP="00B31ED2" w14:paraId="698A40C9" w14:textId="77777777">
            <w:pPr>
              <w:keepNext/>
              <w:keepLines/>
              <w:jc w:val="center"/>
              <w:rPr>
                <w:color w:val="000000"/>
                <w:sz w:val="16"/>
                <w:szCs w:val="16"/>
              </w:rPr>
            </w:pPr>
            <w:r w:rsidRPr="00F31188">
              <w:rPr>
                <w:color w:val="000000"/>
                <w:sz w:val="16"/>
                <w:szCs w:val="16"/>
              </w:rPr>
              <w:t>2.80</w:t>
            </w:r>
          </w:p>
        </w:tc>
        <w:tc>
          <w:tcPr>
            <w:tcW w:w="1236" w:type="dxa"/>
            <w:tcBorders>
              <w:top w:val="single" w:sz="4" w:space="0" w:color="auto"/>
              <w:left w:val="nil"/>
              <w:bottom w:val="nil"/>
              <w:right w:val="single" w:sz="4" w:space="0" w:color="auto"/>
            </w:tcBorders>
            <w:shd w:val="clear" w:color="000000" w:fill="FFFFFF"/>
            <w:noWrap/>
            <w:vAlign w:val="center"/>
            <w:hideMark/>
          </w:tcPr>
          <w:p w:rsidR="00AE015D" w:rsidRPr="00F31188" w:rsidP="00B31ED2" w14:paraId="77E45614" w14:textId="77777777">
            <w:pPr>
              <w:keepNext/>
              <w:keepLines/>
              <w:jc w:val="center"/>
              <w:rPr>
                <w:color w:val="000000"/>
                <w:sz w:val="16"/>
                <w:szCs w:val="16"/>
              </w:rPr>
            </w:pPr>
            <w:r w:rsidRPr="00F31188">
              <w:rPr>
                <w:color w:val="000000"/>
                <w:sz w:val="16"/>
                <w:szCs w:val="16"/>
              </w:rPr>
              <w:t>4.29</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0DC72F29"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2D68EEF8" w14:textId="77777777">
            <w:pPr>
              <w:keepNext/>
              <w:keepLines/>
              <w:rPr>
                <w:rFonts w:ascii="Calibri" w:hAnsi="Calibri" w:cs="Calibri"/>
                <w:color w:val="000000"/>
              </w:rPr>
            </w:pPr>
            <w:r w:rsidRPr="00F31188">
              <w:rPr>
                <w:rFonts w:ascii="Calibri" w:hAnsi="Calibri" w:cs="Calibri"/>
                <w:color w:val="000000"/>
              </w:rPr>
              <w:t> </w:t>
            </w:r>
          </w:p>
        </w:tc>
      </w:tr>
      <w:tr w14:paraId="7E8382DB"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170F5838"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42B81630" w14:textId="77777777">
            <w:pPr>
              <w:keepNext/>
              <w:keepLines/>
              <w:jc w:val="center"/>
              <w:rPr>
                <w:color w:val="000000"/>
                <w:sz w:val="16"/>
                <w:szCs w:val="16"/>
              </w:rPr>
            </w:pPr>
            <w:r w:rsidRPr="00F31188">
              <w:rPr>
                <w:color w:val="000000"/>
                <w:sz w:val="16"/>
                <w:szCs w:val="16"/>
              </w:rPr>
              <w:t>Medium</w:t>
            </w:r>
          </w:p>
        </w:tc>
        <w:tc>
          <w:tcPr>
            <w:tcW w:w="1008" w:type="dxa"/>
            <w:tcBorders>
              <w:top w:val="nil"/>
              <w:left w:val="single" w:sz="4" w:space="0" w:color="auto"/>
              <w:bottom w:val="nil"/>
              <w:right w:val="nil"/>
            </w:tcBorders>
            <w:shd w:val="clear" w:color="000000" w:fill="FFFFFF"/>
            <w:noWrap/>
            <w:vAlign w:val="center"/>
            <w:hideMark/>
          </w:tcPr>
          <w:p w:rsidR="00AE015D" w:rsidRPr="00F31188" w:rsidP="00B31ED2" w14:paraId="2B3811F8" w14:textId="77777777">
            <w:pPr>
              <w:keepNext/>
              <w:keepLines/>
              <w:jc w:val="center"/>
              <w:rPr>
                <w:color w:val="000000"/>
                <w:sz w:val="16"/>
                <w:szCs w:val="16"/>
              </w:rPr>
            </w:pPr>
            <w:r w:rsidRPr="00F31188">
              <w:rPr>
                <w:color w:val="000000"/>
                <w:sz w:val="16"/>
                <w:szCs w:val="16"/>
              </w:rPr>
              <w:t>1.11</w:t>
            </w:r>
          </w:p>
        </w:tc>
        <w:tc>
          <w:tcPr>
            <w:tcW w:w="1008" w:type="dxa"/>
            <w:tcBorders>
              <w:top w:val="nil"/>
              <w:left w:val="nil"/>
              <w:bottom w:val="nil"/>
              <w:right w:val="nil"/>
            </w:tcBorders>
            <w:shd w:val="clear" w:color="000000" w:fill="FFFFFF"/>
            <w:noWrap/>
            <w:vAlign w:val="center"/>
            <w:hideMark/>
          </w:tcPr>
          <w:p w:rsidR="00AE015D" w:rsidRPr="00F31188" w:rsidP="00B31ED2" w14:paraId="21162B77" w14:textId="77777777">
            <w:pPr>
              <w:keepNext/>
              <w:keepLines/>
              <w:jc w:val="center"/>
              <w:rPr>
                <w:color w:val="000000"/>
                <w:sz w:val="16"/>
                <w:szCs w:val="16"/>
              </w:rPr>
            </w:pPr>
            <w:r w:rsidRPr="00F31188">
              <w:rPr>
                <w:color w:val="000000"/>
                <w:sz w:val="16"/>
                <w:szCs w:val="16"/>
              </w:rPr>
              <w:t>2.10</w:t>
            </w:r>
          </w:p>
        </w:tc>
        <w:tc>
          <w:tcPr>
            <w:tcW w:w="1008" w:type="dxa"/>
            <w:tcBorders>
              <w:top w:val="nil"/>
              <w:left w:val="nil"/>
              <w:bottom w:val="nil"/>
              <w:right w:val="single" w:sz="4" w:space="0" w:color="auto"/>
            </w:tcBorders>
            <w:shd w:val="clear" w:color="000000" w:fill="FFFFFF"/>
            <w:noWrap/>
            <w:vAlign w:val="center"/>
            <w:hideMark/>
          </w:tcPr>
          <w:p w:rsidR="00AE015D" w:rsidRPr="00F31188" w:rsidP="00B31ED2" w14:paraId="6A8E3BEF" w14:textId="77777777">
            <w:pPr>
              <w:keepNext/>
              <w:keepLines/>
              <w:jc w:val="center"/>
              <w:rPr>
                <w:color w:val="000000"/>
                <w:sz w:val="16"/>
                <w:szCs w:val="16"/>
              </w:rPr>
            </w:pPr>
            <w:r w:rsidRPr="00F31188">
              <w:rPr>
                <w:color w:val="000000"/>
                <w:sz w:val="16"/>
                <w:szCs w:val="16"/>
              </w:rPr>
              <w:t>3.23</w:t>
            </w:r>
          </w:p>
        </w:tc>
        <w:tc>
          <w:tcPr>
            <w:tcW w:w="144" w:type="dxa"/>
            <w:tcBorders>
              <w:top w:val="nil"/>
              <w:left w:val="nil"/>
              <w:bottom w:val="nil"/>
              <w:right w:val="nil"/>
            </w:tcBorders>
            <w:shd w:val="clear" w:color="000000" w:fill="FFFFFF"/>
            <w:noWrap/>
            <w:vAlign w:val="center"/>
            <w:hideMark/>
          </w:tcPr>
          <w:p w:rsidR="00AE015D" w:rsidRPr="00F31188" w:rsidP="00B31ED2" w14:paraId="6D9E3981" w14:textId="77777777">
            <w:pPr>
              <w:keepNext/>
              <w:keepLines/>
              <w:jc w:val="center"/>
              <w:rPr>
                <w:color w:val="000000"/>
                <w:sz w:val="16"/>
                <w:szCs w:val="16"/>
              </w:rPr>
            </w:pPr>
            <w:r w:rsidRPr="00F31188">
              <w:rPr>
                <w:color w:val="000000"/>
                <w:sz w:val="16"/>
                <w:szCs w:val="16"/>
              </w:rPr>
              <w:t> </w:t>
            </w:r>
          </w:p>
        </w:tc>
        <w:tc>
          <w:tcPr>
            <w:tcW w:w="1008" w:type="dxa"/>
            <w:tcBorders>
              <w:top w:val="nil"/>
              <w:left w:val="single" w:sz="4" w:space="0" w:color="auto"/>
              <w:bottom w:val="nil"/>
              <w:right w:val="nil"/>
            </w:tcBorders>
            <w:shd w:val="clear" w:color="000000" w:fill="FFFFFF"/>
            <w:noWrap/>
            <w:vAlign w:val="center"/>
            <w:hideMark/>
          </w:tcPr>
          <w:p w:rsidR="00AE015D" w:rsidRPr="00F31188" w:rsidP="00B31ED2" w14:paraId="6A110977" w14:textId="77777777">
            <w:pPr>
              <w:keepNext/>
              <w:keepLines/>
              <w:jc w:val="center"/>
              <w:rPr>
                <w:color w:val="000000"/>
                <w:sz w:val="16"/>
                <w:szCs w:val="16"/>
              </w:rPr>
            </w:pPr>
            <w:r w:rsidRPr="00F31188">
              <w:rPr>
                <w:color w:val="000000"/>
                <w:sz w:val="16"/>
                <w:szCs w:val="16"/>
              </w:rPr>
              <w:t>1.20</w:t>
            </w:r>
          </w:p>
        </w:tc>
        <w:tc>
          <w:tcPr>
            <w:tcW w:w="1236" w:type="dxa"/>
            <w:tcBorders>
              <w:top w:val="nil"/>
              <w:left w:val="nil"/>
              <w:bottom w:val="nil"/>
              <w:right w:val="nil"/>
            </w:tcBorders>
            <w:shd w:val="clear" w:color="000000" w:fill="FFFFFF"/>
            <w:noWrap/>
            <w:vAlign w:val="center"/>
            <w:hideMark/>
          </w:tcPr>
          <w:p w:rsidR="00AE015D" w:rsidRPr="00F31188" w:rsidP="00B31ED2" w14:paraId="2AA500F5" w14:textId="77777777">
            <w:pPr>
              <w:keepNext/>
              <w:keepLines/>
              <w:jc w:val="center"/>
              <w:rPr>
                <w:color w:val="000000"/>
                <w:sz w:val="16"/>
                <w:szCs w:val="16"/>
              </w:rPr>
            </w:pPr>
            <w:r w:rsidRPr="00F31188">
              <w:rPr>
                <w:color w:val="000000"/>
                <w:sz w:val="16"/>
                <w:szCs w:val="16"/>
              </w:rPr>
              <w:t>2.70</w:t>
            </w:r>
          </w:p>
        </w:tc>
        <w:tc>
          <w:tcPr>
            <w:tcW w:w="1236" w:type="dxa"/>
            <w:tcBorders>
              <w:top w:val="nil"/>
              <w:left w:val="nil"/>
              <w:bottom w:val="nil"/>
              <w:right w:val="single" w:sz="4" w:space="0" w:color="auto"/>
            </w:tcBorders>
            <w:shd w:val="clear" w:color="000000" w:fill="FFFFFF"/>
            <w:noWrap/>
            <w:vAlign w:val="center"/>
            <w:hideMark/>
          </w:tcPr>
          <w:p w:rsidR="00AE015D" w:rsidRPr="00F31188" w:rsidP="00B31ED2" w14:paraId="172291F8" w14:textId="77777777">
            <w:pPr>
              <w:keepNext/>
              <w:keepLines/>
              <w:jc w:val="center"/>
              <w:rPr>
                <w:color w:val="000000"/>
                <w:sz w:val="16"/>
                <w:szCs w:val="16"/>
              </w:rPr>
            </w:pPr>
            <w:r w:rsidRPr="00F31188">
              <w:rPr>
                <w:color w:val="000000"/>
                <w:sz w:val="16"/>
                <w:szCs w:val="16"/>
              </w:rPr>
              <w:t>4.21</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24469E34"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442FF2D4" w14:textId="77777777">
            <w:pPr>
              <w:keepNext/>
              <w:keepLines/>
              <w:rPr>
                <w:rFonts w:ascii="Calibri" w:hAnsi="Calibri" w:cs="Calibri"/>
                <w:color w:val="000000"/>
              </w:rPr>
            </w:pPr>
            <w:r w:rsidRPr="00F31188">
              <w:rPr>
                <w:rFonts w:ascii="Calibri" w:hAnsi="Calibri" w:cs="Calibri"/>
                <w:color w:val="000000"/>
              </w:rPr>
              <w:t> </w:t>
            </w:r>
          </w:p>
        </w:tc>
      </w:tr>
      <w:tr w14:paraId="1BD09834"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16401594"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338898B9" w14:textId="77777777">
            <w:pPr>
              <w:keepNext/>
              <w:keepLines/>
              <w:jc w:val="center"/>
              <w:rPr>
                <w:color w:val="000000"/>
                <w:sz w:val="16"/>
                <w:szCs w:val="16"/>
              </w:rPr>
            </w:pPr>
            <w:r w:rsidRPr="00F31188">
              <w:rPr>
                <w:color w:val="000000"/>
                <w:sz w:val="16"/>
                <w:szCs w:val="16"/>
              </w:rPr>
              <w:t>High</w:t>
            </w:r>
          </w:p>
        </w:tc>
        <w:tc>
          <w:tcPr>
            <w:tcW w:w="1008" w:type="dxa"/>
            <w:tcBorders>
              <w:top w:val="nil"/>
              <w:left w:val="single" w:sz="4" w:space="0" w:color="auto"/>
              <w:bottom w:val="single" w:sz="4" w:space="0" w:color="auto"/>
              <w:right w:val="nil"/>
            </w:tcBorders>
            <w:shd w:val="clear" w:color="000000" w:fill="FFFFFF"/>
            <w:noWrap/>
            <w:vAlign w:val="center"/>
            <w:hideMark/>
          </w:tcPr>
          <w:p w:rsidR="00AE015D" w:rsidRPr="00F31188" w:rsidP="00B31ED2" w14:paraId="1A57AF66" w14:textId="77777777">
            <w:pPr>
              <w:keepNext/>
              <w:keepLines/>
              <w:jc w:val="center"/>
              <w:rPr>
                <w:color w:val="000000"/>
                <w:sz w:val="16"/>
                <w:szCs w:val="16"/>
              </w:rPr>
            </w:pPr>
            <w:r w:rsidRPr="00F31188">
              <w:rPr>
                <w:color w:val="000000"/>
                <w:sz w:val="16"/>
                <w:szCs w:val="16"/>
              </w:rPr>
              <w:t>1</w:t>
            </w:r>
          </w:p>
        </w:tc>
        <w:tc>
          <w:tcPr>
            <w:tcW w:w="1008" w:type="dxa"/>
            <w:tcBorders>
              <w:top w:val="nil"/>
              <w:left w:val="nil"/>
              <w:bottom w:val="single" w:sz="4" w:space="0" w:color="auto"/>
              <w:right w:val="nil"/>
            </w:tcBorders>
            <w:shd w:val="clear" w:color="000000" w:fill="FFFFFF"/>
            <w:noWrap/>
            <w:vAlign w:val="center"/>
            <w:hideMark/>
          </w:tcPr>
          <w:p w:rsidR="00AE015D" w:rsidRPr="00F31188" w:rsidP="00B31ED2" w14:paraId="30F0ACC1" w14:textId="77777777">
            <w:pPr>
              <w:keepNext/>
              <w:keepLines/>
              <w:jc w:val="center"/>
              <w:rPr>
                <w:color w:val="000000"/>
                <w:sz w:val="16"/>
                <w:szCs w:val="16"/>
              </w:rPr>
            </w:pPr>
            <w:r w:rsidRPr="00F31188">
              <w:rPr>
                <w:color w:val="000000"/>
                <w:sz w:val="16"/>
                <w:szCs w:val="16"/>
              </w:rPr>
              <w:t>1.97</w:t>
            </w:r>
          </w:p>
        </w:tc>
        <w:tc>
          <w:tcPr>
            <w:tcW w:w="1008" w:type="dxa"/>
            <w:tcBorders>
              <w:top w:val="nil"/>
              <w:left w:val="nil"/>
              <w:bottom w:val="single" w:sz="4" w:space="0" w:color="auto"/>
              <w:right w:val="single" w:sz="4" w:space="0" w:color="auto"/>
            </w:tcBorders>
            <w:shd w:val="clear" w:color="000000" w:fill="FFFFFF"/>
            <w:noWrap/>
            <w:vAlign w:val="center"/>
            <w:hideMark/>
          </w:tcPr>
          <w:p w:rsidR="00AE015D" w:rsidRPr="00F31188" w:rsidP="00B31ED2" w14:paraId="1C2033A5" w14:textId="77777777">
            <w:pPr>
              <w:keepNext/>
              <w:keepLines/>
              <w:jc w:val="center"/>
              <w:rPr>
                <w:color w:val="000000"/>
                <w:sz w:val="16"/>
                <w:szCs w:val="16"/>
              </w:rPr>
            </w:pPr>
            <w:r w:rsidRPr="00F31188">
              <w:rPr>
                <w:color w:val="000000"/>
                <w:sz w:val="16"/>
                <w:szCs w:val="16"/>
              </w:rPr>
              <w:t>3.10</w:t>
            </w:r>
          </w:p>
        </w:tc>
        <w:tc>
          <w:tcPr>
            <w:tcW w:w="144" w:type="dxa"/>
            <w:tcBorders>
              <w:top w:val="nil"/>
              <w:left w:val="nil"/>
              <w:bottom w:val="nil"/>
              <w:right w:val="nil"/>
            </w:tcBorders>
            <w:shd w:val="clear" w:color="000000" w:fill="FFFFFF"/>
            <w:noWrap/>
            <w:vAlign w:val="center"/>
            <w:hideMark/>
          </w:tcPr>
          <w:p w:rsidR="00AE015D" w:rsidRPr="00F31188" w:rsidP="00B31ED2" w14:paraId="1A69F804" w14:textId="77777777">
            <w:pPr>
              <w:keepNext/>
              <w:keepLines/>
              <w:jc w:val="center"/>
              <w:rPr>
                <w:color w:val="000000"/>
                <w:sz w:val="16"/>
                <w:szCs w:val="16"/>
              </w:rPr>
            </w:pPr>
            <w:r w:rsidRPr="00F31188">
              <w:rPr>
                <w:color w:val="000000"/>
                <w:sz w:val="16"/>
                <w:szCs w:val="16"/>
              </w:rPr>
              <w:t> </w:t>
            </w:r>
          </w:p>
        </w:tc>
        <w:tc>
          <w:tcPr>
            <w:tcW w:w="1008" w:type="dxa"/>
            <w:tcBorders>
              <w:top w:val="nil"/>
              <w:left w:val="single" w:sz="4" w:space="0" w:color="auto"/>
              <w:bottom w:val="single" w:sz="4" w:space="0" w:color="auto"/>
              <w:right w:val="nil"/>
            </w:tcBorders>
            <w:shd w:val="clear" w:color="000000" w:fill="FFFFFF"/>
            <w:noWrap/>
            <w:vAlign w:val="center"/>
            <w:hideMark/>
          </w:tcPr>
          <w:p w:rsidR="00AE015D" w:rsidRPr="00F31188" w:rsidP="00B31ED2" w14:paraId="6E5C7855" w14:textId="77777777">
            <w:pPr>
              <w:keepNext/>
              <w:keepLines/>
              <w:jc w:val="center"/>
              <w:rPr>
                <w:color w:val="000000"/>
                <w:sz w:val="16"/>
                <w:szCs w:val="16"/>
              </w:rPr>
            </w:pPr>
            <w:r w:rsidRPr="00F31188">
              <w:rPr>
                <w:color w:val="000000"/>
                <w:sz w:val="16"/>
                <w:szCs w:val="16"/>
              </w:rPr>
              <w:t>1</w:t>
            </w:r>
          </w:p>
        </w:tc>
        <w:tc>
          <w:tcPr>
            <w:tcW w:w="1236" w:type="dxa"/>
            <w:tcBorders>
              <w:top w:val="nil"/>
              <w:left w:val="nil"/>
              <w:bottom w:val="single" w:sz="4" w:space="0" w:color="auto"/>
              <w:right w:val="nil"/>
            </w:tcBorders>
            <w:shd w:val="clear" w:color="000000" w:fill="FFFFFF"/>
            <w:noWrap/>
            <w:vAlign w:val="center"/>
            <w:hideMark/>
          </w:tcPr>
          <w:p w:rsidR="00AE015D" w:rsidRPr="00F31188" w:rsidP="00B31ED2" w14:paraId="6C814EA3" w14:textId="77777777">
            <w:pPr>
              <w:keepNext/>
              <w:keepLines/>
              <w:jc w:val="center"/>
              <w:rPr>
                <w:color w:val="000000"/>
                <w:sz w:val="16"/>
                <w:szCs w:val="16"/>
              </w:rPr>
            </w:pPr>
            <w:r w:rsidRPr="00F31188">
              <w:rPr>
                <w:color w:val="000000"/>
                <w:sz w:val="16"/>
                <w:szCs w:val="16"/>
              </w:rPr>
              <w:t>2.45</w:t>
            </w:r>
          </w:p>
        </w:tc>
        <w:tc>
          <w:tcPr>
            <w:tcW w:w="1236" w:type="dxa"/>
            <w:tcBorders>
              <w:top w:val="nil"/>
              <w:left w:val="nil"/>
              <w:bottom w:val="single" w:sz="4" w:space="0" w:color="auto"/>
              <w:right w:val="single" w:sz="4" w:space="0" w:color="auto"/>
            </w:tcBorders>
            <w:shd w:val="clear" w:color="000000" w:fill="FFFFFF"/>
            <w:noWrap/>
            <w:vAlign w:val="center"/>
            <w:hideMark/>
          </w:tcPr>
          <w:p w:rsidR="00AE015D" w:rsidRPr="00F31188" w:rsidP="00B31ED2" w14:paraId="37B2A380" w14:textId="77777777">
            <w:pPr>
              <w:keepNext/>
              <w:keepLines/>
              <w:jc w:val="center"/>
              <w:rPr>
                <w:color w:val="000000"/>
                <w:sz w:val="16"/>
                <w:szCs w:val="16"/>
              </w:rPr>
            </w:pPr>
            <w:r w:rsidRPr="00F31188">
              <w:rPr>
                <w:color w:val="000000"/>
                <w:sz w:val="16"/>
                <w:szCs w:val="16"/>
              </w:rPr>
              <w:t>3.96</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5B3728B6"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6E21A555" w14:textId="77777777">
            <w:pPr>
              <w:keepNext/>
              <w:keepLines/>
              <w:rPr>
                <w:rFonts w:ascii="Calibri" w:hAnsi="Calibri" w:cs="Calibri"/>
                <w:color w:val="000000"/>
              </w:rPr>
            </w:pPr>
            <w:r w:rsidRPr="00F31188">
              <w:rPr>
                <w:rFonts w:ascii="Calibri" w:hAnsi="Calibri" w:cs="Calibri"/>
                <w:color w:val="000000"/>
              </w:rPr>
              <w:t> </w:t>
            </w:r>
          </w:p>
        </w:tc>
      </w:tr>
      <w:tr w14:paraId="10964756"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2C6BD324"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3F8FD429" w14:textId="77777777">
            <w:pPr>
              <w:keepNext/>
              <w:keepLines/>
              <w:jc w:val="center"/>
              <w:rPr>
                <w:color w:val="000000"/>
                <w:sz w:val="16"/>
                <w:szCs w:val="16"/>
              </w:rPr>
            </w:pPr>
            <w:r w:rsidRPr="00F31188">
              <w:rPr>
                <w:color w:val="000000"/>
                <w:sz w:val="16"/>
                <w:szCs w:val="16"/>
              </w:rPr>
              <w:t> </w:t>
            </w:r>
          </w:p>
        </w:tc>
        <w:tc>
          <w:tcPr>
            <w:tcW w:w="1008" w:type="dxa"/>
            <w:gridSpan w:val="3"/>
            <w:tcBorders>
              <w:top w:val="nil"/>
              <w:left w:val="nil"/>
              <w:bottom w:val="nil"/>
              <w:right w:val="nil"/>
            </w:tcBorders>
            <w:shd w:val="clear" w:color="000000" w:fill="FFFFFF"/>
            <w:noWrap/>
            <w:vAlign w:val="bottom"/>
            <w:hideMark/>
          </w:tcPr>
          <w:p w:rsidR="00AE015D" w:rsidRPr="00F31188" w:rsidP="00B31ED2" w14:paraId="0BCAF8B2" w14:textId="77777777">
            <w:pPr>
              <w:keepNext/>
              <w:keepLines/>
              <w:jc w:val="center"/>
              <w:rPr>
                <w:b/>
                <w:bCs/>
                <w:color w:val="000000"/>
                <w:sz w:val="16"/>
                <w:szCs w:val="16"/>
              </w:rPr>
            </w:pPr>
            <w:r w:rsidRPr="00F31188">
              <w:rPr>
                <w:b/>
                <w:bCs/>
                <w:color w:val="000000"/>
                <w:sz w:val="16"/>
                <w:szCs w:val="16"/>
              </w:rPr>
              <w:t>(9)</w:t>
            </w:r>
          </w:p>
        </w:tc>
        <w:tc>
          <w:tcPr>
            <w:tcW w:w="144" w:type="dxa"/>
            <w:tcBorders>
              <w:top w:val="nil"/>
              <w:left w:val="nil"/>
              <w:bottom w:val="nil"/>
              <w:right w:val="nil"/>
            </w:tcBorders>
            <w:shd w:val="clear" w:color="000000" w:fill="FFFFFF"/>
            <w:noWrap/>
            <w:vAlign w:val="center"/>
            <w:hideMark/>
          </w:tcPr>
          <w:p w:rsidR="00AE015D" w:rsidRPr="00F31188" w:rsidP="00B31ED2" w14:paraId="04B3894D" w14:textId="77777777">
            <w:pPr>
              <w:keepNext/>
              <w:keepLines/>
              <w:jc w:val="center"/>
              <w:rPr>
                <w:color w:val="000000"/>
                <w:sz w:val="16"/>
                <w:szCs w:val="16"/>
              </w:rPr>
            </w:pPr>
            <w:r w:rsidRPr="00F31188">
              <w:rPr>
                <w:color w:val="000000"/>
                <w:sz w:val="16"/>
                <w:szCs w:val="16"/>
              </w:rPr>
              <w:t> </w:t>
            </w:r>
          </w:p>
        </w:tc>
        <w:tc>
          <w:tcPr>
            <w:tcW w:w="1008" w:type="dxa"/>
            <w:gridSpan w:val="3"/>
            <w:tcBorders>
              <w:top w:val="nil"/>
              <w:left w:val="nil"/>
              <w:bottom w:val="nil"/>
              <w:right w:val="nil"/>
            </w:tcBorders>
            <w:shd w:val="clear" w:color="000000" w:fill="FFFFFF"/>
            <w:noWrap/>
            <w:vAlign w:val="bottom"/>
            <w:hideMark/>
          </w:tcPr>
          <w:p w:rsidR="00AE015D" w:rsidRPr="00F31188" w:rsidP="00B31ED2" w14:paraId="76A71122" w14:textId="77777777">
            <w:pPr>
              <w:keepNext/>
              <w:keepLines/>
              <w:jc w:val="center"/>
              <w:rPr>
                <w:b/>
                <w:bCs/>
                <w:color w:val="000000"/>
                <w:sz w:val="16"/>
                <w:szCs w:val="16"/>
              </w:rPr>
            </w:pPr>
            <w:r w:rsidRPr="00F31188">
              <w:rPr>
                <w:b/>
                <w:bCs/>
                <w:color w:val="000000"/>
                <w:sz w:val="16"/>
                <w:szCs w:val="16"/>
              </w:rPr>
              <w:t>(10)</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02492E1B"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4C7A72E3" w14:textId="77777777">
            <w:pPr>
              <w:keepNext/>
              <w:keepLines/>
              <w:rPr>
                <w:rFonts w:ascii="Calibri" w:hAnsi="Calibri" w:cs="Calibri"/>
                <w:color w:val="000000"/>
              </w:rPr>
            </w:pPr>
            <w:r w:rsidRPr="00F31188">
              <w:rPr>
                <w:rFonts w:ascii="Calibri" w:hAnsi="Calibri" w:cs="Calibri"/>
                <w:color w:val="000000"/>
              </w:rPr>
              <w:t> </w:t>
            </w:r>
          </w:p>
        </w:tc>
      </w:tr>
      <w:tr w14:paraId="0741488C"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703B62B0"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3145FFD6" w14:textId="77777777">
            <w:pPr>
              <w:keepNext/>
              <w:keepLines/>
              <w:jc w:val="center"/>
              <w:rPr>
                <w:color w:val="000000"/>
                <w:sz w:val="16"/>
                <w:szCs w:val="16"/>
              </w:rPr>
            </w:pPr>
            <w:r w:rsidRPr="00F31188">
              <w:rPr>
                <w:color w:val="000000"/>
                <w:sz w:val="16"/>
                <w:szCs w:val="16"/>
              </w:rPr>
              <w:t>Low</w:t>
            </w:r>
          </w:p>
        </w:tc>
        <w:tc>
          <w:tcPr>
            <w:tcW w:w="1008" w:type="dxa"/>
            <w:tcBorders>
              <w:top w:val="single" w:sz="4" w:space="0" w:color="auto"/>
              <w:left w:val="single" w:sz="4" w:space="0" w:color="auto"/>
              <w:bottom w:val="nil"/>
              <w:right w:val="nil"/>
            </w:tcBorders>
            <w:shd w:val="clear" w:color="000000" w:fill="FFFFFF"/>
            <w:noWrap/>
            <w:vAlign w:val="center"/>
            <w:hideMark/>
          </w:tcPr>
          <w:p w:rsidR="00AE015D" w:rsidRPr="00F31188" w:rsidP="00B31ED2" w14:paraId="65747EFF" w14:textId="77777777">
            <w:pPr>
              <w:keepNext/>
              <w:keepLines/>
              <w:jc w:val="center"/>
              <w:rPr>
                <w:color w:val="000000"/>
                <w:sz w:val="16"/>
                <w:szCs w:val="16"/>
              </w:rPr>
            </w:pPr>
            <w:r w:rsidRPr="00F31188">
              <w:rPr>
                <w:color w:val="000000"/>
                <w:sz w:val="16"/>
                <w:szCs w:val="16"/>
              </w:rPr>
              <w:t>1.38</w:t>
            </w:r>
          </w:p>
        </w:tc>
        <w:tc>
          <w:tcPr>
            <w:tcW w:w="1008" w:type="dxa"/>
            <w:tcBorders>
              <w:top w:val="single" w:sz="4" w:space="0" w:color="auto"/>
              <w:left w:val="nil"/>
              <w:bottom w:val="nil"/>
              <w:right w:val="nil"/>
            </w:tcBorders>
            <w:shd w:val="clear" w:color="000000" w:fill="FFFFFF"/>
            <w:noWrap/>
            <w:vAlign w:val="center"/>
            <w:hideMark/>
          </w:tcPr>
          <w:p w:rsidR="00AE015D" w:rsidRPr="00F31188" w:rsidP="00B31ED2" w14:paraId="4138D6B3" w14:textId="77777777">
            <w:pPr>
              <w:keepNext/>
              <w:keepLines/>
              <w:jc w:val="center"/>
              <w:rPr>
                <w:color w:val="000000"/>
                <w:sz w:val="16"/>
                <w:szCs w:val="16"/>
              </w:rPr>
            </w:pPr>
            <w:r w:rsidRPr="00F31188">
              <w:rPr>
                <w:color w:val="000000"/>
                <w:sz w:val="16"/>
                <w:szCs w:val="16"/>
              </w:rPr>
              <w:t>2.51</w:t>
            </w:r>
          </w:p>
        </w:tc>
        <w:tc>
          <w:tcPr>
            <w:tcW w:w="1008" w:type="dxa"/>
            <w:tcBorders>
              <w:top w:val="single" w:sz="4" w:space="0" w:color="auto"/>
              <w:left w:val="nil"/>
              <w:bottom w:val="nil"/>
              <w:right w:val="single" w:sz="4" w:space="0" w:color="auto"/>
            </w:tcBorders>
            <w:shd w:val="clear" w:color="000000" w:fill="FFFFFF"/>
            <w:noWrap/>
            <w:vAlign w:val="center"/>
            <w:hideMark/>
          </w:tcPr>
          <w:p w:rsidR="00AE015D" w:rsidRPr="00F31188" w:rsidP="00B31ED2" w14:paraId="3C91779B" w14:textId="77777777">
            <w:pPr>
              <w:keepNext/>
              <w:keepLines/>
              <w:jc w:val="center"/>
              <w:rPr>
                <w:color w:val="000000"/>
                <w:sz w:val="16"/>
                <w:szCs w:val="16"/>
              </w:rPr>
            </w:pPr>
            <w:r w:rsidRPr="00F31188">
              <w:rPr>
                <w:color w:val="000000"/>
                <w:sz w:val="16"/>
                <w:szCs w:val="16"/>
              </w:rPr>
              <w:t>3.58</w:t>
            </w:r>
          </w:p>
        </w:tc>
        <w:tc>
          <w:tcPr>
            <w:tcW w:w="144" w:type="dxa"/>
            <w:tcBorders>
              <w:top w:val="nil"/>
              <w:left w:val="nil"/>
              <w:bottom w:val="nil"/>
              <w:right w:val="nil"/>
            </w:tcBorders>
            <w:shd w:val="clear" w:color="000000" w:fill="FFFFFF"/>
            <w:noWrap/>
            <w:vAlign w:val="center"/>
            <w:hideMark/>
          </w:tcPr>
          <w:p w:rsidR="00AE015D" w:rsidRPr="00F31188" w:rsidP="00B31ED2" w14:paraId="33A64256" w14:textId="77777777">
            <w:pPr>
              <w:keepNext/>
              <w:keepLines/>
              <w:jc w:val="center"/>
              <w:rPr>
                <w:color w:val="000000"/>
                <w:sz w:val="16"/>
                <w:szCs w:val="16"/>
              </w:rPr>
            </w:pPr>
            <w:r w:rsidRPr="00F31188">
              <w:rPr>
                <w:color w:val="000000"/>
                <w:sz w:val="16"/>
                <w:szCs w:val="16"/>
              </w:rPr>
              <w:t> </w:t>
            </w:r>
          </w:p>
        </w:tc>
        <w:tc>
          <w:tcPr>
            <w:tcW w:w="1008" w:type="dxa"/>
            <w:tcBorders>
              <w:top w:val="single" w:sz="4" w:space="0" w:color="auto"/>
              <w:left w:val="single" w:sz="4" w:space="0" w:color="auto"/>
              <w:bottom w:val="nil"/>
              <w:right w:val="nil"/>
            </w:tcBorders>
            <w:shd w:val="clear" w:color="000000" w:fill="FFFFFF"/>
            <w:noWrap/>
            <w:vAlign w:val="center"/>
            <w:hideMark/>
          </w:tcPr>
          <w:p w:rsidR="00AE015D" w:rsidRPr="00F31188" w:rsidP="00B31ED2" w14:paraId="0C4BAC98" w14:textId="77777777">
            <w:pPr>
              <w:keepNext/>
              <w:keepLines/>
              <w:jc w:val="center"/>
              <w:rPr>
                <w:color w:val="000000"/>
                <w:sz w:val="16"/>
                <w:szCs w:val="16"/>
              </w:rPr>
            </w:pPr>
            <w:r w:rsidRPr="00F31188">
              <w:rPr>
                <w:color w:val="000000"/>
                <w:sz w:val="16"/>
                <w:szCs w:val="16"/>
              </w:rPr>
              <w:t>1.36</w:t>
            </w:r>
          </w:p>
        </w:tc>
        <w:tc>
          <w:tcPr>
            <w:tcW w:w="1236" w:type="dxa"/>
            <w:tcBorders>
              <w:top w:val="single" w:sz="4" w:space="0" w:color="auto"/>
              <w:left w:val="nil"/>
              <w:bottom w:val="nil"/>
              <w:right w:val="nil"/>
            </w:tcBorders>
            <w:shd w:val="clear" w:color="000000" w:fill="FFFFFF"/>
            <w:noWrap/>
            <w:vAlign w:val="center"/>
            <w:hideMark/>
          </w:tcPr>
          <w:p w:rsidR="00AE015D" w:rsidRPr="00F31188" w:rsidP="00B31ED2" w14:paraId="4E290468" w14:textId="77777777">
            <w:pPr>
              <w:keepNext/>
              <w:keepLines/>
              <w:jc w:val="center"/>
              <w:rPr>
                <w:color w:val="000000"/>
                <w:sz w:val="16"/>
                <w:szCs w:val="16"/>
              </w:rPr>
            </w:pPr>
            <w:r w:rsidRPr="00F31188">
              <w:rPr>
                <w:color w:val="000000"/>
                <w:sz w:val="16"/>
                <w:szCs w:val="16"/>
              </w:rPr>
              <w:t>3.20</w:t>
            </w:r>
          </w:p>
        </w:tc>
        <w:tc>
          <w:tcPr>
            <w:tcW w:w="1236" w:type="dxa"/>
            <w:tcBorders>
              <w:top w:val="single" w:sz="4" w:space="0" w:color="auto"/>
              <w:left w:val="nil"/>
              <w:bottom w:val="nil"/>
              <w:right w:val="single" w:sz="4" w:space="0" w:color="auto"/>
            </w:tcBorders>
            <w:shd w:val="clear" w:color="000000" w:fill="FFFFFF"/>
            <w:noWrap/>
            <w:vAlign w:val="center"/>
            <w:hideMark/>
          </w:tcPr>
          <w:p w:rsidR="00AE015D" w:rsidRPr="00F31188" w:rsidP="00B31ED2" w14:paraId="169AE4AC" w14:textId="77777777">
            <w:pPr>
              <w:keepNext/>
              <w:keepLines/>
              <w:jc w:val="center"/>
              <w:rPr>
                <w:color w:val="000000"/>
                <w:sz w:val="16"/>
                <w:szCs w:val="16"/>
              </w:rPr>
            </w:pPr>
            <w:r w:rsidRPr="00F31188">
              <w:rPr>
                <w:color w:val="000000"/>
                <w:sz w:val="16"/>
                <w:szCs w:val="16"/>
              </w:rPr>
              <w:t>4.07</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4F435A9F"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65F8722E" w14:textId="77777777">
            <w:pPr>
              <w:keepNext/>
              <w:keepLines/>
              <w:rPr>
                <w:rFonts w:ascii="Calibri" w:hAnsi="Calibri" w:cs="Calibri"/>
                <w:color w:val="000000"/>
              </w:rPr>
            </w:pPr>
            <w:r w:rsidRPr="00F31188">
              <w:rPr>
                <w:rFonts w:ascii="Calibri" w:hAnsi="Calibri" w:cs="Calibri"/>
                <w:color w:val="000000"/>
              </w:rPr>
              <w:t> </w:t>
            </w:r>
          </w:p>
        </w:tc>
      </w:tr>
      <w:tr w14:paraId="719FDA54"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6E88E3AB"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14931BE6" w14:textId="77777777">
            <w:pPr>
              <w:keepNext/>
              <w:keepLines/>
              <w:jc w:val="center"/>
              <w:rPr>
                <w:color w:val="000000"/>
                <w:sz w:val="16"/>
                <w:szCs w:val="16"/>
              </w:rPr>
            </w:pPr>
            <w:r w:rsidRPr="00F31188">
              <w:rPr>
                <w:color w:val="000000"/>
                <w:sz w:val="16"/>
                <w:szCs w:val="16"/>
              </w:rPr>
              <w:t>Medium</w:t>
            </w:r>
          </w:p>
        </w:tc>
        <w:tc>
          <w:tcPr>
            <w:tcW w:w="1008" w:type="dxa"/>
            <w:tcBorders>
              <w:top w:val="nil"/>
              <w:left w:val="single" w:sz="4" w:space="0" w:color="auto"/>
              <w:bottom w:val="nil"/>
              <w:right w:val="nil"/>
            </w:tcBorders>
            <w:shd w:val="clear" w:color="000000" w:fill="FFFFFF"/>
            <w:noWrap/>
            <w:vAlign w:val="center"/>
            <w:hideMark/>
          </w:tcPr>
          <w:p w:rsidR="00AE015D" w:rsidRPr="00F31188" w:rsidP="00B31ED2" w14:paraId="6AA1F4EF" w14:textId="77777777">
            <w:pPr>
              <w:keepNext/>
              <w:keepLines/>
              <w:jc w:val="center"/>
              <w:rPr>
                <w:color w:val="000000"/>
                <w:sz w:val="16"/>
                <w:szCs w:val="16"/>
              </w:rPr>
            </w:pPr>
            <w:r w:rsidRPr="00F31188">
              <w:rPr>
                <w:color w:val="000000"/>
                <w:sz w:val="16"/>
                <w:szCs w:val="16"/>
              </w:rPr>
              <w:t>1.28</w:t>
            </w:r>
          </w:p>
        </w:tc>
        <w:tc>
          <w:tcPr>
            <w:tcW w:w="1008" w:type="dxa"/>
            <w:tcBorders>
              <w:top w:val="nil"/>
              <w:left w:val="nil"/>
              <w:bottom w:val="nil"/>
              <w:right w:val="nil"/>
            </w:tcBorders>
            <w:shd w:val="clear" w:color="000000" w:fill="FFFFFF"/>
            <w:noWrap/>
            <w:vAlign w:val="center"/>
            <w:hideMark/>
          </w:tcPr>
          <w:p w:rsidR="00AE015D" w:rsidRPr="00F31188" w:rsidP="00B31ED2" w14:paraId="623E5F5F" w14:textId="77777777">
            <w:pPr>
              <w:keepNext/>
              <w:keepLines/>
              <w:jc w:val="center"/>
              <w:rPr>
                <w:color w:val="000000"/>
                <w:sz w:val="16"/>
                <w:szCs w:val="16"/>
              </w:rPr>
            </w:pPr>
            <w:r w:rsidRPr="00F31188">
              <w:rPr>
                <w:color w:val="000000"/>
                <w:sz w:val="16"/>
                <w:szCs w:val="16"/>
              </w:rPr>
              <w:t>2.39</w:t>
            </w:r>
          </w:p>
        </w:tc>
        <w:tc>
          <w:tcPr>
            <w:tcW w:w="1008" w:type="dxa"/>
            <w:tcBorders>
              <w:top w:val="nil"/>
              <w:left w:val="nil"/>
              <w:bottom w:val="nil"/>
              <w:right w:val="single" w:sz="4" w:space="0" w:color="auto"/>
            </w:tcBorders>
            <w:shd w:val="clear" w:color="000000" w:fill="FFFFFF"/>
            <w:noWrap/>
            <w:vAlign w:val="center"/>
            <w:hideMark/>
          </w:tcPr>
          <w:p w:rsidR="00AE015D" w:rsidRPr="00F31188" w:rsidP="00B31ED2" w14:paraId="0DDDA498" w14:textId="77777777">
            <w:pPr>
              <w:keepNext/>
              <w:keepLines/>
              <w:jc w:val="center"/>
              <w:rPr>
                <w:color w:val="000000"/>
                <w:sz w:val="16"/>
                <w:szCs w:val="16"/>
              </w:rPr>
            </w:pPr>
            <w:r w:rsidRPr="00F31188">
              <w:rPr>
                <w:color w:val="000000"/>
                <w:sz w:val="16"/>
                <w:szCs w:val="16"/>
              </w:rPr>
              <w:t>3.49</w:t>
            </w:r>
          </w:p>
        </w:tc>
        <w:tc>
          <w:tcPr>
            <w:tcW w:w="144" w:type="dxa"/>
            <w:tcBorders>
              <w:top w:val="nil"/>
              <w:left w:val="nil"/>
              <w:bottom w:val="nil"/>
              <w:right w:val="nil"/>
            </w:tcBorders>
            <w:shd w:val="clear" w:color="000000" w:fill="FFFFFF"/>
            <w:noWrap/>
            <w:vAlign w:val="center"/>
            <w:hideMark/>
          </w:tcPr>
          <w:p w:rsidR="00AE015D" w:rsidRPr="00F31188" w:rsidP="00B31ED2" w14:paraId="0B000FF9" w14:textId="77777777">
            <w:pPr>
              <w:keepNext/>
              <w:keepLines/>
              <w:jc w:val="center"/>
              <w:rPr>
                <w:color w:val="000000"/>
                <w:sz w:val="16"/>
                <w:szCs w:val="16"/>
              </w:rPr>
            </w:pPr>
            <w:r w:rsidRPr="00F31188">
              <w:rPr>
                <w:color w:val="000000"/>
                <w:sz w:val="16"/>
                <w:szCs w:val="16"/>
              </w:rPr>
              <w:t> </w:t>
            </w:r>
          </w:p>
        </w:tc>
        <w:tc>
          <w:tcPr>
            <w:tcW w:w="1008" w:type="dxa"/>
            <w:tcBorders>
              <w:top w:val="nil"/>
              <w:left w:val="single" w:sz="4" w:space="0" w:color="auto"/>
              <w:bottom w:val="nil"/>
              <w:right w:val="nil"/>
            </w:tcBorders>
            <w:shd w:val="clear" w:color="000000" w:fill="FFFFFF"/>
            <w:noWrap/>
            <w:vAlign w:val="center"/>
            <w:hideMark/>
          </w:tcPr>
          <w:p w:rsidR="00AE015D" w:rsidRPr="00F31188" w:rsidP="00B31ED2" w14:paraId="1C717224" w14:textId="77777777">
            <w:pPr>
              <w:keepNext/>
              <w:keepLines/>
              <w:jc w:val="center"/>
              <w:rPr>
                <w:color w:val="000000"/>
                <w:sz w:val="16"/>
                <w:szCs w:val="16"/>
              </w:rPr>
            </w:pPr>
            <w:r w:rsidRPr="00F31188">
              <w:rPr>
                <w:color w:val="000000"/>
                <w:sz w:val="16"/>
                <w:szCs w:val="16"/>
              </w:rPr>
              <w:t>1.24</w:t>
            </w:r>
          </w:p>
        </w:tc>
        <w:tc>
          <w:tcPr>
            <w:tcW w:w="1236" w:type="dxa"/>
            <w:tcBorders>
              <w:top w:val="nil"/>
              <w:left w:val="nil"/>
              <w:bottom w:val="nil"/>
              <w:right w:val="nil"/>
            </w:tcBorders>
            <w:shd w:val="clear" w:color="000000" w:fill="FFFFFF"/>
            <w:noWrap/>
            <w:vAlign w:val="center"/>
            <w:hideMark/>
          </w:tcPr>
          <w:p w:rsidR="00AE015D" w:rsidRPr="00F31188" w:rsidP="00B31ED2" w14:paraId="473488C6" w14:textId="77777777">
            <w:pPr>
              <w:keepNext/>
              <w:keepLines/>
              <w:jc w:val="center"/>
              <w:rPr>
                <w:color w:val="000000"/>
                <w:sz w:val="16"/>
                <w:szCs w:val="16"/>
              </w:rPr>
            </w:pPr>
            <w:r w:rsidRPr="00F31188">
              <w:rPr>
                <w:color w:val="000000"/>
                <w:sz w:val="16"/>
                <w:szCs w:val="16"/>
              </w:rPr>
              <w:t>3.07</w:t>
            </w:r>
          </w:p>
        </w:tc>
        <w:tc>
          <w:tcPr>
            <w:tcW w:w="1236" w:type="dxa"/>
            <w:tcBorders>
              <w:top w:val="nil"/>
              <w:left w:val="nil"/>
              <w:bottom w:val="nil"/>
              <w:right w:val="single" w:sz="4" w:space="0" w:color="auto"/>
            </w:tcBorders>
            <w:shd w:val="clear" w:color="000000" w:fill="FFFFFF"/>
            <w:noWrap/>
            <w:vAlign w:val="center"/>
            <w:hideMark/>
          </w:tcPr>
          <w:p w:rsidR="00AE015D" w:rsidRPr="00F31188" w:rsidP="00B31ED2" w14:paraId="456FE886" w14:textId="77777777">
            <w:pPr>
              <w:keepNext/>
              <w:keepLines/>
              <w:jc w:val="center"/>
              <w:rPr>
                <w:color w:val="000000"/>
                <w:sz w:val="16"/>
                <w:szCs w:val="16"/>
              </w:rPr>
            </w:pPr>
            <w:r w:rsidRPr="00F31188">
              <w:rPr>
                <w:color w:val="000000"/>
                <w:sz w:val="16"/>
                <w:szCs w:val="16"/>
              </w:rPr>
              <w:t>3.96</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7138394A"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14FAB935" w14:textId="77777777">
            <w:pPr>
              <w:keepNext/>
              <w:keepLines/>
              <w:rPr>
                <w:rFonts w:ascii="Calibri" w:hAnsi="Calibri" w:cs="Calibri"/>
                <w:color w:val="000000"/>
              </w:rPr>
            </w:pPr>
            <w:r w:rsidRPr="00F31188">
              <w:rPr>
                <w:rFonts w:ascii="Calibri" w:hAnsi="Calibri" w:cs="Calibri"/>
                <w:color w:val="000000"/>
              </w:rPr>
              <w:t> </w:t>
            </w:r>
          </w:p>
        </w:tc>
      </w:tr>
      <w:tr w14:paraId="481DDF8A"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1C87AB93"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1BCDDEFA" w14:textId="77777777">
            <w:pPr>
              <w:keepNext/>
              <w:keepLines/>
              <w:jc w:val="center"/>
              <w:rPr>
                <w:color w:val="000000"/>
                <w:sz w:val="16"/>
                <w:szCs w:val="16"/>
              </w:rPr>
            </w:pPr>
            <w:r w:rsidRPr="00F31188">
              <w:rPr>
                <w:color w:val="000000"/>
                <w:sz w:val="16"/>
                <w:szCs w:val="16"/>
              </w:rPr>
              <w:t>High</w:t>
            </w:r>
          </w:p>
        </w:tc>
        <w:tc>
          <w:tcPr>
            <w:tcW w:w="1008" w:type="dxa"/>
            <w:tcBorders>
              <w:top w:val="nil"/>
              <w:left w:val="single" w:sz="4" w:space="0" w:color="auto"/>
              <w:bottom w:val="single" w:sz="4" w:space="0" w:color="auto"/>
              <w:right w:val="nil"/>
            </w:tcBorders>
            <w:shd w:val="clear" w:color="000000" w:fill="FFFFFF"/>
            <w:noWrap/>
            <w:vAlign w:val="center"/>
            <w:hideMark/>
          </w:tcPr>
          <w:p w:rsidR="00AE015D" w:rsidRPr="00F31188" w:rsidP="00B31ED2" w14:paraId="43EFD59E" w14:textId="77777777">
            <w:pPr>
              <w:keepNext/>
              <w:keepLines/>
              <w:jc w:val="center"/>
              <w:rPr>
                <w:color w:val="000000"/>
                <w:sz w:val="16"/>
                <w:szCs w:val="16"/>
              </w:rPr>
            </w:pPr>
            <w:r w:rsidRPr="00F31188">
              <w:rPr>
                <w:color w:val="000000"/>
                <w:sz w:val="16"/>
                <w:szCs w:val="16"/>
              </w:rPr>
              <w:t>1</w:t>
            </w:r>
          </w:p>
        </w:tc>
        <w:tc>
          <w:tcPr>
            <w:tcW w:w="1008" w:type="dxa"/>
            <w:tcBorders>
              <w:top w:val="nil"/>
              <w:left w:val="nil"/>
              <w:bottom w:val="single" w:sz="4" w:space="0" w:color="auto"/>
              <w:right w:val="nil"/>
            </w:tcBorders>
            <w:shd w:val="clear" w:color="000000" w:fill="FFFFFF"/>
            <w:noWrap/>
            <w:vAlign w:val="center"/>
            <w:hideMark/>
          </w:tcPr>
          <w:p w:rsidR="00AE015D" w:rsidRPr="00F31188" w:rsidP="00B31ED2" w14:paraId="62E2DC19" w14:textId="77777777">
            <w:pPr>
              <w:keepNext/>
              <w:keepLines/>
              <w:jc w:val="center"/>
              <w:rPr>
                <w:color w:val="000000"/>
                <w:sz w:val="16"/>
                <w:szCs w:val="16"/>
              </w:rPr>
            </w:pPr>
            <w:r w:rsidRPr="00F31188">
              <w:rPr>
                <w:color w:val="000000"/>
                <w:sz w:val="16"/>
                <w:szCs w:val="16"/>
              </w:rPr>
              <w:t>2.05</w:t>
            </w:r>
          </w:p>
        </w:tc>
        <w:tc>
          <w:tcPr>
            <w:tcW w:w="1008" w:type="dxa"/>
            <w:tcBorders>
              <w:top w:val="nil"/>
              <w:left w:val="nil"/>
              <w:bottom w:val="single" w:sz="4" w:space="0" w:color="auto"/>
              <w:right w:val="single" w:sz="4" w:space="0" w:color="auto"/>
            </w:tcBorders>
            <w:shd w:val="clear" w:color="000000" w:fill="FFFFFF"/>
            <w:noWrap/>
            <w:vAlign w:val="center"/>
            <w:hideMark/>
          </w:tcPr>
          <w:p w:rsidR="00AE015D" w:rsidRPr="00F31188" w:rsidP="00B31ED2" w14:paraId="342292C9" w14:textId="77777777">
            <w:pPr>
              <w:keepNext/>
              <w:keepLines/>
              <w:jc w:val="center"/>
              <w:rPr>
                <w:color w:val="000000"/>
                <w:sz w:val="16"/>
                <w:szCs w:val="16"/>
              </w:rPr>
            </w:pPr>
            <w:r w:rsidRPr="00F31188">
              <w:rPr>
                <w:color w:val="000000"/>
                <w:sz w:val="16"/>
                <w:szCs w:val="16"/>
              </w:rPr>
              <w:t>3.16</w:t>
            </w:r>
          </w:p>
        </w:tc>
        <w:tc>
          <w:tcPr>
            <w:tcW w:w="144" w:type="dxa"/>
            <w:tcBorders>
              <w:top w:val="nil"/>
              <w:left w:val="nil"/>
              <w:bottom w:val="nil"/>
              <w:right w:val="nil"/>
            </w:tcBorders>
            <w:shd w:val="clear" w:color="000000" w:fill="FFFFFF"/>
            <w:noWrap/>
            <w:vAlign w:val="center"/>
            <w:hideMark/>
          </w:tcPr>
          <w:p w:rsidR="00AE015D" w:rsidRPr="00F31188" w:rsidP="00B31ED2" w14:paraId="2D65EB7B" w14:textId="77777777">
            <w:pPr>
              <w:keepNext/>
              <w:keepLines/>
              <w:jc w:val="center"/>
              <w:rPr>
                <w:color w:val="000000"/>
                <w:sz w:val="16"/>
                <w:szCs w:val="16"/>
              </w:rPr>
            </w:pPr>
            <w:r w:rsidRPr="00F31188">
              <w:rPr>
                <w:color w:val="000000"/>
                <w:sz w:val="16"/>
                <w:szCs w:val="16"/>
              </w:rPr>
              <w:t> </w:t>
            </w:r>
          </w:p>
        </w:tc>
        <w:tc>
          <w:tcPr>
            <w:tcW w:w="1008" w:type="dxa"/>
            <w:tcBorders>
              <w:top w:val="nil"/>
              <w:left w:val="single" w:sz="4" w:space="0" w:color="auto"/>
              <w:bottom w:val="single" w:sz="4" w:space="0" w:color="auto"/>
              <w:right w:val="nil"/>
            </w:tcBorders>
            <w:shd w:val="clear" w:color="000000" w:fill="FFFFFF"/>
            <w:noWrap/>
            <w:vAlign w:val="center"/>
            <w:hideMark/>
          </w:tcPr>
          <w:p w:rsidR="00AE015D" w:rsidRPr="00F31188" w:rsidP="00B31ED2" w14:paraId="3A07ABF2" w14:textId="77777777">
            <w:pPr>
              <w:keepNext/>
              <w:keepLines/>
              <w:jc w:val="center"/>
              <w:rPr>
                <w:color w:val="000000"/>
                <w:sz w:val="16"/>
                <w:szCs w:val="16"/>
              </w:rPr>
            </w:pPr>
            <w:r w:rsidRPr="00F31188">
              <w:rPr>
                <w:color w:val="000000"/>
                <w:sz w:val="16"/>
                <w:szCs w:val="16"/>
              </w:rPr>
              <w:t>1</w:t>
            </w:r>
          </w:p>
        </w:tc>
        <w:tc>
          <w:tcPr>
            <w:tcW w:w="1236" w:type="dxa"/>
            <w:tcBorders>
              <w:top w:val="nil"/>
              <w:left w:val="nil"/>
              <w:bottom w:val="single" w:sz="4" w:space="0" w:color="auto"/>
              <w:right w:val="nil"/>
            </w:tcBorders>
            <w:shd w:val="clear" w:color="000000" w:fill="FFFFFF"/>
            <w:noWrap/>
            <w:vAlign w:val="center"/>
            <w:hideMark/>
          </w:tcPr>
          <w:p w:rsidR="00AE015D" w:rsidRPr="00F31188" w:rsidP="00B31ED2" w14:paraId="535C29B8" w14:textId="77777777">
            <w:pPr>
              <w:keepNext/>
              <w:keepLines/>
              <w:jc w:val="center"/>
              <w:rPr>
                <w:color w:val="000000"/>
                <w:sz w:val="16"/>
                <w:szCs w:val="16"/>
              </w:rPr>
            </w:pPr>
            <w:r w:rsidRPr="00F31188">
              <w:rPr>
                <w:color w:val="000000"/>
                <w:sz w:val="16"/>
                <w:szCs w:val="16"/>
              </w:rPr>
              <w:t>2.76</w:t>
            </w:r>
          </w:p>
        </w:tc>
        <w:tc>
          <w:tcPr>
            <w:tcW w:w="1236" w:type="dxa"/>
            <w:tcBorders>
              <w:top w:val="nil"/>
              <w:left w:val="nil"/>
              <w:bottom w:val="single" w:sz="4" w:space="0" w:color="auto"/>
              <w:right w:val="single" w:sz="4" w:space="0" w:color="auto"/>
            </w:tcBorders>
            <w:shd w:val="clear" w:color="000000" w:fill="FFFFFF"/>
            <w:noWrap/>
            <w:vAlign w:val="center"/>
            <w:hideMark/>
          </w:tcPr>
          <w:p w:rsidR="00AE015D" w:rsidRPr="00F31188" w:rsidP="00B31ED2" w14:paraId="11B96AA3" w14:textId="77777777">
            <w:pPr>
              <w:keepNext/>
              <w:keepLines/>
              <w:jc w:val="center"/>
              <w:rPr>
                <w:color w:val="000000"/>
                <w:sz w:val="16"/>
                <w:szCs w:val="16"/>
              </w:rPr>
            </w:pPr>
            <w:r w:rsidRPr="00F31188">
              <w:rPr>
                <w:color w:val="000000"/>
                <w:sz w:val="16"/>
                <w:szCs w:val="16"/>
              </w:rPr>
              <w:t>3.68</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113CAD2F"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5FCC9FDE" w14:textId="77777777">
            <w:pPr>
              <w:keepNext/>
              <w:keepLines/>
              <w:rPr>
                <w:rFonts w:ascii="Calibri" w:hAnsi="Calibri" w:cs="Calibri"/>
                <w:color w:val="000000"/>
              </w:rPr>
            </w:pPr>
            <w:r w:rsidRPr="00F31188">
              <w:rPr>
                <w:rFonts w:ascii="Calibri" w:hAnsi="Calibri" w:cs="Calibri"/>
                <w:color w:val="000000"/>
              </w:rPr>
              <w:t> </w:t>
            </w:r>
          </w:p>
        </w:tc>
      </w:tr>
      <w:tr w14:paraId="1FD29B68"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3D158D72"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7EE01FDC" w14:textId="77777777">
            <w:pPr>
              <w:keepNext/>
              <w:keepLines/>
              <w:jc w:val="center"/>
              <w:rPr>
                <w:color w:val="000000"/>
                <w:sz w:val="16"/>
                <w:szCs w:val="16"/>
              </w:rPr>
            </w:pPr>
            <w:r w:rsidRPr="00F31188">
              <w:rPr>
                <w:color w:val="000000"/>
                <w:sz w:val="16"/>
                <w:szCs w:val="16"/>
              </w:rPr>
              <w:t> </w:t>
            </w:r>
          </w:p>
        </w:tc>
        <w:tc>
          <w:tcPr>
            <w:tcW w:w="1008" w:type="dxa"/>
            <w:gridSpan w:val="3"/>
            <w:tcBorders>
              <w:top w:val="nil"/>
              <w:left w:val="nil"/>
              <w:bottom w:val="nil"/>
              <w:right w:val="nil"/>
            </w:tcBorders>
            <w:shd w:val="clear" w:color="000000" w:fill="FFFFFF"/>
            <w:noWrap/>
            <w:vAlign w:val="bottom"/>
            <w:hideMark/>
          </w:tcPr>
          <w:p w:rsidR="00AE015D" w:rsidRPr="00F31188" w:rsidP="00B31ED2" w14:paraId="773325C4" w14:textId="77777777">
            <w:pPr>
              <w:keepNext/>
              <w:keepLines/>
              <w:jc w:val="center"/>
              <w:rPr>
                <w:b/>
                <w:bCs/>
                <w:color w:val="000000"/>
                <w:sz w:val="16"/>
                <w:szCs w:val="16"/>
              </w:rPr>
            </w:pPr>
            <w:r w:rsidRPr="00F31188">
              <w:rPr>
                <w:b/>
                <w:bCs/>
                <w:color w:val="000000"/>
                <w:sz w:val="16"/>
                <w:szCs w:val="16"/>
              </w:rPr>
              <w:t>(11)</w:t>
            </w:r>
          </w:p>
        </w:tc>
        <w:tc>
          <w:tcPr>
            <w:tcW w:w="144" w:type="dxa"/>
            <w:tcBorders>
              <w:top w:val="nil"/>
              <w:left w:val="nil"/>
              <w:bottom w:val="nil"/>
              <w:right w:val="nil"/>
            </w:tcBorders>
            <w:shd w:val="clear" w:color="000000" w:fill="FFFFFF"/>
            <w:noWrap/>
            <w:vAlign w:val="center"/>
            <w:hideMark/>
          </w:tcPr>
          <w:p w:rsidR="00AE015D" w:rsidRPr="00F31188" w:rsidP="00B31ED2" w14:paraId="003CD14F" w14:textId="77777777">
            <w:pPr>
              <w:keepNext/>
              <w:keepLines/>
              <w:jc w:val="center"/>
              <w:rPr>
                <w:color w:val="000000"/>
                <w:sz w:val="16"/>
                <w:szCs w:val="16"/>
              </w:rPr>
            </w:pPr>
            <w:r w:rsidRPr="00F31188">
              <w:rPr>
                <w:color w:val="000000"/>
                <w:sz w:val="16"/>
                <w:szCs w:val="16"/>
              </w:rPr>
              <w:t> </w:t>
            </w:r>
          </w:p>
        </w:tc>
        <w:tc>
          <w:tcPr>
            <w:tcW w:w="1008" w:type="dxa"/>
            <w:gridSpan w:val="3"/>
            <w:tcBorders>
              <w:top w:val="nil"/>
              <w:left w:val="nil"/>
              <w:bottom w:val="nil"/>
              <w:right w:val="nil"/>
            </w:tcBorders>
            <w:shd w:val="clear" w:color="000000" w:fill="FFFFFF"/>
            <w:noWrap/>
            <w:vAlign w:val="bottom"/>
            <w:hideMark/>
          </w:tcPr>
          <w:p w:rsidR="00AE015D" w:rsidRPr="00F31188" w:rsidP="00B31ED2" w14:paraId="383675FA" w14:textId="77777777">
            <w:pPr>
              <w:keepNext/>
              <w:keepLines/>
              <w:jc w:val="center"/>
              <w:rPr>
                <w:b/>
                <w:bCs/>
                <w:color w:val="000000"/>
                <w:sz w:val="16"/>
                <w:szCs w:val="16"/>
              </w:rPr>
            </w:pPr>
            <w:r w:rsidRPr="00F31188">
              <w:rPr>
                <w:b/>
                <w:bCs/>
                <w:color w:val="000000"/>
                <w:sz w:val="16"/>
                <w:szCs w:val="16"/>
              </w:rPr>
              <w:t>(12)</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1C58CD18"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15C0C858" w14:textId="77777777">
            <w:pPr>
              <w:keepNext/>
              <w:keepLines/>
              <w:rPr>
                <w:rFonts w:ascii="Calibri" w:hAnsi="Calibri" w:cs="Calibri"/>
                <w:color w:val="000000"/>
              </w:rPr>
            </w:pPr>
            <w:r w:rsidRPr="00F31188">
              <w:rPr>
                <w:rFonts w:ascii="Calibri" w:hAnsi="Calibri" w:cs="Calibri"/>
                <w:color w:val="000000"/>
              </w:rPr>
              <w:t> </w:t>
            </w:r>
          </w:p>
        </w:tc>
      </w:tr>
      <w:tr w14:paraId="44630F1A"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6DA0AA89"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47BB4E18" w14:textId="77777777">
            <w:pPr>
              <w:keepNext/>
              <w:keepLines/>
              <w:jc w:val="center"/>
              <w:rPr>
                <w:color w:val="000000"/>
                <w:sz w:val="16"/>
                <w:szCs w:val="16"/>
              </w:rPr>
            </w:pPr>
            <w:r w:rsidRPr="00F31188">
              <w:rPr>
                <w:color w:val="000000"/>
                <w:sz w:val="16"/>
                <w:szCs w:val="16"/>
              </w:rPr>
              <w:t>Low</w:t>
            </w:r>
          </w:p>
        </w:tc>
        <w:tc>
          <w:tcPr>
            <w:tcW w:w="1008" w:type="dxa"/>
            <w:tcBorders>
              <w:top w:val="single" w:sz="4" w:space="0" w:color="auto"/>
              <w:left w:val="single" w:sz="4" w:space="0" w:color="auto"/>
              <w:bottom w:val="nil"/>
              <w:right w:val="nil"/>
            </w:tcBorders>
            <w:shd w:val="clear" w:color="000000" w:fill="FFFFFF"/>
            <w:noWrap/>
            <w:vAlign w:val="center"/>
            <w:hideMark/>
          </w:tcPr>
          <w:p w:rsidR="00AE015D" w:rsidRPr="00F31188" w:rsidP="00B31ED2" w14:paraId="77AFC02A" w14:textId="77777777">
            <w:pPr>
              <w:keepNext/>
              <w:keepLines/>
              <w:jc w:val="center"/>
              <w:rPr>
                <w:color w:val="000000"/>
                <w:sz w:val="16"/>
                <w:szCs w:val="16"/>
              </w:rPr>
            </w:pPr>
            <w:r w:rsidRPr="00F31188">
              <w:rPr>
                <w:color w:val="000000"/>
                <w:sz w:val="16"/>
                <w:szCs w:val="16"/>
              </w:rPr>
              <w:t>1.36</w:t>
            </w:r>
          </w:p>
        </w:tc>
        <w:tc>
          <w:tcPr>
            <w:tcW w:w="1008" w:type="dxa"/>
            <w:tcBorders>
              <w:top w:val="single" w:sz="4" w:space="0" w:color="auto"/>
              <w:left w:val="nil"/>
              <w:bottom w:val="nil"/>
              <w:right w:val="nil"/>
            </w:tcBorders>
            <w:shd w:val="clear" w:color="000000" w:fill="FFFFFF"/>
            <w:noWrap/>
            <w:vAlign w:val="center"/>
            <w:hideMark/>
          </w:tcPr>
          <w:p w:rsidR="00AE015D" w:rsidRPr="00F31188" w:rsidP="00B31ED2" w14:paraId="2C6BF61B" w14:textId="77777777">
            <w:pPr>
              <w:keepNext/>
              <w:keepLines/>
              <w:jc w:val="center"/>
              <w:rPr>
                <w:color w:val="000000"/>
                <w:sz w:val="16"/>
                <w:szCs w:val="16"/>
              </w:rPr>
            </w:pPr>
            <w:r w:rsidRPr="00F31188">
              <w:rPr>
                <w:color w:val="000000"/>
                <w:sz w:val="16"/>
                <w:szCs w:val="16"/>
              </w:rPr>
              <w:t>2.86</w:t>
            </w:r>
          </w:p>
        </w:tc>
        <w:tc>
          <w:tcPr>
            <w:tcW w:w="1008" w:type="dxa"/>
            <w:tcBorders>
              <w:top w:val="single" w:sz="4" w:space="0" w:color="auto"/>
              <w:left w:val="nil"/>
              <w:bottom w:val="nil"/>
              <w:right w:val="single" w:sz="4" w:space="0" w:color="auto"/>
            </w:tcBorders>
            <w:shd w:val="clear" w:color="000000" w:fill="FFFFFF"/>
            <w:noWrap/>
            <w:vAlign w:val="center"/>
            <w:hideMark/>
          </w:tcPr>
          <w:p w:rsidR="00AE015D" w:rsidRPr="00F31188" w:rsidP="00B31ED2" w14:paraId="44CD448C" w14:textId="77777777">
            <w:pPr>
              <w:keepNext/>
              <w:keepLines/>
              <w:jc w:val="center"/>
              <w:rPr>
                <w:color w:val="000000"/>
                <w:sz w:val="16"/>
                <w:szCs w:val="16"/>
              </w:rPr>
            </w:pPr>
            <w:r w:rsidRPr="00F31188">
              <w:rPr>
                <w:color w:val="000000"/>
                <w:sz w:val="16"/>
                <w:szCs w:val="16"/>
              </w:rPr>
              <w:t>3.84</w:t>
            </w:r>
          </w:p>
        </w:tc>
        <w:tc>
          <w:tcPr>
            <w:tcW w:w="144" w:type="dxa"/>
            <w:tcBorders>
              <w:top w:val="nil"/>
              <w:left w:val="nil"/>
              <w:bottom w:val="nil"/>
              <w:right w:val="nil"/>
            </w:tcBorders>
            <w:shd w:val="clear" w:color="000000" w:fill="FFFFFF"/>
            <w:noWrap/>
            <w:vAlign w:val="center"/>
            <w:hideMark/>
          </w:tcPr>
          <w:p w:rsidR="00AE015D" w:rsidRPr="00F31188" w:rsidP="00B31ED2" w14:paraId="11CB876E" w14:textId="77777777">
            <w:pPr>
              <w:keepNext/>
              <w:keepLines/>
              <w:jc w:val="center"/>
              <w:rPr>
                <w:color w:val="000000"/>
                <w:sz w:val="16"/>
                <w:szCs w:val="16"/>
              </w:rPr>
            </w:pPr>
            <w:r w:rsidRPr="00F31188">
              <w:rPr>
                <w:color w:val="000000"/>
                <w:sz w:val="16"/>
                <w:szCs w:val="16"/>
              </w:rPr>
              <w:t> </w:t>
            </w:r>
          </w:p>
        </w:tc>
        <w:tc>
          <w:tcPr>
            <w:tcW w:w="1008" w:type="dxa"/>
            <w:tcBorders>
              <w:top w:val="single" w:sz="4" w:space="0" w:color="auto"/>
              <w:left w:val="single" w:sz="4" w:space="0" w:color="auto"/>
              <w:bottom w:val="nil"/>
              <w:right w:val="nil"/>
            </w:tcBorders>
            <w:shd w:val="clear" w:color="000000" w:fill="FFFFFF"/>
            <w:noWrap/>
            <w:vAlign w:val="center"/>
            <w:hideMark/>
          </w:tcPr>
          <w:p w:rsidR="00AE015D" w:rsidRPr="00F31188" w:rsidP="00B31ED2" w14:paraId="48172EE6" w14:textId="77777777">
            <w:pPr>
              <w:keepNext/>
              <w:keepLines/>
              <w:jc w:val="center"/>
              <w:rPr>
                <w:color w:val="000000"/>
                <w:sz w:val="16"/>
                <w:szCs w:val="16"/>
              </w:rPr>
            </w:pPr>
            <w:r w:rsidRPr="00F31188">
              <w:rPr>
                <w:color w:val="000000"/>
                <w:sz w:val="16"/>
                <w:szCs w:val="16"/>
              </w:rPr>
              <w:t>1.32</w:t>
            </w:r>
          </w:p>
        </w:tc>
        <w:tc>
          <w:tcPr>
            <w:tcW w:w="1236" w:type="dxa"/>
            <w:tcBorders>
              <w:top w:val="single" w:sz="4" w:space="0" w:color="auto"/>
              <w:left w:val="nil"/>
              <w:bottom w:val="nil"/>
              <w:right w:val="nil"/>
            </w:tcBorders>
            <w:shd w:val="clear" w:color="000000" w:fill="FFFFFF"/>
            <w:noWrap/>
            <w:vAlign w:val="center"/>
            <w:hideMark/>
          </w:tcPr>
          <w:p w:rsidR="00AE015D" w:rsidRPr="00F31188" w:rsidP="00B31ED2" w14:paraId="3C6F0047" w14:textId="77777777">
            <w:pPr>
              <w:keepNext/>
              <w:keepLines/>
              <w:jc w:val="center"/>
              <w:rPr>
                <w:color w:val="000000"/>
                <w:sz w:val="16"/>
                <w:szCs w:val="16"/>
              </w:rPr>
            </w:pPr>
            <w:r w:rsidRPr="00F31188">
              <w:rPr>
                <w:color w:val="000000"/>
                <w:sz w:val="16"/>
                <w:szCs w:val="16"/>
              </w:rPr>
              <w:t>2.90</w:t>
            </w:r>
          </w:p>
        </w:tc>
        <w:tc>
          <w:tcPr>
            <w:tcW w:w="1236" w:type="dxa"/>
            <w:tcBorders>
              <w:top w:val="single" w:sz="4" w:space="0" w:color="auto"/>
              <w:left w:val="nil"/>
              <w:bottom w:val="nil"/>
              <w:right w:val="single" w:sz="4" w:space="0" w:color="auto"/>
            </w:tcBorders>
            <w:shd w:val="clear" w:color="000000" w:fill="FFFFFF"/>
            <w:noWrap/>
            <w:vAlign w:val="center"/>
            <w:hideMark/>
          </w:tcPr>
          <w:p w:rsidR="00AE015D" w:rsidRPr="00F31188" w:rsidP="00B31ED2" w14:paraId="096A6BA7" w14:textId="77777777">
            <w:pPr>
              <w:keepNext/>
              <w:keepLines/>
              <w:jc w:val="center"/>
              <w:rPr>
                <w:color w:val="000000"/>
                <w:sz w:val="16"/>
                <w:szCs w:val="16"/>
              </w:rPr>
            </w:pPr>
            <w:r w:rsidRPr="00F31188">
              <w:rPr>
                <w:color w:val="000000"/>
                <w:sz w:val="16"/>
                <w:szCs w:val="16"/>
              </w:rPr>
              <w:t>3.83</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52B0A090"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5D0C854F" w14:textId="77777777">
            <w:pPr>
              <w:keepNext/>
              <w:keepLines/>
              <w:rPr>
                <w:rFonts w:ascii="Calibri" w:hAnsi="Calibri" w:cs="Calibri"/>
                <w:color w:val="000000"/>
              </w:rPr>
            </w:pPr>
            <w:r w:rsidRPr="00F31188">
              <w:rPr>
                <w:rFonts w:ascii="Calibri" w:hAnsi="Calibri" w:cs="Calibri"/>
                <w:color w:val="000000"/>
              </w:rPr>
              <w:t> </w:t>
            </w:r>
          </w:p>
        </w:tc>
      </w:tr>
      <w:tr w14:paraId="3432D018"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27472566"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6F72826F" w14:textId="77777777">
            <w:pPr>
              <w:keepNext/>
              <w:keepLines/>
              <w:jc w:val="center"/>
              <w:rPr>
                <w:color w:val="000000"/>
                <w:sz w:val="16"/>
                <w:szCs w:val="16"/>
              </w:rPr>
            </w:pPr>
            <w:r w:rsidRPr="00F31188">
              <w:rPr>
                <w:color w:val="000000"/>
                <w:sz w:val="16"/>
                <w:szCs w:val="16"/>
              </w:rPr>
              <w:t>Medium</w:t>
            </w:r>
          </w:p>
        </w:tc>
        <w:tc>
          <w:tcPr>
            <w:tcW w:w="1008" w:type="dxa"/>
            <w:tcBorders>
              <w:top w:val="nil"/>
              <w:left w:val="single" w:sz="4" w:space="0" w:color="auto"/>
              <w:bottom w:val="nil"/>
              <w:right w:val="nil"/>
            </w:tcBorders>
            <w:shd w:val="clear" w:color="000000" w:fill="FFFFFF"/>
            <w:noWrap/>
            <w:vAlign w:val="center"/>
            <w:hideMark/>
          </w:tcPr>
          <w:p w:rsidR="00AE015D" w:rsidRPr="00F31188" w:rsidP="00B31ED2" w14:paraId="1702C800" w14:textId="77777777">
            <w:pPr>
              <w:keepNext/>
              <w:keepLines/>
              <w:jc w:val="center"/>
              <w:rPr>
                <w:color w:val="000000"/>
                <w:sz w:val="16"/>
                <w:szCs w:val="16"/>
              </w:rPr>
            </w:pPr>
            <w:r w:rsidRPr="00F31188">
              <w:rPr>
                <w:color w:val="000000"/>
                <w:sz w:val="16"/>
                <w:szCs w:val="16"/>
              </w:rPr>
              <w:t>1.25</w:t>
            </w:r>
          </w:p>
        </w:tc>
        <w:tc>
          <w:tcPr>
            <w:tcW w:w="1008" w:type="dxa"/>
            <w:tcBorders>
              <w:top w:val="nil"/>
              <w:left w:val="nil"/>
              <w:bottom w:val="nil"/>
              <w:right w:val="nil"/>
            </w:tcBorders>
            <w:shd w:val="clear" w:color="000000" w:fill="FFFFFF"/>
            <w:noWrap/>
            <w:vAlign w:val="center"/>
            <w:hideMark/>
          </w:tcPr>
          <w:p w:rsidR="00AE015D" w:rsidRPr="00F31188" w:rsidP="00B31ED2" w14:paraId="60BF5C39" w14:textId="77777777">
            <w:pPr>
              <w:keepNext/>
              <w:keepLines/>
              <w:jc w:val="center"/>
              <w:rPr>
                <w:color w:val="000000"/>
                <w:sz w:val="16"/>
                <w:szCs w:val="16"/>
              </w:rPr>
            </w:pPr>
            <w:r w:rsidRPr="00F31188">
              <w:rPr>
                <w:color w:val="000000"/>
                <w:sz w:val="16"/>
                <w:szCs w:val="16"/>
              </w:rPr>
              <w:t>2.74</w:t>
            </w:r>
          </w:p>
        </w:tc>
        <w:tc>
          <w:tcPr>
            <w:tcW w:w="1008" w:type="dxa"/>
            <w:tcBorders>
              <w:top w:val="nil"/>
              <w:left w:val="nil"/>
              <w:bottom w:val="nil"/>
              <w:right w:val="single" w:sz="4" w:space="0" w:color="auto"/>
            </w:tcBorders>
            <w:shd w:val="clear" w:color="000000" w:fill="FFFFFF"/>
            <w:noWrap/>
            <w:vAlign w:val="center"/>
            <w:hideMark/>
          </w:tcPr>
          <w:p w:rsidR="00AE015D" w:rsidRPr="00F31188" w:rsidP="00B31ED2" w14:paraId="2841E7B3" w14:textId="77777777">
            <w:pPr>
              <w:keepNext/>
              <w:keepLines/>
              <w:jc w:val="center"/>
              <w:rPr>
                <w:color w:val="000000"/>
                <w:sz w:val="16"/>
                <w:szCs w:val="16"/>
              </w:rPr>
            </w:pPr>
            <w:r w:rsidRPr="00F31188">
              <w:rPr>
                <w:color w:val="000000"/>
                <w:sz w:val="16"/>
                <w:szCs w:val="16"/>
              </w:rPr>
              <w:t>3.75</w:t>
            </w:r>
          </w:p>
        </w:tc>
        <w:tc>
          <w:tcPr>
            <w:tcW w:w="144" w:type="dxa"/>
            <w:tcBorders>
              <w:top w:val="nil"/>
              <w:left w:val="nil"/>
              <w:bottom w:val="nil"/>
              <w:right w:val="nil"/>
            </w:tcBorders>
            <w:shd w:val="clear" w:color="000000" w:fill="FFFFFF"/>
            <w:noWrap/>
            <w:vAlign w:val="center"/>
            <w:hideMark/>
          </w:tcPr>
          <w:p w:rsidR="00AE015D" w:rsidRPr="00F31188" w:rsidP="00B31ED2" w14:paraId="03629493" w14:textId="77777777">
            <w:pPr>
              <w:keepNext/>
              <w:keepLines/>
              <w:jc w:val="center"/>
              <w:rPr>
                <w:color w:val="000000"/>
                <w:sz w:val="16"/>
                <w:szCs w:val="16"/>
              </w:rPr>
            </w:pPr>
            <w:r w:rsidRPr="00F31188">
              <w:rPr>
                <w:color w:val="000000"/>
                <w:sz w:val="16"/>
                <w:szCs w:val="16"/>
              </w:rPr>
              <w:t> </w:t>
            </w:r>
          </w:p>
        </w:tc>
        <w:tc>
          <w:tcPr>
            <w:tcW w:w="1008" w:type="dxa"/>
            <w:tcBorders>
              <w:top w:val="nil"/>
              <w:left w:val="single" w:sz="4" w:space="0" w:color="auto"/>
              <w:bottom w:val="nil"/>
              <w:right w:val="nil"/>
            </w:tcBorders>
            <w:shd w:val="clear" w:color="000000" w:fill="FFFFFF"/>
            <w:noWrap/>
            <w:vAlign w:val="center"/>
            <w:hideMark/>
          </w:tcPr>
          <w:p w:rsidR="00AE015D" w:rsidRPr="00F31188" w:rsidP="00B31ED2" w14:paraId="77EA7702" w14:textId="77777777">
            <w:pPr>
              <w:keepNext/>
              <w:keepLines/>
              <w:jc w:val="center"/>
              <w:rPr>
                <w:color w:val="000000"/>
                <w:sz w:val="16"/>
                <w:szCs w:val="16"/>
              </w:rPr>
            </w:pPr>
            <w:r w:rsidRPr="00F31188">
              <w:rPr>
                <w:color w:val="000000"/>
                <w:sz w:val="16"/>
                <w:szCs w:val="16"/>
              </w:rPr>
              <w:t>1.22</w:t>
            </w:r>
          </w:p>
        </w:tc>
        <w:tc>
          <w:tcPr>
            <w:tcW w:w="1236" w:type="dxa"/>
            <w:tcBorders>
              <w:top w:val="nil"/>
              <w:left w:val="nil"/>
              <w:bottom w:val="nil"/>
              <w:right w:val="nil"/>
            </w:tcBorders>
            <w:shd w:val="clear" w:color="000000" w:fill="FFFFFF"/>
            <w:noWrap/>
            <w:vAlign w:val="center"/>
            <w:hideMark/>
          </w:tcPr>
          <w:p w:rsidR="00AE015D" w:rsidRPr="00F31188" w:rsidP="00B31ED2" w14:paraId="78E47CFC" w14:textId="77777777">
            <w:pPr>
              <w:keepNext/>
              <w:keepLines/>
              <w:jc w:val="center"/>
              <w:rPr>
                <w:color w:val="000000"/>
                <w:sz w:val="16"/>
                <w:szCs w:val="16"/>
              </w:rPr>
            </w:pPr>
            <w:r w:rsidRPr="00F31188">
              <w:rPr>
                <w:color w:val="000000"/>
                <w:sz w:val="16"/>
                <w:szCs w:val="16"/>
              </w:rPr>
              <w:t>2.79</w:t>
            </w:r>
          </w:p>
        </w:tc>
        <w:tc>
          <w:tcPr>
            <w:tcW w:w="1236" w:type="dxa"/>
            <w:tcBorders>
              <w:top w:val="nil"/>
              <w:left w:val="nil"/>
              <w:bottom w:val="nil"/>
              <w:right w:val="single" w:sz="4" w:space="0" w:color="auto"/>
            </w:tcBorders>
            <w:shd w:val="clear" w:color="000000" w:fill="FFFFFF"/>
            <w:noWrap/>
            <w:vAlign w:val="center"/>
            <w:hideMark/>
          </w:tcPr>
          <w:p w:rsidR="00AE015D" w:rsidRPr="00F31188" w:rsidP="00B31ED2" w14:paraId="709BDA16" w14:textId="77777777">
            <w:pPr>
              <w:keepNext/>
              <w:keepLines/>
              <w:jc w:val="center"/>
              <w:rPr>
                <w:color w:val="000000"/>
                <w:sz w:val="16"/>
                <w:szCs w:val="16"/>
              </w:rPr>
            </w:pPr>
            <w:r w:rsidRPr="00F31188">
              <w:rPr>
                <w:color w:val="000000"/>
                <w:sz w:val="16"/>
                <w:szCs w:val="16"/>
              </w:rPr>
              <w:t>3.74</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260A78A7"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7AC35F7A" w14:textId="77777777">
            <w:pPr>
              <w:keepNext/>
              <w:keepLines/>
              <w:rPr>
                <w:rFonts w:ascii="Calibri" w:hAnsi="Calibri" w:cs="Calibri"/>
                <w:color w:val="000000"/>
              </w:rPr>
            </w:pPr>
            <w:r w:rsidRPr="00F31188">
              <w:rPr>
                <w:rFonts w:ascii="Calibri" w:hAnsi="Calibri" w:cs="Calibri"/>
                <w:color w:val="000000"/>
              </w:rPr>
              <w:t> </w:t>
            </w:r>
          </w:p>
        </w:tc>
      </w:tr>
      <w:tr w14:paraId="62D44584" w14:textId="77777777" w:rsidTr="00DB4A77">
        <w:tblPrEx>
          <w:tblW w:w="0" w:type="auto"/>
          <w:tblInd w:w="-144" w:type="dxa"/>
          <w:tblLayout w:type="fixed"/>
          <w:tblLook w:val="04A0"/>
        </w:tblPrEx>
        <w:trPr>
          <w:trHeight w:val="305"/>
        </w:trPr>
        <w:tc>
          <w:tcPr>
            <w:tcW w:w="914" w:type="dxa"/>
            <w:vMerge/>
            <w:tcBorders>
              <w:top w:val="nil"/>
              <w:left w:val="nil"/>
              <w:bottom w:val="nil"/>
              <w:right w:val="nil"/>
            </w:tcBorders>
            <w:vAlign w:val="center"/>
            <w:hideMark/>
          </w:tcPr>
          <w:p w:rsidR="00AE015D" w:rsidRPr="00F31188" w:rsidP="00B31ED2" w14:paraId="1C65FD77" w14:textId="77777777">
            <w:pPr>
              <w:keepNext/>
              <w:keepLines/>
              <w:rPr>
                <w:color w:val="000000"/>
                <w:sz w:val="16"/>
                <w:szCs w:val="16"/>
              </w:rPr>
            </w:pPr>
          </w:p>
        </w:tc>
        <w:tc>
          <w:tcPr>
            <w:tcW w:w="808" w:type="dxa"/>
            <w:tcBorders>
              <w:top w:val="nil"/>
              <w:left w:val="double" w:sz="6" w:space="0" w:color="auto"/>
              <w:bottom w:val="nil"/>
              <w:right w:val="nil"/>
            </w:tcBorders>
            <w:shd w:val="clear" w:color="000000" w:fill="FFFFFF"/>
            <w:noWrap/>
            <w:vAlign w:val="center"/>
            <w:hideMark/>
          </w:tcPr>
          <w:p w:rsidR="00AE015D" w:rsidRPr="00F31188" w:rsidP="00B31ED2" w14:paraId="0FB9826B" w14:textId="77777777">
            <w:pPr>
              <w:keepNext/>
              <w:keepLines/>
              <w:jc w:val="center"/>
              <w:rPr>
                <w:color w:val="000000"/>
                <w:sz w:val="16"/>
                <w:szCs w:val="16"/>
              </w:rPr>
            </w:pPr>
            <w:r w:rsidRPr="00F31188">
              <w:rPr>
                <w:color w:val="000000"/>
                <w:sz w:val="16"/>
                <w:szCs w:val="16"/>
              </w:rPr>
              <w:t>High</w:t>
            </w:r>
          </w:p>
        </w:tc>
        <w:tc>
          <w:tcPr>
            <w:tcW w:w="1008" w:type="dxa"/>
            <w:tcBorders>
              <w:top w:val="nil"/>
              <w:left w:val="single" w:sz="4" w:space="0" w:color="auto"/>
              <w:bottom w:val="single" w:sz="4" w:space="0" w:color="auto"/>
              <w:right w:val="nil"/>
            </w:tcBorders>
            <w:shd w:val="clear" w:color="000000" w:fill="FFFFFF"/>
            <w:noWrap/>
            <w:vAlign w:val="center"/>
            <w:hideMark/>
          </w:tcPr>
          <w:p w:rsidR="00AE015D" w:rsidRPr="00F31188" w:rsidP="00B31ED2" w14:paraId="5ACD0196" w14:textId="77777777">
            <w:pPr>
              <w:keepNext/>
              <w:keepLines/>
              <w:jc w:val="center"/>
              <w:rPr>
                <w:color w:val="000000"/>
                <w:sz w:val="16"/>
                <w:szCs w:val="16"/>
              </w:rPr>
            </w:pPr>
            <w:r w:rsidRPr="00F31188">
              <w:rPr>
                <w:color w:val="000000"/>
                <w:sz w:val="16"/>
                <w:szCs w:val="16"/>
              </w:rPr>
              <w:t>1</w:t>
            </w:r>
          </w:p>
        </w:tc>
        <w:tc>
          <w:tcPr>
            <w:tcW w:w="1008" w:type="dxa"/>
            <w:tcBorders>
              <w:top w:val="nil"/>
              <w:left w:val="nil"/>
              <w:bottom w:val="single" w:sz="4" w:space="0" w:color="auto"/>
              <w:right w:val="nil"/>
            </w:tcBorders>
            <w:shd w:val="clear" w:color="000000" w:fill="FFFFFF"/>
            <w:noWrap/>
            <w:vAlign w:val="center"/>
            <w:hideMark/>
          </w:tcPr>
          <w:p w:rsidR="00AE015D" w:rsidRPr="00F31188" w:rsidP="00B31ED2" w14:paraId="05C2B29C" w14:textId="77777777">
            <w:pPr>
              <w:keepNext/>
              <w:keepLines/>
              <w:jc w:val="center"/>
              <w:rPr>
                <w:color w:val="000000"/>
                <w:sz w:val="16"/>
                <w:szCs w:val="16"/>
              </w:rPr>
            </w:pPr>
            <w:r w:rsidRPr="00F31188">
              <w:rPr>
                <w:color w:val="000000"/>
                <w:sz w:val="16"/>
                <w:szCs w:val="16"/>
              </w:rPr>
              <w:t>2.42</w:t>
            </w:r>
          </w:p>
        </w:tc>
        <w:tc>
          <w:tcPr>
            <w:tcW w:w="1008" w:type="dxa"/>
            <w:tcBorders>
              <w:top w:val="nil"/>
              <w:left w:val="nil"/>
              <w:bottom w:val="single" w:sz="4" w:space="0" w:color="auto"/>
              <w:right w:val="single" w:sz="4" w:space="0" w:color="auto"/>
            </w:tcBorders>
            <w:shd w:val="clear" w:color="000000" w:fill="FFFFFF"/>
            <w:noWrap/>
            <w:vAlign w:val="center"/>
            <w:hideMark/>
          </w:tcPr>
          <w:p w:rsidR="00AE015D" w:rsidRPr="00F31188" w:rsidP="00B31ED2" w14:paraId="194AB95B" w14:textId="77777777">
            <w:pPr>
              <w:keepNext/>
              <w:keepLines/>
              <w:jc w:val="center"/>
              <w:rPr>
                <w:color w:val="000000"/>
                <w:sz w:val="16"/>
                <w:szCs w:val="16"/>
              </w:rPr>
            </w:pPr>
            <w:r w:rsidRPr="00F31188">
              <w:rPr>
                <w:color w:val="000000"/>
                <w:sz w:val="16"/>
                <w:szCs w:val="16"/>
              </w:rPr>
              <w:t>3.44</w:t>
            </w:r>
          </w:p>
        </w:tc>
        <w:tc>
          <w:tcPr>
            <w:tcW w:w="144" w:type="dxa"/>
            <w:tcBorders>
              <w:top w:val="nil"/>
              <w:left w:val="nil"/>
              <w:bottom w:val="nil"/>
              <w:right w:val="nil"/>
            </w:tcBorders>
            <w:shd w:val="clear" w:color="000000" w:fill="FFFFFF"/>
            <w:noWrap/>
            <w:vAlign w:val="center"/>
            <w:hideMark/>
          </w:tcPr>
          <w:p w:rsidR="00AE015D" w:rsidRPr="00F31188" w:rsidP="00B31ED2" w14:paraId="62B591C0" w14:textId="77777777">
            <w:pPr>
              <w:keepNext/>
              <w:keepLines/>
              <w:jc w:val="center"/>
              <w:rPr>
                <w:color w:val="000000"/>
                <w:sz w:val="16"/>
                <w:szCs w:val="16"/>
              </w:rPr>
            </w:pPr>
            <w:r w:rsidRPr="00F31188">
              <w:rPr>
                <w:color w:val="000000"/>
                <w:sz w:val="16"/>
                <w:szCs w:val="16"/>
              </w:rPr>
              <w:t> </w:t>
            </w:r>
          </w:p>
        </w:tc>
        <w:tc>
          <w:tcPr>
            <w:tcW w:w="1008" w:type="dxa"/>
            <w:tcBorders>
              <w:top w:val="nil"/>
              <w:left w:val="single" w:sz="4" w:space="0" w:color="auto"/>
              <w:bottom w:val="single" w:sz="4" w:space="0" w:color="auto"/>
              <w:right w:val="nil"/>
            </w:tcBorders>
            <w:shd w:val="clear" w:color="000000" w:fill="FFFFFF"/>
            <w:noWrap/>
            <w:vAlign w:val="center"/>
            <w:hideMark/>
          </w:tcPr>
          <w:p w:rsidR="00AE015D" w:rsidRPr="00F31188" w:rsidP="00B31ED2" w14:paraId="6AA56DB4" w14:textId="77777777">
            <w:pPr>
              <w:keepNext/>
              <w:keepLines/>
              <w:jc w:val="center"/>
              <w:rPr>
                <w:color w:val="000000"/>
                <w:sz w:val="16"/>
                <w:szCs w:val="16"/>
              </w:rPr>
            </w:pPr>
            <w:r w:rsidRPr="00F31188">
              <w:rPr>
                <w:color w:val="000000"/>
                <w:sz w:val="16"/>
                <w:szCs w:val="16"/>
              </w:rPr>
              <w:t>1</w:t>
            </w:r>
          </w:p>
        </w:tc>
        <w:tc>
          <w:tcPr>
            <w:tcW w:w="1236" w:type="dxa"/>
            <w:tcBorders>
              <w:top w:val="nil"/>
              <w:left w:val="nil"/>
              <w:bottom w:val="single" w:sz="4" w:space="0" w:color="auto"/>
              <w:right w:val="nil"/>
            </w:tcBorders>
            <w:shd w:val="clear" w:color="000000" w:fill="FFFFFF"/>
            <w:noWrap/>
            <w:vAlign w:val="center"/>
            <w:hideMark/>
          </w:tcPr>
          <w:p w:rsidR="00AE015D" w:rsidRPr="00F31188" w:rsidP="00B31ED2" w14:paraId="676E955D" w14:textId="77777777">
            <w:pPr>
              <w:keepNext/>
              <w:keepLines/>
              <w:jc w:val="center"/>
              <w:rPr>
                <w:color w:val="000000"/>
                <w:sz w:val="16"/>
                <w:szCs w:val="16"/>
              </w:rPr>
            </w:pPr>
            <w:r w:rsidRPr="00F31188">
              <w:rPr>
                <w:color w:val="000000"/>
                <w:sz w:val="16"/>
                <w:szCs w:val="16"/>
              </w:rPr>
              <w:t>2.50</w:t>
            </w:r>
          </w:p>
        </w:tc>
        <w:tc>
          <w:tcPr>
            <w:tcW w:w="1236" w:type="dxa"/>
            <w:tcBorders>
              <w:top w:val="nil"/>
              <w:left w:val="nil"/>
              <w:bottom w:val="single" w:sz="4" w:space="0" w:color="auto"/>
              <w:right w:val="single" w:sz="4" w:space="0" w:color="auto"/>
            </w:tcBorders>
            <w:shd w:val="clear" w:color="000000" w:fill="FFFFFF"/>
            <w:noWrap/>
            <w:vAlign w:val="center"/>
            <w:hideMark/>
          </w:tcPr>
          <w:p w:rsidR="00AE015D" w:rsidRPr="00F31188" w:rsidP="00B31ED2" w14:paraId="1864FE1C" w14:textId="77777777">
            <w:pPr>
              <w:keepNext/>
              <w:keepLines/>
              <w:jc w:val="center"/>
              <w:rPr>
                <w:color w:val="000000"/>
                <w:sz w:val="16"/>
                <w:szCs w:val="16"/>
              </w:rPr>
            </w:pPr>
            <w:r w:rsidRPr="00F31188">
              <w:rPr>
                <w:color w:val="000000"/>
                <w:sz w:val="16"/>
                <w:szCs w:val="16"/>
              </w:rPr>
              <w:t>3.47</w:t>
            </w:r>
          </w:p>
        </w:tc>
        <w:tc>
          <w:tcPr>
            <w:tcW w:w="236" w:type="dxa"/>
            <w:tcBorders>
              <w:top w:val="nil"/>
              <w:left w:val="nil"/>
              <w:bottom w:val="nil"/>
              <w:right w:val="double" w:sz="6" w:space="0" w:color="auto"/>
            </w:tcBorders>
            <w:shd w:val="clear" w:color="000000" w:fill="FFFFFF"/>
            <w:noWrap/>
            <w:vAlign w:val="bottom"/>
            <w:hideMark/>
          </w:tcPr>
          <w:p w:rsidR="00AE015D" w:rsidRPr="00F31188" w:rsidP="00B31ED2" w14:paraId="75752C2B" w14:textId="77777777">
            <w:pPr>
              <w:keepNext/>
              <w:keepLines/>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B31ED2" w14:paraId="2B2C7013" w14:textId="77777777">
            <w:pPr>
              <w:keepNext/>
              <w:keepLines/>
              <w:rPr>
                <w:rFonts w:ascii="Calibri" w:hAnsi="Calibri" w:cs="Calibri"/>
                <w:color w:val="000000"/>
              </w:rPr>
            </w:pPr>
            <w:r w:rsidRPr="00F31188">
              <w:rPr>
                <w:rFonts w:ascii="Calibri" w:hAnsi="Calibri" w:cs="Calibri"/>
                <w:color w:val="000000"/>
              </w:rPr>
              <w:t> </w:t>
            </w:r>
          </w:p>
        </w:tc>
      </w:tr>
      <w:tr w14:paraId="066E077F" w14:textId="77777777" w:rsidTr="00DB4A77">
        <w:tblPrEx>
          <w:tblW w:w="0" w:type="auto"/>
          <w:tblInd w:w="-144" w:type="dxa"/>
          <w:tblLayout w:type="fixed"/>
          <w:tblLook w:val="04A0"/>
        </w:tblPrEx>
        <w:trPr>
          <w:trHeight w:val="152"/>
        </w:trPr>
        <w:tc>
          <w:tcPr>
            <w:tcW w:w="914" w:type="dxa"/>
            <w:tcBorders>
              <w:top w:val="nil"/>
              <w:left w:val="nil"/>
              <w:bottom w:val="nil"/>
              <w:right w:val="nil"/>
            </w:tcBorders>
            <w:shd w:val="clear" w:color="000000" w:fill="FFFFFF"/>
            <w:noWrap/>
            <w:vAlign w:val="bottom"/>
            <w:hideMark/>
          </w:tcPr>
          <w:p w:rsidR="00AE015D" w:rsidRPr="00F31188" w:rsidP="00DB4A77" w14:paraId="047BD723" w14:textId="77777777">
            <w:pPr>
              <w:rPr>
                <w:color w:val="000000"/>
                <w:sz w:val="16"/>
                <w:szCs w:val="16"/>
              </w:rPr>
            </w:pPr>
            <w:r w:rsidRPr="00F31188">
              <w:rPr>
                <w:color w:val="000000"/>
                <w:sz w:val="16"/>
                <w:szCs w:val="16"/>
              </w:rPr>
              <w:t> </w:t>
            </w:r>
          </w:p>
        </w:tc>
        <w:tc>
          <w:tcPr>
            <w:tcW w:w="808" w:type="dxa"/>
            <w:tcBorders>
              <w:top w:val="nil"/>
              <w:left w:val="double" w:sz="6" w:space="0" w:color="auto"/>
              <w:bottom w:val="double" w:sz="6" w:space="0" w:color="auto"/>
              <w:right w:val="nil"/>
            </w:tcBorders>
            <w:shd w:val="clear" w:color="000000" w:fill="FFFFFF"/>
            <w:noWrap/>
            <w:vAlign w:val="center"/>
            <w:hideMark/>
          </w:tcPr>
          <w:p w:rsidR="00AE015D" w:rsidRPr="00F31188" w:rsidP="00DB4A77" w14:paraId="1DF908B3" w14:textId="77777777">
            <w:pPr>
              <w:jc w:val="center"/>
              <w:rPr>
                <w:color w:val="000000"/>
                <w:sz w:val="16"/>
                <w:szCs w:val="16"/>
              </w:rPr>
            </w:pPr>
            <w:r w:rsidRPr="00F31188">
              <w:rPr>
                <w:color w:val="000000"/>
                <w:sz w:val="16"/>
                <w:szCs w:val="16"/>
              </w:rPr>
              <w:t> </w:t>
            </w:r>
          </w:p>
        </w:tc>
        <w:tc>
          <w:tcPr>
            <w:tcW w:w="1008" w:type="dxa"/>
            <w:tcBorders>
              <w:top w:val="nil"/>
              <w:left w:val="nil"/>
              <w:bottom w:val="double" w:sz="6" w:space="0" w:color="auto"/>
              <w:right w:val="nil"/>
            </w:tcBorders>
            <w:shd w:val="clear" w:color="000000" w:fill="FFFFFF"/>
            <w:noWrap/>
            <w:vAlign w:val="center"/>
            <w:hideMark/>
          </w:tcPr>
          <w:p w:rsidR="00AE015D" w:rsidRPr="00F31188" w:rsidP="00DB4A77" w14:paraId="75CF6A3B" w14:textId="77777777">
            <w:pPr>
              <w:jc w:val="center"/>
              <w:rPr>
                <w:color w:val="000000"/>
                <w:sz w:val="16"/>
                <w:szCs w:val="16"/>
              </w:rPr>
            </w:pPr>
            <w:r w:rsidRPr="00F31188">
              <w:rPr>
                <w:color w:val="000000"/>
                <w:sz w:val="16"/>
                <w:szCs w:val="16"/>
              </w:rPr>
              <w:t> </w:t>
            </w:r>
          </w:p>
        </w:tc>
        <w:tc>
          <w:tcPr>
            <w:tcW w:w="1008" w:type="dxa"/>
            <w:tcBorders>
              <w:top w:val="nil"/>
              <w:left w:val="nil"/>
              <w:bottom w:val="double" w:sz="6" w:space="0" w:color="auto"/>
              <w:right w:val="nil"/>
            </w:tcBorders>
            <w:shd w:val="clear" w:color="000000" w:fill="FFFFFF"/>
            <w:noWrap/>
            <w:vAlign w:val="center"/>
            <w:hideMark/>
          </w:tcPr>
          <w:p w:rsidR="00AE015D" w:rsidRPr="00F31188" w:rsidP="00DB4A77" w14:paraId="312B43E8" w14:textId="77777777">
            <w:pPr>
              <w:jc w:val="center"/>
              <w:rPr>
                <w:color w:val="000000"/>
                <w:sz w:val="16"/>
                <w:szCs w:val="16"/>
              </w:rPr>
            </w:pPr>
            <w:r w:rsidRPr="00F31188">
              <w:rPr>
                <w:color w:val="000000"/>
                <w:sz w:val="16"/>
                <w:szCs w:val="16"/>
              </w:rPr>
              <w:t> </w:t>
            </w:r>
          </w:p>
        </w:tc>
        <w:tc>
          <w:tcPr>
            <w:tcW w:w="1008" w:type="dxa"/>
            <w:tcBorders>
              <w:top w:val="nil"/>
              <w:left w:val="nil"/>
              <w:bottom w:val="double" w:sz="6" w:space="0" w:color="auto"/>
              <w:right w:val="nil"/>
            </w:tcBorders>
            <w:shd w:val="clear" w:color="000000" w:fill="FFFFFF"/>
            <w:noWrap/>
            <w:vAlign w:val="center"/>
            <w:hideMark/>
          </w:tcPr>
          <w:p w:rsidR="00AE015D" w:rsidRPr="00F31188" w:rsidP="00DB4A77" w14:paraId="63D8F977" w14:textId="77777777">
            <w:pPr>
              <w:jc w:val="center"/>
              <w:rPr>
                <w:color w:val="000000"/>
                <w:sz w:val="16"/>
                <w:szCs w:val="16"/>
              </w:rPr>
            </w:pPr>
            <w:r w:rsidRPr="00F31188">
              <w:rPr>
                <w:color w:val="000000"/>
                <w:sz w:val="16"/>
                <w:szCs w:val="16"/>
              </w:rPr>
              <w:t> </w:t>
            </w:r>
          </w:p>
        </w:tc>
        <w:tc>
          <w:tcPr>
            <w:tcW w:w="144" w:type="dxa"/>
            <w:tcBorders>
              <w:top w:val="nil"/>
              <w:left w:val="nil"/>
              <w:bottom w:val="double" w:sz="6" w:space="0" w:color="auto"/>
              <w:right w:val="nil"/>
            </w:tcBorders>
            <w:shd w:val="clear" w:color="000000" w:fill="FFFFFF"/>
            <w:noWrap/>
            <w:vAlign w:val="center"/>
            <w:hideMark/>
          </w:tcPr>
          <w:p w:rsidR="00AE015D" w:rsidRPr="00F31188" w:rsidP="00DB4A77" w14:paraId="15E73070" w14:textId="77777777">
            <w:pPr>
              <w:jc w:val="center"/>
              <w:rPr>
                <w:color w:val="000000"/>
                <w:sz w:val="16"/>
                <w:szCs w:val="16"/>
              </w:rPr>
            </w:pPr>
            <w:r w:rsidRPr="00F31188">
              <w:rPr>
                <w:color w:val="000000"/>
                <w:sz w:val="16"/>
                <w:szCs w:val="16"/>
              </w:rPr>
              <w:t> </w:t>
            </w:r>
          </w:p>
        </w:tc>
        <w:tc>
          <w:tcPr>
            <w:tcW w:w="1008" w:type="dxa"/>
            <w:tcBorders>
              <w:top w:val="nil"/>
              <w:left w:val="nil"/>
              <w:bottom w:val="double" w:sz="6" w:space="0" w:color="auto"/>
              <w:right w:val="nil"/>
            </w:tcBorders>
            <w:shd w:val="clear" w:color="000000" w:fill="FFFFFF"/>
            <w:noWrap/>
            <w:vAlign w:val="center"/>
            <w:hideMark/>
          </w:tcPr>
          <w:p w:rsidR="00AE015D" w:rsidRPr="00F31188" w:rsidP="00DB4A77" w14:paraId="6139E2DF" w14:textId="77777777">
            <w:pPr>
              <w:jc w:val="center"/>
              <w:rPr>
                <w:color w:val="000000"/>
                <w:sz w:val="16"/>
                <w:szCs w:val="16"/>
              </w:rPr>
            </w:pPr>
            <w:r w:rsidRPr="00F31188">
              <w:rPr>
                <w:color w:val="000000"/>
                <w:sz w:val="16"/>
                <w:szCs w:val="16"/>
              </w:rPr>
              <w:t> </w:t>
            </w:r>
          </w:p>
        </w:tc>
        <w:tc>
          <w:tcPr>
            <w:tcW w:w="1236" w:type="dxa"/>
            <w:tcBorders>
              <w:top w:val="nil"/>
              <w:left w:val="nil"/>
              <w:bottom w:val="double" w:sz="6" w:space="0" w:color="auto"/>
              <w:right w:val="nil"/>
            </w:tcBorders>
            <w:shd w:val="clear" w:color="000000" w:fill="FFFFFF"/>
            <w:noWrap/>
            <w:vAlign w:val="center"/>
            <w:hideMark/>
          </w:tcPr>
          <w:p w:rsidR="00AE015D" w:rsidRPr="00F31188" w:rsidP="00DB4A77" w14:paraId="04C168F8" w14:textId="77777777">
            <w:pPr>
              <w:jc w:val="center"/>
              <w:rPr>
                <w:color w:val="000000"/>
                <w:sz w:val="16"/>
                <w:szCs w:val="16"/>
              </w:rPr>
            </w:pPr>
            <w:r w:rsidRPr="00F31188">
              <w:rPr>
                <w:color w:val="000000"/>
                <w:sz w:val="16"/>
                <w:szCs w:val="16"/>
              </w:rPr>
              <w:t> </w:t>
            </w:r>
          </w:p>
        </w:tc>
        <w:tc>
          <w:tcPr>
            <w:tcW w:w="1236" w:type="dxa"/>
            <w:tcBorders>
              <w:top w:val="nil"/>
              <w:left w:val="nil"/>
              <w:bottom w:val="double" w:sz="6" w:space="0" w:color="auto"/>
              <w:right w:val="nil"/>
            </w:tcBorders>
            <w:shd w:val="clear" w:color="000000" w:fill="FFFFFF"/>
            <w:noWrap/>
            <w:vAlign w:val="center"/>
            <w:hideMark/>
          </w:tcPr>
          <w:p w:rsidR="00AE015D" w:rsidRPr="00F31188" w:rsidP="00DB4A77" w14:paraId="0AE4B169" w14:textId="77777777">
            <w:pPr>
              <w:jc w:val="center"/>
              <w:rPr>
                <w:color w:val="000000"/>
                <w:sz w:val="16"/>
                <w:szCs w:val="16"/>
              </w:rPr>
            </w:pPr>
            <w:r w:rsidRPr="00F31188">
              <w:rPr>
                <w:color w:val="000000"/>
                <w:sz w:val="16"/>
                <w:szCs w:val="16"/>
              </w:rPr>
              <w:t> </w:t>
            </w:r>
          </w:p>
        </w:tc>
        <w:tc>
          <w:tcPr>
            <w:tcW w:w="236" w:type="dxa"/>
            <w:tcBorders>
              <w:top w:val="nil"/>
              <w:left w:val="nil"/>
              <w:bottom w:val="double" w:sz="6" w:space="0" w:color="auto"/>
              <w:right w:val="double" w:sz="6" w:space="0" w:color="auto"/>
            </w:tcBorders>
            <w:shd w:val="clear" w:color="000000" w:fill="FFFFFF"/>
            <w:noWrap/>
            <w:vAlign w:val="bottom"/>
            <w:hideMark/>
          </w:tcPr>
          <w:p w:rsidR="00AE015D" w:rsidRPr="00F31188" w:rsidP="00DB4A77" w14:paraId="0276CF48" w14:textId="77777777">
            <w:pPr>
              <w:jc w:val="center"/>
              <w:rPr>
                <w:color w:val="000000"/>
                <w:sz w:val="16"/>
                <w:szCs w:val="16"/>
              </w:rPr>
            </w:pPr>
            <w:r w:rsidRPr="00F31188">
              <w:rPr>
                <w:color w:val="000000"/>
                <w:sz w:val="16"/>
                <w:szCs w:val="16"/>
              </w:rPr>
              <w:t> </w:t>
            </w:r>
          </w:p>
        </w:tc>
        <w:tc>
          <w:tcPr>
            <w:tcW w:w="326" w:type="dxa"/>
            <w:tcBorders>
              <w:top w:val="nil"/>
              <w:left w:val="nil"/>
              <w:bottom w:val="nil"/>
              <w:right w:val="nil"/>
            </w:tcBorders>
            <w:shd w:val="clear" w:color="000000" w:fill="FFFFFF"/>
            <w:noWrap/>
            <w:vAlign w:val="bottom"/>
            <w:hideMark/>
          </w:tcPr>
          <w:p w:rsidR="00AE015D" w:rsidRPr="00F31188" w:rsidP="00DB4A77" w14:paraId="22FAB13C" w14:textId="77777777">
            <w:pPr>
              <w:rPr>
                <w:rFonts w:ascii="Calibri" w:hAnsi="Calibri" w:cs="Calibri"/>
                <w:color w:val="000000"/>
              </w:rPr>
            </w:pPr>
            <w:r w:rsidRPr="00F31188">
              <w:rPr>
                <w:rFonts w:ascii="Calibri" w:hAnsi="Calibri" w:cs="Calibri"/>
                <w:color w:val="000000"/>
              </w:rPr>
              <w:t> </w:t>
            </w:r>
          </w:p>
        </w:tc>
      </w:tr>
    </w:tbl>
    <w:p w:rsidR="00AE015D" w:rsidP="007D1CB8" w14:paraId="093BECA5" w14:textId="77777777">
      <w:bookmarkStart w:id="11" w:name="_MON_1646041141"/>
      <w:bookmarkStart w:id="12" w:name="_MON_1646042232"/>
      <w:bookmarkEnd w:id="9"/>
      <w:bookmarkEnd w:id="11"/>
      <w:bookmarkEnd w:id="12"/>
    </w:p>
    <w:p w:rsidR="008638EC" w:rsidP="008638EC" w14:paraId="40EAD1C4" w14:textId="17DD56C5">
      <w:pPr>
        <w:pStyle w:val="Heading1"/>
        <w:numPr>
          <w:ilvl w:val="0"/>
          <w:numId w:val="19"/>
        </w:numPr>
      </w:pPr>
      <w:r>
        <w:t xml:space="preserve">Cell Site Density </w:t>
      </w:r>
      <w:r w:rsidR="00CE189B">
        <w:t>M</w:t>
      </w:r>
      <w:r>
        <w:t xml:space="preserve">odel </w:t>
      </w:r>
      <w:r w:rsidR="00CE189B">
        <w:t>A</w:t>
      </w:r>
      <w:r>
        <w:t xml:space="preserve">djustment </w:t>
      </w:r>
      <w:r w:rsidR="00CE189B">
        <w:t>F</w:t>
      </w:r>
      <w:r>
        <w:t>actor</w:t>
      </w:r>
    </w:p>
    <w:p w:rsidR="006747B8" w:rsidRPr="00924449" w:rsidP="00043DED" w14:paraId="17A00017" w14:textId="75DB71AC">
      <w:pPr>
        <w:pStyle w:val="ParaNum"/>
        <w:widowControl/>
        <w:tabs>
          <w:tab w:val="clear" w:pos="1080"/>
        </w:tabs>
      </w:pPr>
      <w:r w:rsidRPr="7EBF36DC">
        <w:t xml:space="preserve">In this section, we estimate the effect of terrain on the </w:t>
      </w:r>
      <w:r>
        <w:t>number of cell sites required to build</w:t>
      </w:r>
      <w:r w:rsidRPr="7EBF36DC">
        <w:t xml:space="preserve"> out a mobile wireless network in rural areas.  All else </w:t>
      </w:r>
      <w:r>
        <w:t>being</w:t>
      </w:r>
      <w:r w:rsidRPr="7EBF36DC">
        <w:t xml:space="preserve"> equal, </w:t>
      </w:r>
      <w:r>
        <w:t xml:space="preserve">wireless network engineering principles indicate that </w:t>
      </w:r>
      <w:r w:rsidRPr="7EBF36DC">
        <w:t>greater variability of terrain in a given geographic area reduces the signal strength received by a mobile user,</w:t>
      </w:r>
      <w:r>
        <w:rPr>
          <w:rStyle w:val="FootnoteReference"/>
        </w:rPr>
        <w:footnoteReference w:id="26"/>
      </w:r>
      <w:r w:rsidRPr="7EBF36DC">
        <w:t xml:space="preserve"> </w:t>
      </w:r>
      <w:r>
        <w:t xml:space="preserve">which </w:t>
      </w:r>
      <w:r w:rsidRPr="7EBF36DC">
        <w:t>requi</w:t>
      </w:r>
      <w:r>
        <w:t>res</w:t>
      </w:r>
      <w:r w:rsidRPr="7EBF36DC">
        <w:t xml:space="preserve"> wireless carriers to build more </w:t>
      </w:r>
      <w:r>
        <w:t>sites</w:t>
      </w:r>
      <w:r w:rsidRPr="7EBF36DC">
        <w:t xml:space="preserve"> to provide the same quality of service (e.g.</w:t>
      </w:r>
      <w:r>
        <w:rPr>
          <w:szCs w:val="22"/>
        </w:rPr>
        <w:t>,</w:t>
      </w:r>
      <w:r w:rsidRPr="7EBF36DC">
        <w:t xml:space="preserve"> speed</w:t>
      </w:r>
      <w:r w:rsidRPr="00924449">
        <w:rPr>
          <w:szCs w:val="22"/>
        </w:rPr>
        <w:t>).</w:t>
      </w:r>
      <w:r w:rsidRPr="7EBF36DC">
        <w:t xml:space="preserve">  Based on county-level cell </w:t>
      </w:r>
      <w:r>
        <w:t>site</w:t>
      </w:r>
      <w:r w:rsidRPr="7EBF36DC">
        <w:t xml:space="preserve"> counts </w:t>
      </w:r>
      <w:r>
        <w:t xml:space="preserve">and </w:t>
      </w:r>
      <w:r w:rsidRPr="7EBF36DC">
        <w:t xml:space="preserve">coverage data for each of the four largest </w:t>
      </w:r>
      <w:r>
        <w:t xml:space="preserve">national </w:t>
      </w:r>
      <w:r w:rsidRPr="7EBF36DC">
        <w:t>carriers</w:t>
      </w:r>
      <w:r>
        <w:t xml:space="preserve"> </w:t>
      </w:r>
      <w:r w:rsidR="007D20EC">
        <w:t>in 2014</w:t>
      </w:r>
      <w:r w:rsidRPr="7EBF36DC">
        <w:t xml:space="preserve">, we estimate how many more </w:t>
      </w:r>
      <w:r>
        <w:t>sites</w:t>
      </w:r>
      <w:r w:rsidRPr="7EBF36DC">
        <w:t xml:space="preserve"> must be built per square mile to cover the same land area in </w:t>
      </w:r>
      <w:r w:rsidR="007D20EC">
        <w:t>hillier</w:t>
      </w:r>
      <w:r w:rsidRPr="7EBF36DC">
        <w:t xml:space="preserve"> terrain compared to flat areas, holding quality of service fixed</w:t>
      </w:r>
      <w:r w:rsidRPr="00924449">
        <w:rPr>
          <w:szCs w:val="22"/>
        </w:rPr>
        <w:t>.</w:t>
      </w:r>
      <w:r>
        <w:rPr>
          <w:rStyle w:val="FootnoteReference"/>
        </w:rPr>
        <w:footnoteReference w:id="27"/>
      </w:r>
      <w:r w:rsidRPr="00924449">
        <w:rPr>
          <w:szCs w:val="22"/>
        </w:rPr>
        <w:t xml:space="preserve">  </w:t>
      </w:r>
      <w:r>
        <w:t xml:space="preserve">If </w:t>
      </w:r>
      <w:r w:rsidRPr="7EBF36DC">
        <w:t xml:space="preserve">the </w:t>
      </w:r>
      <w:r w:rsidRPr="7EBF36DC">
        <w:t xml:space="preserve">cost of building a </w:t>
      </w:r>
      <w:r>
        <w:t>site</w:t>
      </w:r>
      <w:r w:rsidRPr="7EBF36DC">
        <w:t xml:space="preserve"> is the same across terrain types, our </w:t>
      </w:r>
      <w:r>
        <w:t>adjustment factor</w:t>
      </w:r>
      <w:r w:rsidRPr="7EBF36DC">
        <w:t xml:space="preserve"> provides an estimate of how much more costly it is to deploy mobile broadband in more </w:t>
      </w:r>
      <w:r w:rsidR="00975533">
        <w:t>mountainous</w:t>
      </w:r>
      <w:r w:rsidRPr="7EBF36DC">
        <w:t xml:space="preserve"> areas relative to flatter areas.</w:t>
      </w:r>
      <w:r>
        <w:rPr>
          <w:rStyle w:val="FootnoteReference"/>
        </w:rPr>
        <w:footnoteReference w:id="28"/>
      </w:r>
    </w:p>
    <w:p w:rsidR="006747B8" w:rsidRPr="00924449" w:rsidP="00043DED" w14:paraId="703039E9" w14:textId="77777777">
      <w:pPr>
        <w:pStyle w:val="ParaNum"/>
        <w:widowControl/>
        <w:tabs>
          <w:tab w:val="clear" w:pos="1080"/>
        </w:tabs>
      </w:pPr>
      <w:r>
        <w:t>To estimate the adjustment factor, we first run a regression that controls for the terrain variation in the county as well as many other factors expected to affect the service area covered by a site.  Next, from the estimated model, we predict the average number of square miles covered by a typical site in three terrain categories.  Finally, we calculate an adjustment factor by dividing the estimated service area of a site in a flat area by the estimated service areas in each of the other two terrain categories.  Our results suggest that the hilly terrain category is about 1.5 times more expensive to deploy while the mountainous terrain category is approximately 2.5-3 times as costly.</w:t>
      </w:r>
      <w:r>
        <w:rPr>
          <w:rStyle w:val="FootnoteReference"/>
        </w:rPr>
        <w:footnoteReference w:id="29"/>
      </w:r>
    </w:p>
    <w:p w:rsidR="006747B8" w:rsidP="00043DED" w14:paraId="052A8B65" w14:textId="53F3304A">
      <w:pPr>
        <w:pStyle w:val="ParaNum"/>
        <w:tabs>
          <w:tab w:val="clear" w:pos="1080"/>
        </w:tabs>
      </w:pPr>
      <w:r w:rsidRPr="7EBF36DC">
        <w:t xml:space="preserve">Our dependent variable is the average </w:t>
      </w:r>
      <w:r>
        <w:t>square miles of service area</w:t>
      </w:r>
      <w:r w:rsidRPr="7EBF36DC">
        <w:t xml:space="preserve"> per </w:t>
      </w:r>
      <w:r>
        <w:t>site</w:t>
      </w:r>
      <w:r w:rsidRPr="7EBF36DC">
        <w:t xml:space="preserve"> in a county for </w:t>
      </w:r>
      <w:r>
        <w:t>each national carrier</w:t>
      </w:r>
      <w:r w:rsidRPr="7EBF36DC">
        <w:t>.</w:t>
      </w:r>
      <w:r>
        <w:rPr>
          <w:rStyle w:val="FootnoteReference"/>
        </w:rPr>
        <w:footnoteReference w:id="30"/>
      </w:r>
      <w:r w:rsidRPr="7EBF36DC">
        <w:t xml:space="preserve">  Our key explanatory variable is terrain variability, as measured by the standard deviation of elevation of the covered land area in a county for each carrier</w:t>
      </w:r>
      <w:r w:rsidRPr="00BC5812">
        <w:rPr>
          <w:szCs w:val="22"/>
        </w:rPr>
        <w:t>.</w:t>
      </w:r>
      <w:r>
        <w:rPr>
          <w:rStyle w:val="FootnoteReference"/>
        </w:rPr>
        <w:footnoteReference w:id="31"/>
      </w:r>
      <w:r w:rsidRPr="00BC5812">
        <w:rPr>
          <w:szCs w:val="22"/>
        </w:rPr>
        <w:t xml:space="preserve">  </w:t>
      </w:r>
      <w:r w:rsidRPr="7EBF36DC">
        <w:t>We note that an</w:t>
      </w:r>
      <w:r>
        <w:t xml:space="preserve">other </w:t>
      </w:r>
      <w:r w:rsidRPr="7EBF36DC">
        <w:t xml:space="preserve">important </w:t>
      </w:r>
      <w:r>
        <w:t>factor</w:t>
      </w:r>
      <w:r w:rsidRPr="7EBF36DC">
        <w:t xml:space="preserve"> to account for is the effect of demand on </w:t>
      </w:r>
      <w:r>
        <w:t>cell site</w:t>
      </w:r>
      <w:r w:rsidRPr="7EBF36DC">
        <w:t xml:space="preserve"> </w:t>
      </w:r>
      <w:r>
        <w:t>service area</w:t>
      </w:r>
      <w:r w:rsidRPr="7EBF36DC">
        <w:t>s.  In less rural areas with higher mobile data demand</w:t>
      </w:r>
      <w:r>
        <w:rPr>
          <w:szCs w:val="22"/>
        </w:rPr>
        <w:t xml:space="preserve">, </w:t>
      </w:r>
      <w:r w:rsidRPr="7EBF36DC">
        <w:t xml:space="preserve">the size of the </w:t>
      </w:r>
      <w:r>
        <w:t>cell site</w:t>
      </w:r>
      <w:r w:rsidRPr="7EBF36DC">
        <w:t xml:space="preserve"> service area required to meet the carriers’ minimum subscriber performance target may be determined by capacity constraints rather than signal propagation limitations.  As a result, in areas of high demand, terrain may have almost no impact on the service area of a </w:t>
      </w:r>
      <w:r>
        <w:t>site</w:t>
      </w:r>
      <w:r w:rsidRPr="7EBF36DC">
        <w:t xml:space="preserve"> since the </w:t>
      </w:r>
      <w:r>
        <w:t>site</w:t>
      </w:r>
      <w:r w:rsidRPr="7EBF36DC">
        <w:t xml:space="preserve"> service area may </w:t>
      </w:r>
      <w:r>
        <w:t xml:space="preserve">already need to </w:t>
      </w:r>
      <w:r w:rsidRPr="7EBF36DC">
        <w:t>be quite small due to capacity limits</w:t>
      </w:r>
      <w:r>
        <w:t>, and therefore the signal strength would likely be strong throughout the service area of a site regardless of terrain</w:t>
      </w:r>
      <w:r w:rsidRPr="00AE422D">
        <w:rPr>
          <w:szCs w:val="22"/>
        </w:rPr>
        <w:t xml:space="preserve">.  </w:t>
      </w:r>
      <w:r>
        <w:t xml:space="preserve">In Fig. B-6, we present summary statistics by different subsamples based on population densities for our dependent and independent variables.  </w:t>
      </w:r>
      <w:r w:rsidRPr="7EBF36DC">
        <w:t>Fig. B-</w:t>
      </w:r>
      <w:r>
        <w:t>7</w:t>
      </w:r>
      <w:r w:rsidRPr="7EBF36DC">
        <w:t xml:space="preserve"> presents the sample means of our variables by terrain category and population density subsamples.  </w:t>
      </w:r>
      <w:r>
        <w:t>Since our analysis is mainly concerned with the effect of terrain in rural areas that are less capacity constrained, we try to minimize the importance of capacity constraints by restricting the regression estimation to areas with population densities below the same thresholds that we used in Fig. B-7.  Before setting out our regression specification, we briefly discuss the justification for the inclusion of each of the control variables and how we expect each to affect the expected squared miles served by a cell site.</w:t>
      </w:r>
    </w:p>
    <w:p w:rsidR="006747B8" w:rsidRPr="00206EF2" w:rsidP="000D5763" w14:paraId="4C325CF6" w14:textId="77777777">
      <w:pPr>
        <w:pStyle w:val="Heading2"/>
      </w:pPr>
      <w:r>
        <w:t>Network Capacity Constraints</w:t>
      </w:r>
    </w:p>
    <w:p w:rsidR="006747B8" w:rsidP="000D5763" w14:paraId="432516D8" w14:textId="3A179E42">
      <w:pPr>
        <w:pStyle w:val="ParaNum"/>
        <w:keepNext/>
        <w:widowControl/>
        <w:tabs>
          <w:tab w:val="clear" w:pos="1080"/>
        </w:tabs>
      </w:pPr>
      <w:r w:rsidRPr="7EBF36DC">
        <w:rPr>
          <w:i/>
          <w:iCs/>
        </w:rPr>
        <w:t xml:space="preserve">Network capacity.  </w:t>
      </w:r>
      <w:r w:rsidRPr="00AE422D">
        <w:t xml:space="preserve">The amount of available spectrum bandwidth and the spectral efficiency of the deployed technology determines the maximum capacity of each </w:t>
      </w:r>
      <w:r>
        <w:t>site</w:t>
      </w:r>
      <w:r w:rsidRPr="00AE422D">
        <w:t>.</w:t>
      </w:r>
      <w:r>
        <w:rPr>
          <w:rStyle w:val="FootnoteReference"/>
        </w:rPr>
        <w:footnoteReference w:id="32"/>
      </w:r>
      <w:r w:rsidRPr="00AE422D">
        <w:t xml:space="preserve">  </w:t>
      </w:r>
      <w:r>
        <w:t>Bandwidth is determined by the number of megahertz of spectrum that each carrier has deployed per site; greater bandwidth reduces the number of sites required to serve the same amount of traffic.</w:t>
      </w:r>
      <w:r>
        <w:rPr>
          <w:rStyle w:val="FootnoteReference"/>
        </w:rPr>
        <w:footnoteReference w:id="33"/>
      </w:r>
      <w:r>
        <w:t xml:space="preserve">  S</w:t>
      </w:r>
      <w:r w:rsidRPr="007964F3">
        <w:t>pectral efficiency</w:t>
      </w:r>
      <w:r>
        <w:t xml:space="preserve"> is a function of signal quality and is measured by the bits per second</w:t>
      </w:r>
      <w:r w:rsidRPr="007964F3">
        <w:t xml:space="preserve"> that can be served per </w:t>
      </w:r>
      <w:r>
        <w:t>hertz</w:t>
      </w:r>
      <w:r w:rsidRPr="007964F3">
        <w:t xml:space="preserve"> of spectrum.</w:t>
      </w:r>
      <w:r>
        <w:rPr>
          <w:rStyle w:val="FootnoteReference"/>
        </w:rPr>
        <w:footnoteReference w:id="34"/>
      </w:r>
      <w:r w:rsidRPr="007964F3">
        <w:t xml:space="preserve"> </w:t>
      </w:r>
      <w:r>
        <w:t xml:space="preserve"> More recent</w:t>
      </w:r>
      <w:r w:rsidRPr="007964F3">
        <w:t xml:space="preserve"> technologies</w:t>
      </w:r>
      <w:r>
        <w:t>,</w:t>
      </w:r>
      <w:r w:rsidRPr="007964F3">
        <w:t xml:space="preserve"> such as </w:t>
      </w:r>
      <w:r w:rsidR="00BA0CB9">
        <w:t xml:space="preserve">4G </w:t>
      </w:r>
      <w:r w:rsidRPr="007964F3">
        <w:t>LTE</w:t>
      </w:r>
      <w:r>
        <w:t xml:space="preserve"> and 5G-NR,</w:t>
      </w:r>
      <w:r w:rsidRPr="007964F3">
        <w:t xml:space="preserve"> allow more data to be transmitted over the same amount of spectrum</w:t>
      </w:r>
      <w:r>
        <w:t>, and this should</w:t>
      </w:r>
      <w:r w:rsidRPr="007964F3">
        <w:t xml:space="preserve"> allow a </w:t>
      </w:r>
      <w:r>
        <w:t>carrier</w:t>
      </w:r>
      <w:r w:rsidRPr="007964F3">
        <w:t xml:space="preserve"> to build fewer </w:t>
      </w:r>
      <w:r>
        <w:t>site</w:t>
      </w:r>
      <w:r w:rsidRPr="007964F3">
        <w:t>s per square mile</w:t>
      </w:r>
      <w:r w:rsidRPr="00B8607B">
        <w:t xml:space="preserve"> </w:t>
      </w:r>
      <w:r>
        <w:t xml:space="preserve">in </w:t>
      </w:r>
      <w:r>
        <w:t>capacity constrained areas,</w:t>
      </w:r>
      <w:r w:rsidRPr="007964F3">
        <w:t xml:space="preserve"> all else equal.</w:t>
      </w:r>
      <w:r>
        <w:rPr>
          <w:rStyle w:val="FootnoteReference"/>
        </w:rPr>
        <w:footnoteReference w:id="35"/>
      </w:r>
      <w:r>
        <w:t xml:space="preserve">  Given a fixed number of sites, the approximate capacity of a cellular network is therefore given by the following formula.</w:t>
      </w:r>
      <w:r>
        <w:rPr>
          <w:rStyle w:val="FootnoteReference"/>
        </w:rPr>
        <w:footnoteReference w:id="36"/>
      </w:r>
      <w:r>
        <w:t xml:space="preserve"> </w:t>
      </w:r>
    </w:p>
    <w:p w:rsidR="006747B8" w:rsidP="006747B8" w14:paraId="00EA2F45" w14:textId="77777777">
      <w:pPr>
        <w:pStyle w:val="ParaNum"/>
        <w:numPr>
          <w:ilvl w:val="0"/>
          <w:numId w:val="0"/>
        </w:numPr>
        <w:ind w:left="720"/>
      </w:pPr>
      <m:oMathPara>
        <m:oMath>
          <m:r>
            <w:rPr>
              <w:rFonts w:ascii="Cambria Math" w:hAnsi="Cambria Math"/>
            </w:rPr>
            <m:t xml:space="preserve">Capacity=Sites* Bandwidth per Site </m:t>
          </m:r>
          <m:d>
            <m:dPr>
              <m:ctrlPr>
                <w:rPr>
                  <w:rFonts w:ascii="Cambria Math" w:hAnsi="Cambria Math"/>
                  <w:i/>
                </w:rPr>
              </m:ctrlPr>
            </m:dPr>
            <m:e>
              <m:r>
                <w:rPr>
                  <w:rFonts w:ascii="Cambria Math" w:hAnsi="Cambria Math"/>
                </w:rPr>
                <m:t>MHz</m:t>
              </m:r>
            </m:e>
          </m:d>
          <m:r>
            <w:rPr>
              <w:rFonts w:ascii="Cambria Math" w:hAnsi="Cambria Math"/>
            </w:rPr>
            <m:t>* Efficiency</m:t>
          </m:r>
        </m:oMath>
      </m:oMathPara>
    </w:p>
    <w:p w:rsidR="006747B8" w:rsidP="000D5763" w14:paraId="33241287" w14:textId="77777777">
      <w:pPr>
        <w:pStyle w:val="ParaNum"/>
        <w:tabs>
          <w:tab w:val="clear" w:pos="1080"/>
        </w:tabs>
      </w:pPr>
      <w:r w:rsidRPr="7EBF36DC">
        <w:rPr>
          <w:i/>
          <w:iCs/>
        </w:rPr>
        <w:t xml:space="preserve">Network Load.  </w:t>
      </w:r>
      <w:r>
        <w:t>Similarly, the network load in a geographic area should also affect the number of cell sites required.</w:t>
      </w:r>
      <w:r>
        <w:rPr>
          <w:rStyle w:val="FootnoteReference"/>
        </w:rPr>
        <w:footnoteReference w:id="37"/>
      </w:r>
      <w:r>
        <w:t xml:space="preserve">  I</w:t>
      </w:r>
      <w:r w:rsidRPr="00AE422D">
        <w:t xml:space="preserve">f the network traffic served by a </w:t>
      </w:r>
      <w:r>
        <w:t>site</w:t>
      </w:r>
      <w:r w:rsidRPr="00AE422D">
        <w:t xml:space="preserve"> </w:t>
      </w:r>
      <w:r>
        <w:t>reaches</w:t>
      </w:r>
      <w:r w:rsidRPr="00AE422D">
        <w:t xml:space="preserve"> th</w:t>
      </w:r>
      <w:r>
        <w:t>e</w:t>
      </w:r>
      <w:r w:rsidRPr="00AE422D">
        <w:t xml:space="preserve"> </w:t>
      </w:r>
      <w:r>
        <w:t xml:space="preserve">site’s </w:t>
      </w:r>
      <w:r w:rsidRPr="00AE422D">
        <w:t xml:space="preserve">capacity limit, </w:t>
      </w:r>
      <w:r>
        <w:t>this will result in congestion and a degradation in service quality.</w:t>
      </w:r>
      <w:r>
        <w:rPr>
          <w:rStyle w:val="FootnoteReference"/>
        </w:rPr>
        <w:footnoteReference w:id="38"/>
      </w:r>
      <w:r>
        <w:t xml:space="preserve">  To add capacity in order to maintain the minimum user speed target, the </w:t>
      </w:r>
      <w:r w:rsidRPr="00AE422D">
        <w:t xml:space="preserve">cell </w:t>
      </w:r>
      <w:r>
        <w:t>site</w:t>
      </w:r>
      <w:r w:rsidRPr="00AE422D">
        <w:t xml:space="preserve"> </w:t>
      </w:r>
      <w:r>
        <w:t>may</w:t>
      </w:r>
      <w:r w:rsidRPr="00AE422D">
        <w:t xml:space="preserve"> </w:t>
      </w:r>
      <w:r>
        <w:t xml:space="preserve">then </w:t>
      </w:r>
      <w:r w:rsidRPr="00AE422D">
        <w:t>be “split</w:t>
      </w:r>
      <w:r>
        <w:t>,</w:t>
      </w:r>
      <w:r w:rsidRPr="00AE422D">
        <w:t>”</w:t>
      </w:r>
      <w:r>
        <w:t xml:space="preserve"> which </w:t>
      </w:r>
      <w:r w:rsidRPr="00AE422D">
        <w:t xml:space="preserve">involves covering the same geographic area with two </w:t>
      </w:r>
      <w:r>
        <w:t>sites</w:t>
      </w:r>
      <w:r w:rsidRPr="00AE422D">
        <w:t xml:space="preserve"> instead of one</w:t>
      </w:r>
      <w:r>
        <w:t xml:space="preserve"> so that the deployed spectrum can be reused over two smaller service areas</w:t>
      </w:r>
      <w:r w:rsidRPr="00AE422D">
        <w:t>.</w:t>
      </w:r>
      <w:r>
        <w:rPr>
          <w:rStyle w:val="FootnoteReference"/>
        </w:rPr>
        <w:footnoteReference w:id="39"/>
      </w:r>
      <w:r w:rsidRPr="00AE422D">
        <w:t xml:space="preserve">  Therefore, for a </w:t>
      </w:r>
      <w:r>
        <w:t>given capacity per site and quality of service</w:t>
      </w:r>
      <w:r w:rsidRPr="00AE422D">
        <w:t xml:space="preserve">, more </w:t>
      </w:r>
      <w:r>
        <w:t>sites</w:t>
      </w:r>
      <w:r w:rsidRPr="00AE422D">
        <w:t xml:space="preserve"> must be built closer together in</w:t>
      </w:r>
      <w:r>
        <w:t xml:space="preserve"> an area with higher traffic demand compared to areas with lower demand. </w:t>
      </w:r>
      <w:r w:rsidRPr="00AE422D">
        <w:t xml:space="preserve"> </w:t>
      </w:r>
    </w:p>
    <w:p w:rsidR="006747B8" w:rsidP="000D5763" w14:paraId="09E7A22F" w14:textId="77777777">
      <w:pPr>
        <w:pStyle w:val="ParaNum"/>
        <w:tabs>
          <w:tab w:val="clear" w:pos="1080"/>
        </w:tabs>
      </w:pPr>
      <w:r>
        <w:t>If network capacity is equal to network load, it follows that:</w:t>
      </w:r>
    </w:p>
    <w:p w:rsidR="006747B8" w:rsidP="006747B8" w14:paraId="16459B96" w14:textId="06AFEC11">
      <w:pPr>
        <w:pStyle w:val="ParaNum"/>
        <w:numPr>
          <w:ilvl w:val="0"/>
          <w:numId w:val="0"/>
        </w:numPr>
        <w:tabs>
          <w:tab w:val="num" w:pos="1440"/>
        </w:tabs>
        <w:ind w:left="720"/>
      </w:pPr>
      <m:oMathPara>
        <m:oMath>
          <m:r>
            <m:rPr>
              <m:sty m:val="p"/>
            </m:rPr>
            <w:rPr>
              <w:rFonts w:ascii="Cambria Math" w:hAnsi="Cambria Math"/>
            </w:rPr>
            <m:t>Subscribers*Usage/Subscriber</m:t>
          </m:r>
          <m:r>
            <w:rPr>
              <w:rFonts w:ascii="Cambria Math" w:hAnsi="Cambria Math"/>
            </w:rPr>
            <m:t>=Sites*</m:t>
          </m:r>
          <m:r>
            <m:rPr>
              <m:sty m:val="p"/>
            </m:rPr>
            <w:rPr>
              <w:rFonts w:ascii="Cambria Math" w:hAnsi="Cambria Math"/>
            </w:rPr>
            <m:t xml:space="preserve"> </m:t>
          </m:r>
          <m:r>
            <w:rPr>
              <w:rFonts w:ascii="Cambria Math" w:hAnsi="Cambria Math"/>
            </w:rPr>
            <m:t xml:space="preserve">Bandwidth per Site </m:t>
          </m:r>
          <m:d>
            <m:dPr>
              <m:ctrlPr>
                <w:rPr>
                  <w:rFonts w:ascii="Cambria Math" w:hAnsi="Cambria Math"/>
                  <w:i/>
                </w:rPr>
              </m:ctrlPr>
            </m:dPr>
            <m:e>
              <m:r>
                <w:rPr>
                  <w:rFonts w:ascii="Cambria Math" w:hAnsi="Cambria Math"/>
                </w:rPr>
                <m:t>MHz</m:t>
              </m:r>
            </m:e>
          </m:d>
          <m:r>
            <w:rPr>
              <w:rFonts w:ascii="Cambria Math" w:hAnsi="Cambria Math"/>
            </w:rPr>
            <m:t>*</m:t>
          </m:r>
          <m:r>
            <m:rPr>
              <m:sty m:val="p"/>
            </m:rPr>
            <w:rPr>
              <w:rFonts w:ascii="Cambria Math" w:hAnsi="Cambria Math"/>
            </w:rPr>
            <m:t xml:space="preserve"> </m:t>
          </m:r>
          <m:r>
            <w:rPr>
              <w:rFonts w:ascii="Cambria Math" w:hAnsi="Cambria Math"/>
            </w:rPr>
            <m:t>Efficiency</m:t>
          </m:r>
        </m:oMath>
      </m:oMathPara>
    </w:p>
    <w:p w:rsidR="006747B8" w:rsidP="006747B8" w14:paraId="076E95A9" w14:textId="77777777">
      <w:pPr>
        <w:pStyle w:val="ParaNum"/>
        <w:numPr>
          <w:ilvl w:val="0"/>
          <w:numId w:val="0"/>
        </w:numPr>
      </w:pPr>
      <w:r>
        <w:t>Taking the natural logarithm of both sides and rearranging terms yields the following estimation equation for the number of sites needed in a capacity constrained network environment for a given quality of service target:</w:t>
      </w:r>
    </w:p>
    <w:p w:rsidR="006747B8" w:rsidRPr="00206EF2" w:rsidP="006747B8" w14:paraId="38702D27" w14:textId="77777777">
      <w:pPr>
        <w:pStyle w:val="ParaNum"/>
        <w:numPr>
          <w:ilvl w:val="0"/>
          <w:numId w:val="0"/>
        </w:numPr>
        <w:ind w:left="720"/>
      </w:pPr>
      <m:oMathPara>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Sites</m:t>
                  </m:r>
                </m:e>
              </m:d>
            </m:e>
          </m:func>
          <m:r>
            <w:rPr>
              <w:rFonts w:ascii="Cambria Math" w:hAnsi="Cambria Math"/>
            </w:rPr>
            <m:t>=</m:t>
          </m:r>
          <m:r>
            <m:rPr>
              <m:sty m:val="p"/>
            </m:rP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rPr>
                    <m:t>Subscribers</m:t>
                  </m:r>
                </m:num>
                <m:den>
                  <m:r>
                    <w:rPr>
                      <w:rFonts w:ascii="Cambria Math" w:hAnsi="Cambria Math"/>
                    </w:rPr>
                    <m:t>Bandwidth per Sites</m:t>
                  </m:r>
                </m:den>
              </m:f>
            </m:e>
          </m:d>
          <m: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Usage/Subscriber</m:t>
                  </m:r>
                </m:e>
              </m:d>
            </m:e>
          </m:func>
          <m:r>
            <w:rPr>
              <w:rFonts w:ascii="Cambria Math" w:hAnsi="Cambria Math"/>
            </w:rPr>
            <m:t>-</m:t>
          </m:r>
          <m:r>
            <m:rPr>
              <m:sty m:val="p"/>
            </m:rPr>
            <w:rPr>
              <w:rFonts w:ascii="Cambria Math" w:hAnsi="Cambria Math"/>
            </w:rPr>
            <m:t>ln⁡</m:t>
          </m:r>
          <m:r>
            <w:rPr>
              <w:rFonts w:ascii="Cambria Math" w:hAnsi="Cambria Math"/>
            </w:rPr>
            <m:t>(Efficiency)</m:t>
          </m:r>
        </m:oMath>
      </m:oMathPara>
    </w:p>
    <w:p w:rsidR="006747B8" w:rsidP="000D5763" w14:paraId="42810E91" w14:textId="7031D101">
      <w:pPr>
        <w:pStyle w:val="ParaNum"/>
        <w:tabs>
          <w:tab w:val="clear" w:pos="1080"/>
        </w:tabs>
      </w:pPr>
      <w:r>
        <w:t xml:space="preserve">As the number of sites needed to address capacity constraints is a function of the number of subscribers per megahertz of spectrum, the usage per subscriber and the spectral efficiency of the deployed technology, we control for each of these factors in our regression model.  To account for subscriber demand and the effect of bandwidth on network capacity, we include </w:t>
      </w:r>
      <w:r w:rsidRPr="00AE422D">
        <w:t xml:space="preserve">the </w:t>
      </w:r>
      <w:r>
        <w:t xml:space="preserve">natural </w:t>
      </w:r>
      <w:r w:rsidRPr="00AE422D">
        <w:t xml:space="preserve">logarithm of the </w:t>
      </w:r>
      <w:r>
        <w:t xml:space="preserve">subscribers per </w:t>
      </w:r>
      <w:r w:rsidRPr="00AE422D">
        <w:t xml:space="preserve">megahertz of </w:t>
      </w:r>
      <w:r>
        <w:t xml:space="preserve">deployed </w:t>
      </w:r>
      <w:r w:rsidRPr="00AE422D">
        <w:t xml:space="preserve">spectrum </w:t>
      </w:r>
      <w:r>
        <w:t>in each Cellular Market Area (CMA)</w:t>
      </w:r>
      <w:r w:rsidRPr="00AE422D">
        <w:t>.</w:t>
      </w:r>
      <w:r>
        <w:rPr>
          <w:rStyle w:val="FootnoteReference"/>
        </w:rPr>
        <w:footnoteReference w:id="40"/>
      </w:r>
      <w:r w:rsidRPr="00AE422D">
        <w:t xml:space="preserve">  </w:t>
      </w:r>
      <w:r>
        <w:t>W</w:t>
      </w:r>
      <w:r w:rsidRPr="00AE422D">
        <w:t xml:space="preserve">e would expect this variable to have a </w:t>
      </w:r>
      <w:r>
        <w:t>negative</w:t>
      </w:r>
      <w:r w:rsidRPr="00AE422D">
        <w:t xml:space="preserve"> sign since, all else equal, more subscriber</w:t>
      </w:r>
      <w:r>
        <w:t>s per MHz</w:t>
      </w:r>
      <w:r w:rsidRPr="00AE422D">
        <w:t xml:space="preserve"> should result in a </w:t>
      </w:r>
      <w:r>
        <w:t>site</w:t>
      </w:r>
      <w:r w:rsidRPr="00AE422D">
        <w:t xml:space="preserve"> being able to cover </w:t>
      </w:r>
      <w:r>
        <w:t>fewer square miles</w:t>
      </w:r>
      <w:r w:rsidRPr="00AE422D">
        <w:t xml:space="preserve">.  </w:t>
      </w:r>
      <w:r>
        <w:t>We do not have a direct measure of usage per subscriber in our data sample, so to help alleviate any potential omitted variable bias, we include the natural logarithm of per capita income as a proxy for subscriber usage.</w:t>
      </w:r>
      <w:r>
        <w:rPr>
          <w:rStyle w:val="FootnoteReference"/>
        </w:rPr>
        <w:footnoteReference w:id="41"/>
      </w:r>
      <w:r>
        <w:t xml:space="preserve">  To account for spectral efficiency </w:t>
      </w:r>
      <w:r>
        <w:t xml:space="preserve">differences, we include the percent of the land area in each county that is covered by </w:t>
      </w:r>
      <w:r w:rsidR="00BA0CB9">
        <w:t xml:space="preserve">4G </w:t>
      </w:r>
      <w:r>
        <w:t xml:space="preserve">LTE.  We would generally expect greater spectral efficiency to increase the service area per site in any area that is capacity constrained but given that </w:t>
      </w:r>
      <w:r w:rsidRPr="007964F3">
        <w:t xml:space="preserve">deploying more efficient technologies may also increase </w:t>
      </w:r>
      <w:r>
        <w:t>the unobserved usage per subscriber,</w:t>
      </w:r>
      <w:r w:rsidRPr="007964F3">
        <w:t xml:space="preserve"> the expected sign of this control variable is </w:t>
      </w:r>
      <w:r>
        <w:t xml:space="preserve">ex ante </w:t>
      </w:r>
      <w:r w:rsidRPr="007964F3">
        <w:t xml:space="preserve">unclear. </w:t>
      </w:r>
      <w:r>
        <w:t xml:space="preserve"> In order to measure which counties within a CMA are more likely to have higher network loading, </w:t>
      </w:r>
      <w:r w:rsidRPr="00AE422D">
        <w:t xml:space="preserve">we </w:t>
      </w:r>
      <w:r>
        <w:t xml:space="preserve">also </w:t>
      </w:r>
      <w:r w:rsidRPr="00AE422D">
        <w:t xml:space="preserve">include the </w:t>
      </w:r>
      <w:r>
        <w:t xml:space="preserve">natural </w:t>
      </w:r>
      <w:r w:rsidRPr="00AE422D">
        <w:t xml:space="preserve">logarithm of </w:t>
      </w:r>
      <w:r>
        <w:t xml:space="preserve">county population density and </w:t>
      </w:r>
      <w:r w:rsidRPr="00AE422D">
        <w:t>road mile density.</w:t>
      </w:r>
      <w:r>
        <w:t xml:space="preserve">  We would expect both variables to have a negative sign since greater network loading should reduce the square miles covered by a site in capacity limited areas.  Finally, we include the average download speed in each county by carrier, as measured by 2014 Ookla speed test data, to hold service quality fixed. </w:t>
      </w:r>
    </w:p>
    <w:p w:rsidR="006747B8" w:rsidRPr="004B73F2" w:rsidP="000D5763" w14:paraId="6C18A74A" w14:textId="77777777">
      <w:pPr>
        <w:pStyle w:val="Heading2"/>
      </w:pPr>
      <w:r>
        <w:t>Network Coverage Constraints</w:t>
      </w:r>
    </w:p>
    <w:p w:rsidR="006747B8" w:rsidRPr="004B73F2" w:rsidP="000D5763" w14:paraId="08D6C131" w14:textId="544A720D">
      <w:pPr>
        <w:pStyle w:val="ParaNum"/>
        <w:keepNext/>
        <w:widowControl/>
        <w:tabs>
          <w:tab w:val="clear" w:pos="1080"/>
        </w:tabs>
      </w:pPr>
      <w:r w:rsidRPr="7EBF36DC">
        <w:rPr>
          <w:i/>
          <w:iCs/>
        </w:rPr>
        <w:t>Propagation model</w:t>
      </w:r>
      <w:r>
        <w:t xml:space="preserve">.  We use a simple wireless engineering propagation model to inform our choice of included variables and functional form for our regression analysis.  A general form of the </w:t>
      </w:r>
      <w:bookmarkStart w:id="13" w:name="_Hlk36026461"/>
      <w:r>
        <w:t>Friis propagation formula for outdoor environments with pathloss due to terrain can be written as follows:</w:t>
      </w:r>
      <w:r>
        <w:rPr>
          <w:rStyle w:val="FootnoteReference"/>
        </w:rPr>
        <w:footnoteReference w:id="42"/>
      </w:r>
    </w:p>
    <w:p w:rsidR="006747B8" w:rsidRPr="001F5011" w:rsidP="006747B8" w14:paraId="31BE194B" w14:textId="77777777">
      <w:pPr>
        <w:pStyle w:val="ParaNum"/>
        <w:numPr>
          <w:ilvl w:val="0"/>
          <w:numId w:val="0"/>
        </w:numPr>
        <w:ind w:left="720"/>
        <w:jc w:val="center"/>
      </w:pPr>
      <m:oMathPara>
        <m:oMath>
          <m:sSub>
            <m:sSubPr>
              <m:ctrlPr>
                <w:rPr>
                  <w:rFonts w:ascii="Cambria Math" w:hAnsi="Cambria Math"/>
                  <w:i/>
                  <w:iCs/>
                </w:rPr>
              </m:ctrlPr>
            </m:sSubPr>
            <m:e>
              <m:r>
                <w:rPr>
                  <w:rFonts w:ascii="Cambria Math" w:hAnsi="Cambria Math"/>
                </w:rPr>
                <m:t>P</m:t>
              </m:r>
            </m:e>
            <m:sub>
              <m:r>
                <w:rPr>
                  <w:rFonts w:ascii="Cambria Math" w:hAnsi="Cambria Math"/>
                </w:rPr>
                <m:t>r</m:t>
              </m:r>
            </m:sub>
          </m:sSub>
          <m:r>
            <w:rPr>
              <w:rFonts w:ascii="Cambria Math" w:hAnsi="Cambria Math"/>
            </w:rPr>
            <m:t>=</m:t>
          </m:r>
          <m:sSub>
            <m:sSubPr>
              <m:ctrlPr>
                <w:rPr>
                  <w:rFonts w:ascii="Cambria Math" w:hAnsi="Cambria Math"/>
                  <w:i/>
                  <w:iCs/>
                </w:rPr>
              </m:ctrlPr>
            </m:sSubPr>
            <m:e>
              <m:r>
                <w:rPr>
                  <w:rFonts w:ascii="Cambria Math" w:hAnsi="Cambria Math"/>
                </w:rPr>
                <m:t>P</m:t>
              </m:r>
            </m:e>
            <m:sub>
              <m:r>
                <w:rPr>
                  <w:rFonts w:ascii="Cambria Math" w:hAnsi="Cambria Math"/>
                </w:rPr>
                <m:t>t</m:t>
              </m:r>
            </m:sub>
          </m:sSub>
          <m:r>
            <w:rPr>
              <w:rFonts w:ascii="Cambria Math" w:hAnsi="Cambria Math"/>
            </w:rPr>
            <m:t>*k*</m:t>
          </m:r>
          <m:sSup>
            <m:sSupPr>
              <m:ctrlPr>
                <w:rPr>
                  <w:rFonts w:ascii="Cambria Math" w:hAnsi="Cambria Math"/>
                  <w:i/>
                  <w:iCs/>
                </w:rPr>
              </m:ctrlPr>
            </m:sSupPr>
            <m:e>
              <m:d>
                <m:dPr>
                  <m:ctrlPr>
                    <w:rPr>
                      <w:rFonts w:ascii="Cambria Math" w:hAnsi="Cambria Math"/>
                      <w:i/>
                      <w:iCs/>
                    </w:rPr>
                  </m:ctrlPr>
                </m:dPr>
                <m:e>
                  <m:f>
                    <m:fPr>
                      <m:ctrlPr>
                        <w:rPr>
                          <w:rFonts w:ascii="Cambria Math" w:hAnsi="Cambria Math"/>
                          <w:i/>
                          <w:iCs/>
                        </w:rPr>
                      </m:ctrlPr>
                    </m:fPr>
                    <m:num>
                      <m:r>
                        <w:rPr>
                          <w:rFonts w:ascii="Cambria Math" w:hAnsi="Cambria Math"/>
                        </w:rPr>
                        <m:t>λ</m:t>
                      </m:r>
                    </m:num>
                    <m:den>
                      <m:r>
                        <w:rPr>
                          <w:rFonts w:ascii="Cambria Math" w:hAnsi="Cambria Math"/>
                        </w:rPr>
                        <m:t>4π</m:t>
                      </m:r>
                    </m:den>
                  </m:f>
                </m:e>
              </m:d>
            </m:e>
            <m:sup>
              <m:r>
                <w:rPr>
                  <w:rFonts w:ascii="Cambria Math" w:hAnsi="Cambria Math"/>
                </w:rPr>
                <m:t>2</m:t>
              </m:r>
            </m:sup>
          </m:sSup>
          <m:r>
            <w:rPr>
              <w:rFonts w:ascii="Cambria Math" w:hAnsi="Cambria Math"/>
            </w:rPr>
            <m:t>*</m:t>
          </m:r>
          <m:f>
            <m:fPr>
              <m:ctrlPr>
                <w:rPr>
                  <w:rFonts w:ascii="Cambria Math" w:hAnsi="Cambria Math"/>
                  <w:i/>
                  <w:iCs/>
                </w:rPr>
              </m:ctrlPr>
            </m:fPr>
            <m:num>
              <m:r>
                <w:rPr>
                  <w:rFonts w:ascii="Cambria Math" w:hAnsi="Cambria Math"/>
                </w:rPr>
                <m:t>1</m:t>
              </m:r>
            </m:num>
            <m:den>
              <m:sSup>
                <m:sSupPr>
                  <m:ctrlPr>
                    <w:rPr>
                      <w:rFonts w:ascii="Cambria Math" w:hAnsi="Cambria Math"/>
                      <w:i/>
                      <w:iCs/>
                    </w:rPr>
                  </m:ctrlPr>
                </m:sSupPr>
                <m:e>
                  <m:r>
                    <w:rPr>
                      <w:rFonts w:ascii="Cambria Math" w:hAnsi="Cambria Math"/>
                    </w:rPr>
                    <m:t>d</m:t>
                  </m:r>
                </m:e>
                <m:sup>
                  <m:r>
                    <w:rPr>
                      <w:rFonts w:ascii="Cambria Math" w:hAnsi="Cambria Math"/>
                    </w:rPr>
                    <m:t>α</m:t>
                  </m:r>
                </m:sup>
              </m:sSup>
            </m:den>
          </m:f>
          <m:r>
            <w:rPr>
              <w:rFonts w:ascii="Cambria Math" w:hAnsi="Cambria Math"/>
            </w:rPr>
            <m:t xml:space="preserve">;or  </m:t>
          </m:r>
          <m:sSup>
            <m:sSupPr>
              <m:ctrlPr>
                <w:rPr>
                  <w:rFonts w:ascii="Cambria Math" w:hAnsi="Cambria Math"/>
                  <w:i/>
                  <w:iCs/>
                </w:rPr>
              </m:ctrlPr>
            </m:sSupPr>
            <m:e>
              <m:r>
                <w:rPr>
                  <w:rFonts w:ascii="Cambria Math" w:hAnsi="Cambria Math"/>
                </w:rPr>
                <m:t>d</m:t>
              </m:r>
            </m:e>
            <m:sup>
              <m:r>
                <w:rPr>
                  <w:rFonts w:ascii="Cambria Math" w:hAnsi="Cambria Math"/>
                </w:rPr>
                <m:t>α/2</m:t>
              </m:r>
            </m:sup>
          </m:sSup>
          <m:r>
            <w:rPr>
              <w:rFonts w:ascii="Cambria Math" w:hAnsi="Cambria Math"/>
            </w:rPr>
            <m:t>=</m:t>
          </m:r>
          <m:r>
            <m:rPr>
              <m:sty m:val="p"/>
            </m:rPr>
            <w:rPr>
              <w:rFonts w:ascii="Cambria Math" w:hAnsi="Cambria Math"/>
            </w:rPr>
            <m:t xml:space="preserve"> </m:t>
          </m:r>
          <m:sSup>
            <m:sSupPr>
              <m:ctrlPr>
                <w:rPr>
                  <w:rFonts w:ascii="Cambria Math" w:hAnsi="Cambria Math"/>
                </w:rPr>
              </m:ctrlPr>
            </m:sSupPr>
            <m:e>
              <m:d>
                <m:dPr>
                  <m:ctrlPr>
                    <w:rPr>
                      <w:rFonts w:ascii="Cambria Math" w:hAnsi="Cambria Math"/>
                      <w:i/>
                    </w:rPr>
                  </m:ctrlPr>
                </m:dPr>
                <m:e>
                  <m:f>
                    <m:fPr>
                      <m:ctrlPr>
                        <w:rPr>
                          <w:rFonts w:ascii="Cambria Math" w:hAnsi="Cambria Math"/>
                        </w:rPr>
                      </m:ctrlPr>
                    </m:fPr>
                    <m:num>
                      <m:sSub>
                        <m:sSubPr>
                          <m:ctrlPr>
                            <w:rPr>
                              <w:rFonts w:ascii="Cambria Math" w:hAnsi="Cambria Math"/>
                              <w:i/>
                            </w:rPr>
                          </m:ctrlPr>
                        </m:sSubPr>
                        <m:e>
                          <m:r>
                            <w:rPr>
                              <w:rFonts w:ascii="Cambria Math" w:hAnsi="Cambria Math"/>
                            </w:rPr>
                            <m:t>P</m:t>
                          </m:r>
                        </m:e>
                        <m:sub>
                          <m:r>
                            <w:rPr>
                              <w:rFonts w:ascii="Cambria Math" w:hAnsi="Cambria Math"/>
                            </w:rPr>
                            <m:t>t</m:t>
                          </m:r>
                        </m:sub>
                      </m:sSub>
                    </m:num>
                    <m:den>
                      <m:sSub>
                        <m:sSubPr>
                          <m:ctrlPr>
                            <w:rPr>
                              <w:rFonts w:ascii="Cambria Math" w:hAnsi="Cambria Math"/>
                              <w:i/>
                            </w:rPr>
                          </m:ctrlPr>
                        </m:sSubPr>
                        <m:e>
                          <m:r>
                            <w:rPr>
                              <w:rFonts w:ascii="Cambria Math" w:hAnsi="Cambria Math"/>
                            </w:rPr>
                            <m:t>P</m:t>
                          </m:r>
                        </m:e>
                        <m:sub>
                          <m:r>
                            <w:rPr>
                              <w:rFonts w:ascii="Cambria Math" w:hAnsi="Cambria Math"/>
                            </w:rPr>
                            <m:t>r</m:t>
                          </m:r>
                        </m:sub>
                      </m:sSub>
                    </m:den>
                  </m:f>
                  <m:r>
                    <m:rPr>
                      <m:sty m:val="p"/>
                    </m:rPr>
                    <w:rPr>
                      <w:rFonts w:ascii="Cambria Math" w:hAnsi="Cambria Math"/>
                    </w:rPr>
                    <m:t>*</m:t>
                  </m:r>
                  <m:r>
                    <w:rPr>
                      <w:rFonts w:ascii="Cambria Math" w:hAnsi="Cambria Math"/>
                    </w:rPr>
                    <m:t>k</m:t>
                  </m:r>
                </m:e>
              </m:d>
            </m:e>
            <m:sup>
              <m:r>
                <w:rPr>
                  <w:rFonts w:ascii="Cambria Math" w:hAnsi="Cambria Math"/>
                </w:rPr>
                <m:t>1/2</m:t>
              </m:r>
            </m:sup>
          </m:sSup>
          <m:r>
            <m:rPr>
              <m:sty m:val="p"/>
            </m:rPr>
            <w:rPr>
              <w:rFonts w:ascii="Cambria Math" w:hAnsi="Cambria Math"/>
            </w:rPr>
            <m:t>*</m:t>
          </m:r>
          <m:f>
            <m:fPr>
              <m:ctrlPr>
                <w:rPr>
                  <w:rFonts w:ascii="Cambria Math" w:hAnsi="Cambria Math"/>
                  <w:i/>
                </w:rPr>
              </m:ctrlPr>
            </m:fPr>
            <m:num>
              <m:r>
                <m:rPr>
                  <m:sty m:val="p"/>
                </m:rPr>
                <w:rPr>
                  <w:rFonts w:ascii="Cambria Math" w:hAnsi="Cambria Math"/>
                </w:rPr>
                <m:t>λ</m:t>
              </m:r>
            </m:num>
            <m:den>
              <m:r>
                <w:rPr>
                  <w:rFonts w:ascii="Cambria Math" w:hAnsi="Cambria Math"/>
                </w:rPr>
                <m:t>4π</m:t>
              </m:r>
            </m:den>
          </m:f>
        </m:oMath>
      </m:oMathPara>
    </w:p>
    <w:bookmarkEnd w:id="13"/>
    <w:p w:rsidR="006747B8" w:rsidP="000D5763" w14:paraId="64DD1754" w14:textId="77777777">
      <w:pPr>
        <w:pStyle w:val="ParaNum"/>
        <w:tabs>
          <w:tab w:val="clear" w:pos="1080"/>
        </w:tabs>
      </w:pPr>
      <w:r>
        <w:t xml:space="preserve">The received power, </w:t>
      </w:r>
      <w:r w:rsidRPr="002451DF">
        <w:rPr>
          <w:i/>
          <w:iCs/>
        </w:rPr>
        <w:t>P</w:t>
      </w:r>
      <w:r w:rsidRPr="002451DF">
        <w:rPr>
          <w:i/>
          <w:iCs/>
          <w:vertAlign w:val="subscript"/>
        </w:rPr>
        <w:t>r</w:t>
      </w:r>
      <w:r>
        <w:rPr>
          <w:i/>
          <w:iCs/>
        </w:rPr>
        <w:t xml:space="preserve">, </w:t>
      </w:r>
      <w:r>
        <w:t xml:space="preserve">is a function of the transmitted power </w:t>
      </w:r>
      <w:r w:rsidRPr="00B21B2B">
        <w:rPr>
          <w:i/>
          <w:iCs/>
        </w:rPr>
        <w:t>P</w:t>
      </w:r>
      <w:r w:rsidRPr="00B21B2B">
        <w:rPr>
          <w:i/>
          <w:iCs/>
          <w:vertAlign w:val="subscript"/>
        </w:rPr>
        <w:t>t</w:t>
      </w:r>
      <w:r>
        <w:t xml:space="preserve">, a constant of proportionality </w:t>
      </w:r>
      <w:r>
        <w:rPr>
          <w:i/>
          <w:iCs/>
        </w:rPr>
        <w:t>k</w:t>
      </w:r>
      <w:r>
        <w:t xml:space="preserve"> that accounts for antennae gains</w:t>
      </w:r>
      <w:r w:rsidRPr="001F5011">
        <w:t xml:space="preserve">, </w:t>
      </w:r>
      <w:r>
        <w:t xml:space="preserve">the transmission wavelength λ and inversely proportional to the distance from the transmitter </w:t>
      </w:r>
      <w:r w:rsidRPr="00206EF2">
        <w:rPr>
          <w:i/>
          <w:iCs/>
        </w:rPr>
        <w:t>d</w:t>
      </w:r>
      <w:r>
        <w:t xml:space="preserve"> raised to the power α.  The parameter α is called the pathloss exponent and is the focus of our analysis.  It measures how quickly the received power declines as distance from the receiver to the transmitter increases and has a value of two in a free space environment without obstructions and higher values in more lossy environments.  To express this formula in the logarithmic dB scale, we take the base-10 logarithm of both sides of the equation and then solve for the logarithm of the maximum distance (cell radius) given a minimum received power threshold.</w:t>
      </w:r>
      <w:r>
        <w:rPr>
          <w:rStyle w:val="FootnoteReference"/>
        </w:rPr>
        <w:footnoteReference w:id="43"/>
      </w:r>
      <w:r>
        <w:t xml:space="preserve"> </w:t>
      </w:r>
    </w:p>
    <w:p w:rsidR="006747B8" w:rsidRPr="00BE1054" w:rsidP="006747B8" w14:paraId="10D4DD7E" w14:textId="77777777">
      <w:pPr>
        <w:pStyle w:val="ParaNum"/>
        <w:numPr>
          <w:ilvl w:val="0"/>
          <w:numId w:val="0"/>
        </w:numPr>
      </w:pPr>
      <m:oMathPara>
        <m:oMath>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max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2log</m:t>
                  </m:r>
                </m:e>
                <m:sub>
                  <m:r>
                    <w:rPr>
                      <w:rFonts w:ascii="Cambria Math" w:hAnsi="Cambria Math"/>
                    </w:rPr>
                    <m:t>10</m:t>
                  </m:r>
                </m:sub>
              </m:sSub>
              <m:r>
                <w:rPr>
                  <w:rFonts w:ascii="Cambria Math" w:hAnsi="Cambria Math"/>
                </w:rPr>
                <m:t>(</m:t>
              </m:r>
              <m:r>
                <m:rPr>
                  <m:sty m:val="p"/>
                </m:rPr>
                <w:rPr>
                  <w:rFonts w:ascii="Cambria Math" w:hAnsi="Cambria Math"/>
                </w:rPr>
                <m:t xml:space="preserve"> </m:t>
              </m:r>
              <m:sSup>
                <m:sSupPr>
                  <m:ctrlPr>
                    <w:rPr>
                      <w:rFonts w:ascii="Cambria Math" w:hAnsi="Cambria Math"/>
                    </w:rPr>
                  </m:ctrlPr>
                </m:sSupPr>
                <m:e>
                  <m:d>
                    <m:dPr>
                      <m:ctrlPr>
                        <w:rPr>
                          <w:rFonts w:ascii="Cambria Math" w:hAnsi="Cambria Math"/>
                          <w:i/>
                        </w:rPr>
                      </m:ctrlPr>
                    </m:dPr>
                    <m:e>
                      <m:f>
                        <m:fPr>
                          <m:ctrlPr>
                            <w:rPr>
                              <w:rFonts w:ascii="Cambria Math" w:hAnsi="Cambria Math"/>
                            </w:rPr>
                          </m:ctrlPr>
                        </m:fPr>
                        <m:num>
                          <m:sSub>
                            <m:sSubPr>
                              <m:ctrlPr>
                                <w:rPr>
                                  <w:rFonts w:ascii="Cambria Math" w:hAnsi="Cambria Math"/>
                                  <w:i/>
                                </w:rPr>
                              </m:ctrlPr>
                            </m:sSubPr>
                            <m:e>
                              <m:r>
                                <w:rPr>
                                  <w:rFonts w:ascii="Cambria Math" w:hAnsi="Cambria Math"/>
                                </w:rPr>
                                <m:t>P</m:t>
                              </m:r>
                            </m:e>
                            <m:sub>
                              <m:r>
                                <w:rPr>
                                  <w:rFonts w:ascii="Cambria Math" w:hAnsi="Cambria Math"/>
                                </w:rPr>
                                <m:t>t</m:t>
                              </m:r>
                            </m:sub>
                          </m:sSub>
                        </m:num>
                        <m:den>
                          <m:sSub>
                            <m:sSubPr>
                              <m:ctrlPr>
                                <w:rPr>
                                  <w:rFonts w:ascii="Cambria Math" w:hAnsi="Cambria Math"/>
                                  <w:i/>
                                </w:rPr>
                              </m:ctrlPr>
                            </m:sSubPr>
                            <m:e>
                              <m:r>
                                <w:rPr>
                                  <w:rFonts w:ascii="Cambria Math" w:hAnsi="Cambria Math"/>
                                </w:rPr>
                                <m:t>P</m:t>
                              </m:r>
                            </m:e>
                            <m:sub>
                              <m:r>
                                <w:rPr>
                                  <w:rFonts w:ascii="Cambria Math" w:hAnsi="Cambria Math"/>
                                </w:rPr>
                                <m:t>r_min</m:t>
                              </m:r>
                            </m:sub>
                          </m:sSub>
                        </m:den>
                      </m:f>
                      <m:r>
                        <m:rPr>
                          <m:sty m:val="p"/>
                        </m:rPr>
                        <w:rPr>
                          <w:rFonts w:ascii="Cambria Math" w:hAnsi="Cambria Math"/>
                        </w:rPr>
                        <m:t>*</m:t>
                      </m:r>
                      <m:r>
                        <w:rPr>
                          <w:rFonts w:ascii="Cambria Math" w:hAnsi="Cambria Math"/>
                        </w:rPr>
                        <m:t>k</m:t>
                      </m:r>
                    </m:e>
                  </m:d>
                </m:e>
                <m:sup>
                  <m:r>
                    <w:rPr>
                      <w:rFonts w:ascii="Cambria Math" w:hAnsi="Cambria Math"/>
                    </w:rPr>
                    <m:t>1/2</m:t>
                  </m:r>
                </m:sup>
              </m:sSup>
              <m:r>
                <m:rPr>
                  <m:sty m:val="p"/>
                </m:rPr>
                <w:rPr>
                  <w:rFonts w:ascii="Cambria Math" w:hAnsi="Cambria Math"/>
                </w:rPr>
                <m:t>*</m:t>
              </m:r>
              <m:f>
                <m:fPr>
                  <m:ctrlPr>
                    <w:rPr>
                      <w:rFonts w:ascii="Cambria Math" w:hAnsi="Cambria Math"/>
                      <w:i/>
                    </w:rPr>
                  </m:ctrlPr>
                </m:fPr>
                <m:num>
                  <m:r>
                    <m:rPr>
                      <m:sty m:val="p"/>
                    </m:rPr>
                    <w:rPr>
                      <w:rFonts w:ascii="Cambria Math" w:hAnsi="Cambria Math"/>
                    </w:rPr>
                    <m:t>λ</m:t>
                  </m:r>
                </m:num>
                <m:den>
                  <m:r>
                    <w:rPr>
                      <w:rFonts w:ascii="Cambria Math" w:hAnsi="Cambria Math"/>
                    </w:rPr>
                    <m:t>4π</m:t>
                  </m:r>
                </m:den>
              </m:f>
              <m:r>
                <w:rPr>
                  <w:rFonts w:ascii="Cambria Math" w:hAnsi="Cambria Math"/>
                </w:rPr>
                <m:t>)</m:t>
              </m:r>
            </m:num>
            <m:den>
              <m:r>
                <w:rPr>
                  <w:rFonts w:ascii="Cambria Math" w:hAnsi="Cambria Math"/>
                </w:rPr>
                <m:t>α</m:t>
              </m:r>
            </m:den>
          </m:f>
        </m:oMath>
      </m:oMathPara>
    </w:p>
    <w:p w:rsidR="006747B8" w:rsidRPr="00206EF2" w:rsidP="000D5763" w14:paraId="5141D46F" w14:textId="0964ED33">
      <w:pPr>
        <w:pStyle w:val="ParaNum"/>
        <w:widowControl/>
        <w:tabs>
          <w:tab w:val="clear" w:pos="1080"/>
        </w:tabs>
      </w:pPr>
      <w:r>
        <w:t xml:space="preserve">The IEEE </w:t>
      </w:r>
      <w:r w:rsidRPr="009B7FDF">
        <w:t>Stanford University Interim propagation loss model</w:t>
      </w:r>
      <w:r>
        <w:t xml:space="preserve"> and its extensions expresses α as a linear function of antenna height and terrain category, where terrain reflects not only the variation in elevation, but also other factors that affect propagation such as buildings and foliage.</w:t>
      </w:r>
      <w:r>
        <w:rPr>
          <w:rStyle w:val="FootnoteReference"/>
        </w:rPr>
        <w:footnoteReference w:id="44"/>
      </w:r>
      <w:r>
        <w:t xml:space="preserve">  Therefore, in the Friis propagation model, the service area of a site in a coverage constrained outdoor environment is a function of,</w:t>
      </w:r>
      <w:r w:rsidRPr="00BE1054">
        <w:t xml:space="preserve"> </w:t>
      </w:r>
      <w:r>
        <w:t xml:space="preserve">but not limited to, the wavelength (speed of light/frequency) of the deployed spectrum, tower height, terrain variation and other obstacles that reduce signal propagation such as trees, foliage, and building structures. </w:t>
      </w:r>
      <w:bookmarkStart w:id="14" w:name="_Hlk34994955"/>
      <w:r>
        <w:t xml:space="preserve"> Based on this formula we also multiply the logarithm of spectrum </w:t>
      </w:r>
      <w:r>
        <w:t>frequency with the terrain variables in our regression analysis since the maximum radius is a multiplicative function of log</w:t>
      </w:r>
      <w:r>
        <w:rPr>
          <w:vertAlign w:val="subscript"/>
        </w:rPr>
        <w:t>10</w:t>
      </w:r>
      <w:r>
        <w:t xml:space="preserve"> (λ) and α.</w:t>
      </w:r>
      <w:bookmarkEnd w:id="14"/>
    </w:p>
    <w:p w:rsidR="006747B8" w:rsidRPr="007964F3" w:rsidP="000D5763" w14:paraId="657F7FDD" w14:textId="77777777">
      <w:pPr>
        <w:pStyle w:val="ParaNum"/>
        <w:tabs>
          <w:tab w:val="clear" w:pos="1080"/>
        </w:tabs>
      </w:pPr>
      <w:r w:rsidRPr="7EBF36DC">
        <w:rPr>
          <w:i/>
          <w:iCs/>
        </w:rPr>
        <w:t xml:space="preserve">Terrain and Clutter.  </w:t>
      </w:r>
      <w:r>
        <w:t xml:space="preserve">The measure of </w:t>
      </w:r>
      <w:r w:rsidRPr="7EBF36DC">
        <w:t>terrain variability we use in our model is the standard deviation of elevation of the covered land area in a county for each</w:t>
      </w:r>
      <w:r>
        <w:rPr>
          <w:szCs w:val="22"/>
        </w:rPr>
        <w:t xml:space="preserve"> </w:t>
      </w:r>
      <w:r w:rsidRPr="7EBF36DC">
        <w:t>carrier</w:t>
      </w:r>
      <w:r>
        <w:rPr>
          <w:szCs w:val="22"/>
        </w:rPr>
        <w:t xml:space="preserve">. </w:t>
      </w:r>
      <w:r w:rsidRPr="007964F3">
        <w:t xml:space="preserve"> In addition to terrain, radio propagation is affected by the number of man-made and natural </w:t>
      </w:r>
      <w:r>
        <w:t>obstructions</w:t>
      </w:r>
      <w:r w:rsidRPr="007964F3">
        <w:t xml:space="preserve"> in an area</w:t>
      </w:r>
      <w:r>
        <w:t>,</w:t>
      </w:r>
      <w:r w:rsidRPr="007964F3">
        <w:t xml:space="preserve"> since these </w:t>
      </w:r>
      <w:r>
        <w:t xml:space="preserve">block, </w:t>
      </w:r>
      <w:r w:rsidRPr="007964F3">
        <w:t>absorb</w:t>
      </w:r>
      <w:r>
        <w:t>, diffract, and/or reflect</w:t>
      </w:r>
      <w:r w:rsidRPr="007964F3">
        <w:t xml:space="preserve"> radio waves </w:t>
      </w:r>
      <w:r>
        <w:t>which</w:t>
      </w:r>
      <w:r w:rsidRPr="007964F3">
        <w:t xml:space="preserve"> lead to loss</w:t>
      </w:r>
      <w:r>
        <w:t>es</w:t>
      </w:r>
      <w:r w:rsidRPr="007964F3">
        <w:t>.</w:t>
      </w:r>
      <w:r>
        <w:rPr>
          <w:rStyle w:val="FootnoteReference"/>
          <w:sz w:val="24"/>
          <w:szCs w:val="24"/>
        </w:rPr>
        <w:footnoteReference w:id="45"/>
      </w:r>
      <w:r w:rsidRPr="007964F3">
        <w:t xml:space="preserve"> </w:t>
      </w:r>
      <w:r>
        <w:t xml:space="preserve"> </w:t>
      </w:r>
      <w:r w:rsidRPr="007964F3">
        <w:t xml:space="preserve">In urban </w:t>
      </w:r>
      <w:r>
        <w:t xml:space="preserve">and suburban </w:t>
      </w:r>
      <w:r w:rsidRPr="007964F3">
        <w:t xml:space="preserve">areas, signal loss </w:t>
      </w:r>
      <w:r>
        <w:t xml:space="preserve">may mostly be </w:t>
      </w:r>
      <w:r w:rsidRPr="007964F3">
        <w:t xml:space="preserve">due to a greater number of structures that </w:t>
      </w:r>
      <w:r>
        <w:t>impede</w:t>
      </w:r>
      <w:r w:rsidRPr="007964F3">
        <w:t xml:space="preserve"> radio signals</w:t>
      </w:r>
      <w:r>
        <w:t>, while in more rural areas</w:t>
      </w:r>
      <w:r w:rsidRPr="007964F3">
        <w:t xml:space="preserve">, natural structures such as trees </w:t>
      </w:r>
      <w:r>
        <w:t>and foliage may be more likely to</w:t>
      </w:r>
      <w:r w:rsidRPr="007964F3">
        <w:t xml:space="preserve"> </w:t>
      </w:r>
      <w:r>
        <w:t xml:space="preserve">reduce </w:t>
      </w:r>
      <w:r w:rsidRPr="007964F3">
        <w:t xml:space="preserve">signal propagation. </w:t>
      </w:r>
      <w:r>
        <w:t xml:space="preserve"> </w:t>
      </w:r>
      <w:r w:rsidRPr="007964F3">
        <w:t xml:space="preserve">We </w:t>
      </w:r>
      <w:r>
        <w:t xml:space="preserve">control for “natural” clutter by including the percentage of land area in the county covered with forests. </w:t>
      </w:r>
      <w:r w:rsidRPr="007964F3">
        <w:t xml:space="preserve"> </w:t>
      </w:r>
      <w:r>
        <w:t xml:space="preserve">Clutter from other sources is accounted for </w:t>
      </w:r>
      <w:r w:rsidRPr="007964F3">
        <w:t xml:space="preserve">by including the </w:t>
      </w:r>
      <w:r>
        <w:t xml:space="preserve">natural </w:t>
      </w:r>
      <w:r w:rsidRPr="007964F3">
        <w:t>logarithms of county population</w:t>
      </w:r>
      <w:r>
        <w:t xml:space="preserve"> density</w:t>
      </w:r>
      <w:r w:rsidRPr="007964F3">
        <w:t xml:space="preserve"> and business establishment</w:t>
      </w:r>
      <w:r>
        <w:t xml:space="preserve"> density</w:t>
      </w:r>
      <w:r w:rsidRPr="007964F3">
        <w:t xml:space="preserve">. </w:t>
      </w:r>
      <w:r>
        <w:t xml:space="preserve"> </w:t>
      </w:r>
      <w:r w:rsidRPr="007964F3">
        <w:t xml:space="preserve">We would expect that more densely built-up </w:t>
      </w:r>
      <w:r>
        <w:t xml:space="preserve">or forested </w:t>
      </w:r>
      <w:r w:rsidRPr="007964F3">
        <w:t xml:space="preserve">areas </w:t>
      </w:r>
      <w:r>
        <w:t>would</w:t>
      </w:r>
      <w:r w:rsidRPr="007964F3">
        <w:t xml:space="preserve"> require a greater number of </w:t>
      </w:r>
      <w:r>
        <w:t>site</w:t>
      </w:r>
      <w:r w:rsidRPr="007964F3">
        <w:t>s</w:t>
      </w:r>
      <w:r>
        <w:t>,</w:t>
      </w:r>
      <w:r w:rsidRPr="007964F3">
        <w:t xml:space="preserve"> and therefore</w:t>
      </w:r>
      <w:r>
        <w:t>,</w:t>
      </w:r>
      <w:r w:rsidRPr="007964F3">
        <w:t xml:space="preserve"> </w:t>
      </w:r>
      <w:r>
        <w:t xml:space="preserve">we expect </w:t>
      </w:r>
      <w:r w:rsidRPr="007964F3">
        <w:t xml:space="preserve">the sign on these variables </w:t>
      </w:r>
      <w:r>
        <w:t>to</w:t>
      </w:r>
      <w:r w:rsidRPr="007964F3">
        <w:t xml:space="preserve"> be negative.</w:t>
      </w:r>
      <w:r>
        <w:rPr>
          <w:rStyle w:val="FootnoteReference"/>
        </w:rPr>
        <w:footnoteReference w:id="46"/>
      </w:r>
      <w:r w:rsidRPr="0085199A">
        <w:rPr>
          <w:szCs w:val="22"/>
        </w:rPr>
        <w:t xml:space="preserve"> </w:t>
      </w:r>
    </w:p>
    <w:p w:rsidR="006747B8" w:rsidP="000D5763" w14:paraId="67591D72" w14:textId="77777777">
      <w:pPr>
        <w:pStyle w:val="ParaNum"/>
        <w:tabs>
          <w:tab w:val="clear" w:pos="1080"/>
        </w:tabs>
      </w:pPr>
      <w:r w:rsidRPr="7EBF36DC">
        <w:rPr>
          <w:i/>
          <w:iCs/>
        </w:rPr>
        <w:t>Spectrum Frequency and Tower Height.</w:t>
      </w:r>
      <w:r>
        <w:t xml:space="preserve">  Lower frequency spectrum can travel farther and better penetrate natural and other obstacles, which allows a carrier to cover a larger area with fewer sites absent capacity constraints.</w:t>
      </w:r>
      <w:r>
        <w:rPr>
          <w:rStyle w:val="FootnoteReference"/>
        </w:rPr>
        <w:footnoteReference w:id="47"/>
      </w:r>
      <w:r>
        <w:t xml:space="preserve">  We control for the frequency of spectrum deployed by including an indicator variable if the carrier has deployed low-band spectrum in the county and interact it with our measure of terrain variation and the percentage of forested area in the county to allow the effect of these variables on site coverage to vary by the frequency of deployed spectrum. </w:t>
      </w:r>
    </w:p>
    <w:p w:rsidR="006747B8" w:rsidRPr="007964F3" w:rsidP="000D5763" w14:paraId="60CB8849" w14:textId="5B7D8522">
      <w:pPr>
        <w:pStyle w:val="ParaNum"/>
        <w:tabs>
          <w:tab w:val="clear" w:pos="1080"/>
        </w:tabs>
      </w:pPr>
      <w:r>
        <w:t>Tower height was not available in our cell site dataset, so to estimate the height of each tower in our sample, we compiled tower height information from publicly available tower company sources.</w:t>
      </w:r>
      <w:r>
        <w:rPr>
          <w:rStyle w:val="FootnoteReference"/>
        </w:rPr>
        <w:footnoteReference w:id="48"/>
      </w:r>
      <w:r>
        <w:t xml:space="preserve">  We first drop all towers with missing height information or a listed height over 500 feet in the tower company dataset since these are outliers that likely have inaccurate height information. We then match the towers in our sample to the closest tower in the public dataset and assign the tower height of the closest matched tower as long as that tower lies within 1 kilometer of the tower from the original data sample.</w:t>
      </w:r>
      <w:r>
        <w:rPr>
          <w:rStyle w:val="FootnoteReference"/>
        </w:rPr>
        <w:footnoteReference w:id="49"/>
      </w:r>
      <w:r>
        <w:t xml:space="preserve">  For towers that do not match within 1 kilometer, we assign the average tower height of the matched towers in the county for that carrier. </w:t>
      </w:r>
    </w:p>
    <w:p w:rsidR="006747B8" w:rsidRPr="007964F3" w:rsidP="000D5763" w14:paraId="7B384B9B" w14:textId="77777777">
      <w:pPr>
        <w:pStyle w:val="ParaNum"/>
        <w:widowControl/>
        <w:tabs>
          <w:tab w:val="clear" w:pos="1080"/>
        </w:tabs>
      </w:pPr>
      <w:r w:rsidRPr="7EBF36DC">
        <w:rPr>
          <w:i/>
          <w:iCs/>
        </w:rPr>
        <w:t xml:space="preserve">Other Control Variables.  </w:t>
      </w:r>
      <w:r>
        <w:t xml:space="preserve">We also include carrier fixed effects in the model to capture any differences across carriers that do not vary at a sub-national level and eliminate potential bias from these unobserved differences across carriers.  For example, if some carriers have higher data usage limits on their plans, and these plan characteristics are set nationally, then these carriers may have higher data usage per subscriber and would generally need more cell sites to serve their subscribers than a carrier with lower data limits, all else equal.  Other important company-level policy differences across carriers such as </w:t>
      </w:r>
      <w:r>
        <w:t xml:space="preserve">the criteria they use to determine when a cell site needs to be split would also be captured in these carrier fixed effects.  </w:t>
      </w:r>
    </w:p>
    <w:p w:rsidR="006747B8" w:rsidRPr="007964F3" w:rsidP="000D5763" w14:paraId="39B97983" w14:textId="77777777">
      <w:pPr>
        <w:pStyle w:val="ParaNum"/>
        <w:tabs>
          <w:tab w:val="clear" w:pos="1080"/>
        </w:tabs>
      </w:pPr>
      <w:r>
        <w:t xml:space="preserve">In some of our specifications, we also add state fixed effects to the model so that only the variation in terrain within a state is being used to estimate the relationship between average square miles covered per site and terrain.  Including state fixed effects will eliminate potential bias due to unobserved differences across states that impact site service areas and are correlated with our control variables.  For example, if some states have more restrictive regulations on site deployment, then this could systematically lower the number of sites built in all counties located within that state.  The inclusion of state fixed effects would ensure that such differences between states do not bias our adjustment factor estimates. </w:t>
      </w:r>
    </w:p>
    <w:p w:rsidR="006747B8" w:rsidP="00654983" w14:paraId="1B776857" w14:textId="77777777">
      <w:pPr>
        <w:pStyle w:val="Heading2"/>
      </w:pPr>
      <w:r>
        <w:t>Regression Results</w:t>
      </w:r>
    </w:p>
    <w:p w:rsidR="006747B8" w:rsidP="000D5763" w14:paraId="4EEA8B99" w14:textId="4C8844D7">
      <w:pPr>
        <w:pStyle w:val="ParaNum"/>
        <w:tabs>
          <w:tab w:val="clear" w:pos="1080"/>
        </w:tabs>
      </w:pPr>
      <w:r w:rsidRPr="007964F3">
        <w:t>Each observation in our data</w:t>
      </w:r>
      <w:r>
        <w:t>set</w:t>
      </w:r>
      <w:r w:rsidRPr="007964F3">
        <w:t xml:space="preserve"> is a county-</w:t>
      </w:r>
      <w:r>
        <w:t>carrier combination</w:t>
      </w:r>
      <w:r w:rsidRPr="007964F3">
        <w:t xml:space="preserve"> (e.g.</w:t>
      </w:r>
      <w:r>
        <w:t>,</w:t>
      </w:r>
      <w:r w:rsidRPr="007964F3">
        <w:t xml:space="preserve"> Autauga County,</w:t>
      </w:r>
      <w:r>
        <w:t xml:space="preserve"> carrier A</w:t>
      </w:r>
      <w:r w:rsidRPr="007964F3">
        <w:t xml:space="preserve">), and our dependent variable is the </w:t>
      </w:r>
      <w:r>
        <w:t xml:space="preserve">natural logarithm of the </w:t>
      </w:r>
      <w:r w:rsidRPr="007964F3">
        <w:t xml:space="preserve">average </w:t>
      </w:r>
      <w:r>
        <w:t>square miles served</w:t>
      </w:r>
      <w:r w:rsidRPr="007964F3">
        <w:t xml:space="preserve"> per </w:t>
      </w:r>
      <w:r>
        <w:t>site in the county for each carrier</w:t>
      </w:r>
      <w:r w:rsidRPr="007964F3">
        <w:t>.</w:t>
      </w:r>
      <w:r>
        <w:rPr>
          <w:rStyle w:val="FootnoteReference"/>
          <w:sz w:val="24"/>
          <w:szCs w:val="24"/>
        </w:rPr>
        <w:footnoteReference w:id="50"/>
      </w:r>
      <w:r w:rsidRPr="007964F3">
        <w:t xml:space="preserve"> </w:t>
      </w:r>
      <w:r>
        <w:t xml:space="preserve"> We take two approaches t</w:t>
      </w:r>
      <w:r w:rsidRPr="007964F3">
        <w:t xml:space="preserve">o account for the effect of </w:t>
      </w:r>
      <w:r>
        <w:t xml:space="preserve">subscriber </w:t>
      </w:r>
      <w:r w:rsidRPr="007964F3">
        <w:t xml:space="preserve">demand </w:t>
      </w:r>
      <w:r>
        <w:t xml:space="preserve">and capacity constraints </w:t>
      </w:r>
      <w:r w:rsidRPr="007964F3">
        <w:t xml:space="preserve">on </w:t>
      </w:r>
      <w:r>
        <w:t>the average per site service area</w:t>
      </w:r>
      <w:r w:rsidRPr="007964F3">
        <w:t xml:space="preserve">. </w:t>
      </w:r>
      <w:r>
        <w:t xml:space="preserve"> </w:t>
      </w:r>
      <w:r w:rsidRPr="007964F3">
        <w:t xml:space="preserve">The first is to estimate a model with a flexible functional form that allows the effect of terrain to decline as </w:t>
      </w:r>
      <w:r>
        <w:t xml:space="preserve">capacity constraints increase </w:t>
      </w:r>
      <w:r w:rsidRPr="007964F3">
        <w:t xml:space="preserve">by interacting </w:t>
      </w:r>
      <w:r>
        <w:t>the</w:t>
      </w:r>
      <w:r w:rsidRPr="007964F3">
        <w:t xml:space="preserve"> terrain </w:t>
      </w:r>
      <w:r>
        <w:t>variable</w:t>
      </w:r>
      <w:r w:rsidRPr="007964F3">
        <w:t xml:space="preserve"> with </w:t>
      </w:r>
      <w:r>
        <w:t>subscribers per megahertz of spectrum</w:t>
      </w:r>
      <w:r w:rsidRPr="007964F3">
        <w:t xml:space="preserve">. </w:t>
      </w:r>
      <w:r>
        <w:t xml:space="preserve"> We </w:t>
      </w:r>
      <w:r w:rsidRPr="007964F3">
        <w:t>expect th</w:t>
      </w:r>
      <w:r>
        <w:t>is</w:t>
      </w:r>
      <w:r w:rsidRPr="007964F3">
        <w:t xml:space="preserve"> interaction term to have a positive coefficient since </w:t>
      </w:r>
      <w:r>
        <w:t>per site service areas in counties with less spectrum per subscriber are more likely to be constrained for capacity reasons rather than coverage reasons related to propagation</w:t>
      </w:r>
      <w:r w:rsidRPr="007964F3">
        <w:t xml:space="preserve">. </w:t>
      </w:r>
      <w:r>
        <w:t xml:space="preserve"> </w:t>
      </w:r>
      <w:r w:rsidRPr="007964F3">
        <w:t>The second approach</w:t>
      </w:r>
      <w:r>
        <w:t>, which we prefer,</w:t>
      </w:r>
      <w:r w:rsidRPr="007964F3">
        <w:t xml:space="preserve"> is to restrict our estimation sample to more rural counties</w:t>
      </w:r>
      <w:r>
        <w:t>.</w:t>
      </w:r>
      <w:r w:rsidRPr="007964F3">
        <w:t xml:space="preserve"> </w:t>
      </w:r>
      <w:r>
        <w:t xml:space="preserve"> This is done by estimating the model on sub-samples of counties with population densities less than 100, 50 and 20 people</w:t>
      </w:r>
      <w:r w:rsidRPr="007964F3">
        <w:t xml:space="preserve">. </w:t>
      </w:r>
      <w:r>
        <w:t xml:space="preserve"> </w:t>
      </w:r>
      <w:r w:rsidRPr="007964F3">
        <w:t>In the specifications run on the restricted sample</w:t>
      </w:r>
      <w:r>
        <w:t>s,</w:t>
      </w:r>
      <w:r w:rsidRPr="007964F3">
        <w:t xml:space="preserve"> we expect </w:t>
      </w:r>
      <w:r>
        <w:t xml:space="preserve">the </w:t>
      </w:r>
      <w:r w:rsidRPr="007964F3">
        <w:t>interaction between terrain and subscriber</w:t>
      </w:r>
      <w:r>
        <w:t>s per MHz to be less important since in these areas of lower subscriber demand the service areas of these sites will more likely be propagation constrained rather than capacity constrained</w:t>
      </w:r>
      <w:r w:rsidRPr="007964F3">
        <w:t xml:space="preserve">. </w:t>
      </w:r>
      <w:r>
        <w:t xml:space="preserve"> </w:t>
      </w:r>
      <w:r w:rsidRPr="007964F3">
        <w:t xml:space="preserve">The estimated model for the </w:t>
      </w:r>
      <w:r>
        <w:t xml:space="preserve">natural logarithm of the expected </w:t>
      </w:r>
      <w:r w:rsidRPr="007964F3">
        <w:t xml:space="preserve">average </w:t>
      </w:r>
      <w:r>
        <w:t>service area</w:t>
      </w:r>
      <w:r w:rsidRPr="007964F3">
        <w:t xml:space="preserve"> </w:t>
      </w:r>
      <w:r>
        <w:t xml:space="preserve">per site </w:t>
      </w:r>
      <w:r w:rsidRPr="007964F3">
        <w:t xml:space="preserve">in county </w:t>
      </w:r>
      <w:r w:rsidRPr="7EBF36DC">
        <w:rPr>
          <w:i/>
          <w:iCs/>
        </w:rPr>
        <w:t>i</w:t>
      </w:r>
      <w:r w:rsidRPr="007964F3">
        <w:t xml:space="preserve"> </w:t>
      </w:r>
      <w:r>
        <w:t>carrier</w:t>
      </w:r>
      <w:r w:rsidRPr="007964F3">
        <w:t xml:space="preserve"> </w:t>
      </w:r>
      <w:r w:rsidRPr="7EBF36DC">
        <w:rPr>
          <w:i/>
          <w:iCs/>
        </w:rPr>
        <w:t>j,</w:t>
      </w:r>
      <w:r w:rsidRPr="007964F3">
        <w:t xml:space="preserve"> in </w:t>
      </w:r>
      <w:r>
        <w:t xml:space="preserve">CMA </w:t>
      </w:r>
      <w:r w:rsidRPr="7EBF36DC">
        <w:rPr>
          <w:i/>
          <w:iCs/>
        </w:rPr>
        <w:t>k,</w:t>
      </w:r>
      <w:r w:rsidRPr="007964F3">
        <w:t xml:space="preserve"> </w:t>
      </w:r>
      <w:r>
        <w:t xml:space="preserve">and state </w:t>
      </w:r>
      <w:r w:rsidRPr="7EBF36DC">
        <w:rPr>
          <w:i/>
          <w:iCs/>
        </w:rPr>
        <w:t xml:space="preserve">m </w:t>
      </w:r>
      <w:r w:rsidRPr="007964F3">
        <w:t>is</w:t>
      </w:r>
      <w:r>
        <w:t xml:space="preserve"> as follows:</w:t>
      </w:r>
    </w:p>
    <w:p w:rsidR="006747B8" w:rsidRPr="00A23B4B" w:rsidP="006747B8" w14:paraId="16FA5D0D" w14:textId="77777777">
      <w:pPr>
        <w:pStyle w:val="ParaNum"/>
        <w:numPr>
          <w:ilvl w:val="0"/>
          <w:numId w:val="0"/>
        </w:numPr>
        <w:spacing w:after="240"/>
      </w:pPr>
      <m:oMathPara>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CoverageAreaPerSite</m:t>
                      </m:r>
                    </m:e>
                    <m:sub>
                      <m:r>
                        <w:rPr>
                          <w:rFonts w:ascii="Cambria Math" w:hAnsi="Cambria Math"/>
                        </w:rPr>
                        <m:t>ijkm</m:t>
                      </m:r>
                    </m:sub>
                  </m:sSub>
                </m:e>
              </m:d>
            </m:e>
          </m:func>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Terrai</m:t>
          </m:r>
          <m:sSub>
            <m:sSubPr>
              <m:ctrlPr>
                <w:rPr>
                  <w:rFonts w:ascii="Cambria Math" w:hAnsi="Cambria Math"/>
                  <w:i/>
                </w:rPr>
              </m:ctrlPr>
            </m:sSubPr>
            <m:e>
              <m:r>
                <w:rPr>
                  <w:rFonts w:ascii="Cambria Math" w:hAnsi="Cambria Math"/>
                </w:rPr>
                <m:t>n</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PopDe</m:t>
          </m:r>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func>
            <m:funcPr>
              <m:ctrlPr>
                <w:rPr>
                  <w:rFonts w:ascii="Cambria Math" w:hAnsi="Cambria Math"/>
                </w:rPr>
              </m:ctrlPr>
            </m:funcPr>
            <m:fName>
              <m:ctrlPr>
                <w:rPr>
                  <w:rFonts w:ascii="Cambria Math" w:hAnsi="Cambria Math"/>
                  <w:i/>
                </w:rPr>
              </m:ctrlPr>
              <m:r>
                <m:rPr>
                  <m:sty m:val="p"/>
                </m:rPr>
                <w:rPr>
                  <w:rFonts w:ascii="Cambria Math" w:hAnsi="Cambria Math"/>
                </w:rPr>
                <m:t>ln</m:t>
              </m:r>
            </m:fName>
            <m:e>
              <m:d>
                <m:dPr>
                  <m:ctrlPr>
                    <w:rPr>
                      <w:rFonts w:ascii="Cambria Math" w:hAnsi="Cambria Math"/>
                      <w:i/>
                    </w:rPr>
                  </m:ctrlPr>
                </m:dPr>
                <m:e>
                  <m:r>
                    <w:rPr>
                      <w:rFonts w:ascii="Cambria Math" w:hAnsi="Cambria Math"/>
                    </w:rPr>
                    <m:t>RMDe</m:t>
                  </m:r>
                  <m:sSub>
                    <m:sSubPr>
                      <m:ctrlPr>
                        <w:rPr>
                          <w:rFonts w:ascii="Cambria Math" w:hAnsi="Cambria Math"/>
                          <w:i/>
                        </w:rPr>
                      </m:ctrlPr>
                    </m:sSubPr>
                    <m:e>
                      <m:r>
                        <w:rPr>
                          <w:rFonts w:ascii="Cambria Math" w:hAnsi="Cambria Math"/>
                        </w:rPr>
                        <m:t>n</m:t>
                      </m:r>
                    </m:e>
                    <m:sub>
                      <m:r>
                        <w:rPr>
                          <w:rFonts w:ascii="Cambria Math" w:hAnsi="Cambria Math"/>
                        </w:rPr>
                        <m:t>i</m:t>
                      </m:r>
                    </m:sub>
                  </m:sSub>
                </m:e>
              </m:d>
            </m:e>
          </m:fun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EstDe</m:t>
                  </m:r>
                  <m:sSub>
                    <m:sSubPr>
                      <m:ctrlPr>
                        <w:rPr>
                          <w:rFonts w:ascii="Cambria Math" w:hAnsi="Cambria Math"/>
                          <w:i/>
                        </w:rPr>
                      </m:ctrlPr>
                    </m:sSubPr>
                    <m:e>
                      <m:r>
                        <w:rPr>
                          <w:rFonts w:ascii="Cambria Math" w:hAnsi="Cambria Math"/>
                        </w:rPr>
                        <m:t>n</m:t>
                      </m:r>
                    </m:e>
                    <m:sub>
                      <m:r>
                        <w:rPr>
                          <w:rFonts w:ascii="Cambria Math" w:hAnsi="Cambria Math"/>
                        </w:rPr>
                        <m:t>i</m:t>
                      </m:r>
                    </m:sub>
                  </m:sSub>
                </m:e>
              </m:d>
            </m:e>
          </m:func>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5</m:t>
              </m:r>
            </m:sub>
          </m:sSub>
          <m:func>
            <m:funcPr>
              <m:ctrlPr>
                <w:rPr>
                  <w:rFonts w:ascii="Cambria Math" w:hAnsi="Cambria Math"/>
                </w:rPr>
              </m:ctrlPr>
            </m:funcPr>
            <m:fName>
              <m:ctrlPr>
                <w:rPr>
                  <w:rFonts w:ascii="Cambria Math" w:hAnsi="Cambria Math"/>
                  <w:i/>
                </w:rPr>
              </m:ctrlPr>
              <m:r>
                <m:rPr>
                  <m:sty m:val="p"/>
                </m:rPr>
                <w:rPr>
                  <w:rFonts w:ascii="Cambria Math" w:hAnsi="Cambria Math"/>
                </w:rPr>
                <m:t>ln</m:t>
              </m:r>
            </m:fName>
            <m:e>
              <m:d>
                <m:dPr>
                  <m:ctrlPr>
                    <w:rPr>
                      <w:rFonts w:ascii="Cambria Math" w:hAnsi="Cambria Math"/>
                      <w:i/>
                    </w:rPr>
                  </m:ctrlPr>
                </m:dPr>
                <m:e>
                  <m:r>
                    <w:rPr>
                      <w:rFonts w:ascii="Cambria Math" w:hAnsi="Cambria Math"/>
                    </w:rPr>
                    <m:t>Incom</m:t>
                  </m:r>
                  <m:sSub>
                    <m:sSubPr>
                      <m:ctrlPr>
                        <w:rPr>
                          <w:rFonts w:ascii="Cambria Math" w:hAnsi="Cambria Math"/>
                          <w:i/>
                        </w:rPr>
                      </m:ctrlPr>
                    </m:sSubPr>
                    <m:e>
                      <m:r>
                        <w:rPr>
                          <w:rFonts w:ascii="Cambria Math" w:hAnsi="Cambria Math"/>
                        </w:rPr>
                        <m:t>e</m:t>
                      </m:r>
                    </m:e>
                    <m:sub>
                      <m:r>
                        <w:rPr>
                          <w:rFonts w:ascii="Cambria Math" w:hAnsi="Cambria Math"/>
                        </w:rPr>
                        <m:t>i</m:t>
                      </m:r>
                    </m:sub>
                  </m:sSub>
                </m:e>
              </m:d>
            </m:e>
          </m:fun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6</m:t>
              </m:r>
            </m:sub>
          </m:sSub>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SubsPerMH</m:t>
                  </m:r>
                  <m:sSub>
                    <m:sSubPr>
                      <m:ctrlPr>
                        <w:rPr>
                          <w:rFonts w:ascii="Cambria Math" w:hAnsi="Cambria Math"/>
                          <w:i/>
                        </w:rPr>
                      </m:ctrlPr>
                    </m:sSubPr>
                    <m:e>
                      <m:r>
                        <w:rPr>
                          <w:rFonts w:ascii="Cambria Math" w:hAnsi="Cambria Math"/>
                        </w:rPr>
                        <m:t>z</m:t>
                      </m:r>
                    </m:e>
                    <m:sub>
                      <m:r>
                        <w:rPr>
                          <w:rFonts w:ascii="Cambria Math" w:hAnsi="Cambria Math"/>
                        </w:rPr>
                        <m:t>jk</m:t>
                      </m:r>
                    </m:sub>
                  </m:sSub>
                </m:e>
              </m:d>
            </m:e>
          </m:fun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7</m:t>
              </m:r>
            </m:sub>
          </m:sSub>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SubsPerMH</m:t>
                  </m:r>
                  <m:sSub>
                    <m:sSubPr>
                      <m:ctrlPr>
                        <w:rPr>
                          <w:rFonts w:ascii="Cambria Math" w:hAnsi="Cambria Math"/>
                          <w:i/>
                        </w:rPr>
                      </m:ctrlPr>
                    </m:sSubPr>
                    <m:e>
                      <m:r>
                        <w:rPr>
                          <w:rFonts w:ascii="Cambria Math" w:hAnsi="Cambria Math"/>
                        </w:rPr>
                        <m:t>z</m:t>
                      </m:r>
                    </m:e>
                    <m:sub>
                      <m:r>
                        <w:rPr>
                          <w:rFonts w:ascii="Cambria Math" w:hAnsi="Cambria Math"/>
                        </w:rPr>
                        <m:t>jk</m:t>
                      </m:r>
                    </m:sub>
                  </m:sSub>
                </m:e>
              </m:d>
            </m:e>
          </m:func>
          <m:r>
            <w:rPr>
              <w:rFonts w:ascii="Cambria Math" w:hAnsi="Cambria Math"/>
            </w:rPr>
            <m:t>X Terrai</m:t>
          </m:r>
          <m:sSub>
            <m:sSubPr>
              <m:ctrlPr>
                <w:rPr>
                  <w:rFonts w:ascii="Cambria Math" w:hAnsi="Cambria Math"/>
                  <w:i/>
                </w:rPr>
              </m:ctrlPr>
            </m:sSubPr>
            <m:e>
              <m:r>
                <w:rPr>
                  <w:rFonts w:ascii="Cambria Math" w:hAnsi="Cambria Math"/>
                </w:rPr>
                <m:t>n</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8</m:t>
              </m:r>
            </m:sub>
          </m:sSub>
          <m:r>
            <w:rPr>
              <w:rFonts w:ascii="Cambria Math" w:hAnsi="Cambria Math"/>
            </w:rPr>
            <m:t>PercAreaLT</m:t>
          </m:r>
          <m:sSub>
            <m:sSubPr>
              <m:ctrlPr>
                <w:rPr>
                  <w:rFonts w:ascii="Cambria Math" w:hAnsi="Cambria Math"/>
                  <w:i/>
                </w:rPr>
              </m:ctrlPr>
            </m:sSubPr>
            <m:e>
              <m:r>
                <w:rPr>
                  <w:rFonts w:ascii="Cambria Math" w:hAnsi="Cambria Math"/>
                </w:rPr>
                <m:t>E</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9</m:t>
              </m:r>
            </m:sub>
          </m:sSub>
          <m:r>
            <w:rPr>
              <w:rFonts w:ascii="Cambria Math" w:hAnsi="Cambria Math"/>
            </w:rPr>
            <m:t>PercAreaFores</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10</m:t>
              </m:r>
            </m:sub>
          </m:sSub>
          <m:r>
            <w:rPr>
              <w:rFonts w:ascii="Cambria Math" w:hAnsi="Cambria Math"/>
            </w:rPr>
            <m:t>LowBan</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11</m:t>
              </m:r>
            </m:sub>
          </m:sSub>
          <m:r>
            <w:rPr>
              <w:rFonts w:ascii="Cambria Math" w:hAnsi="Cambria Math"/>
            </w:rPr>
            <m:t>LowBan</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 PercAreaFores</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12</m:t>
              </m:r>
            </m:sub>
          </m:sSub>
          <m:r>
            <w:rPr>
              <w:rFonts w:ascii="Cambria Math" w:hAnsi="Cambria Math"/>
            </w:rPr>
            <m:t>LowBan</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 Terrai</m:t>
          </m:r>
          <m:sSub>
            <m:sSubPr>
              <m:ctrlPr>
                <w:rPr>
                  <w:rFonts w:ascii="Cambria Math" w:hAnsi="Cambria Math"/>
                  <w:i/>
                </w:rPr>
              </m:ctrlPr>
            </m:sSubPr>
            <m:e>
              <m:r>
                <w:rPr>
                  <w:rFonts w:ascii="Cambria Math" w:hAnsi="Cambria Math"/>
                </w:rPr>
                <m:t>n</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13</m:t>
              </m:r>
            </m:sub>
          </m:sSub>
          <m:func>
            <m:funcPr>
              <m:ctrlPr>
                <w:rPr>
                  <w:rFonts w:ascii="Cambria Math" w:hAnsi="Cambria Math"/>
                </w:rPr>
              </m:ctrlPr>
            </m:funcPr>
            <m:fName>
              <m:ctrlPr>
                <w:rPr>
                  <w:rFonts w:ascii="Cambria Math" w:hAnsi="Cambria Math"/>
                  <w:i/>
                </w:rPr>
              </m:ctrlPr>
              <m:r>
                <m:rPr>
                  <m:sty m:val="p"/>
                </m:rPr>
                <w:rPr>
                  <w:rFonts w:ascii="Cambria Math" w:hAnsi="Cambria Math"/>
                </w:rPr>
                <m:t>ln</m:t>
              </m:r>
            </m:fName>
            <m:e>
              <m:d>
                <m:dPr>
                  <m:ctrlPr>
                    <w:rPr>
                      <w:rFonts w:ascii="Cambria Math" w:hAnsi="Cambria Math"/>
                      <w:i/>
                    </w:rPr>
                  </m:ctrlPr>
                </m:dPr>
                <m:e>
                  <m:r>
                    <w:rPr>
                      <w:rFonts w:ascii="Cambria Math" w:hAnsi="Cambria Math"/>
                    </w:rPr>
                    <m:t>DownSpee</m:t>
                  </m:r>
                  <m:sSub>
                    <m:sSubPr>
                      <m:ctrlPr>
                        <w:rPr>
                          <w:rFonts w:ascii="Cambria Math" w:hAnsi="Cambria Math"/>
                          <w:i/>
                        </w:rPr>
                      </m:ctrlPr>
                    </m:sSubPr>
                    <m:e>
                      <m:r>
                        <w:rPr>
                          <w:rFonts w:ascii="Cambria Math" w:hAnsi="Cambria Math"/>
                        </w:rPr>
                        <m:t>d</m:t>
                      </m:r>
                    </m:e>
                    <m:sub>
                      <m:r>
                        <w:rPr>
                          <w:rFonts w:ascii="Cambria Math" w:hAnsi="Cambria Math"/>
                        </w:rPr>
                        <m:t>ij</m:t>
                      </m:r>
                    </m:sub>
                  </m:sSub>
                </m:e>
              </m:d>
            </m:e>
          </m:fun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14</m:t>
              </m:r>
            </m:sub>
          </m:sSub>
          <m:r>
            <w:rPr>
              <w:rFonts w:ascii="Cambria Math" w:hAnsi="Cambria Math"/>
            </w:rPr>
            <m:t>TowerHeigh</m:t>
          </m:r>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15</m:t>
              </m:r>
            </m:sub>
          </m:sSub>
          <m:r>
            <w:rPr>
              <w:rFonts w:ascii="Cambria Math" w:hAnsi="Cambria Math"/>
            </w:rPr>
            <m:t>Pro</m:t>
          </m:r>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16</m:t>
              </m:r>
            </m:sub>
          </m:sSub>
          <m:r>
            <w:rPr>
              <w:rFonts w:ascii="Cambria Math" w:hAnsi="Cambria Math"/>
            </w:rPr>
            <m:t>Stat</m:t>
          </m:r>
          <m:sSub>
            <m:sSubPr>
              <m:ctrlPr>
                <w:rPr>
                  <w:rFonts w:ascii="Cambria Math" w:hAnsi="Cambria Math"/>
                  <w:i/>
                </w:rPr>
              </m:ctrlPr>
            </m:sSubPr>
            <m:e>
              <m:r>
                <w:rPr>
                  <w:rFonts w:ascii="Cambria Math" w:hAnsi="Cambria Math"/>
                </w:rPr>
                <m:t>e</m:t>
              </m:r>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ij</m:t>
              </m:r>
            </m:sub>
          </m:sSub>
          <m:r>
            <w:rPr>
              <w:rFonts w:ascii="Cambria Math" w:hAnsi="Cambria Math"/>
            </w:rPr>
            <m:t xml:space="preserve"> </m:t>
          </m:r>
        </m:oMath>
      </m:oMathPara>
    </w:p>
    <w:p w:rsidR="006747B8" w:rsidP="000D5763" w14:paraId="1DD087DA" w14:textId="7881B300">
      <w:pPr>
        <w:pStyle w:val="ParaNum"/>
        <w:tabs>
          <w:tab w:val="clear" w:pos="1080"/>
        </w:tabs>
      </w:pPr>
      <w:r>
        <w:t xml:space="preserve">Fig. B-8 shows the regression results from models with and without state fixed effects on the full and population density restricted samples.  The coefficients on nearly all variables are generally consistent with our expectations based on the Friis propagation formula we derived.  The coefficients on both the terrain and the percentage of the county that is forested variables are negative and statistically significant, implying that the average service area of a site decreases as terrain becomes </w:t>
      </w:r>
      <w:r w:rsidR="00BA0CB9">
        <w:t>more mountainous</w:t>
      </w:r>
      <w:r>
        <w:t xml:space="preserve"> and forested.  Similarly, as the number of subscribers per megahertz of spectrum, density of establishments, road miles, or population increases, the expected average area served by a site decreases.  Deploying low band spectrum both increases the expected average service area of a site and reduces the impact of terrain and clutter as shown by the positive sign on the interaction of low band spectrum and these variables.  Finally, the percentage of area covered by </w:t>
      </w:r>
      <w:r w:rsidR="00BA0CB9">
        <w:t xml:space="preserve">4G </w:t>
      </w:r>
      <w:r>
        <w:t>LTE and the income variables are generally insignificant and of indeterminant sign</w:t>
      </w:r>
      <w:r w:rsidR="00414BFB">
        <w:t>.</w:t>
      </w:r>
    </w:p>
    <w:p w:rsidR="006747B8" w:rsidP="00654983" w14:paraId="63F87EA6" w14:textId="77777777">
      <w:pPr>
        <w:pStyle w:val="Heading2"/>
        <w:rPr>
          <w:bCs/>
          <w:szCs w:val="22"/>
        </w:rPr>
      </w:pPr>
      <w:r>
        <w:t>Adjustment Factor Estimates</w:t>
      </w:r>
    </w:p>
    <w:p w:rsidR="006747B8" w:rsidRPr="004523CD" w:rsidP="000D5763" w14:paraId="4F1F98F2" w14:textId="77777777">
      <w:pPr>
        <w:pStyle w:val="ParaNum"/>
        <w:tabs>
          <w:tab w:val="clear" w:pos="1080"/>
        </w:tabs>
      </w:pPr>
      <w:r w:rsidRPr="7EBF36DC">
        <w:t xml:space="preserve">We now predict the average </w:t>
      </w:r>
      <w:r>
        <w:t>service area</w:t>
      </w:r>
      <w:r w:rsidRPr="7EBF36DC">
        <w:t xml:space="preserve"> of a </w:t>
      </w:r>
      <w:r>
        <w:t>site</w:t>
      </w:r>
      <w:r w:rsidRPr="7EBF36DC">
        <w:t xml:space="preserve"> at various levels of terrain variation, setting population density, road mile density, establishment density, and subscribers per megahertz of deployed spectrum at the 5</w:t>
      </w:r>
      <w:r w:rsidRPr="7EBF36DC">
        <w:rPr>
          <w:vertAlign w:val="superscript"/>
        </w:rPr>
        <w:t>th</w:t>
      </w:r>
      <w:r w:rsidRPr="7EBF36DC">
        <w:t xml:space="preserve"> percentile of the estimation sample restricted to less than 100 people per square mile.  We chose to predict at the 5</w:t>
      </w:r>
      <w:r w:rsidRPr="7EBF36DC">
        <w:rPr>
          <w:vertAlign w:val="superscript"/>
        </w:rPr>
        <w:t>th</w:t>
      </w:r>
      <w:r w:rsidRPr="7EBF36DC">
        <w:t xml:space="preserve"> percentiles to remove all potential capacity constraint issues from our estimated </w:t>
      </w:r>
      <w:r>
        <w:t>site</w:t>
      </w:r>
      <w:r w:rsidRPr="7EBF36DC">
        <w:t xml:space="preserve"> </w:t>
      </w:r>
      <w:r>
        <w:t>service area</w:t>
      </w:r>
      <w:r w:rsidRPr="7EBF36DC">
        <w:t>s for each terrain category</w:t>
      </w:r>
      <w:r w:rsidRPr="004523CD">
        <w:rPr>
          <w:szCs w:val="22"/>
        </w:rPr>
        <w:t>.</w:t>
      </w:r>
      <w:r>
        <w:rPr>
          <w:rStyle w:val="FootnoteReference"/>
        </w:rPr>
        <w:footnoteReference w:id="51"/>
      </w:r>
      <w:r w:rsidRPr="004523CD">
        <w:rPr>
          <w:szCs w:val="22"/>
        </w:rPr>
        <w:t xml:space="preserve"> </w:t>
      </w:r>
    </w:p>
    <w:p w:rsidR="006747B8" w:rsidRPr="004523CD" w:rsidP="000D5763" w14:paraId="0A3B524F" w14:textId="77777777">
      <w:pPr>
        <w:pStyle w:val="ParaNum"/>
        <w:tabs>
          <w:tab w:val="clear" w:pos="1080"/>
        </w:tabs>
      </w:pPr>
      <w:r w:rsidRPr="7EBF36DC">
        <w:t xml:space="preserve">The dependent variable in our regression is the natural logarithm of </w:t>
      </w:r>
      <w:r>
        <w:t>service area</w:t>
      </w:r>
      <w:r w:rsidRPr="7EBF36DC">
        <w:t xml:space="preserve"> per </w:t>
      </w:r>
      <w:r>
        <w:t>site</w:t>
      </w:r>
      <w:r w:rsidRPr="7EBF36DC">
        <w:t xml:space="preserve">.  However, in calculating the </w:t>
      </w:r>
      <w:r>
        <w:t>adjustment</w:t>
      </w:r>
      <w:r w:rsidRPr="7EBF36DC">
        <w:t xml:space="preserve"> factor, we are interested in the level of </w:t>
      </w:r>
      <w:r>
        <w:t>service area</w:t>
      </w:r>
      <w:r w:rsidRPr="7EBF36DC">
        <w:t xml:space="preserve"> per </w:t>
      </w:r>
      <w:r>
        <w:t>site</w:t>
      </w:r>
      <w:r w:rsidRPr="7EBF36DC">
        <w:t xml:space="preserve">, not the logarithm of the </w:t>
      </w:r>
      <w:r>
        <w:t>service area</w:t>
      </w:r>
      <w:r w:rsidRPr="7EBF36DC">
        <w:t xml:space="preserve">.  In general, exponentiating the predicted </w:t>
      </w:r>
      <w:r>
        <w:t>service area</w:t>
      </w:r>
      <w:r w:rsidRPr="7EBF36DC">
        <w:t xml:space="preserve">s from the log model will not recover the correct predictions for </w:t>
      </w:r>
      <w:r>
        <w:t>service area</w:t>
      </w:r>
      <w:r w:rsidRPr="7EBF36DC">
        <w:t>s by terrain category.</w:t>
      </w:r>
      <w:r>
        <w:rPr>
          <w:rStyle w:val="FootnoteReference"/>
        </w:rPr>
        <w:footnoteReference w:id="52"/>
      </w:r>
      <w:r w:rsidRPr="7EBF36DC">
        <w:t xml:space="preserve">  As a result, </w:t>
      </w:r>
      <w:r>
        <w:t>when we exponentiate to form predicted service areas per site, we have to account for the expectation of exp[</w:t>
      </w:r>
      <w:r>
        <w:rPr>
          <w:sz w:val="24"/>
          <w:szCs w:val="24"/>
        </w:rPr>
        <w:t>ε</w:t>
      </w:r>
      <w:r>
        <w:t>], or our predicted values for coverage will be biased downward.  We assume that the error term has a log-normal distribution, which gives the following equation for our predicted coverage values</w:t>
      </w:r>
      <w:r w:rsidRPr="004523CD">
        <w:rPr>
          <w:szCs w:val="22"/>
        </w:rPr>
        <w:t>:</w:t>
      </w:r>
      <w:r>
        <w:rPr>
          <w:rStyle w:val="FootnoteReference"/>
        </w:rPr>
        <w:footnoteReference w:id="53"/>
      </w:r>
    </w:p>
    <w:p w:rsidR="006747B8" w:rsidRPr="004523CD" w:rsidP="00E0054E" w14:paraId="20D164BD" w14:textId="77777777">
      <w:pPr>
        <w:pStyle w:val="ParaNum"/>
        <w:numPr>
          <w:ilvl w:val="0"/>
          <w:numId w:val="0"/>
        </w:numPr>
        <w:rPr>
          <w:rFonts w:eastAsiaTheme="minorEastAsia"/>
          <w:szCs w:val="22"/>
        </w:rPr>
      </w:pPr>
      <m:oMathPara>
        <m:oMath>
          <m:acc>
            <m:accPr>
              <m:ctrlPr>
                <w:rPr>
                  <w:rFonts w:ascii="Cambria Math" w:hAnsi="Cambria Math"/>
                  <w:szCs w:val="22"/>
                </w:rPr>
              </m:ctrlPr>
            </m:accPr>
            <m:e>
              <m:r>
                <w:rPr>
                  <w:rFonts w:ascii="Cambria Math" w:hAnsi="Cambria Math"/>
                  <w:szCs w:val="22"/>
                </w:rPr>
                <m:t>y</m:t>
              </m:r>
            </m:e>
          </m:acc>
          <m:r>
            <m:rPr>
              <m:sty m:val="p"/>
            </m:rPr>
            <w:rPr>
              <w:rFonts w:ascii="Cambria Math" w:hAnsi="Cambria Math"/>
              <w:szCs w:val="22"/>
            </w:rPr>
            <m:t>=</m:t>
          </m:r>
          <m:func>
            <m:funcPr>
              <m:ctrlPr>
                <w:rPr>
                  <w:rFonts w:ascii="Cambria Math" w:hAnsi="Cambria Math"/>
                  <w:szCs w:val="22"/>
                </w:rPr>
              </m:ctrlPr>
            </m:funcPr>
            <m:fName>
              <m:r>
                <m:rPr>
                  <m:sty m:val="p"/>
                </m:rPr>
                <w:rPr>
                  <w:rFonts w:ascii="Cambria Math" w:hAnsi="Cambria Math"/>
                  <w:szCs w:val="22"/>
                </w:rPr>
                <m:t>exp</m:t>
              </m:r>
            </m:fName>
            <m:e>
              <m:d>
                <m:dPr>
                  <m:ctrlPr>
                    <w:rPr>
                      <w:rFonts w:ascii="Cambria Math" w:hAnsi="Cambria Math"/>
                      <w:szCs w:val="22"/>
                    </w:rPr>
                  </m:ctrlPr>
                </m:dPr>
                <m:e>
                  <m:acc>
                    <m:accPr>
                      <m:ctrlPr>
                        <w:rPr>
                          <w:rFonts w:ascii="Cambria Math" w:hAnsi="Cambria Math"/>
                          <w:i/>
                          <w:szCs w:val="22"/>
                        </w:rPr>
                      </m:ctrlPr>
                    </m:accPr>
                    <m:e>
                      <m:r>
                        <w:rPr>
                          <w:rFonts w:ascii="Cambria Math" w:hAnsi="Cambria Math"/>
                          <w:szCs w:val="22"/>
                        </w:rPr>
                        <m:t>logy</m:t>
                      </m:r>
                    </m:e>
                  </m:acc>
                </m:e>
              </m:d>
            </m:e>
          </m:func>
          <m:r>
            <m:rPr>
              <m:sty m:val="p"/>
            </m:rPr>
            <w:rPr>
              <w:rFonts w:ascii="Cambria Math" w:hAnsi="Cambria Math"/>
              <w:szCs w:val="22"/>
            </w:rPr>
            <m:t>*exp⁡(0.5*</m:t>
          </m:r>
          <m:sSup>
            <m:sSupPr>
              <m:ctrlPr>
                <w:rPr>
                  <w:rFonts w:ascii="Cambria Math" w:hAnsi="Cambria Math"/>
                  <w:szCs w:val="22"/>
                </w:rPr>
              </m:ctrlPr>
            </m:sSupPr>
            <m:e>
              <m:r>
                <w:rPr>
                  <w:rFonts w:ascii="Cambria Math" w:hAnsi="Cambria Math"/>
                  <w:szCs w:val="22"/>
                </w:rPr>
                <m:t>σ</m:t>
              </m:r>
            </m:e>
            <m:sup>
              <m:r>
                <m:rPr>
                  <m:sty m:val="p"/>
                </m:rPr>
                <w:rPr>
                  <w:rFonts w:ascii="Cambria Math" w:hAnsi="Cambria Math"/>
                  <w:szCs w:val="22"/>
                </w:rPr>
                <m:t>2</m:t>
              </m:r>
            </m:sup>
          </m:sSup>
          <m:r>
            <m:rPr>
              <m:sty m:val="p"/>
            </m:rPr>
            <w:rPr>
              <w:rFonts w:ascii="Cambria Math" w:hAnsi="Cambria Math"/>
              <w:szCs w:val="22"/>
            </w:rPr>
            <m:t>)</m:t>
          </m:r>
        </m:oMath>
      </m:oMathPara>
    </w:p>
    <w:p w:rsidR="006747B8" w:rsidP="006747B8" w14:paraId="1C125771" w14:textId="77777777">
      <w:pPr>
        <w:pStyle w:val="ParaNum"/>
        <w:numPr>
          <w:ilvl w:val="0"/>
          <w:numId w:val="0"/>
        </w:numPr>
        <w:rPr>
          <w:rFonts w:eastAsiaTheme="minorEastAsia"/>
          <w:szCs w:val="22"/>
        </w:rPr>
      </w:pPr>
      <w:r>
        <w:rPr>
          <w:rFonts w:eastAsiaTheme="minorEastAsia"/>
          <w:szCs w:val="22"/>
        </w:rPr>
        <w:t>w</w:t>
      </w:r>
      <w:r w:rsidRPr="004523CD">
        <w:rPr>
          <w:rFonts w:eastAsiaTheme="minorEastAsia"/>
          <w:szCs w:val="22"/>
        </w:rPr>
        <w:t xml:space="preserve">here </w:t>
      </w:r>
      <m:oMath>
        <m:acc>
          <m:accPr>
            <m:ctrlPr>
              <w:rPr>
                <w:rFonts w:ascii="Cambria Math" w:hAnsi="Cambria Math"/>
                <w:i/>
                <w:szCs w:val="22"/>
              </w:rPr>
            </m:ctrlPr>
          </m:accPr>
          <m:e>
            <m:r>
              <w:rPr>
                <w:rFonts w:ascii="Cambria Math" w:hAnsi="Cambria Math"/>
                <w:szCs w:val="22"/>
              </w:rPr>
              <m:t>logy</m:t>
            </m:r>
          </m:e>
        </m:acc>
      </m:oMath>
      <w:r w:rsidRPr="004523CD">
        <w:rPr>
          <w:rFonts w:eastAsiaTheme="minorEastAsia"/>
          <w:szCs w:val="22"/>
        </w:rPr>
        <w:t xml:space="preserve"> is the predicted </w:t>
      </w:r>
      <w:r>
        <w:rPr>
          <w:rFonts w:eastAsiaTheme="minorEastAsia"/>
          <w:szCs w:val="22"/>
        </w:rPr>
        <w:t>logarithm of</w:t>
      </w:r>
      <w:r w:rsidRPr="004523CD">
        <w:rPr>
          <w:rFonts w:eastAsiaTheme="minorEastAsia"/>
          <w:szCs w:val="22"/>
        </w:rPr>
        <w:t xml:space="preserve"> </w:t>
      </w:r>
      <w:r>
        <w:rPr>
          <w:rFonts w:eastAsiaTheme="minorEastAsia"/>
          <w:szCs w:val="22"/>
        </w:rPr>
        <w:t>average county service area</w:t>
      </w:r>
      <w:r w:rsidRPr="004523CD">
        <w:rPr>
          <w:rFonts w:eastAsiaTheme="minorEastAsia"/>
          <w:szCs w:val="22"/>
        </w:rPr>
        <w:t xml:space="preserve"> </w:t>
      </w:r>
      <w:r>
        <w:rPr>
          <w:rFonts w:eastAsiaTheme="minorEastAsia"/>
          <w:szCs w:val="22"/>
        </w:rPr>
        <w:t xml:space="preserve">for each carrier </w:t>
      </w:r>
      <w:r w:rsidRPr="004523CD">
        <w:rPr>
          <w:rFonts w:eastAsiaTheme="minorEastAsia"/>
          <w:szCs w:val="22"/>
        </w:rPr>
        <w:t>and σ</w:t>
      </w:r>
      <w:r w:rsidRPr="004523CD">
        <w:rPr>
          <w:rFonts w:eastAsiaTheme="minorEastAsia"/>
          <w:szCs w:val="22"/>
          <w:vertAlign w:val="superscript"/>
        </w:rPr>
        <w:t>2</w:t>
      </w:r>
      <w:r w:rsidRPr="004523CD">
        <w:rPr>
          <w:rFonts w:eastAsiaTheme="minorEastAsia"/>
          <w:szCs w:val="22"/>
        </w:rPr>
        <w:t xml:space="preserve"> is the root mean squared error (RMSE) of the model. </w:t>
      </w:r>
    </w:p>
    <w:p w:rsidR="006747B8" w:rsidP="000D5763" w14:paraId="06B1470C" w14:textId="77777777">
      <w:pPr>
        <w:pStyle w:val="ParaNum"/>
        <w:tabs>
          <w:tab w:val="clear" w:pos="1080"/>
        </w:tabs>
        <w:rPr>
          <w:rFonts w:eastAsiaTheme="minorEastAsia"/>
        </w:rPr>
      </w:pPr>
      <w:r w:rsidRPr="7EBF36DC">
        <w:rPr>
          <w:rFonts w:eastAsiaTheme="minorEastAsia"/>
        </w:rPr>
        <w:t>Fig. B</w:t>
      </w:r>
      <w:r>
        <w:rPr>
          <w:rFonts w:eastAsiaTheme="minorEastAsia"/>
        </w:rPr>
        <w:t>-9</w:t>
      </w:r>
      <w:r w:rsidRPr="7EBF36DC">
        <w:rPr>
          <w:rFonts w:eastAsiaTheme="minorEastAsia"/>
        </w:rPr>
        <w:t xml:space="preserve"> shows the predicted </w:t>
      </w:r>
      <w:r>
        <w:rPr>
          <w:rFonts w:eastAsiaTheme="minorEastAsia"/>
        </w:rPr>
        <w:t>service area</w:t>
      </w:r>
      <w:r w:rsidRPr="7EBF36DC">
        <w:rPr>
          <w:rFonts w:eastAsiaTheme="minorEastAsia"/>
        </w:rPr>
        <w:t>s from each specification</w:t>
      </w:r>
      <w:r w:rsidRPr="101A29A3">
        <w:rPr>
          <w:rFonts w:eastAsiaTheme="minorEastAsia"/>
        </w:rPr>
        <w:t>,</w:t>
      </w:r>
      <w:r w:rsidRPr="7EBF36DC">
        <w:rPr>
          <w:rFonts w:eastAsiaTheme="minorEastAsia"/>
        </w:rPr>
        <w:t xml:space="preserve"> the implied radii, </w:t>
      </w:r>
      <w:r w:rsidRPr="101A29A3">
        <w:rPr>
          <w:rFonts w:eastAsiaTheme="minorEastAsia"/>
        </w:rPr>
        <w:t xml:space="preserve">and </w:t>
      </w:r>
      <w:r>
        <w:rPr>
          <w:rFonts w:eastAsiaTheme="minorEastAsia"/>
        </w:rPr>
        <w:t xml:space="preserve">adjustment </w:t>
      </w:r>
      <w:r w:rsidRPr="7EBF36DC">
        <w:rPr>
          <w:rFonts w:eastAsiaTheme="minorEastAsia"/>
        </w:rPr>
        <w:t>factors and their 95% confidence intervals.</w:t>
      </w:r>
      <w:r>
        <w:rPr>
          <w:rStyle w:val="FootnoteReference"/>
          <w:rFonts w:eastAsiaTheme="minorEastAsia"/>
        </w:rPr>
        <w:footnoteReference w:id="54"/>
      </w:r>
      <w:r w:rsidRPr="7EBF36DC">
        <w:rPr>
          <w:rFonts w:eastAsiaTheme="minorEastAsia"/>
        </w:rPr>
        <w:t xml:space="preserve">  Our eight specifications produce consistent </w:t>
      </w:r>
      <w:r>
        <w:rPr>
          <w:rFonts w:eastAsiaTheme="minorEastAsia"/>
        </w:rPr>
        <w:t xml:space="preserve">adjustment </w:t>
      </w:r>
      <w:r w:rsidRPr="7EBF36DC">
        <w:rPr>
          <w:rFonts w:eastAsiaTheme="minorEastAsia"/>
        </w:rPr>
        <w:t xml:space="preserve">factors ranging from 2.13 to 2.96 for </w:t>
      </w:r>
      <w:r>
        <w:rPr>
          <w:rFonts w:eastAsiaTheme="minorEastAsia"/>
        </w:rPr>
        <w:t>the mountainous</w:t>
      </w:r>
      <w:r w:rsidRPr="7EBF36DC">
        <w:rPr>
          <w:rFonts w:eastAsiaTheme="minorEastAsia"/>
        </w:rPr>
        <w:t xml:space="preserve"> terrain</w:t>
      </w:r>
      <w:r>
        <w:rPr>
          <w:rFonts w:eastAsiaTheme="minorEastAsia"/>
        </w:rPr>
        <w:t xml:space="preserve"> category, and our preferred specifications that restrict population density all produce mountainous adjustment factors of 2.49 or greater</w:t>
      </w:r>
      <w:r w:rsidRPr="7EBF36DC">
        <w:rPr>
          <w:rFonts w:eastAsiaTheme="minorEastAsia"/>
        </w:rPr>
        <w:t xml:space="preserve">.  For example, for our specification that includes state fixed effects and limits the sample to less than 20 people per square mile (bottom right panel), the high </w:t>
      </w:r>
      <w:r>
        <w:rPr>
          <w:rFonts w:eastAsiaTheme="minorEastAsia"/>
        </w:rPr>
        <w:t>adjustment factor</w:t>
      </w:r>
      <w:r w:rsidRPr="7EBF36DC">
        <w:rPr>
          <w:rFonts w:eastAsiaTheme="minorEastAsia"/>
        </w:rPr>
        <w:t xml:space="preserve"> implies that a </w:t>
      </w:r>
      <w:r>
        <w:rPr>
          <w:rFonts w:eastAsiaTheme="minorEastAsia"/>
        </w:rPr>
        <w:t>site</w:t>
      </w:r>
      <w:r w:rsidRPr="7EBF36DC">
        <w:rPr>
          <w:rFonts w:eastAsiaTheme="minorEastAsia"/>
        </w:rPr>
        <w:t xml:space="preserve"> in flat terrain (10m) can cover 2.96 times more area on average than the average land area covered by a </w:t>
      </w:r>
      <w:r>
        <w:rPr>
          <w:rFonts w:eastAsiaTheme="minorEastAsia"/>
        </w:rPr>
        <w:t>site</w:t>
      </w:r>
      <w:r w:rsidRPr="7EBF36DC">
        <w:rPr>
          <w:rFonts w:eastAsiaTheme="minorEastAsia"/>
        </w:rPr>
        <w:t xml:space="preserve"> in a </w:t>
      </w:r>
      <w:r>
        <w:rPr>
          <w:rFonts w:eastAsiaTheme="minorEastAsia"/>
        </w:rPr>
        <w:t>mountainous</w:t>
      </w:r>
      <w:r w:rsidRPr="7EBF36DC">
        <w:rPr>
          <w:rFonts w:eastAsiaTheme="minorEastAsia"/>
        </w:rPr>
        <w:t xml:space="preserve"> area (150m).</w:t>
      </w:r>
    </w:p>
    <w:p w:rsidR="006747B8" w:rsidP="000D5763" w14:paraId="59FF454A" w14:textId="197DF3D3">
      <w:pPr>
        <w:pStyle w:val="ParaNum"/>
        <w:widowControl/>
        <w:tabs>
          <w:tab w:val="clear" w:pos="1080"/>
        </w:tabs>
      </w:pPr>
      <w:r>
        <w:t xml:space="preserve">Using county level coverage and site data from each of the four largest carriers, we calculated adjustment factors based on a model that estimates how the average service area of a site changes according to the terrain of the surrounding area.  If deployment costs are not affected by terrain, then our estimated adjustment factors will measure the cost differences of deploying a wireless network across terrain types.  However, deployment costs most likely differ across terrain types, and therefore, our adjustment factors may not fully capture the cost differences.  The direction of this bias is unclear.  On the one hand, backhaul, power, and siting costs may be more expensive in </w:t>
      </w:r>
      <w:r w:rsidR="004D437E">
        <w:t>hillier</w:t>
      </w:r>
      <w:r>
        <w:t xml:space="preserve"> terrain compared to </w:t>
      </w:r>
      <w:r w:rsidR="00BA0CB9">
        <w:t xml:space="preserve">flatter </w:t>
      </w:r>
      <w:r>
        <w:t xml:space="preserve">areas.  On the other hand, spectrum acquisition costs may be lower in mountainous areas compared to flatter, more populated areas.  While the former considerations would imply that we are understating our adjustment factors, the latter would imply they are overstated.  Despite this issue, we believe that our results can help inform the Commission regarding the magnitude of cost differences of deploying mobile </w:t>
      </w:r>
      <w:r>
        <w:t xml:space="preserve">broadband services in different terrain types and provide the Commission with further evidence on what adjustment factors may be appropriate for the upcoming 5G Fund auction. </w:t>
      </w:r>
    </w:p>
    <w:p w:rsidR="000D5763" w:rsidRPr="000D5763" w:rsidP="000D5763" w14:paraId="4D211CC7" w14:textId="33C841E5">
      <w:pPr>
        <w:keepNext/>
        <w:keepLines/>
        <w:spacing w:before="120" w:after="120"/>
        <w:jc w:val="center"/>
        <w:rPr>
          <w:b/>
          <w:bCs/>
          <w:sz w:val="22"/>
          <w:szCs w:val="22"/>
        </w:rPr>
      </w:pPr>
      <w:r w:rsidRPr="000D5763">
        <w:rPr>
          <w:b/>
          <w:bCs/>
          <w:sz w:val="22"/>
          <w:szCs w:val="22"/>
        </w:rPr>
        <w:t>Fig. B-6: Summary Statistics by Population Density Subsample</w:t>
      </w:r>
    </w:p>
    <w:tbl>
      <w:tblPr>
        <w:tblW w:w="10080" w:type="dxa"/>
        <w:tblInd w:w="-360" w:type="dxa"/>
        <w:tblLook w:val="04A0"/>
      </w:tblPr>
      <w:tblGrid>
        <w:gridCol w:w="2340"/>
        <w:gridCol w:w="576"/>
        <w:gridCol w:w="665"/>
        <w:gridCol w:w="647"/>
        <w:gridCol w:w="647"/>
        <w:gridCol w:w="647"/>
        <w:gridCol w:w="665"/>
        <w:gridCol w:w="647"/>
        <w:gridCol w:w="647"/>
        <w:gridCol w:w="676"/>
        <w:gridCol w:w="675"/>
        <w:gridCol w:w="675"/>
        <w:gridCol w:w="601"/>
      </w:tblGrid>
      <w:tr w14:paraId="311FA476" w14:textId="77777777" w:rsidTr="00F2512B">
        <w:tblPrEx>
          <w:tblW w:w="10080" w:type="dxa"/>
          <w:tblInd w:w="-360" w:type="dxa"/>
          <w:tblLook w:val="04A0"/>
        </w:tblPrEx>
        <w:trPr>
          <w:cantSplit/>
        </w:trPr>
        <w:tc>
          <w:tcPr>
            <w:tcW w:w="2340" w:type="dxa"/>
            <w:vMerge w:val="restart"/>
            <w:tcBorders>
              <w:top w:val="double" w:sz="6" w:space="0" w:color="auto"/>
              <w:left w:val="nil"/>
              <w:bottom w:val="single" w:sz="4" w:space="0" w:color="000000"/>
              <w:right w:val="nil"/>
            </w:tcBorders>
            <w:shd w:val="clear" w:color="000000" w:fill="FFFFFF"/>
            <w:noWrap/>
            <w:hideMark/>
          </w:tcPr>
          <w:p w:rsidR="001D2F2B" w:rsidP="00F2512B" w14:paraId="7806AE56" w14:textId="77777777">
            <w:pPr>
              <w:spacing w:after="80"/>
              <w:rPr>
                <w:color w:val="000000"/>
                <w:sz w:val="16"/>
                <w:szCs w:val="16"/>
              </w:rPr>
            </w:pPr>
            <w:r>
              <w:rPr>
                <w:color w:val="000000"/>
                <w:sz w:val="16"/>
                <w:szCs w:val="16"/>
              </w:rPr>
              <w:t> </w:t>
            </w:r>
          </w:p>
        </w:tc>
        <w:tc>
          <w:tcPr>
            <w:tcW w:w="2507" w:type="dxa"/>
            <w:gridSpan w:val="4"/>
            <w:tcBorders>
              <w:top w:val="double" w:sz="6" w:space="0" w:color="auto"/>
              <w:left w:val="nil"/>
              <w:bottom w:val="single" w:sz="4" w:space="0" w:color="auto"/>
              <w:right w:val="nil"/>
            </w:tcBorders>
            <w:shd w:val="clear" w:color="000000" w:fill="FFFFFF"/>
            <w:noWrap/>
            <w:hideMark/>
          </w:tcPr>
          <w:p w:rsidR="001D2F2B" w:rsidP="00F2512B" w14:paraId="335B079D" w14:textId="77777777">
            <w:pPr>
              <w:spacing w:after="80"/>
              <w:jc w:val="center"/>
              <w:rPr>
                <w:color w:val="000000"/>
                <w:sz w:val="16"/>
                <w:szCs w:val="16"/>
              </w:rPr>
            </w:pPr>
            <w:r>
              <w:rPr>
                <w:color w:val="000000"/>
                <w:sz w:val="16"/>
                <w:szCs w:val="16"/>
              </w:rPr>
              <w:t>Mean</w:t>
            </w:r>
          </w:p>
        </w:tc>
        <w:tc>
          <w:tcPr>
            <w:tcW w:w="2606" w:type="dxa"/>
            <w:gridSpan w:val="4"/>
            <w:tcBorders>
              <w:top w:val="double" w:sz="6" w:space="0" w:color="auto"/>
              <w:left w:val="nil"/>
              <w:bottom w:val="single" w:sz="4" w:space="0" w:color="auto"/>
              <w:right w:val="nil"/>
            </w:tcBorders>
            <w:shd w:val="clear" w:color="000000" w:fill="FFFFFF"/>
            <w:noWrap/>
            <w:hideMark/>
          </w:tcPr>
          <w:p w:rsidR="001D2F2B" w:rsidP="00F2512B" w14:paraId="463FDAF1" w14:textId="77777777">
            <w:pPr>
              <w:spacing w:after="80"/>
              <w:jc w:val="center"/>
              <w:rPr>
                <w:color w:val="000000"/>
                <w:sz w:val="16"/>
                <w:szCs w:val="16"/>
              </w:rPr>
            </w:pPr>
            <w:r>
              <w:rPr>
                <w:color w:val="000000"/>
                <w:sz w:val="16"/>
                <w:szCs w:val="16"/>
              </w:rPr>
              <w:t>Minimum</w:t>
            </w:r>
          </w:p>
        </w:tc>
        <w:tc>
          <w:tcPr>
            <w:tcW w:w="2627" w:type="dxa"/>
            <w:gridSpan w:val="4"/>
            <w:tcBorders>
              <w:top w:val="double" w:sz="6" w:space="0" w:color="auto"/>
              <w:left w:val="nil"/>
              <w:bottom w:val="single" w:sz="4" w:space="0" w:color="auto"/>
              <w:right w:val="nil"/>
            </w:tcBorders>
            <w:shd w:val="clear" w:color="000000" w:fill="FFFFFF"/>
            <w:noWrap/>
            <w:hideMark/>
          </w:tcPr>
          <w:p w:rsidR="001D2F2B" w:rsidP="00F2512B" w14:paraId="1ABF1F47" w14:textId="77777777">
            <w:pPr>
              <w:spacing w:after="80"/>
              <w:jc w:val="center"/>
              <w:rPr>
                <w:color w:val="000000"/>
                <w:sz w:val="16"/>
                <w:szCs w:val="16"/>
              </w:rPr>
            </w:pPr>
            <w:r>
              <w:rPr>
                <w:color w:val="000000"/>
                <w:sz w:val="16"/>
                <w:szCs w:val="16"/>
              </w:rPr>
              <w:t>Maximum</w:t>
            </w:r>
          </w:p>
        </w:tc>
      </w:tr>
      <w:tr w14:paraId="4C498397" w14:textId="77777777" w:rsidTr="00F2512B">
        <w:tblPrEx>
          <w:tblW w:w="10080" w:type="dxa"/>
          <w:tblInd w:w="-360" w:type="dxa"/>
          <w:tblLook w:val="04A0"/>
        </w:tblPrEx>
        <w:trPr>
          <w:cantSplit/>
        </w:trPr>
        <w:tc>
          <w:tcPr>
            <w:tcW w:w="2340" w:type="dxa"/>
            <w:vMerge/>
            <w:tcBorders>
              <w:top w:val="double" w:sz="6" w:space="0" w:color="auto"/>
              <w:left w:val="nil"/>
              <w:bottom w:val="single" w:sz="4" w:space="0" w:color="000000"/>
              <w:right w:val="nil"/>
            </w:tcBorders>
            <w:hideMark/>
          </w:tcPr>
          <w:p w:rsidR="001D2F2B" w:rsidP="00F2512B" w14:paraId="25F50927" w14:textId="77777777">
            <w:pPr>
              <w:spacing w:after="80"/>
              <w:rPr>
                <w:color w:val="000000"/>
                <w:sz w:val="16"/>
                <w:szCs w:val="16"/>
              </w:rPr>
            </w:pPr>
          </w:p>
        </w:tc>
        <w:tc>
          <w:tcPr>
            <w:tcW w:w="548" w:type="dxa"/>
            <w:tcBorders>
              <w:top w:val="nil"/>
              <w:left w:val="nil"/>
              <w:bottom w:val="single" w:sz="4" w:space="0" w:color="auto"/>
              <w:right w:val="nil"/>
            </w:tcBorders>
            <w:shd w:val="clear" w:color="000000" w:fill="FFFFFF"/>
            <w:noWrap/>
            <w:hideMark/>
          </w:tcPr>
          <w:p w:rsidR="001D2F2B" w:rsidP="00F2512B" w14:paraId="446CDF2E" w14:textId="77777777">
            <w:pPr>
              <w:spacing w:after="80"/>
              <w:jc w:val="center"/>
              <w:rPr>
                <w:color w:val="000000"/>
                <w:sz w:val="16"/>
                <w:szCs w:val="16"/>
              </w:rPr>
            </w:pPr>
            <w:r>
              <w:rPr>
                <w:color w:val="000000"/>
                <w:sz w:val="16"/>
                <w:szCs w:val="16"/>
              </w:rPr>
              <w:t>None</w:t>
            </w:r>
          </w:p>
        </w:tc>
        <w:tc>
          <w:tcPr>
            <w:tcW w:w="665" w:type="dxa"/>
            <w:tcBorders>
              <w:top w:val="nil"/>
              <w:left w:val="nil"/>
              <w:bottom w:val="single" w:sz="4" w:space="0" w:color="auto"/>
              <w:right w:val="nil"/>
            </w:tcBorders>
            <w:shd w:val="clear" w:color="000000" w:fill="FFFFFF"/>
            <w:noWrap/>
            <w:hideMark/>
          </w:tcPr>
          <w:p w:rsidR="001D2F2B" w:rsidP="00F2512B" w14:paraId="1FBAC287" w14:textId="77777777">
            <w:pPr>
              <w:spacing w:after="80"/>
              <w:jc w:val="center"/>
              <w:rPr>
                <w:color w:val="000000"/>
                <w:sz w:val="16"/>
                <w:szCs w:val="16"/>
              </w:rPr>
            </w:pPr>
            <w:r>
              <w:rPr>
                <w:color w:val="000000"/>
                <w:sz w:val="16"/>
                <w:szCs w:val="16"/>
              </w:rPr>
              <w:t>&lt; 100</w:t>
            </w:r>
          </w:p>
        </w:tc>
        <w:tc>
          <w:tcPr>
            <w:tcW w:w="647" w:type="dxa"/>
            <w:tcBorders>
              <w:top w:val="nil"/>
              <w:left w:val="nil"/>
              <w:bottom w:val="single" w:sz="4" w:space="0" w:color="auto"/>
              <w:right w:val="nil"/>
            </w:tcBorders>
            <w:shd w:val="clear" w:color="000000" w:fill="FFFFFF"/>
            <w:noWrap/>
            <w:hideMark/>
          </w:tcPr>
          <w:p w:rsidR="001D2F2B" w:rsidP="00F2512B" w14:paraId="5AC56E36" w14:textId="77777777">
            <w:pPr>
              <w:spacing w:after="80"/>
              <w:jc w:val="center"/>
              <w:rPr>
                <w:color w:val="000000"/>
                <w:sz w:val="16"/>
                <w:szCs w:val="16"/>
              </w:rPr>
            </w:pPr>
            <w:r>
              <w:rPr>
                <w:color w:val="000000"/>
                <w:sz w:val="16"/>
                <w:szCs w:val="16"/>
              </w:rPr>
              <w:t>&lt; 50</w:t>
            </w:r>
          </w:p>
        </w:tc>
        <w:tc>
          <w:tcPr>
            <w:tcW w:w="647" w:type="dxa"/>
            <w:tcBorders>
              <w:top w:val="nil"/>
              <w:left w:val="nil"/>
              <w:bottom w:val="single" w:sz="4" w:space="0" w:color="auto"/>
              <w:right w:val="nil"/>
            </w:tcBorders>
            <w:shd w:val="clear" w:color="000000" w:fill="FFFFFF"/>
            <w:noWrap/>
            <w:hideMark/>
          </w:tcPr>
          <w:p w:rsidR="001D2F2B" w:rsidP="00F2512B" w14:paraId="6321FE28" w14:textId="77777777">
            <w:pPr>
              <w:spacing w:after="80"/>
              <w:jc w:val="center"/>
              <w:rPr>
                <w:color w:val="000000"/>
                <w:sz w:val="16"/>
                <w:szCs w:val="16"/>
              </w:rPr>
            </w:pPr>
            <w:r>
              <w:rPr>
                <w:color w:val="000000"/>
                <w:sz w:val="16"/>
                <w:szCs w:val="16"/>
              </w:rPr>
              <w:t>&lt; 20</w:t>
            </w:r>
          </w:p>
        </w:tc>
        <w:tc>
          <w:tcPr>
            <w:tcW w:w="647" w:type="dxa"/>
            <w:tcBorders>
              <w:top w:val="nil"/>
              <w:left w:val="nil"/>
              <w:bottom w:val="single" w:sz="4" w:space="0" w:color="auto"/>
              <w:right w:val="nil"/>
            </w:tcBorders>
            <w:shd w:val="clear" w:color="000000" w:fill="FFFFFF"/>
            <w:noWrap/>
            <w:hideMark/>
          </w:tcPr>
          <w:p w:rsidR="001D2F2B" w:rsidP="00F2512B" w14:paraId="2A203DFE" w14:textId="77777777">
            <w:pPr>
              <w:spacing w:after="80"/>
              <w:jc w:val="center"/>
              <w:rPr>
                <w:color w:val="000000"/>
                <w:sz w:val="16"/>
                <w:szCs w:val="16"/>
              </w:rPr>
            </w:pPr>
            <w:r>
              <w:rPr>
                <w:color w:val="000000"/>
                <w:sz w:val="16"/>
                <w:szCs w:val="16"/>
              </w:rPr>
              <w:t>None</w:t>
            </w:r>
          </w:p>
        </w:tc>
        <w:tc>
          <w:tcPr>
            <w:tcW w:w="665" w:type="dxa"/>
            <w:tcBorders>
              <w:top w:val="nil"/>
              <w:left w:val="nil"/>
              <w:bottom w:val="single" w:sz="4" w:space="0" w:color="auto"/>
              <w:right w:val="nil"/>
            </w:tcBorders>
            <w:shd w:val="clear" w:color="000000" w:fill="FFFFFF"/>
            <w:noWrap/>
            <w:hideMark/>
          </w:tcPr>
          <w:p w:rsidR="001D2F2B" w:rsidP="00F2512B" w14:paraId="31F6FD9C" w14:textId="77777777">
            <w:pPr>
              <w:spacing w:after="80"/>
              <w:jc w:val="center"/>
              <w:rPr>
                <w:color w:val="000000"/>
                <w:sz w:val="16"/>
                <w:szCs w:val="16"/>
              </w:rPr>
            </w:pPr>
            <w:r>
              <w:rPr>
                <w:color w:val="000000"/>
                <w:sz w:val="16"/>
                <w:szCs w:val="16"/>
              </w:rPr>
              <w:t>&lt; 100</w:t>
            </w:r>
          </w:p>
        </w:tc>
        <w:tc>
          <w:tcPr>
            <w:tcW w:w="647" w:type="dxa"/>
            <w:tcBorders>
              <w:top w:val="nil"/>
              <w:left w:val="nil"/>
              <w:bottom w:val="single" w:sz="4" w:space="0" w:color="auto"/>
              <w:right w:val="nil"/>
            </w:tcBorders>
            <w:shd w:val="clear" w:color="000000" w:fill="FFFFFF"/>
            <w:noWrap/>
            <w:hideMark/>
          </w:tcPr>
          <w:p w:rsidR="001D2F2B" w:rsidP="00F2512B" w14:paraId="6B6C1652" w14:textId="77777777">
            <w:pPr>
              <w:spacing w:after="80"/>
              <w:jc w:val="center"/>
              <w:rPr>
                <w:color w:val="000000"/>
                <w:sz w:val="16"/>
                <w:szCs w:val="16"/>
              </w:rPr>
            </w:pPr>
            <w:r>
              <w:rPr>
                <w:color w:val="000000"/>
                <w:sz w:val="16"/>
                <w:szCs w:val="16"/>
              </w:rPr>
              <w:t>&lt; 50</w:t>
            </w:r>
          </w:p>
        </w:tc>
        <w:tc>
          <w:tcPr>
            <w:tcW w:w="647" w:type="dxa"/>
            <w:tcBorders>
              <w:top w:val="nil"/>
              <w:left w:val="nil"/>
              <w:bottom w:val="single" w:sz="4" w:space="0" w:color="auto"/>
              <w:right w:val="nil"/>
            </w:tcBorders>
            <w:shd w:val="clear" w:color="000000" w:fill="FFFFFF"/>
            <w:noWrap/>
            <w:hideMark/>
          </w:tcPr>
          <w:p w:rsidR="001D2F2B" w:rsidP="00F2512B" w14:paraId="2CA14106" w14:textId="77777777">
            <w:pPr>
              <w:spacing w:after="80"/>
              <w:jc w:val="center"/>
              <w:rPr>
                <w:color w:val="000000"/>
                <w:sz w:val="16"/>
                <w:szCs w:val="16"/>
              </w:rPr>
            </w:pPr>
            <w:r>
              <w:rPr>
                <w:color w:val="000000"/>
                <w:sz w:val="16"/>
                <w:szCs w:val="16"/>
              </w:rPr>
              <w:t>&lt; 20</w:t>
            </w:r>
          </w:p>
        </w:tc>
        <w:tc>
          <w:tcPr>
            <w:tcW w:w="676" w:type="dxa"/>
            <w:tcBorders>
              <w:top w:val="nil"/>
              <w:left w:val="nil"/>
              <w:bottom w:val="single" w:sz="4" w:space="0" w:color="auto"/>
              <w:right w:val="nil"/>
            </w:tcBorders>
            <w:shd w:val="clear" w:color="000000" w:fill="FFFFFF"/>
            <w:noWrap/>
            <w:hideMark/>
          </w:tcPr>
          <w:p w:rsidR="001D2F2B" w:rsidP="00F2512B" w14:paraId="4148591F" w14:textId="77777777">
            <w:pPr>
              <w:spacing w:after="80"/>
              <w:jc w:val="center"/>
              <w:rPr>
                <w:color w:val="000000"/>
                <w:sz w:val="16"/>
                <w:szCs w:val="16"/>
              </w:rPr>
            </w:pPr>
            <w:r>
              <w:rPr>
                <w:color w:val="000000"/>
                <w:sz w:val="16"/>
                <w:szCs w:val="16"/>
              </w:rPr>
              <w:t>None</w:t>
            </w:r>
          </w:p>
        </w:tc>
        <w:tc>
          <w:tcPr>
            <w:tcW w:w="675" w:type="dxa"/>
            <w:tcBorders>
              <w:top w:val="nil"/>
              <w:left w:val="nil"/>
              <w:bottom w:val="single" w:sz="4" w:space="0" w:color="auto"/>
              <w:right w:val="nil"/>
            </w:tcBorders>
            <w:shd w:val="clear" w:color="000000" w:fill="FFFFFF"/>
            <w:noWrap/>
            <w:hideMark/>
          </w:tcPr>
          <w:p w:rsidR="001D2F2B" w:rsidP="00F2512B" w14:paraId="0F8FE137" w14:textId="77777777">
            <w:pPr>
              <w:spacing w:after="80"/>
              <w:jc w:val="center"/>
              <w:rPr>
                <w:color w:val="000000"/>
                <w:sz w:val="16"/>
                <w:szCs w:val="16"/>
              </w:rPr>
            </w:pPr>
            <w:r>
              <w:rPr>
                <w:color w:val="000000"/>
                <w:sz w:val="16"/>
                <w:szCs w:val="16"/>
              </w:rPr>
              <w:t>&lt; 100</w:t>
            </w:r>
          </w:p>
        </w:tc>
        <w:tc>
          <w:tcPr>
            <w:tcW w:w="675" w:type="dxa"/>
            <w:tcBorders>
              <w:top w:val="nil"/>
              <w:left w:val="nil"/>
              <w:bottom w:val="single" w:sz="4" w:space="0" w:color="auto"/>
              <w:right w:val="nil"/>
            </w:tcBorders>
            <w:shd w:val="clear" w:color="000000" w:fill="FFFFFF"/>
            <w:noWrap/>
            <w:hideMark/>
          </w:tcPr>
          <w:p w:rsidR="001D2F2B" w:rsidP="00F2512B" w14:paraId="1DBFC47D" w14:textId="77777777">
            <w:pPr>
              <w:spacing w:after="80"/>
              <w:jc w:val="center"/>
              <w:rPr>
                <w:color w:val="000000"/>
                <w:sz w:val="16"/>
                <w:szCs w:val="16"/>
              </w:rPr>
            </w:pPr>
            <w:r>
              <w:rPr>
                <w:color w:val="000000"/>
                <w:sz w:val="16"/>
                <w:szCs w:val="16"/>
              </w:rPr>
              <w:t>&lt; 50</w:t>
            </w:r>
          </w:p>
        </w:tc>
        <w:tc>
          <w:tcPr>
            <w:tcW w:w="601" w:type="dxa"/>
            <w:tcBorders>
              <w:top w:val="nil"/>
              <w:left w:val="nil"/>
              <w:bottom w:val="single" w:sz="4" w:space="0" w:color="auto"/>
              <w:right w:val="nil"/>
            </w:tcBorders>
            <w:shd w:val="clear" w:color="000000" w:fill="FFFFFF"/>
            <w:noWrap/>
            <w:hideMark/>
          </w:tcPr>
          <w:p w:rsidR="001D2F2B" w:rsidP="00F2512B" w14:paraId="60E1AA27" w14:textId="77777777">
            <w:pPr>
              <w:spacing w:after="80"/>
              <w:jc w:val="center"/>
              <w:rPr>
                <w:color w:val="000000"/>
                <w:sz w:val="16"/>
                <w:szCs w:val="16"/>
              </w:rPr>
            </w:pPr>
            <w:r>
              <w:rPr>
                <w:color w:val="000000"/>
                <w:sz w:val="16"/>
                <w:szCs w:val="16"/>
              </w:rPr>
              <w:t>&lt; 20</w:t>
            </w:r>
          </w:p>
        </w:tc>
      </w:tr>
      <w:tr w14:paraId="742279C6" w14:textId="77777777" w:rsidTr="00F2512B">
        <w:tblPrEx>
          <w:tblW w:w="10080" w:type="dxa"/>
          <w:tblInd w:w="-360" w:type="dxa"/>
          <w:tblLook w:val="04A0"/>
        </w:tblPrEx>
        <w:trPr>
          <w:cantSplit/>
        </w:trPr>
        <w:tc>
          <w:tcPr>
            <w:tcW w:w="2340" w:type="dxa"/>
            <w:tcBorders>
              <w:top w:val="nil"/>
              <w:left w:val="nil"/>
              <w:bottom w:val="nil"/>
              <w:right w:val="nil"/>
            </w:tcBorders>
            <w:shd w:val="clear" w:color="000000" w:fill="FFFFFF"/>
            <w:hideMark/>
          </w:tcPr>
          <w:p w:rsidR="001D2F2B" w:rsidP="00F2512B" w14:paraId="3B4A2780" w14:textId="5829E3A2">
            <w:pPr>
              <w:spacing w:after="80"/>
              <w:rPr>
                <w:color w:val="000000"/>
                <w:sz w:val="16"/>
                <w:szCs w:val="16"/>
              </w:rPr>
            </w:pPr>
            <w:r>
              <w:rPr>
                <w:color w:val="000000"/>
                <w:sz w:val="16"/>
                <w:szCs w:val="16"/>
              </w:rPr>
              <w:t xml:space="preserve">Coverage Area </w:t>
            </w:r>
            <w:r w:rsidR="00F2512B">
              <w:rPr>
                <w:color w:val="000000"/>
                <w:sz w:val="16"/>
                <w:szCs w:val="16"/>
              </w:rPr>
              <w:t>p</w:t>
            </w:r>
            <w:r>
              <w:rPr>
                <w:color w:val="000000"/>
                <w:sz w:val="16"/>
                <w:szCs w:val="16"/>
              </w:rPr>
              <w:t xml:space="preserve">er Tower </w:t>
            </w:r>
            <w:r>
              <w:rPr>
                <w:color w:val="000000"/>
                <w:sz w:val="16"/>
                <w:szCs w:val="16"/>
              </w:rPr>
              <w:br/>
              <w:t>(Sq</w:t>
            </w:r>
            <w:r w:rsidR="000D24A4">
              <w:rPr>
                <w:color w:val="000000"/>
                <w:sz w:val="16"/>
                <w:szCs w:val="16"/>
              </w:rPr>
              <w:t>.</w:t>
            </w:r>
            <w:r>
              <w:rPr>
                <w:color w:val="000000"/>
                <w:sz w:val="16"/>
                <w:szCs w:val="16"/>
              </w:rPr>
              <w:t xml:space="preserve"> Miles)</w:t>
            </w:r>
          </w:p>
        </w:tc>
        <w:tc>
          <w:tcPr>
            <w:tcW w:w="548" w:type="dxa"/>
            <w:tcBorders>
              <w:top w:val="nil"/>
              <w:left w:val="nil"/>
              <w:bottom w:val="nil"/>
              <w:right w:val="nil"/>
            </w:tcBorders>
            <w:shd w:val="clear" w:color="000000" w:fill="FFFFFF"/>
            <w:noWrap/>
            <w:hideMark/>
          </w:tcPr>
          <w:p w:rsidR="001D2F2B" w:rsidP="00F2512B" w14:paraId="26DA25B4" w14:textId="77777777">
            <w:pPr>
              <w:spacing w:after="80"/>
              <w:jc w:val="center"/>
              <w:rPr>
                <w:color w:val="000000"/>
                <w:sz w:val="16"/>
                <w:szCs w:val="16"/>
              </w:rPr>
            </w:pPr>
            <w:r>
              <w:rPr>
                <w:color w:val="000000"/>
                <w:sz w:val="16"/>
                <w:szCs w:val="16"/>
              </w:rPr>
              <w:t>113</w:t>
            </w:r>
          </w:p>
        </w:tc>
        <w:tc>
          <w:tcPr>
            <w:tcW w:w="665" w:type="dxa"/>
            <w:tcBorders>
              <w:top w:val="nil"/>
              <w:left w:val="nil"/>
              <w:bottom w:val="nil"/>
              <w:right w:val="nil"/>
            </w:tcBorders>
            <w:shd w:val="clear" w:color="000000" w:fill="FFFFFF"/>
            <w:noWrap/>
            <w:hideMark/>
          </w:tcPr>
          <w:p w:rsidR="001D2F2B" w:rsidP="00F2512B" w14:paraId="19E539D1" w14:textId="77777777">
            <w:pPr>
              <w:spacing w:after="80"/>
              <w:jc w:val="center"/>
              <w:rPr>
                <w:color w:val="000000"/>
                <w:sz w:val="16"/>
                <w:szCs w:val="16"/>
              </w:rPr>
            </w:pPr>
            <w:r>
              <w:rPr>
                <w:color w:val="000000"/>
                <w:sz w:val="16"/>
                <w:szCs w:val="16"/>
              </w:rPr>
              <w:t>164</w:t>
            </w:r>
          </w:p>
        </w:tc>
        <w:tc>
          <w:tcPr>
            <w:tcW w:w="647" w:type="dxa"/>
            <w:tcBorders>
              <w:top w:val="nil"/>
              <w:left w:val="nil"/>
              <w:bottom w:val="nil"/>
              <w:right w:val="nil"/>
            </w:tcBorders>
            <w:shd w:val="clear" w:color="000000" w:fill="FFFFFF"/>
            <w:noWrap/>
            <w:hideMark/>
          </w:tcPr>
          <w:p w:rsidR="001D2F2B" w:rsidP="00F2512B" w14:paraId="09E7CF16" w14:textId="77777777">
            <w:pPr>
              <w:spacing w:after="80"/>
              <w:jc w:val="center"/>
              <w:rPr>
                <w:color w:val="000000"/>
                <w:sz w:val="16"/>
                <w:szCs w:val="16"/>
              </w:rPr>
            </w:pPr>
            <w:r>
              <w:rPr>
                <w:color w:val="000000"/>
                <w:sz w:val="16"/>
                <w:szCs w:val="16"/>
              </w:rPr>
              <w:t>211</w:t>
            </w:r>
          </w:p>
        </w:tc>
        <w:tc>
          <w:tcPr>
            <w:tcW w:w="647" w:type="dxa"/>
            <w:tcBorders>
              <w:top w:val="nil"/>
              <w:left w:val="nil"/>
              <w:bottom w:val="nil"/>
              <w:right w:val="nil"/>
            </w:tcBorders>
            <w:shd w:val="clear" w:color="000000" w:fill="FFFFFF"/>
            <w:noWrap/>
            <w:hideMark/>
          </w:tcPr>
          <w:p w:rsidR="001D2F2B" w:rsidP="00F2512B" w14:paraId="1D002F66" w14:textId="77777777">
            <w:pPr>
              <w:spacing w:after="80"/>
              <w:jc w:val="center"/>
              <w:rPr>
                <w:color w:val="000000"/>
                <w:sz w:val="16"/>
                <w:szCs w:val="16"/>
              </w:rPr>
            </w:pPr>
            <w:r>
              <w:rPr>
                <w:color w:val="000000"/>
                <w:sz w:val="16"/>
                <w:szCs w:val="16"/>
              </w:rPr>
              <w:t>338</w:t>
            </w:r>
          </w:p>
        </w:tc>
        <w:tc>
          <w:tcPr>
            <w:tcW w:w="647" w:type="dxa"/>
            <w:tcBorders>
              <w:top w:val="nil"/>
              <w:left w:val="nil"/>
              <w:bottom w:val="nil"/>
              <w:right w:val="nil"/>
            </w:tcBorders>
            <w:shd w:val="clear" w:color="000000" w:fill="FFFFFF"/>
            <w:noWrap/>
            <w:hideMark/>
          </w:tcPr>
          <w:p w:rsidR="001D2F2B" w:rsidP="00F2512B" w14:paraId="2B271C92" w14:textId="77777777">
            <w:pPr>
              <w:spacing w:after="80"/>
              <w:jc w:val="center"/>
              <w:rPr>
                <w:color w:val="000000"/>
                <w:sz w:val="16"/>
                <w:szCs w:val="16"/>
              </w:rPr>
            </w:pPr>
            <w:r>
              <w:rPr>
                <w:color w:val="000000"/>
                <w:sz w:val="16"/>
                <w:szCs w:val="16"/>
              </w:rPr>
              <w:t>0.0</w:t>
            </w:r>
          </w:p>
        </w:tc>
        <w:tc>
          <w:tcPr>
            <w:tcW w:w="665" w:type="dxa"/>
            <w:tcBorders>
              <w:top w:val="nil"/>
              <w:left w:val="nil"/>
              <w:bottom w:val="nil"/>
              <w:right w:val="nil"/>
            </w:tcBorders>
            <w:shd w:val="clear" w:color="000000" w:fill="FFFFFF"/>
            <w:noWrap/>
            <w:hideMark/>
          </w:tcPr>
          <w:p w:rsidR="001D2F2B" w:rsidP="00F2512B" w14:paraId="167FCF94" w14:textId="77777777">
            <w:pPr>
              <w:spacing w:after="80"/>
              <w:jc w:val="center"/>
              <w:rPr>
                <w:color w:val="000000"/>
                <w:sz w:val="16"/>
                <w:szCs w:val="16"/>
              </w:rPr>
            </w:pPr>
            <w:r>
              <w:rPr>
                <w:color w:val="000000"/>
                <w:sz w:val="16"/>
                <w:szCs w:val="16"/>
              </w:rPr>
              <w:t>0.5</w:t>
            </w:r>
          </w:p>
        </w:tc>
        <w:tc>
          <w:tcPr>
            <w:tcW w:w="647" w:type="dxa"/>
            <w:tcBorders>
              <w:top w:val="nil"/>
              <w:left w:val="nil"/>
              <w:bottom w:val="nil"/>
              <w:right w:val="nil"/>
            </w:tcBorders>
            <w:shd w:val="clear" w:color="000000" w:fill="FFFFFF"/>
            <w:noWrap/>
            <w:hideMark/>
          </w:tcPr>
          <w:p w:rsidR="001D2F2B" w:rsidP="00F2512B" w14:paraId="404B1FA1" w14:textId="77777777">
            <w:pPr>
              <w:spacing w:after="80"/>
              <w:jc w:val="center"/>
              <w:rPr>
                <w:color w:val="000000"/>
                <w:sz w:val="16"/>
                <w:szCs w:val="16"/>
              </w:rPr>
            </w:pPr>
            <w:r>
              <w:rPr>
                <w:color w:val="000000"/>
                <w:sz w:val="16"/>
                <w:szCs w:val="16"/>
              </w:rPr>
              <w:t>0.5</w:t>
            </w:r>
          </w:p>
        </w:tc>
        <w:tc>
          <w:tcPr>
            <w:tcW w:w="647" w:type="dxa"/>
            <w:tcBorders>
              <w:top w:val="nil"/>
              <w:left w:val="nil"/>
              <w:bottom w:val="nil"/>
              <w:right w:val="nil"/>
            </w:tcBorders>
            <w:shd w:val="clear" w:color="000000" w:fill="FFFFFF"/>
            <w:noWrap/>
            <w:hideMark/>
          </w:tcPr>
          <w:p w:rsidR="001D2F2B" w:rsidP="00F2512B" w14:paraId="1D094C8A" w14:textId="77777777">
            <w:pPr>
              <w:spacing w:after="80"/>
              <w:jc w:val="center"/>
              <w:rPr>
                <w:color w:val="000000"/>
                <w:sz w:val="16"/>
                <w:szCs w:val="16"/>
              </w:rPr>
            </w:pPr>
            <w:r>
              <w:rPr>
                <w:color w:val="000000"/>
                <w:sz w:val="16"/>
                <w:szCs w:val="16"/>
              </w:rPr>
              <w:t>0.5</w:t>
            </w:r>
          </w:p>
        </w:tc>
        <w:tc>
          <w:tcPr>
            <w:tcW w:w="676" w:type="dxa"/>
            <w:tcBorders>
              <w:top w:val="nil"/>
              <w:left w:val="nil"/>
              <w:bottom w:val="nil"/>
              <w:right w:val="nil"/>
            </w:tcBorders>
            <w:shd w:val="clear" w:color="000000" w:fill="FFFFFF"/>
            <w:noWrap/>
            <w:hideMark/>
          </w:tcPr>
          <w:p w:rsidR="001D2F2B" w:rsidP="00F2512B" w14:paraId="08CA16F0" w14:textId="77777777">
            <w:pPr>
              <w:spacing w:after="80"/>
              <w:jc w:val="center"/>
              <w:rPr>
                <w:color w:val="000000"/>
                <w:sz w:val="16"/>
                <w:szCs w:val="16"/>
              </w:rPr>
            </w:pPr>
            <w:r>
              <w:rPr>
                <w:color w:val="000000"/>
                <w:sz w:val="16"/>
                <w:szCs w:val="16"/>
              </w:rPr>
              <w:t>3,047</w:t>
            </w:r>
          </w:p>
        </w:tc>
        <w:tc>
          <w:tcPr>
            <w:tcW w:w="675" w:type="dxa"/>
            <w:tcBorders>
              <w:top w:val="nil"/>
              <w:left w:val="nil"/>
              <w:bottom w:val="nil"/>
              <w:right w:val="nil"/>
            </w:tcBorders>
            <w:shd w:val="clear" w:color="000000" w:fill="FFFFFF"/>
            <w:noWrap/>
            <w:hideMark/>
          </w:tcPr>
          <w:p w:rsidR="001D2F2B" w:rsidP="00F2512B" w14:paraId="4BDEAFA2" w14:textId="77777777">
            <w:pPr>
              <w:spacing w:after="80"/>
              <w:jc w:val="center"/>
              <w:rPr>
                <w:color w:val="000000"/>
                <w:sz w:val="16"/>
                <w:szCs w:val="16"/>
              </w:rPr>
            </w:pPr>
            <w:r>
              <w:rPr>
                <w:color w:val="000000"/>
                <w:sz w:val="16"/>
                <w:szCs w:val="16"/>
              </w:rPr>
              <w:t>3,047</w:t>
            </w:r>
          </w:p>
        </w:tc>
        <w:tc>
          <w:tcPr>
            <w:tcW w:w="675" w:type="dxa"/>
            <w:tcBorders>
              <w:top w:val="nil"/>
              <w:left w:val="nil"/>
              <w:bottom w:val="nil"/>
              <w:right w:val="nil"/>
            </w:tcBorders>
            <w:shd w:val="clear" w:color="000000" w:fill="FFFFFF"/>
            <w:noWrap/>
            <w:hideMark/>
          </w:tcPr>
          <w:p w:rsidR="001D2F2B" w:rsidP="00F2512B" w14:paraId="3904A767" w14:textId="77777777">
            <w:pPr>
              <w:spacing w:after="80"/>
              <w:jc w:val="center"/>
              <w:rPr>
                <w:color w:val="000000"/>
                <w:sz w:val="16"/>
                <w:szCs w:val="16"/>
              </w:rPr>
            </w:pPr>
            <w:r>
              <w:rPr>
                <w:color w:val="000000"/>
                <w:sz w:val="16"/>
                <w:szCs w:val="16"/>
              </w:rPr>
              <w:t>3,047</w:t>
            </w:r>
          </w:p>
        </w:tc>
        <w:tc>
          <w:tcPr>
            <w:tcW w:w="601" w:type="dxa"/>
            <w:tcBorders>
              <w:top w:val="nil"/>
              <w:left w:val="nil"/>
              <w:bottom w:val="nil"/>
              <w:right w:val="nil"/>
            </w:tcBorders>
            <w:shd w:val="clear" w:color="000000" w:fill="FFFFFF"/>
            <w:noWrap/>
            <w:hideMark/>
          </w:tcPr>
          <w:p w:rsidR="001D2F2B" w:rsidP="00F2512B" w14:paraId="0296F430" w14:textId="77777777">
            <w:pPr>
              <w:spacing w:after="80"/>
              <w:jc w:val="center"/>
              <w:rPr>
                <w:color w:val="000000"/>
                <w:sz w:val="16"/>
                <w:szCs w:val="16"/>
              </w:rPr>
            </w:pPr>
            <w:r>
              <w:rPr>
                <w:color w:val="000000"/>
                <w:sz w:val="16"/>
                <w:szCs w:val="16"/>
              </w:rPr>
              <w:t>3,047</w:t>
            </w:r>
          </w:p>
        </w:tc>
      </w:tr>
      <w:tr w14:paraId="56958B31" w14:textId="77777777" w:rsidTr="00F2512B">
        <w:tblPrEx>
          <w:tblW w:w="10080" w:type="dxa"/>
          <w:tblInd w:w="-360" w:type="dxa"/>
          <w:tblLook w:val="04A0"/>
        </w:tblPrEx>
        <w:trPr>
          <w:cantSplit/>
        </w:trPr>
        <w:tc>
          <w:tcPr>
            <w:tcW w:w="2340" w:type="dxa"/>
            <w:tcBorders>
              <w:top w:val="nil"/>
              <w:left w:val="nil"/>
              <w:bottom w:val="nil"/>
              <w:right w:val="nil"/>
            </w:tcBorders>
            <w:shd w:val="clear" w:color="000000" w:fill="FFFFFF"/>
            <w:hideMark/>
          </w:tcPr>
          <w:p w:rsidR="001D2F2B" w:rsidP="00F2512B" w14:paraId="69A6A4CE" w14:textId="77777777">
            <w:pPr>
              <w:spacing w:after="80"/>
              <w:rPr>
                <w:color w:val="000000"/>
                <w:sz w:val="16"/>
                <w:szCs w:val="16"/>
              </w:rPr>
            </w:pPr>
            <w:r>
              <w:rPr>
                <w:color w:val="000000"/>
                <w:sz w:val="16"/>
                <w:szCs w:val="16"/>
              </w:rPr>
              <w:t>Terrain (Meters)</w:t>
            </w:r>
          </w:p>
        </w:tc>
        <w:tc>
          <w:tcPr>
            <w:tcW w:w="548" w:type="dxa"/>
            <w:tcBorders>
              <w:top w:val="nil"/>
              <w:left w:val="nil"/>
              <w:bottom w:val="nil"/>
              <w:right w:val="nil"/>
            </w:tcBorders>
            <w:shd w:val="clear" w:color="000000" w:fill="FFFFFF"/>
            <w:noWrap/>
            <w:hideMark/>
          </w:tcPr>
          <w:p w:rsidR="001D2F2B" w:rsidP="00F2512B" w14:paraId="390D57C4" w14:textId="77777777">
            <w:pPr>
              <w:spacing w:after="80"/>
              <w:jc w:val="center"/>
              <w:rPr>
                <w:color w:val="000000"/>
                <w:sz w:val="16"/>
                <w:szCs w:val="16"/>
              </w:rPr>
            </w:pPr>
            <w:r>
              <w:rPr>
                <w:color w:val="000000"/>
                <w:sz w:val="16"/>
                <w:szCs w:val="16"/>
              </w:rPr>
              <w:t>22</w:t>
            </w:r>
          </w:p>
        </w:tc>
        <w:tc>
          <w:tcPr>
            <w:tcW w:w="665" w:type="dxa"/>
            <w:tcBorders>
              <w:top w:val="nil"/>
              <w:left w:val="nil"/>
              <w:bottom w:val="nil"/>
              <w:right w:val="nil"/>
            </w:tcBorders>
            <w:shd w:val="clear" w:color="000000" w:fill="FFFFFF"/>
            <w:noWrap/>
            <w:hideMark/>
          </w:tcPr>
          <w:p w:rsidR="001D2F2B" w:rsidP="00F2512B" w14:paraId="4FECC761" w14:textId="77777777">
            <w:pPr>
              <w:spacing w:after="80"/>
              <w:jc w:val="center"/>
              <w:rPr>
                <w:color w:val="000000"/>
                <w:sz w:val="16"/>
                <w:szCs w:val="16"/>
              </w:rPr>
            </w:pPr>
            <w:r>
              <w:rPr>
                <w:color w:val="000000"/>
                <w:sz w:val="16"/>
                <w:szCs w:val="16"/>
              </w:rPr>
              <w:t>24</w:t>
            </w:r>
          </w:p>
        </w:tc>
        <w:tc>
          <w:tcPr>
            <w:tcW w:w="647" w:type="dxa"/>
            <w:tcBorders>
              <w:top w:val="nil"/>
              <w:left w:val="nil"/>
              <w:bottom w:val="nil"/>
              <w:right w:val="nil"/>
            </w:tcBorders>
            <w:shd w:val="clear" w:color="000000" w:fill="FFFFFF"/>
            <w:noWrap/>
            <w:hideMark/>
          </w:tcPr>
          <w:p w:rsidR="001D2F2B" w:rsidP="00F2512B" w14:paraId="49A9B186" w14:textId="77777777">
            <w:pPr>
              <w:spacing w:after="80"/>
              <w:jc w:val="center"/>
              <w:rPr>
                <w:color w:val="000000"/>
                <w:sz w:val="16"/>
                <w:szCs w:val="16"/>
              </w:rPr>
            </w:pPr>
            <w:r>
              <w:rPr>
                <w:color w:val="000000"/>
                <w:sz w:val="16"/>
                <w:szCs w:val="16"/>
              </w:rPr>
              <w:t>25</w:t>
            </w:r>
          </w:p>
        </w:tc>
        <w:tc>
          <w:tcPr>
            <w:tcW w:w="647" w:type="dxa"/>
            <w:tcBorders>
              <w:top w:val="nil"/>
              <w:left w:val="nil"/>
              <w:bottom w:val="nil"/>
              <w:right w:val="nil"/>
            </w:tcBorders>
            <w:shd w:val="clear" w:color="000000" w:fill="FFFFFF"/>
            <w:noWrap/>
            <w:hideMark/>
          </w:tcPr>
          <w:p w:rsidR="001D2F2B" w:rsidP="00F2512B" w14:paraId="0E0C40FE" w14:textId="77777777">
            <w:pPr>
              <w:spacing w:after="80"/>
              <w:jc w:val="center"/>
              <w:rPr>
                <w:color w:val="000000"/>
                <w:sz w:val="16"/>
                <w:szCs w:val="16"/>
              </w:rPr>
            </w:pPr>
            <w:r>
              <w:rPr>
                <w:color w:val="000000"/>
                <w:sz w:val="16"/>
                <w:szCs w:val="16"/>
              </w:rPr>
              <w:t>31</w:t>
            </w:r>
          </w:p>
        </w:tc>
        <w:tc>
          <w:tcPr>
            <w:tcW w:w="647" w:type="dxa"/>
            <w:tcBorders>
              <w:top w:val="nil"/>
              <w:left w:val="nil"/>
              <w:bottom w:val="nil"/>
              <w:right w:val="nil"/>
            </w:tcBorders>
            <w:shd w:val="clear" w:color="000000" w:fill="FFFFFF"/>
            <w:noWrap/>
            <w:hideMark/>
          </w:tcPr>
          <w:p w:rsidR="001D2F2B" w:rsidP="00F2512B" w14:paraId="0726058D" w14:textId="77777777">
            <w:pPr>
              <w:spacing w:after="80"/>
              <w:jc w:val="center"/>
              <w:rPr>
                <w:color w:val="000000"/>
                <w:sz w:val="16"/>
                <w:szCs w:val="16"/>
              </w:rPr>
            </w:pPr>
            <w:r>
              <w:rPr>
                <w:color w:val="000000"/>
                <w:sz w:val="16"/>
                <w:szCs w:val="16"/>
              </w:rPr>
              <w:t>0.2</w:t>
            </w:r>
          </w:p>
        </w:tc>
        <w:tc>
          <w:tcPr>
            <w:tcW w:w="665" w:type="dxa"/>
            <w:tcBorders>
              <w:top w:val="nil"/>
              <w:left w:val="nil"/>
              <w:bottom w:val="nil"/>
              <w:right w:val="nil"/>
            </w:tcBorders>
            <w:shd w:val="clear" w:color="000000" w:fill="FFFFFF"/>
            <w:noWrap/>
            <w:hideMark/>
          </w:tcPr>
          <w:p w:rsidR="001D2F2B" w:rsidP="00F2512B" w14:paraId="58AFAB51" w14:textId="77777777">
            <w:pPr>
              <w:spacing w:after="80"/>
              <w:jc w:val="center"/>
              <w:rPr>
                <w:color w:val="000000"/>
                <w:sz w:val="16"/>
                <w:szCs w:val="16"/>
              </w:rPr>
            </w:pPr>
            <w:r>
              <w:rPr>
                <w:color w:val="000000"/>
                <w:sz w:val="16"/>
                <w:szCs w:val="16"/>
              </w:rPr>
              <w:t>0.3</w:t>
            </w:r>
          </w:p>
        </w:tc>
        <w:tc>
          <w:tcPr>
            <w:tcW w:w="647" w:type="dxa"/>
            <w:tcBorders>
              <w:top w:val="nil"/>
              <w:left w:val="nil"/>
              <w:bottom w:val="nil"/>
              <w:right w:val="nil"/>
            </w:tcBorders>
            <w:shd w:val="clear" w:color="000000" w:fill="FFFFFF"/>
            <w:noWrap/>
            <w:hideMark/>
          </w:tcPr>
          <w:p w:rsidR="001D2F2B" w:rsidP="00F2512B" w14:paraId="664C2BFF" w14:textId="77777777">
            <w:pPr>
              <w:spacing w:after="80"/>
              <w:jc w:val="center"/>
              <w:rPr>
                <w:color w:val="000000"/>
                <w:sz w:val="16"/>
                <w:szCs w:val="16"/>
              </w:rPr>
            </w:pPr>
            <w:r>
              <w:rPr>
                <w:color w:val="000000"/>
                <w:sz w:val="16"/>
                <w:szCs w:val="16"/>
              </w:rPr>
              <w:t>0.3</w:t>
            </w:r>
          </w:p>
        </w:tc>
        <w:tc>
          <w:tcPr>
            <w:tcW w:w="647" w:type="dxa"/>
            <w:tcBorders>
              <w:top w:val="nil"/>
              <w:left w:val="nil"/>
              <w:bottom w:val="nil"/>
              <w:right w:val="nil"/>
            </w:tcBorders>
            <w:shd w:val="clear" w:color="000000" w:fill="FFFFFF"/>
            <w:noWrap/>
            <w:hideMark/>
          </w:tcPr>
          <w:p w:rsidR="001D2F2B" w:rsidP="00F2512B" w14:paraId="1340D338" w14:textId="77777777">
            <w:pPr>
              <w:spacing w:after="80"/>
              <w:jc w:val="center"/>
              <w:rPr>
                <w:color w:val="000000"/>
                <w:sz w:val="16"/>
                <w:szCs w:val="16"/>
              </w:rPr>
            </w:pPr>
            <w:r>
              <w:rPr>
                <w:color w:val="000000"/>
                <w:sz w:val="16"/>
                <w:szCs w:val="16"/>
              </w:rPr>
              <w:t>0.3</w:t>
            </w:r>
          </w:p>
        </w:tc>
        <w:tc>
          <w:tcPr>
            <w:tcW w:w="676" w:type="dxa"/>
            <w:tcBorders>
              <w:top w:val="nil"/>
              <w:left w:val="nil"/>
              <w:bottom w:val="nil"/>
              <w:right w:val="nil"/>
            </w:tcBorders>
            <w:shd w:val="clear" w:color="000000" w:fill="FFFFFF"/>
            <w:noWrap/>
            <w:hideMark/>
          </w:tcPr>
          <w:p w:rsidR="001D2F2B" w:rsidP="00F2512B" w14:paraId="38F3CF4E" w14:textId="77777777">
            <w:pPr>
              <w:spacing w:after="80"/>
              <w:jc w:val="center"/>
              <w:rPr>
                <w:color w:val="000000"/>
                <w:sz w:val="16"/>
                <w:szCs w:val="16"/>
              </w:rPr>
            </w:pPr>
            <w:r>
              <w:rPr>
                <w:color w:val="000000"/>
                <w:sz w:val="16"/>
                <w:szCs w:val="16"/>
              </w:rPr>
              <w:t>213</w:t>
            </w:r>
          </w:p>
        </w:tc>
        <w:tc>
          <w:tcPr>
            <w:tcW w:w="675" w:type="dxa"/>
            <w:tcBorders>
              <w:top w:val="nil"/>
              <w:left w:val="nil"/>
              <w:bottom w:val="nil"/>
              <w:right w:val="nil"/>
            </w:tcBorders>
            <w:shd w:val="clear" w:color="000000" w:fill="FFFFFF"/>
            <w:noWrap/>
            <w:hideMark/>
          </w:tcPr>
          <w:p w:rsidR="001D2F2B" w:rsidP="00F2512B" w14:paraId="7C64B381" w14:textId="77777777">
            <w:pPr>
              <w:spacing w:after="80"/>
              <w:jc w:val="center"/>
              <w:rPr>
                <w:color w:val="000000"/>
                <w:sz w:val="16"/>
                <w:szCs w:val="16"/>
              </w:rPr>
            </w:pPr>
            <w:r>
              <w:rPr>
                <w:color w:val="000000"/>
                <w:sz w:val="16"/>
                <w:szCs w:val="16"/>
              </w:rPr>
              <w:t>213</w:t>
            </w:r>
          </w:p>
        </w:tc>
        <w:tc>
          <w:tcPr>
            <w:tcW w:w="675" w:type="dxa"/>
            <w:tcBorders>
              <w:top w:val="nil"/>
              <w:left w:val="nil"/>
              <w:bottom w:val="nil"/>
              <w:right w:val="nil"/>
            </w:tcBorders>
            <w:shd w:val="clear" w:color="000000" w:fill="FFFFFF"/>
            <w:noWrap/>
            <w:hideMark/>
          </w:tcPr>
          <w:p w:rsidR="001D2F2B" w:rsidP="00F2512B" w14:paraId="3E4769B4" w14:textId="77777777">
            <w:pPr>
              <w:spacing w:after="80"/>
              <w:jc w:val="center"/>
              <w:rPr>
                <w:color w:val="000000"/>
                <w:sz w:val="16"/>
                <w:szCs w:val="16"/>
              </w:rPr>
            </w:pPr>
            <w:r>
              <w:rPr>
                <w:color w:val="000000"/>
                <w:sz w:val="16"/>
                <w:szCs w:val="16"/>
              </w:rPr>
              <w:t>213</w:t>
            </w:r>
          </w:p>
        </w:tc>
        <w:tc>
          <w:tcPr>
            <w:tcW w:w="601" w:type="dxa"/>
            <w:tcBorders>
              <w:top w:val="nil"/>
              <w:left w:val="nil"/>
              <w:bottom w:val="nil"/>
              <w:right w:val="nil"/>
            </w:tcBorders>
            <w:shd w:val="clear" w:color="000000" w:fill="FFFFFF"/>
            <w:noWrap/>
            <w:hideMark/>
          </w:tcPr>
          <w:p w:rsidR="001D2F2B" w:rsidP="00F2512B" w14:paraId="54AEF262" w14:textId="77777777">
            <w:pPr>
              <w:spacing w:after="80"/>
              <w:jc w:val="center"/>
              <w:rPr>
                <w:color w:val="000000"/>
                <w:sz w:val="16"/>
                <w:szCs w:val="16"/>
              </w:rPr>
            </w:pPr>
            <w:r>
              <w:rPr>
                <w:color w:val="000000"/>
                <w:sz w:val="16"/>
                <w:szCs w:val="16"/>
              </w:rPr>
              <w:t>212</w:t>
            </w:r>
          </w:p>
        </w:tc>
      </w:tr>
      <w:tr w14:paraId="7301AEE2" w14:textId="77777777" w:rsidTr="00F2512B">
        <w:tblPrEx>
          <w:tblW w:w="10080" w:type="dxa"/>
          <w:tblInd w:w="-360" w:type="dxa"/>
          <w:tblLook w:val="04A0"/>
        </w:tblPrEx>
        <w:trPr>
          <w:cantSplit/>
        </w:trPr>
        <w:tc>
          <w:tcPr>
            <w:tcW w:w="2340" w:type="dxa"/>
            <w:tcBorders>
              <w:top w:val="nil"/>
              <w:left w:val="nil"/>
              <w:bottom w:val="nil"/>
              <w:right w:val="nil"/>
            </w:tcBorders>
            <w:shd w:val="clear" w:color="000000" w:fill="FFFFFF"/>
            <w:hideMark/>
          </w:tcPr>
          <w:p w:rsidR="001D2F2B" w:rsidP="00F2512B" w14:paraId="4209BEBA" w14:textId="7F5677A1">
            <w:pPr>
              <w:spacing w:after="80"/>
              <w:rPr>
                <w:color w:val="000000"/>
                <w:sz w:val="16"/>
                <w:szCs w:val="16"/>
              </w:rPr>
            </w:pPr>
            <w:r>
              <w:rPr>
                <w:color w:val="000000"/>
                <w:sz w:val="16"/>
                <w:szCs w:val="16"/>
              </w:rPr>
              <w:t xml:space="preserve">Population Density </w:t>
            </w:r>
            <w:r>
              <w:rPr>
                <w:color w:val="000000"/>
                <w:sz w:val="16"/>
                <w:szCs w:val="16"/>
              </w:rPr>
              <w:br/>
              <w:t xml:space="preserve">(Population </w:t>
            </w:r>
            <w:r w:rsidR="00F2512B">
              <w:rPr>
                <w:color w:val="000000"/>
                <w:sz w:val="16"/>
                <w:szCs w:val="16"/>
              </w:rPr>
              <w:t>p</w:t>
            </w:r>
            <w:r>
              <w:rPr>
                <w:color w:val="000000"/>
                <w:sz w:val="16"/>
                <w:szCs w:val="16"/>
              </w:rPr>
              <w:t>er Sq</w:t>
            </w:r>
            <w:r w:rsidR="000D24A4">
              <w:rPr>
                <w:color w:val="000000"/>
                <w:sz w:val="16"/>
                <w:szCs w:val="16"/>
              </w:rPr>
              <w:t>.</w:t>
            </w:r>
            <w:r>
              <w:rPr>
                <w:color w:val="000000"/>
                <w:sz w:val="16"/>
                <w:szCs w:val="16"/>
              </w:rPr>
              <w:t xml:space="preserve"> Mile)</w:t>
            </w:r>
          </w:p>
        </w:tc>
        <w:tc>
          <w:tcPr>
            <w:tcW w:w="548" w:type="dxa"/>
            <w:tcBorders>
              <w:top w:val="nil"/>
              <w:left w:val="nil"/>
              <w:bottom w:val="nil"/>
              <w:right w:val="nil"/>
            </w:tcBorders>
            <w:shd w:val="clear" w:color="000000" w:fill="FFFFFF"/>
            <w:noWrap/>
            <w:hideMark/>
          </w:tcPr>
          <w:p w:rsidR="001D2F2B" w:rsidP="00F2512B" w14:paraId="0AE6BCF1" w14:textId="77777777">
            <w:pPr>
              <w:spacing w:after="80"/>
              <w:jc w:val="center"/>
              <w:rPr>
                <w:color w:val="000000"/>
                <w:sz w:val="16"/>
                <w:szCs w:val="16"/>
              </w:rPr>
            </w:pPr>
            <w:r>
              <w:rPr>
                <w:color w:val="000000"/>
                <w:sz w:val="16"/>
                <w:szCs w:val="16"/>
              </w:rPr>
              <w:t>348</w:t>
            </w:r>
          </w:p>
        </w:tc>
        <w:tc>
          <w:tcPr>
            <w:tcW w:w="665" w:type="dxa"/>
            <w:tcBorders>
              <w:top w:val="nil"/>
              <w:left w:val="nil"/>
              <w:bottom w:val="nil"/>
              <w:right w:val="nil"/>
            </w:tcBorders>
            <w:shd w:val="clear" w:color="000000" w:fill="FFFFFF"/>
            <w:noWrap/>
            <w:hideMark/>
          </w:tcPr>
          <w:p w:rsidR="001D2F2B" w:rsidP="00F2512B" w14:paraId="50EB1515" w14:textId="77777777">
            <w:pPr>
              <w:spacing w:after="80"/>
              <w:jc w:val="center"/>
              <w:rPr>
                <w:color w:val="000000"/>
                <w:sz w:val="16"/>
                <w:szCs w:val="16"/>
              </w:rPr>
            </w:pPr>
            <w:r>
              <w:rPr>
                <w:color w:val="000000"/>
                <w:sz w:val="16"/>
                <w:szCs w:val="16"/>
              </w:rPr>
              <w:t>39</w:t>
            </w:r>
          </w:p>
        </w:tc>
        <w:tc>
          <w:tcPr>
            <w:tcW w:w="647" w:type="dxa"/>
            <w:tcBorders>
              <w:top w:val="nil"/>
              <w:left w:val="nil"/>
              <w:bottom w:val="nil"/>
              <w:right w:val="nil"/>
            </w:tcBorders>
            <w:shd w:val="clear" w:color="000000" w:fill="FFFFFF"/>
            <w:noWrap/>
            <w:hideMark/>
          </w:tcPr>
          <w:p w:rsidR="001D2F2B" w:rsidP="00F2512B" w14:paraId="6594B4EC" w14:textId="77777777">
            <w:pPr>
              <w:spacing w:after="80"/>
              <w:jc w:val="center"/>
              <w:rPr>
                <w:color w:val="000000"/>
                <w:sz w:val="16"/>
                <w:szCs w:val="16"/>
              </w:rPr>
            </w:pPr>
            <w:r>
              <w:rPr>
                <w:color w:val="000000"/>
                <w:sz w:val="16"/>
                <w:szCs w:val="16"/>
              </w:rPr>
              <w:t>23</w:t>
            </w:r>
          </w:p>
        </w:tc>
        <w:tc>
          <w:tcPr>
            <w:tcW w:w="647" w:type="dxa"/>
            <w:tcBorders>
              <w:top w:val="nil"/>
              <w:left w:val="nil"/>
              <w:bottom w:val="nil"/>
              <w:right w:val="nil"/>
            </w:tcBorders>
            <w:shd w:val="clear" w:color="000000" w:fill="FFFFFF"/>
            <w:noWrap/>
            <w:hideMark/>
          </w:tcPr>
          <w:p w:rsidR="001D2F2B" w:rsidP="00F2512B" w14:paraId="14EDA9F6" w14:textId="77777777">
            <w:pPr>
              <w:spacing w:after="80"/>
              <w:jc w:val="center"/>
              <w:rPr>
                <w:color w:val="000000"/>
                <w:sz w:val="16"/>
                <w:szCs w:val="16"/>
              </w:rPr>
            </w:pPr>
            <w:r>
              <w:rPr>
                <w:color w:val="000000"/>
                <w:sz w:val="16"/>
                <w:szCs w:val="16"/>
              </w:rPr>
              <w:t>9.2</w:t>
            </w:r>
          </w:p>
        </w:tc>
        <w:tc>
          <w:tcPr>
            <w:tcW w:w="647" w:type="dxa"/>
            <w:tcBorders>
              <w:top w:val="nil"/>
              <w:left w:val="nil"/>
              <w:bottom w:val="nil"/>
              <w:right w:val="nil"/>
            </w:tcBorders>
            <w:shd w:val="clear" w:color="000000" w:fill="FFFFFF"/>
            <w:noWrap/>
            <w:hideMark/>
          </w:tcPr>
          <w:p w:rsidR="001D2F2B" w:rsidP="00F2512B" w14:paraId="7C9E0F3E" w14:textId="77777777">
            <w:pPr>
              <w:spacing w:after="80"/>
              <w:jc w:val="center"/>
              <w:rPr>
                <w:color w:val="000000"/>
                <w:sz w:val="16"/>
                <w:szCs w:val="16"/>
              </w:rPr>
            </w:pPr>
            <w:r>
              <w:rPr>
                <w:color w:val="000000"/>
                <w:sz w:val="16"/>
                <w:szCs w:val="16"/>
              </w:rPr>
              <w:t>0.2</w:t>
            </w:r>
          </w:p>
        </w:tc>
        <w:tc>
          <w:tcPr>
            <w:tcW w:w="665" w:type="dxa"/>
            <w:tcBorders>
              <w:top w:val="nil"/>
              <w:left w:val="nil"/>
              <w:bottom w:val="nil"/>
              <w:right w:val="nil"/>
            </w:tcBorders>
            <w:shd w:val="clear" w:color="000000" w:fill="FFFFFF"/>
            <w:noWrap/>
            <w:hideMark/>
          </w:tcPr>
          <w:p w:rsidR="001D2F2B" w:rsidP="00F2512B" w14:paraId="56BBA54C" w14:textId="77777777">
            <w:pPr>
              <w:spacing w:after="80"/>
              <w:jc w:val="center"/>
              <w:rPr>
                <w:color w:val="000000"/>
                <w:sz w:val="16"/>
                <w:szCs w:val="16"/>
              </w:rPr>
            </w:pPr>
            <w:r>
              <w:rPr>
                <w:color w:val="000000"/>
                <w:sz w:val="16"/>
                <w:szCs w:val="16"/>
              </w:rPr>
              <w:t>0.2</w:t>
            </w:r>
          </w:p>
        </w:tc>
        <w:tc>
          <w:tcPr>
            <w:tcW w:w="647" w:type="dxa"/>
            <w:tcBorders>
              <w:top w:val="nil"/>
              <w:left w:val="nil"/>
              <w:bottom w:val="nil"/>
              <w:right w:val="nil"/>
            </w:tcBorders>
            <w:shd w:val="clear" w:color="000000" w:fill="FFFFFF"/>
            <w:noWrap/>
            <w:hideMark/>
          </w:tcPr>
          <w:p w:rsidR="001D2F2B" w:rsidP="00F2512B" w14:paraId="77C14479" w14:textId="77777777">
            <w:pPr>
              <w:spacing w:after="80"/>
              <w:jc w:val="center"/>
              <w:rPr>
                <w:color w:val="000000"/>
                <w:sz w:val="16"/>
                <w:szCs w:val="16"/>
              </w:rPr>
            </w:pPr>
            <w:r>
              <w:rPr>
                <w:color w:val="000000"/>
                <w:sz w:val="16"/>
                <w:szCs w:val="16"/>
              </w:rPr>
              <w:t>0.2</w:t>
            </w:r>
          </w:p>
        </w:tc>
        <w:tc>
          <w:tcPr>
            <w:tcW w:w="647" w:type="dxa"/>
            <w:tcBorders>
              <w:top w:val="nil"/>
              <w:left w:val="nil"/>
              <w:bottom w:val="nil"/>
              <w:right w:val="nil"/>
            </w:tcBorders>
            <w:shd w:val="clear" w:color="000000" w:fill="FFFFFF"/>
            <w:noWrap/>
            <w:hideMark/>
          </w:tcPr>
          <w:p w:rsidR="001D2F2B" w:rsidP="00F2512B" w14:paraId="4C6CDD6D" w14:textId="77777777">
            <w:pPr>
              <w:spacing w:after="80"/>
              <w:jc w:val="center"/>
              <w:rPr>
                <w:color w:val="000000"/>
                <w:sz w:val="16"/>
                <w:szCs w:val="16"/>
              </w:rPr>
            </w:pPr>
            <w:r>
              <w:rPr>
                <w:color w:val="000000"/>
                <w:sz w:val="16"/>
                <w:szCs w:val="16"/>
              </w:rPr>
              <w:t>0.2</w:t>
            </w:r>
          </w:p>
        </w:tc>
        <w:tc>
          <w:tcPr>
            <w:tcW w:w="676" w:type="dxa"/>
            <w:tcBorders>
              <w:top w:val="nil"/>
              <w:left w:val="nil"/>
              <w:bottom w:val="nil"/>
              <w:right w:val="nil"/>
            </w:tcBorders>
            <w:shd w:val="clear" w:color="000000" w:fill="FFFFFF"/>
            <w:noWrap/>
            <w:hideMark/>
          </w:tcPr>
          <w:p w:rsidR="001D2F2B" w:rsidP="00F2512B" w14:paraId="07778807" w14:textId="77777777">
            <w:pPr>
              <w:spacing w:after="80"/>
              <w:jc w:val="center"/>
              <w:rPr>
                <w:color w:val="000000"/>
                <w:sz w:val="16"/>
                <w:szCs w:val="16"/>
              </w:rPr>
            </w:pPr>
            <w:r>
              <w:rPr>
                <w:color w:val="000000"/>
                <w:sz w:val="16"/>
                <w:szCs w:val="16"/>
              </w:rPr>
              <w:t>71,481</w:t>
            </w:r>
          </w:p>
        </w:tc>
        <w:tc>
          <w:tcPr>
            <w:tcW w:w="675" w:type="dxa"/>
            <w:tcBorders>
              <w:top w:val="nil"/>
              <w:left w:val="nil"/>
              <w:bottom w:val="nil"/>
              <w:right w:val="nil"/>
            </w:tcBorders>
            <w:shd w:val="clear" w:color="000000" w:fill="FFFFFF"/>
            <w:noWrap/>
            <w:hideMark/>
          </w:tcPr>
          <w:p w:rsidR="001D2F2B" w:rsidP="00F2512B" w14:paraId="0FAA1776" w14:textId="77777777">
            <w:pPr>
              <w:spacing w:after="80"/>
              <w:jc w:val="center"/>
              <w:rPr>
                <w:color w:val="000000"/>
                <w:sz w:val="16"/>
                <w:szCs w:val="16"/>
              </w:rPr>
            </w:pPr>
            <w:r>
              <w:rPr>
                <w:color w:val="000000"/>
                <w:sz w:val="16"/>
                <w:szCs w:val="16"/>
              </w:rPr>
              <w:t>100</w:t>
            </w:r>
          </w:p>
        </w:tc>
        <w:tc>
          <w:tcPr>
            <w:tcW w:w="675" w:type="dxa"/>
            <w:tcBorders>
              <w:top w:val="nil"/>
              <w:left w:val="nil"/>
              <w:bottom w:val="nil"/>
              <w:right w:val="nil"/>
            </w:tcBorders>
            <w:shd w:val="clear" w:color="000000" w:fill="FFFFFF"/>
            <w:noWrap/>
            <w:hideMark/>
          </w:tcPr>
          <w:p w:rsidR="001D2F2B" w:rsidP="00F2512B" w14:paraId="0B52D613" w14:textId="77777777">
            <w:pPr>
              <w:spacing w:after="80"/>
              <w:jc w:val="center"/>
              <w:rPr>
                <w:color w:val="000000"/>
                <w:sz w:val="16"/>
                <w:szCs w:val="16"/>
              </w:rPr>
            </w:pPr>
            <w:r>
              <w:rPr>
                <w:color w:val="000000"/>
                <w:sz w:val="16"/>
                <w:szCs w:val="16"/>
              </w:rPr>
              <w:t>50</w:t>
            </w:r>
          </w:p>
        </w:tc>
        <w:tc>
          <w:tcPr>
            <w:tcW w:w="601" w:type="dxa"/>
            <w:tcBorders>
              <w:top w:val="nil"/>
              <w:left w:val="nil"/>
              <w:bottom w:val="nil"/>
              <w:right w:val="nil"/>
            </w:tcBorders>
            <w:shd w:val="clear" w:color="000000" w:fill="FFFFFF"/>
            <w:noWrap/>
            <w:hideMark/>
          </w:tcPr>
          <w:p w:rsidR="001D2F2B" w:rsidP="00F2512B" w14:paraId="03EB3FF8" w14:textId="77777777">
            <w:pPr>
              <w:spacing w:after="80"/>
              <w:jc w:val="center"/>
              <w:rPr>
                <w:color w:val="000000"/>
                <w:sz w:val="16"/>
                <w:szCs w:val="16"/>
              </w:rPr>
            </w:pPr>
            <w:r>
              <w:rPr>
                <w:color w:val="000000"/>
                <w:sz w:val="16"/>
                <w:szCs w:val="16"/>
              </w:rPr>
              <w:t>20</w:t>
            </w:r>
          </w:p>
        </w:tc>
      </w:tr>
      <w:tr w14:paraId="18464755" w14:textId="77777777" w:rsidTr="00F2512B">
        <w:tblPrEx>
          <w:tblW w:w="10080" w:type="dxa"/>
          <w:tblInd w:w="-360" w:type="dxa"/>
          <w:tblLook w:val="04A0"/>
        </w:tblPrEx>
        <w:trPr>
          <w:cantSplit/>
        </w:trPr>
        <w:tc>
          <w:tcPr>
            <w:tcW w:w="2340" w:type="dxa"/>
            <w:tcBorders>
              <w:top w:val="nil"/>
              <w:left w:val="nil"/>
              <w:bottom w:val="nil"/>
              <w:right w:val="nil"/>
            </w:tcBorders>
            <w:shd w:val="clear" w:color="000000" w:fill="FFFFFF"/>
            <w:hideMark/>
          </w:tcPr>
          <w:p w:rsidR="001D2F2B" w:rsidP="00F2512B" w14:paraId="229F113C" w14:textId="113CC86B">
            <w:pPr>
              <w:spacing w:after="80"/>
              <w:rPr>
                <w:color w:val="000000"/>
                <w:sz w:val="16"/>
                <w:szCs w:val="16"/>
              </w:rPr>
            </w:pPr>
            <w:r>
              <w:rPr>
                <w:color w:val="000000"/>
                <w:sz w:val="16"/>
                <w:szCs w:val="16"/>
              </w:rPr>
              <w:t xml:space="preserve">Road Mile Density </w:t>
            </w:r>
            <w:r>
              <w:rPr>
                <w:color w:val="000000"/>
                <w:sz w:val="16"/>
                <w:szCs w:val="16"/>
              </w:rPr>
              <w:br/>
              <w:t xml:space="preserve">(Road Miles </w:t>
            </w:r>
            <w:r w:rsidR="00F2512B">
              <w:rPr>
                <w:color w:val="000000"/>
                <w:sz w:val="16"/>
                <w:szCs w:val="16"/>
              </w:rPr>
              <w:t>p</w:t>
            </w:r>
            <w:r>
              <w:rPr>
                <w:color w:val="000000"/>
                <w:sz w:val="16"/>
                <w:szCs w:val="16"/>
              </w:rPr>
              <w:t>er Sq</w:t>
            </w:r>
            <w:r w:rsidR="000D24A4">
              <w:rPr>
                <w:color w:val="000000"/>
                <w:sz w:val="16"/>
                <w:szCs w:val="16"/>
              </w:rPr>
              <w:t>.</w:t>
            </w:r>
            <w:r>
              <w:rPr>
                <w:color w:val="000000"/>
                <w:sz w:val="16"/>
                <w:szCs w:val="16"/>
              </w:rPr>
              <w:t xml:space="preserve"> Mile)</w:t>
            </w:r>
          </w:p>
        </w:tc>
        <w:tc>
          <w:tcPr>
            <w:tcW w:w="548" w:type="dxa"/>
            <w:tcBorders>
              <w:top w:val="nil"/>
              <w:left w:val="nil"/>
              <w:bottom w:val="nil"/>
              <w:right w:val="nil"/>
            </w:tcBorders>
            <w:shd w:val="clear" w:color="000000" w:fill="FFFFFF"/>
            <w:noWrap/>
            <w:hideMark/>
          </w:tcPr>
          <w:p w:rsidR="001D2F2B" w:rsidP="00F2512B" w14:paraId="4B64EB76" w14:textId="77777777">
            <w:pPr>
              <w:spacing w:after="80"/>
              <w:jc w:val="center"/>
              <w:rPr>
                <w:color w:val="000000"/>
                <w:sz w:val="16"/>
                <w:szCs w:val="16"/>
              </w:rPr>
            </w:pPr>
            <w:r>
              <w:rPr>
                <w:color w:val="000000"/>
                <w:sz w:val="16"/>
                <w:szCs w:val="16"/>
              </w:rPr>
              <w:t>3.4</w:t>
            </w:r>
          </w:p>
        </w:tc>
        <w:tc>
          <w:tcPr>
            <w:tcW w:w="665" w:type="dxa"/>
            <w:tcBorders>
              <w:top w:val="nil"/>
              <w:left w:val="nil"/>
              <w:bottom w:val="nil"/>
              <w:right w:val="nil"/>
            </w:tcBorders>
            <w:shd w:val="clear" w:color="000000" w:fill="FFFFFF"/>
            <w:noWrap/>
            <w:hideMark/>
          </w:tcPr>
          <w:p w:rsidR="001D2F2B" w:rsidP="00F2512B" w14:paraId="79A9DE56" w14:textId="77777777">
            <w:pPr>
              <w:spacing w:after="80"/>
              <w:jc w:val="center"/>
              <w:rPr>
                <w:color w:val="000000"/>
                <w:sz w:val="16"/>
                <w:szCs w:val="16"/>
              </w:rPr>
            </w:pPr>
            <w:r>
              <w:rPr>
                <w:color w:val="000000"/>
                <w:sz w:val="16"/>
                <w:szCs w:val="16"/>
              </w:rPr>
              <w:t>2.3</w:t>
            </w:r>
          </w:p>
        </w:tc>
        <w:tc>
          <w:tcPr>
            <w:tcW w:w="647" w:type="dxa"/>
            <w:tcBorders>
              <w:top w:val="nil"/>
              <w:left w:val="nil"/>
              <w:bottom w:val="nil"/>
              <w:right w:val="nil"/>
            </w:tcBorders>
            <w:shd w:val="clear" w:color="000000" w:fill="FFFFFF"/>
            <w:noWrap/>
            <w:hideMark/>
          </w:tcPr>
          <w:p w:rsidR="001D2F2B" w:rsidP="00F2512B" w14:paraId="04C38C98" w14:textId="77777777">
            <w:pPr>
              <w:spacing w:after="80"/>
              <w:jc w:val="center"/>
              <w:rPr>
                <w:color w:val="000000"/>
                <w:sz w:val="16"/>
                <w:szCs w:val="16"/>
              </w:rPr>
            </w:pPr>
            <w:r>
              <w:rPr>
                <w:color w:val="000000"/>
                <w:sz w:val="16"/>
                <w:szCs w:val="16"/>
              </w:rPr>
              <w:t>2.1</w:t>
            </w:r>
          </w:p>
        </w:tc>
        <w:tc>
          <w:tcPr>
            <w:tcW w:w="647" w:type="dxa"/>
            <w:tcBorders>
              <w:top w:val="nil"/>
              <w:left w:val="nil"/>
              <w:bottom w:val="nil"/>
              <w:right w:val="nil"/>
            </w:tcBorders>
            <w:shd w:val="clear" w:color="000000" w:fill="FFFFFF"/>
            <w:noWrap/>
            <w:hideMark/>
          </w:tcPr>
          <w:p w:rsidR="001D2F2B" w:rsidP="00F2512B" w14:paraId="5CF566BA" w14:textId="77777777">
            <w:pPr>
              <w:spacing w:after="80"/>
              <w:jc w:val="center"/>
              <w:rPr>
                <w:color w:val="000000"/>
                <w:sz w:val="16"/>
                <w:szCs w:val="16"/>
              </w:rPr>
            </w:pPr>
            <w:r>
              <w:rPr>
                <w:color w:val="000000"/>
                <w:sz w:val="16"/>
                <w:szCs w:val="16"/>
              </w:rPr>
              <w:t>1.8</w:t>
            </w:r>
          </w:p>
        </w:tc>
        <w:tc>
          <w:tcPr>
            <w:tcW w:w="647" w:type="dxa"/>
            <w:tcBorders>
              <w:top w:val="nil"/>
              <w:left w:val="nil"/>
              <w:bottom w:val="nil"/>
              <w:right w:val="nil"/>
            </w:tcBorders>
            <w:shd w:val="clear" w:color="000000" w:fill="FFFFFF"/>
            <w:noWrap/>
            <w:hideMark/>
          </w:tcPr>
          <w:p w:rsidR="001D2F2B" w:rsidP="00F2512B" w14:paraId="4D72E0A9" w14:textId="77777777">
            <w:pPr>
              <w:spacing w:after="80"/>
              <w:jc w:val="center"/>
              <w:rPr>
                <w:color w:val="000000"/>
                <w:sz w:val="16"/>
                <w:szCs w:val="16"/>
              </w:rPr>
            </w:pPr>
            <w:r>
              <w:rPr>
                <w:color w:val="000000"/>
                <w:sz w:val="16"/>
                <w:szCs w:val="16"/>
              </w:rPr>
              <w:t>0.4</w:t>
            </w:r>
          </w:p>
        </w:tc>
        <w:tc>
          <w:tcPr>
            <w:tcW w:w="665" w:type="dxa"/>
            <w:tcBorders>
              <w:top w:val="nil"/>
              <w:left w:val="nil"/>
              <w:bottom w:val="nil"/>
              <w:right w:val="nil"/>
            </w:tcBorders>
            <w:shd w:val="clear" w:color="000000" w:fill="FFFFFF"/>
            <w:noWrap/>
            <w:hideMark/>
          </w:tcPr>
          <w:p w:rsidR="001D2F2B" w:rsidP="00F2512B" w14:paraId="4B218D3C" w14:textId="77777777">
            <w:pPr>
              <w:spacing w:after="80"/>
              <w:jc w:val="center"/>
              <w:rPr>
                <w:color w:val="000000"/>
                <w:sz w:val="16"/>
                <w:szCs w:val="16"/>
              </w:rPr>
            </w:pPr>
            <w:r>
              <w:rPr>
                <w:color w:val="000000"/>
                <w:sz w:val="16"/>
                <w:szCs w:val="16"/>
              </w:rPr>
              <w:t>0.4</w:t>
            </w:r>
          </w:p>
        </w:tc>
        <w:tc>
          <w:tcPr>
            <w:tcW w:w="647" w:type="dxa"/>
            <w:tcBorders>
              <w:top w:val="nil"/>
              <w:left w:val="nil"/>
              <w:bottom w:val="nil"/>
              <w:right w:val="nil"/>
            </w:tcBorders>
            <w:shd w:val="clear" w:color="000000" w:fill="FFFFFF"/>
            <w:noWrap/>
            <w:hideMark/>
          </w:tcPr>
          <w:p w:rsidR="001D2F2B" w:rsidP="00F2512B" w14:paraId="61340878" w14:textId="77777777">
            <w:pPr>
              <w:spacing w:after="80"/>
              <w:jc w:val="center"/>
              <w:rPr>
                <w:color w:val="000000"/>
                <w:sz w:val="16"/>
                <w:szCs w:val="16"/>
              </w:rPr>
            </w:pPr>
            <w:r>
              <w:rPr>
                <w:color w:val="000000"/>
                <w:sz w:val="16"/>
                <w:szCs w:val="16"/>
              </w:rPr>
              <w:t>0.4</w:t>
            </w:r>
          </w:p>
        </w:tc>
        <w:tc>
          <w:tcPr>
            <w:tcW w:w="647" w:type="dxa"/>
            <w:tcBorders>
              <w:top w:val="nil"/>
              <w:left w:val="nil"/>
              <w:bottom w:val="nil"/>
              <w:right w:val="nil"/>
            </w:tcBorders>
            <w:shd w:val="clear" w:color="000000" w:fill="FFFFFF"/>
            <w:noWrap/>
            <w:hideMark/>
          </w:tcPr>
          <w:p w:rsidR="001D2F2B" w:rsidP="00F2512B" w14:paraId="2435BCFC" w14:textId="77777777">
            <w:pPr>
              <w:spacing w:after="80"/>
              <w:jc w:val="center"/>
              <w:rPr>
                <w:color w:val="000000"/>
                <w:sz w:val="16"/>
                <w:szCs w:val="16"/>
              </w:rPr>
            </w:pPr>
            <w:r>
              <w:rPr>
                <w:color w:val="000000"/>
                <w:sz w:val="16"/>
                <w:szCs w:val="16"/>
              </w:rPr>
              <w:t>0.4</w:t>
            </w:r>
          </w:p>
        </w:tc>
        <w:tc>
          <w:tcPr>
            <w:tcW w:w="676" w:type="dxa"/>
            <w:tcBorders>
              <w:top w:val="nil"/>
              <w:left w:val="nil"/>
              <w:bottom w:val="nil"/>
              <w:right w:val="nil"/>
            </w:tcBorders>
            <w:shd w:val="clear" w:color="000000" w:fill="FFFFFF"/>
            <w:noWrap/>
            <w:hideMark/>
          </w:tcPr>
          <w:p w:rsidR="001D2F2B" w:rsidP="00F2512B" w14:paraId="3C9FDDC6" w14:textId="77777777">
            <w:pPr>
              <w:spacing w:after="80"/>
              <w:jc w:val="center"/>
              <w:rPr>
                <w:color w:val="000000"/>
                <w:sz w:val="16"/>
                <w:szCs w:val="16"/>
              </w:rPr>
            </w:pPr>
            <w:r>
              <w:rPr>
                <w:color w:val="000000"/>
                <w:sz w:val="16"/>
                <w:szCs w:val="16"/>
              </w:rPr>
              <w:t>26</w:t>
            </w:r>
          </w:p>
        </w:tc>
        <w:tc>
          <w:tcPr>
            <w:tcW w:w="675" w:type="dxa"/>
            <w:tcBorders>
              <w:top w:val="nil"/>
              <w:left w:val="nil"/>
              <w:bottom w:val="nil"/>
              <w:right w:val="nil"/>
            </w:tcBorders>
            <w:shd w:val="clear" w:color="000000" w:fill="FFFFFF"/>
            <w:noWrap/>
            <w:hideMark/>
          </w:tcPr>
          <w:p w:rsidR="001D2F2B" w:rsidP="00F2512B" w14:paraId="5C0BC0AE" w14:textId="77777777">
            <w:pPr>
              <w:spacing w:after="80"/>
              <w:jc w:val="center"/>
              <w:rPr>
                <w:color w:val="000000"/>
                <w:sz w:val="16"/>
                <w:szCs w:val="16"/>
              </w:rPr>
            </w:pPr>
            <w:r>
              <w:rPr>
                <w:color w:val="000000"/>
                <w:sz w:val="16"/>
                <w:szCs w:val="16"/>
              </w:rPr>
              <w:t>5.7</w:t>
            </w:r>
          </w:p>
        </w:tc>
        <w:tc>
          <w:tcPr>
            <w:tcW w:w="675" w:type="dxa"/>
            <w:tcBorders>
              <w:top w:val="nil"/>
              <w:left w:val="nil"/>
              <w:bottom w:val="nil"/>
              <w:right w:val="nil"/>
            </w:tcBorders>
            <w:shd w:val="clear" w:color="000000" w:fill="FFFFFF"/>
            <w:noWrap/>
            <w:hideMark/>
          </w:tcPr>
          <w:p w:rsidR="001D2F2B" w:rsidP="00F2512B" w14:paraId="49EBC58D" w14:textId="77777777">
            <w:pPr>
              <w:spacing w:after="80"/>
              <w:jc w:val="center"/>
              <w:rPr>
                <w:color w:val="000000"/>
                <w:sz w:val="16"/>
                <w:szCs w:val="16"/>
              </w:rPr>
            </w:pPr>
            <w:r>
              <w:rPr>
                <w:color w:val="000000"/>
                <w:sz w:val="16"/>
                <w:szCs w:val="16"/>
              </w:rPr>
              <w:t>5.2</w:t>
            </w:r>
          </w:p>
        </w:tc>
        <w:tc>
          <w:tcPr>
            <w:tcW w:w="601" w:type="dxa"/>
            <w:tcBorders>
              <w:top w:val="nil"/>
              <w:left w:val="nil"/>
              <w:bottom w:val="nil"/>
              <w:right w:val="nil"/>
            </w:tcBorders>
            <w:shd w:val="clear" w:color="000000" w:fill="FFFFFF"/>
            <w:noWrap/>
            <w:hideMark/>
          </w:tcPr>
          <w:p w:rsidR="001D2F2B" w:rsidP="00F2512B" w14:paraId="7506931A" w14:textId="77777777">
            <w:pPr>
              <w:spacing w:after="80"/>
              <w:jc w:val="center"/>
              <w:rPr>
                <w:color w:val="000000"/>
                <w:sz w:val="16"/>
                <w:szCs w:val="16"/>
              </w:rPr>
            </w:pPr>
            <w:r>
              <w:rPr>
                <w:color w:val="000000"/>
                <w:sz w:val="16"/>
                <w:szCs w:val="16"/>
              </w:rPr>
              <w:t>3.4</w:t>
            </w:r>
          </w:p>
        </w:tc>
      </w:tr>
      <w:tr w14:paraId="232CA40B" w14:textId="77777777" w:rsidTr="00F2512B">
        <w:tblPrEx>
          <w:tblW w:w="10080" w:type="dxa"/>
          <w:tblInd w:w="-360" w:type="dxa"/>
          <w:tblLook w:val="04A0"/>
        </w:tblPrEx>
        <w:trPr>
          <w:cantSplit/>
        </w:trPr>
        <w:tc>
          <w:tcPr>
            <w:tcW w:w="2340" w:type="dxa"/>
            <w:tcBorders>
              <w:top w:val="nil"/>
              <w:left w:val="nil"/>
              <w:bottom w:val="nil"/>
              <w:right w:val="nil"/>
            </w:tcBorders>
            <w:shd w:val="clear" w:color="000000" w:fill="FFFFFF"/>
            <w:hideMark/>
          </w:tcPr>
          <w:p w:rsidR="001D2F2B" w:rsidP="00F2512B" w14:paraId="5B2B3728" w14:textId="0E15B965">
            <w:pPr>
              <w:spacing w:after="80"/>
              <w:rPr>
                <w:color w:val="000000"/>
                <w:sz w:val="16"/>
                <w:szCs w:val="16"/>
              </w:rPr>
            </w:pPr>
            <w:r>
              <w:rPr>
                <w:color w:val="000000"/>
                <w:sz w:val="16"/>
                <w:szCs w:val="16"/>
              </w:rPr>
              <w:t xml:space="preserve">Establishment Density </w:t>
            </w:r>
            <w:r>
              <w:rPr>
                <w:color w:val="000000"/>
                <w:sz w:val="16"/>
                <w:szCs w:val="16"/>
              </w:rPr>
              <w:br/>
              <w:t>(Establishments Per Sq</w:t>
            </w:r>
            <w:r w:rsidR="000D24A4">
              <w:rPr>
                <w:color w:val="000000"/>
                <w:sz w:val="16"/>
                <w:szCs w:val="16"/>
              </w:rPr>
              <w:t>.</w:t>
            </w:r>
            <w:r>
              <w:rPr>
                <w:color w:val="000000"/>
                <w:sz w:val="16"/>
                <w:szCs w:val="16"/>
              </w:rPr>
              <w:t xml:space="preserve"> Mile)</w:t>
            </w:r>
          </w:p>
        </w:tc>
        <w:tc>
          <w:tcPr>
            <w:tcW w:w="548" w:type="dxa"/>
            <w:tcBorders>
              <w:top w:val="nil"/>
              <w:left w:val="nil"/>
              <w:bottom w:val="nil"/>
              <w:right w:val="nil"/>
            </w:tcBorders>
            <w:shd w:val="clear" w:color="000000" w:fill="FFFFFF"/>
            <w:noWrap/>
            <w:hideMark/>
          </w:tcPr>
          <w:p w:rsidR="001D2F2B" w:rsidP="00F2512B" w14:paraId="23EFEAFA" w14:textId="77777777">
            <w:pPr>
              <w:spacing w:after="80"/>
              <w:jc w:val="center"/>
              <w:rPr>
                <w:color w:val="000000"/>
                <w:sz w:val="16"/>
                <w:szCs w:val="16"/>
              </w:rPr>
            </w:pPr>
            <w:r>
              <w:rPr>
                <w:color w:val="000000"/>
                <w:sz w:val="16"/>
                <w:szCs w:val="16"/>
              </w:rPr>
              <w:t>9.8</w:t>
            </w:r>
          </w:p>
        </w:tc>
        <w:tc>
          <w:tcPr>
            <w:tcW w:w="665" w:type="dxa"/>
            <w:tcBorders>
              <w:top w:val="nil"/>
              <w:left w:val="nil"/>
              <w:bottom w:val="nil"/>
              <w:right w:val="nil"/>
            </w:tcBorders>
            <w:shd w:val="clear" w:color="000000" w:fill="FFFFFF"/>
            <w:noWrap/>
            <w:hideMark/>
          </w:tcPr>
          <w:p w:rsidR="001D2F2B" w:rsidP="00F2512B" w14:paraId="46162C72" w14:textId="77777777">
            <w:pPr>
              <w:spacing w:after="80"/>
              <w:jc w:val="center"/>
              <w:rPr>
                <w:color w:val="000000"/>
                <w:sz w:val="16"/>
                <w:szCs w:val="16"/>
              </w:rPr>
            </w:pPr>
            <w:r>
              <w:rPr>
                <w:color w:val="000000"/>
                <w:sz w:val="16"/>
                <w:szCs w:val="16"/>
              </w:rPr>
              <w:t>0.8</w:t>
            </w:r>
          </w:p>
        </w:tc>
        <w:tc>
          <w:tcPr>
            <w:tcW w:w="647" w:type="dxa"/>
            <w:tcBorders>
              <w:top w:val="nil"/>
              <w:left w:val="nil"/>
              <w:bottom w:val="nil"/>
              <w:right w:val="nil"/>
            </w:tcBorders>
            <w:shd w:val="clear" w:color="000000" w:fill="FFFFFF"/>
            <w:noWrap/>
            <w:hideMark/>
          </w:tcPr>
          <w:p w:rsidR="001D2F2B" w:rsidP="00F2512B" w14:paraId="5BB3F105" w14:textId="77777777">
            <w:pPr>
              <w:spacing w:after="80"/>
              <w:jc w:val="center"/>
              <w:rPr>
                <w:color w:val="000000"/>
                <w:sz w:val="16"/>
                <w:szCs w:val="16"/>
              </w:rPr>
            </w:pPr>
            <w:r>
              <w:rPr>
                <w:color w:val="000000"/>
                <w:sz w:val="16"/>
                <w:szCs w:val="16"/>
              </w:rPr>
              <w:t>0.5</w:t>
            </w:r>
          </w:p>
        </w:tc>
        <w:tc>
          <w:tcPr>
            <w:tcW w:w="647" w:type="dxa"/>
            <w:tcBorders>
              <w:top w:val="nil"/>
              <w:left w:val="nil"/>
              <w:bottom w:val="nil"/>
              <w:right w:val="nil"/>
            </w:tcBorders>
            <w:shd w:val="clear" w:color="000000" w:fill="FFFFFF"/>
            <w:noWrap/>
            <w:hideMark/>
          </w:tcPr>
          <w:p w:rsidR="001D2F2B" w:rsidP="00F2512B" w14:paraId="21324454" w14:textId="77777777">
            <w:pPr>
              <w:spacing w:after="80"/>
              <w:jc w:val="center"/>
              <w:rPr>
                <w:color w:val="000000"/>
                <w:sz w:val="16"/>
                <w:szCs w:val="16"/>
              </w:rPr>
            </w:pPr>
            <w:r>
              <w:rPr>
                <w:color w:val="000000"/>
                <w:sz w:val="16"/>
                <w:szCs w:val="16"/>
              </w:rPr>
              <w:t>0.2</w:t>
            </w:r>
          </w:p>
        </w:tc>
        <w:tc>
          <w:tcPr>
            <w:tcW w:w="647" w:type="dxa"/>
            <w:tcBorders>
              <w:top w:val="nil"/>
              <w:left w:val="nil"/>
              <w:bottom w:val="nil"/>
              <w:right w:val="nil"/>
            </w:tcBorders>
            <w:shd w:val="clear" w:color="000000" w:fill="FFFFFF"/>
            <w:noWrap/>
            <w:hideMark/>
          </w:tcPr>
          <w:p w:rsidR="001D2F2B" w:rsidP="00F2512B" w14:paraId="2074197E" w14:textId="77777777">
            <w:pPr>
              <w:spacing w:after="80"/>
              <w:jc w:val="center"/>
              <w:rPr>
                <w:color w:val="000000"/>
                <w:sz w:val="16"/>
                <w:szCs w:val="16"/>
              </w:rPr>
            </w:pPr>
            <w:r>
              <w:rPr>
                <w:color w:val="000000"/>
                <w:sz w:val="16"/>
                <w:szCs w:val="16"/>
              </w:rPr>
              <w:t>0.004</w:t>
            </w:r>
          </w:p>
        </w:tc>
        <w:tc>
          <w:tcPr>
            <w:tcW w:w="665" w:type="dxa"/>
            <w:tcBorders>
              <w:top w:val="nil"/>
              <w:left w:val="nil"/>
              <w:bottom w:val="nil"/>
              <w:right w:val="nil"/>
            </w:tcBorders>
            <w:shd w:val="clear" w:color="000000" w:fill="FFFFFF"/>
            <w:noWrap/>
            <w:hideMark/>
          </w:tcPr>
          <w:p w:rsidR="001D2F2B" w:rsidP="00F2512B" w14:paraId="2102BB7C" w14:textId="77777777">
            <w:pPr>
              <w:spacing w:after="80"/>
              <w:jc w:val="center"/>
              <w:rPr>
                <w:color w:val="000000"/>
                <w:sz w:val="16"/>
                <w:szCs w:val="16"/>
              </w:rPr>
            </w:pPr>
            <w:r>
              <w:rPr>
                <w:color w:val="000000"/>
                <w:sz w:val="16"/>
                <w:szCs w:val="16"/>
              </w:rPr>
              <w:t>0.004</w:t>
            </w:r>
          </w:p>
        </w:tc>
        <w:tc>
          <w:tcPr>
            <w:tcW w:w="647" w:type="dxa"/>
            <w:tcBorders>
              <w:top w:val="nil"/>
              <w:left w:val="nil"/>
              <w:bottom w:val="nil"/>
              <w:right w:val="nil"/>
            </w:tcBorders>
            <w:shd w:val="clear" w:color="000000" w:fill="FFFFFF"/>
            <w:noWrap/>
            <w:hideMark/>
          </w:tcPr>
          <w:p w:rsidR="001D2F2B" w:rsidP="00F2512B" w14:paraId="00DF4D2E" w14:textId="77777777">
            <w:pPr>
              <w:spacing w:after="80"/>
              <w:jc w:val="center"/>
              <w:rPr>
                <w:color w:val="000000"/>
                <w:sz w:val="16"/>
                <w:szCs w:val="16"/>
              </w:rPr>
            </w:pPr>
            <w:r>
              <w:rPr>
                <w:color w:val="000000"/>
                <w:sz w:val="16"/>
                <w:szCs w:val="16"/>
              </w:rPr>
              <w:t>0.004</w:t>
            </w:r>
          </w:p>
        </w:tc>
        <w:tc>
          <w:tcPr>
            <w:tcW w:w="647" w:type="dxa"/>
            <w:tcBorders>
              <w:top w:val="nil"/>
              <w:left w:val="nil"/>
              <w:bottom w:val="nil"/>
              <w:right w:val="nil"/>
            </w:tcBorders>
            <w:shd w:val="clear" w:color="000000" w:fill="FFFFFF"/>
            <w:noWrap/>
            <w:hideMark/>
          </w:tcPr>
          <w:p w:rsidR="001D2F2B" w:rsidP="00F2512B" w14:paraId="11A09BFB" w14:textId="77777777">
            <w:pPr>
              <w:spacing w:after="80"/>
              <w:jc w:val="center"/>
              <w:rPr>
                <w:color w:val="000000"/>
                <w:sz w:val="16"/>
                <w:szCs w:val="16"/>
              </w:rPr>
            </w:pPr>
            <w:r>
              <w:rPr>
                <w:color w:val="000000"/>
                <w:sz w:val="16"/>
                <w:szCs w:val="16"/>
              </w:rPr>
              <w:t>0.004</w:t>
            </w:r>
          </w:p>
        </w:tc>
        <w:tc>
          <w:tcPr>
            <w:tcW w:w="676" w:type="dxa"/>
            <w:tcBorders>
              <w:top w:val="nil"/>
              <w:left w:val="nil"/>
              <w:bottom w:val="nil"/>
              <w:right w:val="nil"/>
            </w:tcBorders>
            <w:shd w:val="clear" w:color="000000" w:fill="FFFFFF"/>
            <w:noWrap/>
            <w:hideMark/>
          </w:tcPr>
          <w:p w:rsidR="001D2F2B" w:rsidP="00F2512B" w14:paraId="598C9D7D" w14:textId="77777777">
            <w:pPr>
              <w:spacing w:after="80"/>
              <w:jc w:val="center"/>
              <w:rPr>
                <w:color w:val="000000"/>
                <w:sz w:val="16"/>
                <w:szCs w:val="16"/>
              </w:rPr>
            </w:pPr>
            <w:r>
              <w:rPr>
                <w:color w:val="000000"/>
                <w:sz w:val="16"/>
                <w:szCs w:val="16"/>
              </w:rPr>
              <w:t>4,643</w:t>
            </w:r>
          </w:p>
        </w:tc>
        <w:tc>
          <w:tcPr>
            <w:tcW w:w="675" w:type="dxa"/>
            <w:tcBorders>
              <w:top w:val="nil"/>
              <w:left w:val="nil"/>
              <w:bottom w:val="nil"/>
              <w:right w:val="nil"/>
            </w:tcBorders>
            <w:shd w:val="clear" w:color="000000" w:fill="FFFFFF"/>
            <w:noWrap/>
            <w:hideMark/>
          </w:tcPr>
          <w:p w:rsidR="001D2F2B" w:rsidP="00F2512B" w14:paraId="02829753" w14:textId="77777777">
            <w:pPr>
              <w:spacing w:after="80"/>
              <w:jc w:val="center"/>
              <w:rPr>
                <w:color w:val="000000"/>
                <w:sz w:val="16"/>
                <w:szCs w:val="16"/>
              </w:rPr>
            </w:pPr>
            <w:r>
              <w:rPr>
                <w:color w:val="000000"/>
                <w:sz w:val="16"/>
                <w:szCs w:val="16"/>
              </w:rPr>
              <w:t>5.6</w:t>
            </w:r>
          </w:p>
        </w:tc>
        <w:tc>
          <w:tcPr>
            <w:tcW w:w="675" w:type="dxa"/>
            <w:tcBorders>
              <w:top w:val="nil"/>
              <w:left w:val="nil"/>
              <w:bottom w:val="nil"/>
              <w:right w:val="nil"/>
            </w:tcBorders>
            <w:shd w:val="clear" w:color="000000" w:fill="FFFFFF"/>
            <w:noWrap/>
            <w:hideMark/>
          </w:tcPr>
          <w:p w:rsidR="001D2F2B" w:rsidP="00F2512B" w14:paraId="66F3EAEB" w14:textId="77777777">
            <w:pPr>
              <w:spacing w:after="80"/>
              <w:jc w:val="center"/>
              <w:rPr>
                <w:color w:val="000000"/>
                <w:sz w:val="16"/>
                <w:szCs w:val="16"/>
              </w:rPr>
            </w:pPr>
            <w:r>
              <w:rPr>
                <w:color w:val="000000"/>
                <w:sz w:val="16"/>
                <w:szCs w:val="16"/>
              </w:rPr>
              <w:t>3.6</w:t>
            </w:r>
          </w:p>
        </w:tc>
        <w:tc>
          <w:tcPr>
            <w:tcW w:w="601" w:type="dxa"/>
            <w:tcBorders>
              <w:top w:val="nil"/>
              <w:left w:val="nil"/>
              <w:bottom w:val="nil"/>
              <w:right w:val="nil"/>
            </w:tcBorders>
            <w:shd w:val="clear" w:color="000000" w:fill="FFFFFF"/>
            <w:noWrap/>
            <w:hideMark/>
          </w:tcPr>
          <w:p w:rsidR="001D2F2B" w:rsidP="00F2512B" w14:paraId="36883A2D" w14:textId="77777777">
            <w:pPr>
              <w:spacing w:after="80"/>
              <w:jc w:val="center"/>
              <w:rPr>
                <w:color w:val="000000"/>
                <w:sz w:val="16"/>
                <w:szCs w:val="16"/>
              </w:rPr>
            </w:pPr>
            <w:r>
              <w:rPr>
                <w:color w:val="000000"/>
                <w:sz w:val="16"/>
                <w:szCs w:val="16"/>
              </w:rPr>
              <w:t>1.6</w:t>
            </w:r>
          </w:p>
        </w:tc>
      </w:tr>
      <w:tr w14:paraId="70CE6E5A" w14:textId="77777777" w:rsidTr="00F2512B">
        <w:tblPrEx>
          <w:tblW w:w="10080" w:type="dxa"/>
          <w:tblInd w:w="-360" w:type="dxa"/>
          <w:tblLook w:val="04A0"/>
        </w:tblPrEx>
        <w:trPr>
          <w:cantSplit/>
        </w:trPr>
        <w:tc>
          <w:tcPr>
            <w:tcW w:w="2340" w:type="dxa"/>
            <w:tcBorders>
              <w:top w:val="nil"/>
              <w:left w:val="nil"/>
              <w:bottom w:val="nil"/>
              <w:right w:val="nil"/>
            </w:tcBorders>
            <w:shd w:val="clear" w:color="000000" w:fill="FFFFFF"/>
            <w:hideMark/>
          </w:tcPr>
          <w:p w:rsidR="001D2F2B" w:rsidP="00F2512B" w14:paraId="029E0FB8" w14:textId="77777777">
            <w:pPr>
              <w:spacing w:after="80"/>
              <w:rPr>
                <w:color w:val="000000"/>
                <w:sz w:val="16"/>
                <w:szCs w:val="16"/>
              </w:rPr>
            </w:pPr>
            <w:r>
              <w:rPr>
                <w:color w:val="000000"/>
                <w:sz w:val="16"/>
                <w:szCs w:val="16"/>
              </w:rPr>
              <w:t xml:space="preserve">Median Household Income </w:t>
            </w:r>
            <w:r>
              <w:rPr>
                <w:color w:val="000000"/>
                <w:sz w:val="16"/>
                <w:szCs w:val="16"/>
              </w:rPr>
              <w:br/>
              <w:t>(Thousands of 2013 Dollars)</w:t>
            </w:r>
          </w:p>
        </w:tc>
        <w:tc>
          <w:tcPr>
            <w:tcW w:w="548" w:type="dxa"/>
            <w:tcBorders>
              <w:top w:val="nil"/>
              <w:left w:val="nil"/>
              <w:bottom w:val="nil"/>
              <w:right w:val="nil"/>
            </w:tcBorders>
            <w:shd w:val="clear" w:color="000000" w:fill="FFFFFF"/>
            <w:noWrap/>
            <w:hideMark/>
          </w:tcPr>
          <w:p w:rsidR="001D2F2B" w:rsidP="00F2512B" w14:paraId="04CDB188" w14:textId="77777777">
            <w:pPr>
              <w:spacing w:after="80"/>
              <w:jc w:val="center"/>
              <w:rPr>
                <w:color w:val="000000"/>
                <w:sz w:val="16"/>
                <w:szCs w:val="16"/>
              </w:rPr>
            </w:pPr>
            <w:r>
              <w:rPr>
                <w:color w:val="000000"/>
                <w:sz w:val="16"/>
                <w:szCs w:val="16"/>
              </w:rPr>
              <w:t>47</w:t>
            </w:r>
          </w:p>
        </w:tc>
        <w:tc>
          <w:tcPr>
            <w:tcW w:w="665" w:type="dxa"/>
            <w:tcBorders>
              <w:top w:val="nil"/>
              <w:left w:val="nil"/>
              <w:bottom w:val="nil"/>
              <w:right w:val="nil"/>
            </w:tcBorders>
            <w:shd w:val="clear" w:color="000000" w:fill="FFFFFF"/>
            <w:noWrap/>
            <w:hideMark/>
          </w:tcPr>
          <w:p w:rsidR="001D2F2B" w:rsidP="00F2512B" w14:paraId="62205DE9" w14:textId="77777777">
            <w:pPr>
              <w:spacing w:after="80"/>
              <w:jc w:val="center"/>
              <w:rPr>
                <w:color w:val="000000"/>
                <w:sz w:val="16"/>
                <w:szCs w:val="16"/>
              </w:rPr>
            </w:pPr>
            <w:r>
              <w:rPr>
                <w:color w:val="000000"/>
                <w:sz w:val="16"/>
                <w:szCs w:val="16"/>
              </w:rPr>
              <w:t>43</w:t>
            </w:r>
          </w:p>
        </w:tc>
        <w:tc>
          <w:tcPr>
            <w:tcW w:w="647" w:type="dxa"/>
            <w:tcBorders>
              <w:top w:val="nil"/>
              <w:left w:val="nil"/>
              <w:bottom w:val="nil"/>
              <w:right w:val="nil"/>
            </w:tcBorders>
            <w:shd w:val="clear" w:color="000000" w:fill="FFFFFF"/>
            <w:noWrap/>
            <w:hideMark/>
          </w:tcPr>
          <w:p w:rsidR="001D2F2B" w:rsidP="00F2512B" w14:paraId="0EBFAAA0" w14:textId="77777777">
            <w:pPr>
              <w:spacing w:after="80"/>
              <w:jc w:val="center"/>
              <w:rPr>
                <w:color w:val="000000"/>
                <w:sz w:val="16"/>
                <w:szCs w:val="16"/>
              </w:rPr>
            </w:pPr>
            <w:r>
              <w:rPr>
                <w:color w:val="000000"/>
                <w:sz w:val="16"/>
                <w:szCs w:val="16"/>
              </w:rPr>
              <w:t>42</w:t>
            </w:r>
          </w:p>
        </w:tc>
        <w:tc>
          <w:tcPr>
            <w:tcW w:w="647" w:type="dxa"/>
            <w:tcBorders>
              <w:top w:val="nil"/>
              <w:left w:val="nil"/>
              <w:bottom w:val="nil"/>
              <w:right w:val="nil"/>
            </w:tcBorders>
            <w:shd w:val="clear" w:color="000000" w:fill="FFFFFF"/>
            <w:noWrap/>
            <w:hideMark/>
          </w:tcPr>
          <w:p w:rsidR="001D2F2B" w:rsidP="00F2512B" w14:paraId="6A017166" w14:textId="77777777">
            <w:pPr>
              <w:spacing w:after="80"/>
              <w:jc w:val="center"/>
              <w:rPr>
                <w:color w:val="000000"/>
                <w:sz w:val="16"/>
                <w:szCs w:val="16"/>
              </w:rPr>
            </w:pPr>
            <w:r>
              <w:rPr>
                <w:color w:val="000000"/>
                <w:sz w:val="16"/>
                <w:szCs w:val="16"/>
              </w:rPr>
              <w:t>43</w:t>
            </w:r>
          </w:p>
        </w:tc>
        <w:tc>
          <w:tcPr>
            <w:tcW w:w="647" w:type="dxa"/>
            <w:tcBorders>
              <w:top w:val="nil"/>
              <w:left w:val="nil"/>
              <w:bottom w:val="nil"/>
              <w:right w:val="nil"/>
            </w:tcBorders>
            <w:shd w:val="clear" w:color="000000" w:fill="FFFFFF"/>
            <w:noWrap/>
            <w:hideMark/>
          </w:tcPr>
          <w:p w:rsidR="001D2F2B" w:rsidP="00F2512B" w14:paraId="54683583" w14:textId="77777777">
            <w:pPr>
              <w:spacing w:after="80"/>
              <w:jc w:val="center"/>
              <w:rPr>
                <w:color w:val="000000"/>
                <w:sz w:val="16"/>
                <w:szCs w:val="16"/>
              </w:rPr>
            </w:pPr>
            <w:r>
              <w:rPr>
                <w:color w:val="000000"/>
                <w:sz w:val="16"/>
                <w:szCs w:val="16"/>
              </w:rPr>
              <w:t>21</w:t>
            </w:r>
          </w:p>
        </w:tc>
        <w:tc>
          <w:tcPr>
            <w:tcW w:w="665" w:type="dxa"/>
            <w:tcBorders>
              <w:top w:val="nil"/>
              <w:left w:val="nil"/>
              <w:bottom w:val="nil"/>
              <w:right w:val="nil"/>
            </w:tcBorders>
            <w:shd w:val="clear" w:color="000000" w:fill="FFFFFF"/>
            <w:noWrap/>
            <w:hideMark/>
          </w:tcPr>
          <w:p w:rsidR="001D2F2B" w:rsidP="00F2512B" w14:paraId="3CD9CC2A" w14:textId="77777777">
            <w:pPr>
              <w:spacing w:after="80"/>
              <w:jc w:val="center"/>
              <w:rPr>
                <w:color w:val="000000"/>
                <w:sz w:val="16"/>
                <w:szCs w:val="16"/>
              </w:rPr>
            </w:pPr>
            <w:r>
              <w:rPr>
                <w:color w:val="000000"/>
                <w:sz w:val="16"/>
                <w:szCs w:val="16"/>
              </w:rPr>
              <w:t>21</w:t>
            </w:r>
          </w:p>
        </w:tc>
        <w:tc>
          <w:tcPr>
            <w:tcW w:w="647" w:type="dxa"/>
            <w:tcBorders>
              <w:top w:val="nil"/>
              <w:left w:val="nil"/>
              <w:bottom w:val="nil"/>
              <w:right w:val="nil"/>
            </w:tcBorders>
            <w:shd w:val="clear" w:color="000000" w:fill="FFFFFF"/>
            <w:noWrap/>
            <w:hideMark/>
          </w:tcPr>
          <w:p w:rsidR="001D2F2B" w:rsidP="00F2512B" w14:paraId="0A7A3E7A" w14:textId="77777777">
            <w:pPr>
              <w:spacing w:after="80"/>
              <w:jc w:val="center"/>
              <w:rPr>
                <w:color w:val="000000"/>
                <w:sz w:val="16"/>
                <w:szCs w:val="16"/>
              </w:rPr>
            </w:pPr>
            <w:r>
              <w:rPr>
                <w:color w:val="000000"/>
                <w:sz w:val="16"/>
                <w:szCs w:val="16"/>
              </w:rPr>
              <w:t>21</w:t>
            </w:r>
          </w:p>
        </w:tc>
        <w:tc>
          <w:tcPr>
            <w:tcW w:w="647" w:type="dxa"/>
            <w:tcBorders>
              <w:top w:val="nil"/>
              <w:left w:val="nil"/>
              <w:bottom w:val="nil"/>
              <w:right w:val="nil"/>
            </w:tcBorders>
            <w:shd w:val="clear" w:color="000000" w:fill="FFFFFF"/>
            <w:noWrap/>
            <w:hideMark/>
          </w:tcPr>
          <w:p w:rsidR="001D2F2B" w:rsidP="00F2512B" w14:paraId="0EBB9249" w14:textId="77777777">
            <w:pPr>
              <w:spacing w:after="80"/>
              <w:jc w:val="center"/>
              <w:rPr>
                <w:color w:val="000000"/>
                <w:sz w:val="16"/>
                <w:szCs w:val="16"/>
              </w:rPr>
            </w:pPr>
            <w:r>
              <w:rPr>
                <w:color w:val="000000"/>
                <w:sz w:val="16"/>
                <w:szCs w:val="16"/>
              </w:rPr>
              <w:t>21</w:t>
            </w:r>
          </w:p>
        </w:tc>
        <w:tc>
          <w:tcPr>
            <w:tcW w:w="676" w:type="dxa"/>
            <w:tcBorders>
              <w:top w:val="nil"/>
              <w:left w:val="nil"/>
              <w:bottom w:val="nil"/>
              <w:right w:val="nil"/>
            </w:tcBorders>
            <w:shd w:val="clear" w:color="000000" w:fill="FFFFFF"/>
            <w:noWrap/>
            <w:hideMark/>
          </w:tcPr>
          <w:p w:rsidR="001D2F2B" w:rsidP="00F2512B" w14:paraId="4CE7A454" w14:textId="77777777">
            <w:pPr>
              <w:spacing w:after="80"/>
              <w:jc w:val="center"/>
              <w:rPr>
                <w:color w:val="000000"/>
                <w:sz w:val="16"/>
                <w:szCs w:val="16"/>
              </w:rPr>
            </w:pPr>
            <w:r>
              <w:rPr>
                <w:color w:val="000000"/>
                <w:sz w:val="16"/>
                <w:szCs w:val="16"/>
              </w:rPr>
              <w:t>122</w:t>
            </w:r>
          </w:p>
        </w:tc>
        <w:tc>
          <w:tcPr>
            <w:tcW w:w="675" w:type="dxa"/>
            <w:tcBorders>
              <w:top w:val="nil"/>
              <w:left w:val="nil"/>
              <w:bottom w:val="nil"/>
              <w:right w:val="nil"/>
            </w:tcBorders>
            <w:shd w:val="clear" w:color="000000" w:fill="FFFFFF"/>
            <w:noWrap/>
            <w:hideMark/>
          </w:tcPr>
          <w:p w:rsidR="001D2F2B" w:rsidP="00F2512B" w14:paraId="6D9811FD" w14:textId="77777777">
            <w:pPr>
              <w:spacing w:after="80"/>
              <w:jc w:val="center"/>
              <w:rPr>
                <w:color w:val="000000"/>
                <w:sz w:val="16"/>
                <w:szCs w:val="16"/>
              </w:rPr>
            </w:pPr>
            <w:r>
              <w:rPr>
                <w:color w:val="000000"/>
                <w:sz w:val="16"/>
                <w:szCs w:val="16"/>
              </w:rPr>
              <w:t>83</w:t>
            </w:r>
          </w:p>
        </w:tc>
        <w:tc>
          <w:tcPr>
            <w:tcW w:w="675" w:type="dxa"/>
            <w:tcBorders>
              <w:top w:val="nil"/>
              <w:left w:val="nil"/>
              <w:bottom w:val="nil"/>
              <w:right w:val="nil"/>
            </w:tcBorders>
            <w:shd w:val="clear" w:color="000000" w:fill="FFFFFF"/>
            <w:noWrap/>
            <w:hideMark/>
          </w:tcPr>
          <w:p w:rsidR="001D2F2B" w:rsidP="00F2512B" w14:paraId="7DF71131" w14:textId="77777777">
            <w:pPr>
              <w:spacing w:after="80"/>
              <w:jc w:val="center"/>
              <w:rPr>
                <w:color w:val="000000"/>
                <w:sz w:val="16"/>
                <w:szCs w:val="16"/>
              </w:rPr>
            </w:pPr>
            <w:r>
              <w:rPr>
                <w:color w:val="000000"/>
                <w:sz w:val="16"/>
                <w:szCs w:val="16"/>
              </w:rPr>
              <w:t>83</w:t>
            </w:r>
          </w:p>
        </w:tc>
        <w:tc>
          <w:tcPr>
            <w:tcW w:w="601" w:type="dxa"/>
            <w:tcBorders>
              <w:top w:val="nil"/>
              <w:left w:val="nil"/>
              <w:bottom w:val="nil"/>
              <w:right w:val="nil"/>
            </w:tcBorders>
            <w:shd w:val="clear" w:color="000000" w:fill="FFFFFF"/>
            <w:noWrap/>
            <w:hideMark/>
          </w:tcPr>
          <w:p w:rsidR="001D2F2B" w:rsidP="00F2512B" w14:paraId="0A5B6F6D" w14:textId="77777777">
            <w:pPr>
              <w:spacing w:after="80"/>
              <w:jc w:val="center"/>
              <w:rPr>
                <w:color w:val="000000"/>
                <w:sz w:val="16"/>
                <w:szCs w:val="16"/>
              </w:rPr>
            </w:pPr>
            <w:r>
              <w:rPr>
                <w:color w:val="000000"/>
                <w:sz w:val="16"/>
                <w:szCs w:val="16"/>
              </w:rPr>
              <w:t>82</w:t>
            </w:r>
          </w:p>
        </w:tc>
      </w:tr>
      <w:tr w14:paraId="2891BEE2" w14:textId="77777777" w:rsidTr="00F2512B">
        <w:tblPrEx>
          <w:tblW w:w="10080" w:type="dxa"/>
          <w:tblInd w:w="-360" w:type="dxa"/>
          <w:tblLook w:val="04A0"/>
        </w:tblPrEx>
        <w:trPr>
          <w:cantSplit/>
        </w:trPr>
        <w:tc>
          <w:tcPr>
            <w:tcW w:w="2340" w:type="dxa"/>
            <w:tcBorders>
              <w:top w:val="nil"/>
              <w:left w:val="nil"/>
              <w:bottom w:val="nil"/>
              <w:right w:val="nil"/>
            </w:tcBorders>
            <w:shd w:val="clear" w:color="000000" w:fill="FFFFFF"/>
            <w:hideMark/>
          </w:tcPr>
          <w:p w:rsidR="001D2F2B" w:rsidP="00F2512B" w14:paraId="3A6C7705" w14:textId="0883DF24">
            <w:pPr>
              <w:spacing w:after="80"/>
              <w:rPr>
                <w:color w:val="000000"/>
                <w:sz w:val="16"/>
                <w:szCs w:val="16"/>
              </w:rPr>
            </w:pPr>
            <w:r>
              <w:rPr>
                <w:color w:val="000000"/>
                <w:sz w:val="16"/>
                <w:szCs w:val="16"/>
              </w:rPr>
              <w:t xml:space="preserve">Subscribers </w:t>
            </w:r>
            <w:r w:rsidR="000D24A4">
              <w:rPr>
                <w:color w:val="000000"/>
                <w:sz w:val="16"/>
                <w:szCs w:val="16"/>
              </w:rPr>
              <w:t>p</w:t>
            </w:r>
            <w:r>
              <w:rPr>
                <w:color w:val="000000"/>
                <w:sz w:val="16"/>
                <w:szCs w:val="16"/>
              </w:rPr>
              <w:t>er MHz Deployed Spectrum (CMA)</w:t>
            </w:r>
          </w:p>
        </w:tc>
        <w:tc>
          <w:tcPr>
            <w:tcW w:w="548" w:type="dxa"/>
            <w:tcBorders>
              <w:top w:val="nil"/>
              <w:left w:val="nil"/>
              <w:bottom w:val="nil"/>
              <w:right w:val="nil"/>
            </w:tcBorders>
            <w:shd w:val="clear" w:color="000000" w:fill="FFFFFF"/>
            <w:noWrap/>
            <w:hideMark/>
          </w:tcPr>
          <w:p w:rsidR="001D2F2B" w:rsidP="00F2512B" w14:paraId="6E1ECC43" w14:textId="77777777">
            <w:pPr>
              <w:spacing w:after="80"/>
              <w:jc w:val="center"/>
              <w:rPr>
                <w:color w:val="000000"/>
                <w:sz w:val="16"/>
                <w:szCs w:val="16"/>
              </w:rPr>
            </w:pPr>
            <w:r>
              <w:rPr>
                <w:color w:val="000000"/>
                <w:sz w:val="16"/>
                <w:szCs w:val="16"/>
              </w:rPr>
              <w:t>1,752</w:t>
            </w:r>
          </w:p>
        </w:tc>
        <w:tc>
          <w:tcPr>
            <w:tcW w:w="665" w:type="dxa"/>
            <w:tcBorders>
              <w:top w:val="nil"/>
              <w:left w:val="nil"/>
              <w:bottom w:val="nil"/>
              <w:right w:val="nil"/>
            </w:tcBorders>
            <w:shd w:val="clear" w:color="000000" w:fill="FFFFFF"/>
            <w:noWrap/>
            <w:hideMark/>
          </w:tcPr>
          <w:p w:rsidR="001D2F2B" w:rsidP="00F2512B" w14:paraId="2E8F1130" w14:textId="77777777">
            <w:pPr>
              <w:spacing w:after="80"/>
              <w:jc w:val="center"/>
              <w:rPr>
                <w:color w:val="000000"/>
                <w:sz w:val="16"/>
                <w:szCs w:val="16"/>
              </w:rPr>
            </w:pPr>
            <w:r>
              <w:rPr>
                <w:color w:val="000000"/>
                <w:sz w:val="16"/>
                <w:szCs w:val="16"/>
              </w:rPr>
              <w:t>531</w:t>
            </w:r>
          </w:p>
        </w:tc>
        <w:tc>
          <w:tcPr>
            <w:tcW w:w="647" w:type="dxa"/>
            <w:tcBorders>
              <w:top w:val="nil"/>
              <w:left w:val="nil"/>
              <w:bottom w:val="nil"/>
              <w:right w:val="nil"/>
            </w:tcBorders>
            <w:shd w:val="clear" w:color="000000" w:fill="FFFFFF"/>
            <w:noWrap/>
            <w:hideMark/>
          </w:tcPr>
          <w:p w:rsidR="001D2F2B" w:rsidP="00F2512B" w14:paraId="4193392D" w14:textId="77777777">
            <w:pPr>
              <w:spacing w:after="80"/>
              <w:jc w:val="center"/>
              <w:rPr>
                <w:color w:val="000000"/>
                <w:sz w:val="16"/>
                <w:szCs w:val="16"/>
              </w:rPr>
            </w:pPr>
            <w:r>
              <w:rPr>
                <w:color w:val="000000"/>
                <w:sz w:val="16"/>
                <w:szCs w:val="16"/>
              </w:rPr>
              <w:t>449</w:t>
            </w:r>
          </w:p>
        </w:tc>
        <w:tc>
          <w:tcPr>
            <w:tcW w:w="647" w:type="dxa"/>
            <w:tcBorders>
              <w:top w:val="nil"/>
              <w:left w:val="nil"/>
              <w:bottom w:val="nil"/>
              <w:right w:val="nil"/>
            </w:tcBorders>
            <w:shd w:val="clear" w:color="000000" w:fill="FFFFFF"/>
            <w:noWrap/>
            <w:hideMark/>
          </w:tcPr>
          <w:p w:rsidR="001D2F2B" w:rsidP="00F2512B" w14:paraId="48054BEA" w14:textId="77777777">
            <w:pPr>
              <w:spacing w:after="80"/>
              <w:jc w:val="center"/>
              <w:rPr>
                <w:color w:val="000000"/>
                <w:sz w:val="16"/>
                <w:szCs w:val="16"/>
              </w:rPr>
            </w:pPr>
            <w:r>
              <w:rPr>
                <w:color w:val="000000"/>
                <w:sz w:val="16"/>
                <w:szCs w:val="16"/>
              </w:rPr>
              <w:t>383</w:t>
            </w:r>
          </w:p>
        </w:tc>
        <w:tc>
          <w:tcPr>
            <w:tcW w:w="647" w:type="dxa"/>
            <w:tcBorders>
              <w:top w:val="nil"/>
              <w:left w:val="nil"/>
              <w:bottom w:val="nil"/>
              <w:right w:val="nil"/>
            </w:tcBorders>
            <w:shd w:val="clear" w:color="000000" w:fill="FFFFFF"/>
            <w:noWrap/>
            <w:hideMark/>
          </w:tcPr>
          <w:p w:rsidR="001D2F2B" w:rsidP="00F2512B" w14:paraId="0E3E1E50" w14:textId="77777777">
            <w:pPr>
              <w:spacing w:after="80"/>
              <w:jc w:val="center"/>
              <w:rPr>
                <w:color w:val="000000"/>
                <w:sz w:val="16"/>
                <w:szCs w:val="16"/>
              </w:rPr>
            </w:pPr>
            <w:r>
              <w:rPr>
                <w:color w:val="000000"/>
                <w:sz w:val="16"/>
                <w:szCs w:val="16"/>
              </w:rPr>
              <w:t>0.3</w:t>
            </w:r>
          </w:p>
        </w:tc>
        <w:tc>
          <w:tcPr>
            <w:tcW w:w="665" w:type="dxa"/>
            <w:tcBorders>
              <w:top w:val="nil"/>
              <w:left w:val="nil"/>
              <w:bottom w:val="nil"/>
              <w:right w:val="nil"/>
            </w:tcBorders>
            <w:shd w:val="clear" w:color="000000" w:fill="FFFFFF"/>
            <w:noWrap/>
            <w:hideMark/>
          </w:tcPr>
          <w:p w:rsidR="001D2F2B" w:rsidP="00F2512B" w14:paraId="001D8F6D" w14:textId="77777777">
            <w:pPr>
              <w:spacing w:after="80"/>
              <w:jc w:val="center"/>
              <w:rPr>
                <w:color w:val="000000"/>
                <w:sz w:val="16"/>
                <w:szCs w:val="16"/>
              </w:rPr>
            </w:pPr>
            <w:r>
              <w:rPr>
                <w:color w:val="000000"/>
                <w:sz w:val="16"/>
                <w:szCs w:val="16"/>
              </w:rPr>
              <w:t>0.3</w:t>
            </w:r>
          </w:p>
        </w:tc>
        <w:tc>
          <w:tcPr>
            <w:tcW w:w="647" w:type="dxa"/>
            <w:tcBorders>
              <w:top w:val="nil"/>
              <w:left w:val="nil"/>
              <w:bottom w:val="nil"/>
              <w:right w:val="nil"/>
            </w:tcBorders>
            <w:shd w:val="clear" w:color="000000" w:fill="FFFFFF"/>
            <w:noWrap/>
            <w:hideMark/>
          </w:tcPr>
          <w:p w:rsidR="001D2F2B" w:rsidP="00F2512B" w14:paraId="0913EA18" w14:textId="77777777">
            <w:pPr>
              <w:spacing w:after="80"/>
              <w:jc w:val="center"/>
              <w:rPr>
                <w:color w:val="000000"/>
                <w:sz w:val="16"/>
                <w:szCs w:val="16"/>
              </w:rPr>
            </w:pPr>
            <w:r>
              <w:rPr>
                <w:color w:val="000000"/>
                <w:sz w:val="16"/>
                <w:szCs w:val="16"/>
              </w:rPr>
              <w:t>1.1</w:t>
            </w:r>
          </w:p>
        </w:tc>
        <w:tc>
          <w:tcPr>
            <w:tcW w:w="647" w:type="dxa"/>
            <w:tcBorders>
              <w:top w:val="nil"/>
              <w:left w:val="nil"/>
              <w:bottom w:val="nil"/>
              <w:right w:val="nil"/>
            </w:tcBorders>
            <w:shd w:val="clear" w:color="000000" w:fill="FFFFFF"/>
            <w:noWrap/>
            <w:hideMark/>
          </w:tcPr>
          <w:p w:rsidR="001D2F2B" w:rsidP="00F2512B" w14:paraId="5C08559D" w14:textId="77777777">
            <w:pPr>
              <w:spacing w:after="80"/>
              <w:jc w:val="center"/>
              <w:rPr>
                <w:color w:val="000000"/>
                <w:sz w:val="16"/>
                <w:szCs w:val="16"/>
              </w:rPr>
            </w:pPr>
            <w:r>
              <w:rPr>
                <w:color w:val="000000"/>
                <w:sz w:val="16"/>
                <w:szCs w:val="16"/>
              </w:rPr>
              <w:t>1.1</w:t>
            </w:r>
          </w:p>
        </w:tc>
        <w:tc>
          <w:tcPr>
            <w:tcW w:w="676" w:type="dxa"/>
            <w:tcBorders>
              <w:top w:val="nil"/>
              <w:left w:val="nil"/>
              <w:bottom w:val="nil"/>
              <w:right w:val="nil"/>
            </w:tcBorders>
            <w:shd w:val="clear" w:color="000000" w:fill="FFFFFF"/>
            <w:noWrap/>
            <w:hideMark/>
          </w:tcPr>
          <w:p w:rsidR="001D2F2B" w:rsidP="00F2512B" w14:paraId="46C94769" w14:textId="77777777">
            <w:pPr>
              <w:spacing w:after="80"/>
              <w:jc w:val="center"/>
              <w:rPr>
                <w:color w:val="000000"/>
                <w:sz w:val="16"/>
                <w:szCs w:val="16"/>
              </w:rPr>
            </w:pPr>
            <w:r>
              <w:rPr>
                <w:color w:val="000000"/>
                <w:sz w:val="16"/>
                <w:szCs w:val="16"/>
              </w:rPr>
              <w:t>69,943</w:t>
            </w:r>
          </w:p>
        </w:tc>
        <w:tc>
          <w:tcPr>
            <w:tcW w:w="675" w:type="dxa"/>
            <w:tcBorders>
              <w:top w:val="nil"/>
              <w:left w:val="nil"/>
              <w:bottom w:val="nil"/>
              <w:right w:val="nil"/>
            </w:tcBorders>
            <w:shd w:val="clear" w:color="000000" w:fill="FFFFFF"/>
            <w:noWrap/>
            <w:hideMark/>
          </w:tcPr>
          <w:p w:rsidR="001D2F2B" w:rsidP="00F2512B" w14:paraId="32C55A77" w14:textId="77777777">
            <w:pPr>
              <w:spacing w:after="80"/>
              <w:jc w:val="center"/>
              <w:rPr>
                <w:color w:val="000000"/>
                <w:sz w:val="16"/>
                <w:szCs w:val="16"/>
              </w:rPr>
            </w:pPr>
            <w:r>
              <w:rPr>
                <w:color w:val="000000"/>
                <w:sz w:val="16"/>
                <w:szCs w:val="16"/>
              </w:rPr>
              <w:t>30,406</w:t>
            </w:r>
          </w:p>
        </w:tc>
        <w:tc>
          <w:tcPr>
            <w:tcW w:w="675" w:type="dxa"/>
            <w:tcBorders>
              <w:top w:val="nil"/>
              <w:left w:val="nil"/>
              <w:bottom w:val="nil"/>
              <w:right w:val="nil"/>
            </w:tcBorders>
            <w:shd w:val="clear" w:color="000000" w:fill="FFFFFF"/>
            <w:noWrap/>
            <w:hideMark/>
          </w:tcPr>
          <w:p w:rsidR="001D2F2B" w:rsidP="00F2512B" w14:paraId="582C6078" w14:textId="77777777">
            <w:pPr>
              <w:spacing w:after="80"/>
              <w:jc w:val="center"/>
              <w:rPr>
                <w:color w:val="000000"/>
                <w:sz w:val="16"/>
                <w:szCs w:val="16"/>
              </w:rPr>
            </w:pPr>
            <w:r>
              <w:rPr>
                <w:color w:val="000000"/>
                <w:sz w:val="16"/>
                <w:szCs w:val="16"/>
              </w:rPr>
              <w:t>14,000</w:t>
            </w:r>
          </w:p>
        </w:tc>
        <w:tc>
          <w:tcPr>
            <w:tcW w:w="601" w:type="dxa"/>
            <w:tcBorders>
              <w:top w:val="nil"/>
              <w:left w:val="nil"/>
              <w:bottom w:val="nil"/>
              <w:right w:val="nil"/>
            </w:tcBorders>
            <w:shd w:val="clear" w:color="000000" w:fill="FFFFFF"/>
            <w:noWrap/>
            <w:hideMark/>
          </w:tcPr>
          <w:p w:rsidR="001D2F2B" w:rsidP="00F2512B" w14:paraId="397DC23F" w14:textId="77777777">
            <w:pPr>
              <w:spacing w:after="80"/>
              <w:jc w:val="center"/>
              <w:rPr>
                <w:color w:val="000000"/>
                <w:sz w:val="16"/>
                <w:szCs w:val="16"/>
              </w:rPr>
            </w:pPr>
            <w:r>
              <w:rPr>
                <w:color w:val="000000"/>
                <w:sz w:val="16"/>
                <w:szCs w:val="16"/>
              </w:rPr>
              <w:t>7,362</w:t>
            </w:r>
          </w:p>
        </w:tc>
      </w:tr>
      <w:tr w14:paraId="019F1B2E" w14:textId="77777777" w:rsidTr="00F2512B">
        <w:tblPrEx>
          <w:tblW w:w="10080" w:type="dxa"/>
          <w:tblInd w:w="-360" w:type="dxa"/>
          <w:tblLook w:val="04A0"/>
        </w:tblPrEx>
        <w:trPr>
          <w:cantSplit/>
        </w:trPr>
        <w:tc>
          <w:tcPr>
            <w:tcW w:w="2340" w:type="dxa"/>
            <w:tcBorders>
              <w:top w:val="nil"/>
              <w:left w:val="nil"/>
              <w:bottom w:val="nil"/>
              <w:right w:val="nil"/>
            </w:tcBorders>
            <w:shd w:val="clear" w:color="000000" w:fill="FFFFFF"/>
            <w:hideMark/>
          </w:tcPr>
          <w:p w:rsidR="001D2F2B" w:rsidP="00F2512B" w14:paraId="7A54AF54" w14:textId="77777777">
            <w:pPr>
              <w:spacing w:after="80"/>
              <w:rPr>
                <w:color w:val="000000"/>
                <w:sz w:val="16"/>
                <w:szCs w:val="16"/>
              </w:rPr>
            </w:pPr>
            <w:r>
              <w:rPr>
                <w:color w:val="000000"/>
                <w:sz w:val="16"/>
                <w:szCs w:val="16"/>
              </w:rPr>
              <w:t>Pct. Area Covered by 4G-LTE</w:t>
            </w:r>
          </w:p>
        </w:tc>
        <w:tc>
          <w:tcPr>
            <w:tcW w:w="548" w:type="dxa"/>
            <w:tcBorders>
              <w:top w:val="nil"/>
              <w:left w:val="nil"/>
              <w:bottom w:val="nil"/>
              <w:right w:val="nil"/>
            </w:tcBorders>
            <w:shd w:val="clear" w:color="000000" w:fill="FFFFFF"/>
            <w:noWrap/>
            <w:hideMark/>
          </w:tcPr>
          <w:p w:rsidR="001D2F2B" w:rsidP="00F2512B" w14:paraId="1DD71172" w14:textId="77777777">
            <w:pPr>
              <w:spacing w:after="80"/>
              <w:jc w:val="center"/>
              <w:rPr>
                <w:color w:val="000000"/>
                <w:sz w:val="16"/>
                <w:szCs w:val="16"/>
              </w:rPr>
            </w:pPr>
            <w:r>
              <w:rPr>
                <w:color w:val="000000"/>
                <w:sz w:val="16"/>
                <w:szCs w:val="16"/>
              </w:rPr>
              <w:t>48%</w:t>
            </w:r>
          </w:p>
        </w:tc>
        <w:tc>
          <w:tcPr>
            <w:tcW w:w="665" w:type="dxa"/>
            <w:tcBorders>
              <w:top w:val="nil"/>
              <w:left w:val="nil"/>
              <w:bottom w:val="nil"/>
              <w:right w:val="nil"/>
            </w:tcBorders>
            <w:shd w:val="clear" w:color="000000" w:fill="FFFFFF"/>
            <w:noWrap/>
            <w:hideMark/>
          </w:tcPr>
          <w:p w:rsidR="001D2F2B" w:rsidP="00F2512B" w14:paraId="5EC4F37E" w14:textId="77777777">
            <w:pPr>
              <w:spacing w:after="80"/>
              <w:jc w:val="center"/>
              <w:rPr>
                <w:color w:val="000000"/>
                <w:sz w:val="16"/>
                <w:szCs w:val="16"/>
              </w:rPr>
            </w:pPr>
            <w:r>
              <w:rPr>
                <w:color w:val="000000"/>
                <w:sz w:val="16"/>
                <w:szCs w:val="16"/>
              </w:rPr>
              <w:t>40%</w:t>
            </w:r>
          </w:p>
        </w:tc>
        <w:tc>
          <w:tcPr>
            <w:tcW w:w="647" w:type="dxa"/>
            <w:tcBorders>
              <w:top w:val="nil"/>
              <w:left w:val="nil"/>
              <w:bottom w:val="nil"/>
              <w:right w:val="nil"/>
            </w:tcBorders>
            <w:shd w:val="clear" w:color="000000" w:fill="FFFFFF"/>
            <w:noWrap/>
            <w:hideMark/>
          </w:tcPr>
          <w:p w:rsidR="001D2F2B" w:rsidP="00F2512B" w14:paraId="44BE01A3" w14:textId="77777777">
            <w:pPr>
              <w:spacing w:after="80"/>
              <w:jc w:val="center"/>
              <w:rPr>
                <w:color w:val="000000"/>
                <w:sz w:val="16"/>
                <w:szCs w:val="16"/>
              </w:rPr>
            </w:pPr>
            <w:r>
              <w:rPr>
                <w:color w:val="000000"/>
                <w:sz w:val="16"/>
                <w:szCs w:val="16"/>
              </w:rPr>
              <w:t>37%</w:t>
            </w:r>
          </w:p>
        </w:tc>
        <w:tc>
          <w:tcPr>
            <w:tcW w:w="647" w:type="dxa"/>
            <w:tcBorders>
              <w:top w:val="nil"/>
              <w:left w:val="nil"/>
              <w:bottom w:val="nil"/>
              <w:right w:val="nil"/>
            </w:tcBorders>
            <w:shd w:val="clear" w:color="000000" w:fill="FFFFFF"/>
            <w:noWrap/>
            <w:hideMark/>
          </w:tcPr>
          <w:p w:rsidR="001D2F2B" w:rsidP="00F2512B" w14:paraId="4851B463" w14:textId="77777777">
            <w:pPr>
              <w:spacing w:after="80"/>
              <w:jc w:val="center"/>
              <w:rPr>
                <w:color w:val="000000"/>
                <w:sz w:val="16"/>
                <w:szCs w:val="16"/>
              </w:rPr>
            </w:pPr>
            <w:r>
              <w:rPr>
                <w:color w:val="000000"/>
                <w:sz w:val="16"/>
                <w:szCs w:val="16"/>
              </w:rPr>
              <w:t>34%</w:t>
            </w:r>
          </w:p>
        </w:tc>
        <w:tc>
          <w:tcPr>
            <w:tcW w:w="647" w:type="dxa"/>
            <w:tcBorders>
              <w:top w:val="nil"/>
              <w:left w:val="nil"/>
              <w:bottom w:val="nil"/>
              <w:right w:val="nil"/>
            </w:tcBorders>
            <w:shd w:val="clear" w:color="000000" w:fill="FFFFFF"/>
            <w:noWrap/>
            <w:hideMark/>
          </w:tcPr>
          <w:p w:rsidR="001D2F2B" w:rsidP="00F2512B" w14:paraId="01822292" w14:textId="77777777">
            <w:pPr>
              <w:spacing w:after="80"/>
              <w:jc w:val="center"/>
              <w:rPr>
                <w:color w:val="000000"/>
                <w:sz w:val="16"/>
                <w:szCs w:val="16"/>
              </w:rPr>
            </w:pPr>
            <w:r>
              <w:rPr>
                <w:color w:val="000000"/>
                <w:sz w:val="16"/>
                <w:szCs w:val="16"/>
              </w:rPr>
              <w:t>0%</w:t>
            </w:r>
          </w:p>
        </w:tc>
        <w:tc>
          <w:tcPr>
            <w:tcW w:w="665" w:type="dxa"/>
            <w:tcBorders>
              <w:top w:val="nil"/>
              <w:left w:val="nil"/>
              <w:bottom w:val="nil"/>
              <w:right w:val="nil"/>
            </w:tcBorders>
            <w:shd w:val="clear" w:color="000000" w:fill="FFFFFF"/>
            <w:noWrap/>
            <w:hideMark/>
          </w:tcPr>
          <w:p w:rsidR="001D2F2B" w:rsidP="00F2512B" w14:paraId="7874DE07" w14:textId="77777777">
            <w:pPr>
              <w:spacing w:after="80"/>
              <w:jc w:val="center"/>
              <w:rPr>
                <w:color w:val="000000"/>
                <w:sz w:val="16"/>
                <w:szCs w:val="16"/>
              </w:rPr>
            </w:pPr>
            <w:r>
              <w:rPr>
                <w:color w:val="000000"/>
                <w:sz w:val="16"/>
                <w:szCs w:val="16"/>
              </w:rPr>
              <w:t>0%</w:t>
            </w:r>
          </w:p>
        </w:tc>
        <w:tc>
          <w:tcPr>
            <w:tcW w:w="647" w:type="dxa"/>
            <w:tcBorders>
              <w:top w:val="nil"/>
              <w:left w:val="nil"/>
              <w:bottom w:val="nil"/>
              <w:right w:val="nil"/>
            </w:tcBorders>
            <w:shd w:val="clear" w:color="000000" w:fill="FFFFFF"/>
            <w:noWrap/>
            <w:hideMark/>
          </w:tcPr>
          <w:p w:rsidR="001D2F2B" w:rsidP="00F2512B" w14:paraId="3676AC14" w14:textId="77777777">
            <w:pPr>
              <w:spacing w:after="80"/>
              <w:jc w:val="center"/>
              <w:rPr>
                <w:color w:val="000000"/>
                <w:sz w:val="16"/>
                <w:szCs w:val="16"/>
              </w:rPr>
            </w:pPr>
            <w:r>
              <w:rPr>
                <w:color w:val="000000"/>
                <w:sz w:val="16"/>
                <w:szCs w:val="16"/>
              </w:rPr>
              <w:t>0%</w:t>
            </w:r>
          </w:p>
        </w:tc>
        <w:tc>
          <w:tcPr>
            <w:tcW w:w="647" w:type="dxa"/>
            <w:tcBorders>
              <w:top w:val="nil"/>
              <w:left w:val="nil"/>
              <w:bottom w:val="nil"/>
              <w:right w:val="nil"/>
            </w:tcBorders>
            <w:shd w:val="clear" w:color="000000" w:fill="FFFFFF"/>
            <w:noWrap/>
            <w:hideMark/>
          </w:tcPr>
          <w:p w:rsidR="001D2F2B" w:rsidP="00F2512B" w14:paraId="01B4521D" w14:textId="77777777">
            <w:pPr>
              <w:spacing w:after="80"/>
              <w:jc w:val="center"/>
              <w:rPr>
                <w:color w:val="000000"/>
                <w:sz w:val="16"/>
                <w:szCs w:val="16"/>
              </w:rPr>
            </w:pPr>
            <w:r>
              <w:rPr>
                <w:color w:val="000000"/>
                <w:sz w:val="16"/>
                <w:szCs w:val="16"/>
              </w:rPr>
              <w:t>0%</w:t>
            </w:r>
          </w:p>
        </w:tc>
        <w:tc>
          <w:tcPr>
            <w:tcW w:w="676" w:type="dxa"/>
            <w:tcBorders>
              <w:top w:val="nil"/>
              <w:left w:val="nil"/>
              <w:bottom w:val="nil"/>
              <w:right w:val="nil"/>
            </w:tcBorders>
            <w:shd w:val="clear" w:color="000000" w:fill="FFFFFF"/>
            <w:noWrap/>
            <w:hideMark/>
          </w:tcPr>
          <w:p w:rsidR="001D2F2B" w:rsidP="00F2512B" w14:paraId="7DBEC3A6" w14:textId="77777777">
            <w:pPr>
              <w:spacing w:after="80"/>
              <w:jc w:val="center"/>
              <w:rPr>
                <w:color w:val="000000"/>
                <w:sz w:val="16"/>
                <w:szCs w:val="16"/>
              </w:rPr>
            </w:pPr>
            <w:r>
              <w:rPr>
                <w:color w:val="000000"/>
                <w:sz w:val="16"/>
                <w:szCs w:val="16"/>
              </w:rPr>
              <w:t>100%</w:t>
            </w:r>
          </w:p>
        </w:tc>
        <w:tc>
          <w:tcPr>
            <w:tcW w:w="675" w:type="dxa"/>
            <w:tcBorders>
              <w:top w:val="nil"/>
              <w:left w:val="nil"/>
              <w:bottom w:val="nil"/>
              <w:right w:val="nil"/>
            </w:tcBorders>
            <w:shd w:val="clear" w:color="000000" w:fill="FFFFFF"/>
            <w:noWrap/>
            <w:hideMark/>
          </w:tcPr>
          <w:p w:rsidR="001D2F2B" w:rsidP="00F2512B" w14:paraId="1A64C274" w14:textId="77777777">
            <w:pPr>
              <w:spacing w:after="80"/>
              <w:jc w:val="center"/>
              <w:rPr>
                <w:color w:val="000000"/>
                <w:sz w:val="16"/>
                <w:szCs w:val="16"/>
              </w:rPr>
            </w:pPr>
            <w:r>
              <w:rPr>
                <w:color w:val="000000"/>
                <w:sz w:val="16"/>
                <w:szCs w:val="16"/>
              </w:rPr>
              <w:t>100%</w:t>
            </w:r>
          </w:p>
        </w:tc>
        <w:tc>
          <w:tcPr>
            <w:tcW w:w="675" w:type="dxa"/>
            <w:tcBorders>
              <w:top w:val="nil"/>
              <w:left w:val="nil"/>
              <w:bottom w:val="nil"/>
              <w:right w:val="nil"/>
            </w:tcBorders>
            <w:shd w:val="clear" w:color="000000" w:fill="FFFFFF"/>
            <w:noWrap/>
            <w:hideMark/>
          </w:tcPr>
          <w:p w:rsidR="001D2F2B" w:rsidP="00F2512B" w14:paraId="26848C06" w14:textId="77777777">
            <w:pPr>
              <w:spacing w:after="80"/>
              <w:jc w:val="center"/>
              <w:rPr>
                <w:color w:val="000000"/>
                <w:sz w:val="16"/>
                <w:szCs w:val="16"/>
              </w:rPr>
            </w:pPr>
            <w:r>
              <w:rPr>
                <w:color w:val="000000"/>
                <w:sz w:val="16"/>
                <w:szCs w:val="16"/>
              </w:rPr>
              <w:t>100%</w:t>
            </w:r>
          </w:p>
        </w:tc>
        <w:tc>
          <w:tcPr>
            <w:tcW w:w="601" w:type="dxa"/>
            <w:tcBorders>
              <w:top w:val="nil"/>
              <w:left w:val="nil"/>
              <w:bottom w:val="nil"/>
              <w:right w:val="nil"/>
            </w:tcBorders>
            <w:shd w:val="clear" w:color="000000" w:fill="FFFFFF"/>
            <w:noWrap/>
            <w:hideMark/>
          </w:tcPr>
          <w:p w:rsidR="001D2F2B" w:rsidP="00F2512B" w14:paraId="45FC7847" w14:textId="77777777">
            <w:pPr>
              <w:spacing w:after="80"/>
              <w:jc w:val="center"/>
              <w:rPr>
                <w:color w:val="000000"/>
                <w:sz w:val="16"/>
                <w:szCs w:val="16"/>
              </w:rPr>
            </w:pPr>
            <w:r>
              <w:rPr>
                <w:color w:val="000000"/>
                <w:sz w:val="16"/>
                <w:szCs w:val="16"/>
              </w:rPr>
              <w:t>100%</w:t>
            </w:r>
          </w:p>
        </w:tc>
      </w:tr>
      <w:tr w14:paraId="455D3CAB" w14:textId="77777777" w:rsidTr="00F2512B">
        <w:tblPrEx>
          <w:tblW w:w="10080" w:type="dxa"/>
          <w:tblInd w:w="-360" w:type="dxa"/>
          <w:tblLook w:val="04A0"/>
        </w:tblPrEx>
        <w:trPr>
          <w:cantSplit/>
        </w:trPr>
        <w:tc>
          <w:tcPr>
            <w:tcW w:w="2340" w:type="dxa"/>
            <w:tcBorders>
              <w:top w:val="nil"/>
              <w:left w:val="nil"/>
              <w:bottom w:val="nil"/>
              <w:right w:val="nil"/>
            </w:tcBorders>
            <w:shd w:val="clear" w:color="000000" w:fill="FFFFFF"/>
            <w:hideMark/>
          </w:tcPr>
          <w:p w:rsidR="001D2F2B" w:rsidP="00F2512B" w14:paraId="4FE26FF4" w14:textId="77777777">
            <w:pPr>
              <w:spacing w:after="80"/>
              <w:rPr>
                <w:color w:val="000000"/>
                <w:sz w:val="16"/>
                <w:szCs w:val="16"/>
              </w:rPr>
            </w:pPr>
            <w:r>
              <w:rPr>
                <w:color w:val="000000"/>
                <w:sz w:val="16"/>
                <w:szCs w:val="16"/>
              </w:rPr>
              <w:t>Pct. Area Covered by Forest</w:t>
            </w:r>
          </w:p>
        </w:tc>
        <w:tc>
          <w:tcPr>
            <w:tcW w:w="548" w:type="dxa"/>
            <w:tcBorders>
              <w:top w:val="nil"/>
              <w:left w:val="nil"/>
              <w:bottom w:val="nil"/>
              <w:right w:val="nil"/>
            </w:tcBorders>
            <w:shd w:val="clear" w:color="000000" w:fill="FFFFFF"/>
            <w:noWrap/>
            <w:hideMark/>
          </w:tcPr>
          <w:p w:rsidR="001D2F2B" w:rsidP="00F2512B" w14:paraId="3CEDBEFB" w14:textId="77777777">
            <w:pPr>
              <w:spacing w:after="80"/>
              <w:jc w:val="center"/>
              <w:rPr>
                <w:color w:val="000000"/>
                <w:sz w:val="16"/>
                <w:szCs w:val="16"/>
              </w:rPr>
            </w:pPr>
            <w:r>
              <w:rPr>
                <w:color w:val="000000"/>
                <w:sz w:val="16"/>
                <w:szCs w:val="16"/>
              </w:rPr>
              <w:t>37%</w:t>
            </w:r>
          </w:p>
        </w:tc>
        <w:tc>
          <w:tcPr>
            <w:tcW w:w="665" w:type="dxa"/>
            <w:tcBorders>
              <w:top w:val="nil"/>
              <w:left w:val="nil"/>
              <w:bottom w:val="nil"/>
              <w:right w:val="nil"/>
            </w:tcBorders>
            <w:shd w:val="clear" w:color="000000" w:fill="FFFFFF"/>
            <w:noWrap/>
            <w:hideMark/>
          </w:tcPr>
          <w:p w:rsidR="001D2F2B" w:rsidP="00F2512B" w14:paraId="07C4723D" w14:textId="77777777">
            <w:pPr>
              <w:spacing w:after="80"/>
              <w:jc w:val="center"/>
              <w:rPr>
                <w:color w:val="000000"/>
                <w:sz w:val="16"/>
                <w:szCs w:val="16"/>
              </w:rPr>
            </w:pPr>
            <w:r>
              <w:rPr>
                <w:color w:val="000000"/>
                <w:sz w:val="16"/>
                <w:szCs w:val="16"/>
              </w:rPr>
              <w:t>37%</w:t>
            </w:r>
          </w:p>
        </w:tc>
        <w:tc>
          <w:tcPr>
            <w:tcW w:w="647" w:type="dxa"/>
            <w:tcBorders>
              <w:top w:val="nil"/>
              <w:left w:val="nil"/>
              <w:bottom w:val="nil"/>
              <w:right w:val="nil"/>
            </w:tcBorders>
            <w:shd w:val="clear" w:color="000000" w:fill="FFFFFF"/>
            <w:noWrap/>
            <w:hideMark/>
          </w:tcPr>
          <w:p w:rsidR="001D2F2B" w:rsidP="00F2512B" w14:paraId="165F337A" w14:textId="77777777">
            <w:pPr>
              <w:spacing w:after="80"/>
              <w:jc w:val="center"/>
              <w:rPr>
                <w:color w:val="000000"/>
                <w:sz w:val="16"/>
                <w:szCs w:val="16"/>
              </w:rPr>
            </w:pPr>
            <w:r>
              <w:rPr>
                <w:color w:val="000000"/>
                <w:sz w:val="16"/>
                <w:szCs w:val="16"/>
              </w:rPr>
              <w:t>34%</w:t>
            </w:r>
          </w:p>
        </w:tc>
        <w:tc>
          <w:tcPr>
            <w:tcW w:w="647" w:type="dxa"/>
            <w:tcBorders>
              <w:top w:val="nil"/>
              <w:left w:val="nil"/>
              <w:bottom w:val="nil"/>
              <w:right w:val="nil"/>
            </w:tcBorders>
            <w:shd w:val="clear" w:color="000000" w:fill="FFFFFF"/>
            <w:noWrap/>
            <w:hideMark/>
          </w:tcPr>
          <w:p w:rsidR="001D2F2B" w:rsidP="00F2512B" w14:paraId="5D469454" w14:textId="77777777">
            <w:pPr>
              <w:spacing w:after="80"/>
              <w:jc w:val="center"/>
              <w:rPr>
                <w:color w:val="000000"/>
                <w:sz w:val="16"/>
                <w:szCs w:val="16"/>
              </w:rPr>
            </w:pPr>
            <w:r>
              <w:rPr>
                <w:color w:val="000000"/>
                <w:sz w:val="16"/>
                <w:szCs w:val="16"/>
              </w:rPr>
              <w:t>24%</w:t>
            </w:r>
          </w:p>
        </w:tc>
        <w:tc>
          <w:tcPr>
            <w:tcW w:w="647" w:type="dxa"/>
            <w:tcBorders>
              <w:top w:val="nil"/>
              <w:left w:val="nil"/>
              <w:bottom w:val="nil"/>
              <w:right w:val="nil"/>
            </w:tcBorders>
            <w:shd w:val="clear" w:color="000000" w:fill="FFFFFF"/>
            <w:noWrap/>
            <w:hideMark/>
          </w:tcPr>
          <w:p w:rsidR="001D2F2B" w:rsidP="00F2512B" w14:paraId="77B53F84" w14:textId="77777777">
            <w:pPr>
              <w:spacing w:after="80"/>
              <w:jc w:val="center"/>
              <w:rPr>
                <w:color w:val="000000"/>
                <w:sz w:val="16"/>
                <w:szCs w:val="16"/>
              </w:rPr>
            </w:pPr>
            <w:r>
              <w:rPr>
                <w:color w:val="000000"/>
                <w:sz w:val="16"/>
                <w:szCs w:val="16"/>
              </w:rPr>
              <w:t>0.0%</w:t>
            </w:r>
          </w:p>
        </w:tc>
        <w:tc>
          <w:tcPr>
            <w:tcW w:w="665" w:type="dxa"/>
            <w:tcBorders>
              <w:top w:val="nil"/>
              <w:left w:val="nil"/>
              <w:bottom w:val="nil"/>
              <w:right w:val="nil"/>
            </w:tcBorders>
            <w:shd w:val="clear" w:color="000000" w:fill="FFFFFF"/>
            <w:noWrap/>
            <w:hideMark/>
          </w:tcPr>
          <w:p w:rsidR="001D2F2B" w:rsidP="00F2512B" w14:paraId="7F52A575" w14:textId="77777777">
            <w:pPr>
              <w:spacing w:after="80"/>
              <w:jc w:val="center"/>
              <w:rPr>
                <w:color w:val="000000"/>
                <w:sz w:val="16"/>
                <w:szCs w:val="16"/>
              </w:rPr>
            </w:pPr>
            <w:r>
              <w:rPr>
                <w:color w:val="000000"/>
                <w:sz w:val="16"/>
                <w:szCs w:val="16"/>
              </w:rPr>
              <w:t>0.0%</w:t>
            </w:r>
          </w:p>
        </w:tc>
        <w:tc>
          <w:tcPr>
            <w:tcW w:w="647" w:type="dxa"/>
            <w:tcBorders>
              <w:top w:val="nil"/>
              <w:left w:val="nil"/>
              <w:bottom w:val="nil"/>
              <w:right w:val="nil"/>
            </w:tcBorders>
            <w:shd w:val="clear" w:color="000000" w:fill="FFFFFF"/>
            <w:noWrap/>
            <w:hideMark/>
          </w:tcPr>
          <w:p w:rsidR="001D2F2B" w:rsidP="00F2512B" w14:paraId="20A2791C" w14:textId="77777777">
            <w:pPr>
              <w:spacing w:after="80"/>
              <w:jc w:val="center"/>
              <w:rPr>
                <w:color w:val="000000"/>
                <w:sz w:val="16"/>
                <w:szCs w:val="16"/>
              </w:rPr>
            </w:pPr>
            <w:r>
              <w:rPr>
                <w:color w:val="000000"/>
                <w:sz w:val="16"/>
                <w:szCs w:val="16"/>
              </w:rPr>
              <w:t>0.0%</w:t>
            </w:r>
          </w:p>
        </w:tc>
        <w:tc>
          <w:tcPr>
            <w:tcW w:w="647" w:type="dxa"/>
            <w:tcBorders>
              <w:top w:val="nil"/>
              <w:left w:val="nil"/>
              <w:bottom w:val="nil"/>
              <w:right w:val="nil"/>
            </w:tcBorders>
            <w:shd w:val="clear" w:color="000000" w:fill="FFFFFF"/>
            <w:noWrap/>
            <w:hideMark/>
          </w:tcPr>
          <w:p w:rsidR="001D2F2B" w:rsidP="00F2512B" w14:paraId="140CE78A" w14:textId="77777777">
            <w:pPr>
              <w:spacing w:after="80"/>
              <w:jc w:val="center"/>
              <w:rPr>
                <w:color w:val="000000"/>
                <w:sz w:val="16"/>
                <w:szCs w:val="16"/>
              </w:rPr>
            </w:pPr>
            <w:r>
              <w:rPr>
                <w:color w:val="000000"/>
                <w:sz w:val="16"/>
                <w:szCs w:val="16"/>
              </w:rPr>
              <w:t>0.0%</w:t>
            </w:r>
          </w:p>
        </w:tc>
        <w:tc>
          <w:tcPr>
            <w:tcW w:w="676" w:type="dxa"/>
            <w:tcBorders>
              <w:top w:val="nil"/>
              <w:left w:val="nil"/>
              <w:bottom w:val="nil"/>
              <w:right w:val="nil"/>
            </w:tcBorders>
            <w:shd w:val="clear" w:color="000000" w:fill="FFFFFF"/>
            <w:noWrap/>
            <w:hideMark/>
          </w:tcPr>
          <w:p w:rsidR="001D2F2B" w:rsidP="00F2512B" w14:paraId="4E1B4DBB" w14:textId="77777777">
            <w:pPr>
              <w:spacing w:after="80"/>
              <w:jc w:val="center"/>
              <w:rPr>
                <w:color w:val="000000"/>
                <w:sz w:val="16"/>
                <w:szCs w:val="16"/>
              </w:rPr>
            </w:pPr>
            <w:r>
              <w:rPr>
                <w:color w:val="000000"/>
                <w:sz w:val="16"/>
                <w:szCs w:val="16"/>
              </w:rPr>
              <w:t>93%</w:t>
            </w:r>
          </w:p>
        </w:tc>
        <w:tc>
          <w:tcPr>
            <w:tcW w:w="675" w:type="dxa"/>
            <w:tcBorders>
              <w:top w:val="nil"/>
              <w:left w:val="nil"/>
              <w:bottom w:val="nil"/>
              <w:right w:val="nil"/>
            </w:tcBorders>
            <w:shd w:val="clear" w:color="000000" w:fill="FFFFFF"/>
            <w:noWrap/>
            <w:hideMark/>
          </w:tcPr>
          <w:p w:rsidR="001D2F2B" w:rsidP="00F2512B" w14:paraId="0881EC68" w14:textId="77777777">
            <w:pPr>
              <w:spacing w:after="80"/>
              <w:jc w:val="center"/>
              <w:rPr>
                <w:color w:val="000000"/>
                <w:sz w:val="16"/>
                <w:szCs w:val="16"/>
              </w:rPr>
            </w:pPr>
            <w:r>
              <w:rPr>
                <w:color w:val="000000"/>
                <w:sz w:val="16"/>
                <w:szCs w:val="16"/>
              </w:rPr>
              <w:t>93%</w:t>
            </w:r>
          </w:p>
        </w:tc>
        <w:tc>
          <w:tcPr>
            <w:tcW w:w="675" w:type="dxa"/>
            <w:tcBorders>
              <w:top w:val="nil"/>
              <w:left w:val="nil"/>
              <w:bottom w:val="nil"/>
              <w:right w:val="nil"/>
            </w:tcBorders>
            <w:shd w:val="clear" w:color="000000" w:fill="FFFFFF"/>
            <w:noWrap/>
            <w:hideMark/>
          </w:tcPr>
          <w:p w:rsidR="001D2F2B" w:rsidP="00F2512B" w14:paraId="7B5713B7" w14:textId="77777777">
            <w:pPr>
              <w:spacing w:after="80"/>
              <w:jc w:val="center"/>
              <w:rPr>
                <w:color w:val="000000"/>
                <w:sz w:val="16"/>
                <w:szCs w:val="16"/>
              </w:rPr>
            </w:pPr>
            <w:r>
              <w:rPr>
                <w:color w:val="000000"/>
                <w:sz w:val="16"/>
                <w:szCs w:val="16"/>
              </w:rPr>
              <w:t>93%</w:t>
            </w:r>
          </w:p>
        </w:tc>
        <w:tc>
          <w:tcPr>
            <w:tcW w:w="601" w:type="dxa"/>
            <w:tcBorders>
              <w:top w:val="nil"/>
              <w:left w:val="nil"/>
              <w:bottom w:val="nil"/>
              <w:right w:val="nil"/>
            </w:tcBorders>
            <w:shd w:val="clear" w:color="000000" w:fill="FFFFFF"/>
            <w:noWrap/>
            <w:hideMark/>
          </w:tcPr>
          <w:p w:rsidR="001D2F2B" w:rsidP="00F2512B" w14:paraId="569C4DB0" w14:textId="77777777">
            <w:pPr>
              <w:spacing w:after="80"/>
              <w:jc w:val="center"/>
              <w:rPr>
                <w:color w:val="000000"/>
                <w:sz w:val="16"/>
                <w:szCs w:val="16"/>
              </w:rPr>
            </w:pPr>
            <w:r>
              <w:rPr>
                <w:color w:val="000000"/>
                <w:sz w:val="16"/>
                <w:szCs w:val="16"/>
              </w:rPr>
              <w:t>93%</w:t>
            </w:r>
          </w:p>
        </w:tc>
      </w:tr>
      <w:tr w14:paraId="67739751" w14:textId="77777777" w:rsidTr="00F2512B">
        <w:tblPrEx>
          <w:tblW w:w="10080" w:type="dxa"/>
          <w:tblInd w:w="-360" w:type="dxa"/>
          <w:tblLook w:val="04A0"/>
        </w:tblPrEx>
        <w:trPr>
          <w:cantSplit/>
        </w:trPr>
        <w:tc>
          <w:tcPr>
            <w:tcW w:w="2340" w:type="dxa"/>
            <w:tcBorders>
              <w:top w:val="nil"/>
              <w:left w:val="nil"/>
              <w:bottom w:val="nil"/>
              <w:right w:val="nil"/>
            </w:tcBorders>
            <w:shd w:val="clear" w:color="000000" w:fill="FFFFFF"/>
            <w:hideMark/>
          </w:tcPr>
          <w:p w:rsidR="001D2F2B" w:rsidP="00F2512B" w14:paraId="24ED3CE5" w14:textId="49DB28E2">
            <w:pPr>
              <w:spacing w:after="80"/>
              <w:rPr>
                <w:color w:val="000000"/>
                <w:sz w:val="16"/>
                <w:szCs w:val="16"/>
              </w:rPr>
            </w:pPr>
            <w:r>
              <w:rPr>
                <w:color w:val="000000"/>
                <w:sz w:val="16"/>
                <w:szCs w:val="16"/>
              </w:rPr>
              <w:t xml:space="preserve">Pct. Counties </w:t>
            </w:r>
            <w:r w:rsidR="000D24A4">
              <w:rPr>
                <w:color w:val="000000"/>
                <w:sz w:val="16"/>
                <w:szCs w:val="16"/>
              </w:rPr>
              <w:t>w</w:t>
            </w:r>
            <w:r>
              <w:rPr>
                <w:color w:val="000000"/>
                <w:sz w:val="16"/>
                <w:szCs w:val="16"/>
              </w:rPr>
              <w:t>ith Low Band Spectrum Deployed</w:t>
            </w:r>
          </w:p>
        </w:tc>
        <w:tc>
          <w:tcPr>
            <w:tcW w:w="548" w:type="dxa"/>
            <w:tcBorders>
              <w:top w:val="nil"/>
              <w:left w:val="nil"/>
              <w:bottom w:val="nil"/>
              <w:right w:val="nil"/>
            </w:tcBorders>
            <w:shd w:val="clear" w:color="000000" w:fill="FFFFFF"/>
            <w:noWrap/>
            <w:hideMark/>
          </w:tcPr>
          <w:p w:rsidR="001D2F2B" w:rsidP="00F2512B" w14:paraId="3C45EFB0" w14:textId="77777777">
            <w:pPr>
              <w:spacing w:after="80"/>
              <w:jc w:val="center"/>
              <w:rPr>
                <w:color w:val="000000"/>
                <w:sz w:val="16"/>
                <w:szCs w:val="16"/>
              </w:rPr>
            </w:pPr>
            <w:r>
              <w:rPr>
                <w:color w:val="000000"/>
                <w:sz w:val="16"/>
                <w:szCs w:val="16"/>
              </w:rPr>
              <w:t>81%</w:t>
            </w:r>
          </w:p>
        </w:tc>
        <w:tc>
          <w:tcPr>
            <w:tcW w:w="665" w:type="dxa"/>
            <w:tcBorders>
              <w:top w:val="nil"/>
              <w:left w:val="nil"/>
              <w:bottom w:val="nil"/>
              <w:right w:val="nil"/>
            </w:tcBorders>
            <w:shd w:val="clear" w:color="000000" w:fill="FFFFFF"/>
            <w:noWrap/>
            <w:hideMark/>
          </w:tcPr>
          <w:p w:rsidR="001D2F2B" w:rsidP="00F2512B" w14:paraId="62090C40" w14:textId="77777777">
            <w:pPr>
              <w:spacing w:after="80"/>
              <w:jc w:val="center"/>
              <w:rPr>
                <w:color w:val="000000"/>
                <w:sz w:val="16"/>
                <w:szCs w:val="16"/>
              </w:rPr>
            </w:pPr>
            <w:r>
              <w:rPr>
                <w:color w:val="000000"/>
                <w:sz w:val="16"/>
                <w:szCs w:val="16"/>
              </w:rPr>
              <w:t>83%</w:t>
            </w:r>
          </w:p>
        </w:tc>
        <w:tc>
          <w:tcPr>
            <w:tcW w:w="647" w:type="dxa"/>
            <w:tcBorders>
              <w:top w:val="nil"/>
              <w:left w:val="nil"/>
              <w:bottom w:val="nil"/>
              <w:right w:val="nil"/>
            </w:tcBorders>
            <w:shd w:val="clear" w:color="000000" w:fill="FFFFFF"/>
            <w:noWrap/>
            <w:hideMark/>
          </w:tcPr>
          <w:p w:rsidR="001D2F2B" w:rsidP="00F2512B" w14:paraId="1027E0E0" w14:textId="77777777">
            <w:pPr>
              <w:spacing w:after="80"/>
              <w:jc w:val="center"/>
              <w:rPr>
                <w:color w:val="000000"/>
                <w:sz w:val="16"/>
                <w:szCs w:val="16"/>
              </w:rPr>
            </w:pPr>
            <w:r>
              <w:rPr>
                <w:color w:val="000000"/>
                <w:sz w:val="16"/>
                <w:szCs w:val="16"/>
              </w:rPr>
              <w:t>85%</w:t>
            </w:r>
          </w:p>
        </w:tc>
        <w:tc>
          <w:tcPr>
            <w:tcW w:w="647" w:type="dxa"/>
            <w:tcBorders>
              <w:top w:val="nil"/>
              <w:left w:val="nil"/>
              <w:bottom w:val="nil"/>
              <w:right w:val="nil"/>
            </w:tcBorders>
            <w:shd w:val="clear" w:color="000000" w:fill="FFFFFF"/>
            <w:noWrap/>
            <w:hideMark/>
          </w:tcPr>
          <w:p w:rsidR="001D2F2B" w:rsidP="00F2512B" w14:paraId="64EA9AE2" w14:textId="77777777">
            <w:pPr>
              <w:spacing w:after="80"/>
              <w:jc w:val="center"/>
              <w:rPr>
                <w:color w:val="000000"/>
                <w:sz w:val="16"/>
                <w:szCs w:val="16"/>
              </w:rPr>
            </w:pPr>
            <w:r>
              <w:rPr>
                <w:color w:val="000000"/>
                <w:sz w:val="16"/>
                <w:szCs w:val="16"/>
              </w:rPr>
              <w:t>87%</w:t>
            </w:r>
          </w:p>
        </w:tc>
        <w:tc>
          <w:tcPr>
            <w:tcW w:w="647" w:type="dxa"/>
            <w:tcBorders>
              <w:top w:val="nil"/>
              <w:left w:val="nil"/>
              <w:bottom w:val="nil"/>
              <w:right w:val="nil"/>
            </w:tcBorders>
            <w:shd w:val="clear" w:color="000000" w:fill="FFFFFF"/>
            <w:noWrap/>
            <w:hideMark/>
          </w:tcPr>
          <w:p w:rsidR="001D2F2B" w:rsidP="00F2512B" w14:paraId="1744C212" w14:textId="77777777">
            <w:pPr>
              <w:spacing w:after="80"/>
              <w:jc w:val="center"/>
              <w:rPr>
                <w:color w:val="000000"/>
                <w:sz w:val="16"/>
                <w:szCs w:val="16"/>
              </w:rPr>
            </w:pPr>
            <w:r>
              <w:rPr>
                <w:color w:val="000000"/>
                <w:sz w:val="16"/>
                <w:szCs w:val="16"/>
              </w:rPr>
              <w:t>0%</w:t>
            </w:r>
          </w:p>
        </w:tc>
        <w:tc>
          <w:tcPr>
            <w:tcW w:w="665" w:type="dxa"/>
            <w:tcBorders>
              <w:top w:val="nil"/>
              <w:left w:val="nil"/>
              <w:bottom w:val="nil"/>
              <w:right w:val="nil"/>
            </w:tcBorders>
            <w:shd w:val="clear" w:color="000000" w:fill="FFFFFF"/>
            <w:noWrap/>
            <w:hideMark/>
          </w:tcPr>
          <w:p w:rsidR="001D2F2B" w:rsidP="00F2512B" w14:paraId="43D5EA94" w14:textId="77777777">
            <w:pPr>
              <w:spacing w:after="80"/>
              <w:jc w:val="center"/>
              <w:rPr>
                <w:color w:val="000000"/>
                <w:sz w:val="16"/>
                <w:szCs w:val="16"/>
              </w:rPr>
            </w:pPr>
            <w:r>
              <w:rPr>
                <w:color w:val="000000"/>
                <w:sz w:val="16"/>
                <w:szCs w:val="16"/>
              </w:rPr>
              <w:t>0%</w:t>
            </w:r>
          </w:p>
        </w:tc>
        <w:tc>
          <w:tcPr>
            <w:tcW w:w="647" w:type="dxa"/>
            <w:tcBorders>
              <w:top w:val="nil"/>
              <w:left w:val="nil"/>
              <w:bottom w:val="nil"/>
              <w:right w:val="nil"/>
            </w:tcBorders>
            <w:shd w:val="clear" w:color="000000" w:fill="FFFFFF"/>
            <w:noWrap/>
            <w:hideMark/>
          </w:tcPr>
          <w:p w:rsidR="001D2F2B" w:rsidP="00F2512B" w14:paraId="009518E5" w14:textId="77777777">
            <w:pPr>
              <w:spacing w:after="80"/>
              <w:jc w:val="center"/>
              <w:rPr>
                <w:color w:val="000000"/>
                <w:sz w:val="16"/>
                <w:szCs w:val="16"/>
              </w:rPr>
            </w:pPr>
            <w:r>
              <w:rPr>
                <w:color w:val="000000"/>
                <w:sz w:val="16"/>
                <w:szCs w:val="16"/>
              </w:rPr>
              <w:t>0%</w:t>
            </w:r>
          </w:p>
        </w:tc>
        <w:tc>
          <w:tcPr>
            <w:tcW w:w="647" w:type="dxa"/>
            <w:tcBorders>
              <w:top w:val="nil"/>
              <w:left w:val="nil"/>
              <w:bottom w:val="nil"/>
              <w:right w:val="nil"/>
            </w:tcBorders>
            <w:shd w:val="clear" w:color="000000" w:fill="FFFFFF"/>
            <w:noWrap/>
            <w:hideMark/>
          </w:tcPr>
          <w:p w:rsidR="001D2F2B" w:rsidP="00F2512B" w14:paraId="72E8B698" w14:textId="77777777">
            <w:pPr>
              <w:spacing w:after="80"/>
              <w:jc w:val="center"/>
              <w:rPr>
                <w:color w:val="000000"/>
                <w:sz w:val="16"/>
                <w:szCs w:val="16"/>
              </w:rPr>
            </w:pPr>
            <w:r>
              <w:rPr>
                <w:color w:val="000000"/>
                <w:sz w:val="16"/>
                <w:szCs w:val="16"/>
              </w:rPr>
              <w:t>0%</w:t>
            </w:r>
          </w:p>
        </w:tc>
        <w:tc>
          <w:tcPr>
            <w:tcW w:w="676" w:type="dxa"/>
            <w:tcBorders>
              <w:top w:val="nil"/>
              <w:left w:val="nil"/>
              <w:bottom w:val="nil"/>
              <w:right w:val="nil"/>
            </w:tcBorders>
            <w:shd w:val="clear" w:color="000000" w:fill="FFFFFF"/>
            <w:noWrap/>
            <w:hideMark/>
          </w:tcPr>
          <w:p w:rsidR="001D2F2B" w:rsidP="00F2512B" w14:paraId="64B1E845" w14:textId="77777777">
            <w:pPr>
              <w:spacing w:after="80"/>
              <w:jc w:val="center"/>
              <w:rPr>
                <w:color w:val="000000"/>
                <w:sz w:val="16"/>
                <w:szCs w:val="16"/>
              </w:rPr>
            </w:pPr>
            <w:r>
              <w:rPr>
                <w:color w:val="000000"/>
                <w:sz w:val="16"/>
                <w:szCs w:val="16"/>
              </w:rPr>
              <w:t>100%</w:t>
            </w:r>
          </w:p>
        </w:tc>
        <w:tc>
          <w:tcPr>
            <w:tcW w:w="675" w:type="dxa"/>
            <w:tcBorders>
              <w:top w:val="nil"/>
              <w:left w:val="nil"/>
              <w:bottom w:val="nil"/>
              <w:right w:val="nil"/>
            </w:tcBorders>
            <w:shd w:val="clear" w:color="000000" w:fill="FFFFFF"/>
            <w:noWrap/>
            <w:hideMark/>
          </w:tcPr>
          <w:p w:rsidR="001D2F2B" w:rsidP="00F2512B" w14:paraId="1828789C" w14:textId="77777777">
            <w:pPr>
              <w:spacing w:after="80"/>
              <w:jc w:val="center"/>
              <w:rPr>
                <w:color w:val="000000"/>
                <w:sz w:val="16"/>
                <w:szCs w:val="16"/>
              </w:rPr>
            </w:pPr>
            <w:r>
              <w:rPr>
                <w:color w:val="000000"/>
                <w:sz w:val="16"/>
                <w:szCs w:val="16"/>
              </w:rPr>
              <w:t>100%</w:t>
            </w:r>
          </w:p>
        </w:tc>
        <w:tc>
          <w:tcPr>
            <w:tcW w:w="675" w:type="dxa"/>
            <w:tcBorders>
              <w:top w:val="nil"/>
              <w:left w:val="nil"/>
              <w:bottom w:val="nil"/>
              <w:right w:val="nil"/>
            </w:tcBorders>
            <w:shd w:val="clear" w:color="000000" w:fill="FFFFFF"/>
            <w:noWrap/>
            <w:hideMark/>
          </w:tcPr>
          <w:p w:rsidR="001D2F2B" w:rsidP="00F2512B" w14:paraId="63A7AE78" w14:textId="77777777">
            <w:pPr>
              <w:spacing w:after="80"/>
              <w:jc w:val="center"/>
              <w:rPr>
                <w:color w:val="000000"/>
                <w:sz w:val="16"/>
                <w:szCs w:val="16"/>
              </w:rPr>
            </w:pPr>
            <w:r>
              <w:rPr>
                <w:color w:val="000000"/>
                <w:sz w:val="16"/>
                <w:szCs w:val="16"/>
              </w:rPr>
              <w:t>100%</w:t>
            </w:r>
          </w:p>
        </w:tc>
        <w:tc>
          <w:tcPr>
            <w:tcW w:w="601" w:type="dxa"/>
            <w:tcBorders>
              <w:top w:val="nil"/>
              <w:left w:val="nil"/>
              <w:bottom w:val="nil"/>
              <w:right w:val="nil"/>
            </w:tcBorders>
            <w:shd w:val="clear" w:color="000000" w:fill="FFFFFF"/>
            <w:noWrap/>
            <w:hideMark/>
          </w:tcPr>
          <w:p w:rsidR="001D2F2B" w:rsidP="00F2512B" w14:paraId="32DD1B78" w14:textId="77777777">
            <w:pPr>
              <w:spacing w:after="80"/>
              <w:jc w:val="center"/>
              <w:rPr>
                <w:color w:val="000000"/>
                <w:sz w:val="16"/>
                <w:szCs w:val="16"/>
              </w:rPr>
            </w:pPr>
            <w:r>
              <w:rPr>
                <w:color w:val="000000"/>
                <w:sz w:val="16"/>
                <w:szCs w:val="16"/>
              </w:rPr>
              <w:t>100%</w:t>
            </w:r>
          </w:p>
        </w:tc>
      </w:tr>
      <w:tr w14:paraId="5E8B38FA" w14:textId="77777777" w:rsidTr="00F2512B">
        <w:tblPrEx>
          <w:tblW w:w="10080" w:type="dxa"/>
          <w:tblInd w:w="-360" w:type="dxa"/>
          <w:tblLook w:val="04A0"/>
        </w:tblPrEx>
        <w:trPr>
          <w:cantSplit/>
        </w:trPr>
        <w:tc>
          <w:tcPr>
            <w:tcW w:w="2340" w:type="dxa"/>
            <w:tcBorders>
              <w:top w:val="nil"/>
              <w:left w:val="nil"/>
              <w:bottom w:val="nil"/>
              <w:right w:val="nil"/>
            </w:tcBorders>
            <w:shd w:val="clear" w:color="000000" w:fill="FFFFFF"/>
            <w:hideMark/>
          </w:tcPr>
          <w:p w:rsidR="001D2F2B" w:rsidP="00F2512B" w14:paraId="5880FEA0" w14:textId="5391F45B">
            <w:pPr>
              <w:spacing w:after="80"/>
              <w:rPr>
                <w:color w:val="000000"/>
                <w:sz w:val="16"/>
                <w:szCs w:val="16"/>
              </w:rPr>
            </w:pPr>
            <w:r>
              <w:rPr>
                <w:color w:val="000000"/>
                <w:sz w:val="16"/>
                <w:szCs w:val="16"/>
              </w:rPr>
              <w:t>Av</w:t>
            </w:r>
            <w:r w:rsidR="00F2512B">
              <w:rPr>
                <w:color w:val="000000"/>
                <w:sz w:val="16"/>
                <w:szCs w:val="16"/>
              </w:rPr>
              <w:t>g.</w:t>
            </w:r>
            <w:r>
              <w:rPr>
                <w:color w:val="000000"/>
                <w:sz w:val="16"/>
                <w:szCs w:val="16"/>
              </w:rPr>
              <w:t xml:space="preserve"> Download Speed (Mbps)</w:t>
            </w:r>
          </w:p>
        </w:tc>
        <w:tc>
          <w:tcPr>
            <w:tcW w:w="548" w:type="dxa"/>
            <w:tcBorders>
              <w:top w:val="nil"/>
              <w:left w:val="nil"/>
              <w:bottom w:val="nil"/>
              <w:right w:val="nil"/>
            </w:tcBorders>
            <w:shd w:val="clear" w:color="000000" w:fill="FFFFFF"/>
            <w:noWrap/>
            <w:hideMark/>
          </w:tcPr>
          <w:p w:rsidR="001D2F2B" w:rsidP="00F2512B" w14:paraId="67B53828" w14:textId="77777777">
            <w:pPr>
              <w:spacing w:after="80"/>
              <w:jc w:val="center"/>
              <w:rPr>
                <w:color w:val="000000"/>
                <w:sz w:val="16"/>
                <w:szCs w:val="16"/>
              </w:rPr>
            </w:pPr>
            <w:r>
              <w:rPr>
                <w:color w:val="000000"/>
                <w:sz w:val="16"/>
                <w:szCs w:val="16"/>
              </w:rPr>
              <w:t>12</w:t>
            </w:r>
          </w:p>
        </w:tc>
        <w:tc>
          <w:tcPr>
            <w:tcW w:w="665" w:type="dxa"/>
            <w:tcBorders>
              <w:top w:val="nil"/>
              <w:left w:val="nil"/>
              <w:bottom w:val="nil"/>
              <w:right w:val="nil"/>
            </w:tcBorders>
            <w:shd w:val="clear" w:color="000000" w:fill="FFFFFF"/>
            <w:noWrap/>
            <w:hideMark/>
          </w:tcPr>
          <w:p w:rsidR="001D2F2B" w:rsidP="00F2512B" w14:paraId="2E385649" w14:textId="77777777">
            <w:pPr>
              <w:spacing w:after="80"/>
              <w:jc w:val="center"/>
              <w:rPr>
                <w:color w:val="000000"/>
                <w:sz w:val="16"/>
                <w:szCs w:val="16"/>
              </w:rPr>
            </w:pPr>
            <w:r>
              <w:rPr>
                <w:color w:val="000000"/>
                <w:sz w:val="16"/>
                <w:szCs w:val="16"/>
              </w:rPr>
              <w:t>11</w:t>
            </w:r>
          </w:p>
        </w:tc>
        <w:tc>
          <w:tcPr>
            <w:tcW w:w="647" w:type="dxa"/>
            <w:tcBorders>
              <w:top w:val="nil"/>
              <w:left w:val="nil"/>
              <w:bottom w:val="nil"/>
              <w:right w:val="nil"/>
            </w:tcBorders>
            <w:shd w:val="clear" w:color="000000" w:fill="FFFFFF"/>
            <w:noWrap/>
            <w:hideMark/>
          </w:tcPr>
          <w:p w:rsidR="001D2F2B" w:rsidP="00F2512B" w14:paraId="4252FCBF" w14:textId="77777777">
            <w:pPr>
              <w:spacing w:after="80"/>
              <w:jc w:val="center"/>
              <w:rPr>
                <w:color w:val="000000"/>
                <w:sz w:val="16"/>
                <w:szCs w:val="16"/>
              </w:rPr>
            </w:pPr>
            <w:r>
              <w:rPr>
                <w:color w:val="000000"/>
                <w:sz w:val="16"/>
                <w:szCs w:val="16"/>
              </w:rPr>
              <w:t>11</w:t>
            </w:r>
          </w:p>
        </w:tc>
        <w:tc>
          <w:tcPr>
            <w:tcW w:w="647" w:type="dxa"/>
            <w:tcBorders>
              <w:top w:val="nil"/>
              <w:left w:val="nil"/>
              <w:bottom w:val="nil"/>
              <w:right w:val="nil"/>
            </w:tcBorders>
            <w:shd w:val="clear" w:color="000000" w:fill="FFFFFF"/>
            <w:noWrap/>
            <w:hideMark/>
          </w:tcPr>
          <w:p w:rsidR="001D2F2B" w:rsidP="00F2512B" w14:paraId="04B6F725" w14:textId="77777777">
            <w:pPr>
              <w:spacing w:after="80"/>
              <w:jc w:val="center"/>
              <w:rPr>
                <w:color w:val="000000"/>
                <w:sz w:val="16"/>
                <w:szCs w:val="16"/>
              </w:rPr>
            </w:pPr>
            <w:r>
              <w:rPr>
                <w:color w:val="000000"/>
                <w:sz w:val="16"/>
                <w:szCs w:val="16"/>
              </w:rPr>
              <w:t>11</w:t>
            </w:r>
          </w:p>
        </w:tc>
        <w:tc>
          <w:tcPr>
            <w:tcW w:w="647" w:type="dxa"/>
            <w:tcBorders>
              <w:top w:val="nil"/>
              <w:left w:val="nil"/>
              <w:bottom w:val="nil"/>
              <w:right w:val="nil"/>
            </w:tcBorders>
            <w:shd w:val="clear" w:color="000000" w:fill="FFFFFF"/>
            <w:noWrap/>
            <w:hideMark/>
          </w:tcPr>
          <w:p w:rsidR="001D2F2B" w:rsidP="00F2512B" w14:paraId="7A33EC0D" w14:textId="77777777">
            <w:pPr>
              <w:spacing w:after="80"/>
              <w:jc w:val="center"/>
              <w:rPr>
                <w:color w:val="000000"/>
                <w:sz w:val="16"/>
                <w:szCs w:val="16"/>
              </w:rPr>
            </w:pPr>
            <w:r>
              <w:rPr>
                <w:color w:val="000000"/>
                <w:sz w:val="16"/>
                <w:szCs w:val="16"/>
              </w:rPr>
              <w:t>0.01</w:t>
            </w:r>
          </w:p>
        </w:tc>
        <w:tc>
          <w:tcPr>
            <w:tcW w:w="665" w:type="dxa"/>
            <w:tcBorders>
              <w:top w:val="nil"/>
              <w:left w:val="nil"/>
              <w:bottom w:val="nil"/>
              <w:right w:val="nil"/>
            </w:tcBorders>
            <w:shd w:val="clear" w:color="000000" w:fill="FFFFFF"/>
            <w:noWrap/>
            <w:hideMark/>
          </w:tcPr>
          <w:p w:rsidR="001D2F2B" w:rsidP="00F2512B" w14:paraId="34F3B5F8" w14:textId="77777777">
            <w:pPr>
              <w:spacing w:after="80"/>
              <w:jc w:val="center"/>
              <w:rPr>
                <w:color w:val="000000"/>
                <w:sz w:val="16"/>
                <w:szCs w:val="16"/>
              </w:rPr>
            </w:pPr>
            <w:r>
              <w:rPr>
                <w:color w:val="000000"/>
                <w:sz w:val="16"/>
                <w:szCs w:val="16"/>
              </w:rPr>
              <w:t>0.01</w:t>
            </w:r>
          </w:p>
        </w:tc>
        <w:tc>
          <w:tcPr>
            <w:tcW w:w="647" w:type="dxa"/>
            <w:tcBorders>
              <w:top w:val="nil"/>
              <w:left w:val="nil"/>
              <w:bottom w:val="nil"/>
              <w:right w:val="nil"/>
            </w:tcBorders>
            <w:shd w:val="clear" w:color="000000" w:fill="FFFFFF"/>
            <w:noWrap/>
            <w:hideMark/>
          </w:tcPr>
          <w:p w:rsidR="001D2F2B" w:rsidP="00F2512B" w14:paraId="0498BFB1" w14:textId="77777777">
            <w:pPr>
              <w:spacing w:after="80"/>
              <w:jc w:val="center"/>
              <w:rPr>
                <w:color w:val="000000"/>
                <w:sz w:val="16"/>
                <w:szCs w:val="16"/>
              </w:rPr>
            </w:pPr>
            <w:r>
              <w:rPr>
                <w:color w:val="000000"/>
                <w:sz w:val="16"/>
                <w:szCs w:val="16"/>
              </w:rPr>
              <w:t>0.01</w:t>
            </w:r>
          </w:p>
        </w:tc>
        <w:tc>
          <w:tcPr>
            <w:tcW w:w="647" w:type="dxa"/>
            <w:tcBorders>
              <w:top w:val="nil"/>
              <w:left w:val="nil"/>
              <w:bottom w:val="nil"/>
              <w:right w:val="nil"/>
            </w:tcBorders>
            <w:shd w:val="clear" w:color="000000" w:fill="FFFFFF"/>
            <w:noWrap/>
            <w:hideMark/>
          </w:tcPr>
          <w:p w:rsidR="001D2F2B" w:rsidP="00F2512B" w14:paraId="72FE9F8C" w14:textId="77777777">
            <w:pPr>
              <w:spacing w:after="80"/>
              <w:jc w:val="center"/>
              <w:rPr>
                <w:color w:val="000000"/>
                <w:sz w:val="16"/>
                <w:szCs w:val="16"/>
              </w:rPr>
            </w:pPr>
            <w:r>
              <w:rPr>
                <w:color w:val="000000"/>
                <w:sz w:val="16"/>
                <w:szCs w:val="16"/>
              </w:rPr>
              <w:t>0.01</w:t>
            </w:r>
          </w:p>
        </w:tc>
        <w:tc>
          <w:tcPr>
            <w:tcW w:w="676" w:type="dxa"/>
            <w:tcBorders>
              <w:top w:val="nil"/>
              <w:left w:val="nil"/>
              <w:bottom w:val="nil"/>
              <w:right w:val="nil"/>
            </w:tcBorders>
            <w:shd w:val="clear" w:color="000000" w:fill="FFFFFF"/>
            <w:noWrap/>
            <w:hideMark/>
          </w:tcPr>
          <w:p w:rsidR="001D2F2B" w:rsidP="00F2512B" w14:paraId="2D3BAB2E" w14:textId="77777777">
            <w:pPr>
              <w:spacing w:after="80"/>
              <w:jc w:val="center"/>
              <w:rPr>
                <w:color w:val="000000"/>
                <w:sz w:val="16"/>
                <w:szCs w:val="16"/>
              </w:rPr>
            </w:pPr>
            <w:r>
              <w:rPr>
                <w:color w:val="000000"/>
                <w:sz w:val="16"/>
                <w:szCs w:val="16"/>
              </w:rPr>
              <w:t>110</w:t>
            </w:r>
          </w:p>
        </w:tc>
        <w:tc>
          <w:tcPr>
            <w:tcW w:w="675" w:type="dxa"/>
            <w:tcBorders>
              <w:top w:val="nil"/>
              <w:left w:val="nil"/>
              <w:bottom w:val="nil"/>
              <w:right w:val="nil"/>
            </w:tcBorders>
            <w:shd w:val="clear" w:color="000000" w:fill="FFFFFF"/>
            <w:noWrap/>
            <w:hideMark/>
          </w:tcPr>
          <w:p w:rsidR="001D2F2B" w:rsidP="00F2512B" w14:paraId="6522DE26" w14:textId="77777777">
            <w:pPr>
              <w:spacing w:after="80"/>
              <w:jc w:val="center"/>
              <w:rPr>
                <w:color w:val="000000"/>
                <w:sz w:val="16"/>
                <w:szCs w:val="16"/>
              </w:rPr>
            </w:pPr>
            <w:r>
              <w:rPr>
                <w:color w:val="000000"/>
                <w:sz w:val="16"/>
                <w:szCs w:val="16"/>
              </w:rPr>
              <w:t>48</w:t>
            </w:r>
          </w:p>
        </w:tc>
        <w:tc>
          <w:tcPr>
            <w:tcW w:w="675" w:type="dxa"/>
            <w:tcBorders>
              <w:top w:val="nil"/>
              <w:left w:val="nil"/>
              <w:bottom w:val="nil"/>
              <w:right w:val="nil"/>
            </w:tcBorders>
            <w:shd w:val="clear" w:color="000000" w:fill="FFFFFF"/>
            <w:noWrap/>
            <w:hideMark/>
          </w:tcPr>
          <w:p w:rsidR="001D2F2B" w:rsidP="00F2512B" w14:paraId="05B13ADD" w14:textId="77777777">
            <w:pPr>
              <w:spacing w:after="80"/>
              <w:jc w:val="center"/>
              <w:rPr>
                <w:color w:val="000000"/>
                <w:sz w:val="16"/>
                <w:szCs w:val="16"/>
              </w:rPr>
            </w:pPr>
            <w:r>
              <w:rPr>
                <w:color w:val="000000"/>
                <w:sz w:val="16"/>
                <w:szCs w:val="16"/>
              </w:rPr>
              <w:t>48</w:t>
            </w:r>
          </w:p>
        </w:tc>
        <w:tc>
          <w:tcPr>
            <w:tcW w:w="601" w:type="dxa"/>
            <w:tcBorders>
              <w:top w:val="nil"/>
              <w:left w:val="nil"/>
              <w:bottom w:val="nil"/>
              <w:right w:val="nil"/>
            </w:tcBorders>
            <w:shd w:val="clear" w:color="000000" w:fill="FFFFFF"/>
            <w:noWrap/>
            <w:hideMark/>
          </w:tcPr>
          <w:p w:rsidR="001D2F2B" w:rsidP="00F2512B" w14:paraId="7B2BE8B4" w14:textId="77777777">
            <w:pPr>
              <w:spacing w:after="80"/>
              <w:jc w:val="center"/>
              <w:rPr>
                <w:color w:val="000000"/>
                <w:sz w:val="16"/>
                <w:szCs w:val="16"/>
              </w:rPr>
            </w:pPr>
            <w:r>
              <w:rPr>
                <w:color w:val="000000"/>
                <w:sz w:val="16"/>
                <w:szCs w:val="16"/>
              </w:rPr>
              <w:t>44</w:t>
            </w:r>
          </w:p>
        </w:tc>
      </w:tr>
      <w:tr w14:paraId="6269F343" w14:textId="77777777" w:rsidTr="00F2512B">
        <w:tblPrEx>
          <w:tblW w:w="10080" w:type="dxa"/>
          <w:tblInd w:w="-360" w:type="dxa"/>
          <w:tblLook w:val="04A0"/>
        </w:tblPrEx>
        <w:trPr>
          <w:cantSplit/>
        </w:trPr>
        <w:tc>
          <w:tcPr>
            <w:tcW w:w="2340" w:type="dxa"/>
            <w:tcBorders>
              <w:top w:val="nil"/>
              <w:left w:val="nil"/>
              <w:bottom w:val="single" w:sz="4" w:space="0" w:color="auto"/>
              <w:right w:val="nil"/>
            </w:tcBorders>
            <w:shd w:val="clear" w:color="000000" w:fill="FFFFFF"/>
            <w:hideMark/>
          </w:tcPr>
          <w:p w:rsidR="001D2F2B" w:rsidP="00F2512B" w14:paraId="1E15A4C4" w14:textId="295387D8">
            <w:pPr>
              <w:spacing w:after="80"/>
              <w:rPr>
                <w:color w:val="000000"/>
                <w:sz w:val="16"/>
                <w:szCs w:val="16"/>
              </w:rPr>
            </w:pPr>
            <w:r>
              <w:rPr>
                <w:color w:val="000000"/>
                <w:sz w:val="16"/>
                <w:szCs w:val="16"/>
              </w:rPr>
              <w:t>Av</w:t>
            </w:r>
            <w:r w:rsidR="00F2512B">
              <w:rPr>
                <w:color w:val="000000"/>
                <w:sz w:val="16"/>
                <w:szCs w:val="16"/>
              </w:rPr>
              <w:t>g.</w:t>
            </w:r>
            <w:r>
              <w:rPr>
                <w:color w:val="000000"/>
                <w:sz w:val="16"/>
                <w:szCs w:val="16"/>
              </w:rPr>
              <w:t xml:space="preserve"> Tower Height (Meters)</w:t>
            </w:r>
          </w:p>
        </w:tc>
        <w:tc>
          <w:tcPr>
            <w:tcW w:w="548" w:type="dxa"/>
            <w:tcBorders>
              <w:top w:val="nil"/>
              <w:left w:val="nil"/>
              <w:bottom w:val="single" w:sz="4" w:space="0" w:color="auto"/>
              <w:right w:val="nil"/>
            </w:tcBorders>
            <w:shd w:val="clear" w:color="000000" w:fill="FFFFFF"/>
            <w:noWrap/>
            <w:hideMark/>
          </w:tcPr>
          <w:p w:rsidR="001D2F2B" w:rsidP="00F2512B" w14:paraId="3F5EB3CB" w14:textId="77777777">
            <w:pPr>
              <w:spacing w:after="80"/>
              <w:jc w:val="center"/>
              <w:rPr>
                <w:color w:val="000000"/>
                <w:sz w:val="16"/>
                <w:szCs w:val="16"/>
              </w:rPr>
            </w:pPr>
            <w:r>
              <w:rPr>
                <w:color w:val="000000"/>
                <w:sz w:val="16"/>
                <w:szCs w:val="16"/>
              </w:rPr>
              <w:t>66</w:t>
            </w:r>
          </w:p>
        </w:tc>
        <w:tc>
          <w:tcPr>
            <w:tcW w:w="665" w:type="dxa"/>
            <w:tcBorders>
              <w:top w:val="nil"/>
              <w:left w:val="nil"/>
              <w:bottom w:val="single" w:sz="4" w:space="0" w:color="auto"/>
              <w:right w:val="nil"/>
            </w:tcBorders>
            <w:shd w:val="clear" w:color="000000" w:fill="FFFFFF"/>
            <w:noWrap/>
            <w:hideMark/>
          </w:tcPr>
          <w:p w:rsidR="001D2F2B" w:rsidP="00F2512B" w14:paraId="2F243C41" w14:textId="77777777">
            <w:pPr>
              <w:spacing w:after="80"/>
              <w:jc w:val="center"/>
              <w:rPr>
                <w:color w:val="000000"/>
                <w:sz w:val="16"/>
                <w:szCs w:val="16"/>
              </w:rPr>
            </w:pPr>
            <w:r>
              <w:rPr>
                <w:color w:val="000000"/>
                <w:sz w:val="16"/>
                <w:szCs w:val="16"/>
              </w:rPr>
              <w:t>73</w:t>
            </w:r>
          </w:p>
        </w:tc>
        <w:tc>
          <w:tcPr>
            <w:tcW w:w="647" w:type="dxa"/>
            <w:tcBorders>
              <w:top w:val="nil"/>
              <w:left w:val="nil"/>
              <w:bottom w:val="single" w:sz="4" w:space="0" w:color="auto"/>
              <w:right w:val="nil"/>
            </w:tcBorders>
            <w:shd w:val="clear" w:color="000000" w:fill="FFFFFF"/>
            <w:noWrap/>
            <w:hideMark/>
          </w:tcPr>
          <w:p w:rsidR="001D2F2B" w:rsidP="00F2512B" w14:paraId="1C28445C" w14:textId="77777777">
            <w:pPr>
              <w:spacing w:after="80"/>
              <w:jc w:val="center"/>
              <w:rPr>
                <w:color w:val="000000"/>
                <w:sz w:val="16"/>
                <w:szCs w:val="16"/>
              </w:rPr>
            </w:pPr>
            <w:r>
              <w:rPr>
                <w:color w:val="000000"/>
                <w:sz w:val="16"/>
                <w:szCs w:val="16"/>
              </w:rPr>
              <w:t>75</w:t>
            </w:r>
          </w:p>
        </w:tc>
        <w:tc>
          <w:tcPr>
            <w:tcW w:w="647" w:type="dxa"/>
            <w:tcBorders>
              <w:top w:val="nil"/>
              <w:left w:val="nil"/>
              <w:bottom w:val="single" w:sz="4" w:space="0" w:color="auto"/>
              <w:right w:val="nil"/>
            </w:tcBorders>
            <w:shd w:val="clear" w:color="000000" w:fill="FFFFFF"/>
            <w:noWrap/>
            <w:hideMark/>
          </w:tcPr>
          <w:p w:rsidR="001D2F2B" w:rsidP="00F2512B" w14:paraId="4FD3407B" w14:textId="77777777">
            <w:pPr>
              <w:spacing w:after="80"/>
              <w:jc w:val="center"/>
              <w:rPr>
                <w:color w:val="000000"/>
                <w:sz w:val="16"/>
                <w:szCs w:val="16"/>
              </w:rPr>
            </w:pPr>
            <w:r>
              <w:rPr>
                <w:color w:val="000000"/>
                <w:sz w:val="16"/>
                <w:szCs w:val="16"/>
              </w:rPr>
              <w:t>74</w:t>
            </w:r>
          </w:p>
        </w:tc>
        <w:tc>
          <w:tcPr>
            <w:tcW w:w="647" w:type="dxa"/>
            <w:tcBorders>
              <w:top w:val="nil"/>
              <w:left w:val="nil"/>
              <w:bottom w:val="single" w:sz="4" w:space="0" w:color="auto"/>
              <w:right w:val="nil"/>
            </w:tcBorders>
            <w:shd w:val="clear" w:color="000000" w:fill="FFFFFF"/>
            <w:noWrap/>
            <w:hideMark/>
          </w:tcPr>
          <w:p w:rsidR="001D2F2B" w:rsidP="00F2512B" w14:paraId="765D9E53" w14:textId="77777777">
            <w:pPr>
              <w:spacing w:after="80"/>
              <w:jc w:val="center"/>
              <w:rPr>
                <w:color w:val="000000"/>
                <w:sz w:val="16"/>
                <w:szCs w:val="16"/>
              </w:rPr>
            </w:pPr>
            <w:r>
              <w:rPr>
                <w:color w:val="000000"/>
                <w:sz w:val="16"/>
                <w:szCs w:val="16"/>
              </w:rPr>
              <w:t>4</w:t>
            </w:r>
          </w:p>
        </w:tc>
        <w:tc>
          <w:tcPr>
            <w:tcW w:w="665" w:type="dxa"/>
            <w:tcBorders>
              <w:top w:val="nil"/>
              <w:left w:val="nil"/>
              <w:bottom w:val="single" w:sz="4" w:space="0" w:color="auto"/>
              <w:right w:val="nil"/>
            </w:tcBorders>
            <w:shd w:val="clear" w:color="000000" w:fill="FFFFFF"/>
            <w:noWrap/>
            <w:hideMark/>
          </w:tcPr>
          <w:p w:rsidR="001D2F2B" w:rsidP="00F2512B" w14:paraId="008FC8B9" w14:textId="77777777">
            <w:pPr>
              <w:spacing w:after="80"/>
              <w:jc w:val="center"/>
              <w:rPr>
                <w:color w:val="000000"/>
                <w:sz w:val="16"/>
                <w:szCs w:val="16"/>
              </w:rPr>
            </w:pPr>
            <w:r>
              <w:rPr>
                <w:color w:val="000000"/>
                <w:sz w:val="16"/>
                <w:szCs w:val="16"/>
              </w:rPr>
              <w:t>4</w:t>
            </w:r>
          </w:p>
        </w:tc>
        <w:tc>
          <w:tcPr>
            <w:tcW w:w="647" w:type="dxa"/>
            <w:tcBorders>
              <w:top w:val="nil"/>
              <w:left w:val="nil"/>
              <w:bottom w:val="single" w:sz="4" w:space="0" w:color="auto"/>
              <w:right w:val="nil"/>
            </w:tcBorders>
            <w:shd w:val="clear" w:color="000000" w:fill="FFFFFF"/>
            <w:noWrap/>
            <w:hideMark/>
          </w:tcPr>
          <w:p w:rsidR="001D2F2B" w:rsidP="00F2512B" w14:paraId="27140A58" w14:textId="77777777">
            <w:pPr>
              <w:spacing w:after="80"/>
              <w:jc w:val="center"/>
              <w:rPr>
                <w:color w:val="000000"/>
                <w:sz w:val="16"/>
                <w:szCs w:val="16"/>
              </w:rPr>
            </w:pPr>
            <w:r>
              <w:rPr>
                <w:color w:val="000000"/>
                <w:sz w:val="16"/>
                <w:szCs w:val="16"/>
              </w:rPr>
              <w:t>4</w:t>
            </w:r>
          </w:p>
        </w:tc>
        <w:tc>
          <w:tcPr>
            <w:tcW w:w="647" w:type="dxa"/>
            <w:tcBorders>
              <w:top w:val="nil"/>
              <w:left w:val="nil"/>
              <w:bottom w:val="single" w:sz="4" w:space="0" w:color="auto"/>
              <w:right w:val="nil"/>
            </w:tcBorders>
            <w:shd w:val="clear" w:color="000000" w:fill="FFFFFF"/>
            <w:noWrap/>
            <w:hideMark/>
          </w:tcPr>
          <w:p w:rsidR="001D2F2B" w:rsidP="00F2512B" w14:paraId="46DDA118" w14:textId="77777777">
            <w:pPr>
              <w:spacing w:after="80"/>
              <w:jc w:val="center"/>
              <w:rPr>
                <w:color w:val="000000"/>
                <w:sz w:val="16"/>
                <w:szCs w:val="16"/>
              </w:rPr>
            </w:pPr>
            <w:r>
              <w:rPr>
                <w:color w:val="000000"/>
                <w:sz w:val="16"/>
                <w:szCs w:val="16"/>
              </w:rPr>
              <w:t>4</w:t>
            </w:r>
          </w:p>
        </w:tc>
        <w:tc>
          <w:tcPr>
            <w:tcW w:w="676" w:type="dxa"/>
            <w:tcBorders>
              <w:top w:val="nil"/>
              <w:left w:val="nil"/>
              <w:bottom w:val="single" w:sz="4" w:space="0" w:color="auto"/>
              <w:right w:val="nil"/>
            </w:tcBorders>
            <w:shd w:val="clear" w:color="000000" w:fill="FFFFFF"/>
            <w:noWrap/>
            <w:hideMark/>
          </w:tcPr>
          <w:p w:rsidR="001D2F2B" w:rsidP="00F2512B" w14:paraId="3F79F3DE" w14:textId="77777777">
            <w:pPr>
              <w:spacing w:after="80"/>
              <w:jc w:val="center"/>
              <w:rPr>
                <w:color w:val="000000"/>
                <w:sz w:val="16"/>
                <w:szCs w:val="16"/>
              </w:rPr>
            </w:pPr>
            <w:r>
              <w:rPr>
                <w:color w:val="000000"/>
                <w:sz w:val="16"/>
                <w:szCs w:val="16"/>
              </w:rPr>
              <w:t>152</w:t>
            </w:r>
          </w:p>
        </w:tc>
        <w:tc>
          <w:tcPr>
            <w:tcW w:w="675" w:type="dxa"/>
            <w:tcBorders>
              <w:top w:val="nil"/>
              <w:left w:val="nil"/>
              <w:bottom w:val="single" w:sz="4" w:space="0" w:color="auto"/>
              <w:right w:val="nil"/>
            </w:tcBorders>
            <w:shd w:val="clear" w:color="000000" w:fill="FFFFFF"/>
            <w:noWrap/>
            <w:hideMark/>
          </w:tcPr>
          <w:p w:rsidR="001D2F2B" w:rsidP="00F2512B" w14:paraId="448D5B39" w14:textId="77777777">
            <w:pPr>
              <w:spacing w:after="80"/>
              <w:jc w:val="center"/>
              <w:rPr>
                <w:color w:val="000000"/>
                <w:sz w:val="16"/>
                <w:szCs w:val="16"/>
              </w:rPr>
            </w:pPr>
            <w:r>
              <w:rPr>
                <w:color w:val="000000"/>
                <w:sz w:val="16"/>
                <w:szCs w:val="16"/>
              </w:rPr>
              <w:t>152</w:t>
            </w:r>
          </w:p>
        </w:tc>
        <w:tc>
          <w:tcPr>
            <w:tcW w:w="675" w:type="dxa"/>
            <w:tcBorders>
              <w:top w:val="nil"/>
              <w:left w:val="nil"/>
              <w:bottom w:val="single" w:sz="4" w:space="0" w:color="auto"/>
              <w:right w:val="nil"/>
            </w:tcBorders>
            <w:shd w:val="clear" w:color="000000" w:fill="FFFFFF"/>
            <w:noWrap/>
            <w:hideMark/>
          </w:tcPr>
          <w:p w:rsidR="001D2F2B" w:rsidP="00F2512B" w14:paraId="7DF16FCC" w14:textId="77777777">
            <w:pPr>
              <w:spacing w:after="80"/>
              <w:jc w:val="center"/>
              <w:rPr>
                <w:color w:val="000000"/>
                <w:sz w:val="16"/>
                <w:szCs w:val="16"/>
              </w:rPr>
            </w:pPr>
            <w:r>
              <w:rPr>
                <w:color w:val="000000"/>
                <w:sz w:val="16"/>
                <w:szCs w:val="16"/>
              </w:rPr>
              <w:t>152</w:t>
            </w:r>
          </w:p>
        </w:tc>
        <w:tc>
          <w:tcPr>
            <w:tcW w:w="601" w:type="dxa"/>
            <w:tcBorders>
              <w:top w:val="nil"/>
              <w:left w:val="nil"/>
              <w:bottom w:val="single" w:sz="4" w:space="0" w:color="auto"/>
              <w:right w:val="nil"/>
            </w:tcBorders>
            <w:shd w:val="clear" w:color="000000" w:fill="FFFFFF"/>
            <w:noWrap/>
            <w:hideMark/>
          </w:tcPr>
          <w:p w:rsidR="001D2F2B" w:rsidP="00F2512B" w14:paraId="325ADA00" w14:textId="77777777">
            <w:pPr>
              <w:spacing w:after="80"/>
              <w:jc w:val="center"/>
              <w:rPr>
                <w:color w:val="000000"/>
                <w:sz w:val="16"/>
                <w:szCs w:val="16"/>
              </w:rPr>
            </w:pPr>
            <w:r>
              <w:rPr>
                <w:color w:val="000000"/>
                <w:sz w:val="16"/>
                <w:szCs w:val="16"/>
              </w:rPr>
              <w:t>152</w:t>
            </w:r>
          </w:p>
        </w:tc>
      </w:tr>
      <w:tr w14:paraId="06629C0E" w14:textId="77777777" w:rsidTr="00F2512B">
        <w:tblPrEx>
          <w:tblW w:w="10080" w:type="dxa"/>
          <w:tblInd w:w="-360" w:type="dxa"/>
          <w:tblLook w:val="04A0"/>
        </w:tblPrEx>
        <w:trPr>
          <w:cantSplit/>
        </w:trPr>
        <w:tc>
          <w:tcPr>
            <w:tcW w:w="2340" w:type="dxa"/>
            <w:tcBorders>
              <w:top w:val="single" w:sz="4" w:space="0" w:color="auto"/>
              <w:left w:val="nil"/>
              <w:bottom w:val="double" w:sz="6" w:space="0" w:color="auto"/>
              <w:right w:val="nil"/>
            </w:tcBorders>
            <w:shd w:val="clear" w:color="000000" w:fill="FFFFFF"/>
            <w:noWrap/>
            <w:hideMark/>
          </w:tcPr>
          <w:p w:rsidR="001D2F2B" w:rsidP="00F2512B" w14:paraId="15A63333" w14:textId="77777777">
            <w:pPr>
              <w:spacing w:after="80"/>
              <w:rPr>
                <w:color w:val="000000"/>
                <w:sz w:val="16"/>
                <w:szCs w:val="16"/>
              </w:rPr>
            </w:pPr>
            <w:r>
              <w:rPr>
                <w:color w:val="000000"/>
                <w:sz w:val="16"/>
                <w:szCs w:val="16"/>
              </w:rPr>
              <w:t>Number of Observations</w:t>
            </w:r>
          </w:p>
        </w:tc>
        <w:tc>
          <w:tcPr>
            <w:tcW w:w="548" w:type="dxa"/>
            <w:tcBorders>
              <w:top w:val="single" w:sz="4" w:space="0" w:color="auto"/>
              <w:left w:val="nil"/>
              <w:bottom w:val="double" w:sz="6" w:space="0" w:color="auto"/>
              <w:right w:val="nil"/>
            </w:tcBorders>
            <w:shd w:val="clear" w:color="000000" w:fill="FFFFFF"/>
            <w:noWrap/>
            <w:hideMark/>
          </w:tcPr>
          <w:p w:rsidR="001D2F2B" w:rsidP="00F2512B" w14:paraId="2406E78C" w14:textId="77777777">
            <w:pPr>
              <w:spacing w:after="80"/>
              <w:jc w:val="center"/>
              <w:rPr>
                <w:color w:val="000000"/>
                <w:sz w:val="16"/>
                <w:szCs w:val="16"/>
              </w:rPr>
            </w:pPr>
            <w:r>
              <w:rPr>
                <w:color w:val="000000"/>
                <w:sz w:val="16"/>
                <w:szCs w:val="16"/>
              </w:rPr>
              <w:t>9,190</w:t>
            </w:r>
          </w:p>
        </w:tc>
        <w:tc>
          <w:tcPr>
            <w:tcW w:w="665" w:type="dxa"/>
            <w:tcBorders>
              <w:top w:val="single" w:sz="4" w:space="0" w:color="auto"/>
              <w:left w:val="nil"/>
              <w:bottom w:val="double" w:sz="6" w:space="0" w:color="auto"/>
              <w:right w:val="nil"/>
            </w:tcBorders>
            <w:shd w:val="clear" w:color="000000" w:fill="FFFFFF"/>
            <w:noWrap/>
            <w:hideMark/>
          </w:tcPr>
          <w:p w:rsidR="001D2F2B" w:rsidP="00F2512B" w14:paraId="37EDAC4B" w14:textId="77777777">
            <w:pPr>
              <w:spacing w:after="80"/>
              <w:jc w:val="center"/>
              <w:rPr>
                <w:color w:val="000000"/>
                <w:sz w:val="16"/>
                <w:szCs w:val="16"/>
              </w:rPr>
            </w:pPr>
            <w:r>
              <w:rPr>
                <w:color w:val="000000"/>
                <w:sz w:val="16"/>
                <w:szCs w:val="16"/>
              </w:rPr>
              <w:t>5,836</w:t>
            </w:r>
          </w:p>
        </w:tc>
        <w:tc>
          <w:tcPr>
            <w:tcW w:w="647" w:type="dxa"/>
            <w:tcBorders>
              <w:top w:val="single" w:sz="4" w:space="0" w:color="auto"/>
              <w:left w:val="nil"/>
              <w:bottom w:val="double" w:sz="6" w:space="0" w:color="auto"/>
              <w:right w:val="nil"/>
            </w:tcBorders>
            <w:shd w:val="clear" w:color="000000" w:fill="FFFFFF"/>
            <w:noWrap/>
            <w:hideMark/>
          </w:tcPr>
          <w:p w:rsidR="001D2F2B" w:rsidP="00F2512B" w14:paraId="33F78932" w14:textId="77777777">
            <w:pPr>
              <w:spacing w:after="80"/>
              <w:jc w:val="center"/>
              <w:rPr>
                <w:color w:val="000000"/>
                <w:sz w:val="16"/>
                <w:szCs w:val="16"/>
              </w:rPr>
            </w:pPr>
            <w:r>
              <w:rPr>
                <w:color w:val="000000"/>
                <w:sz w:val="16"/>
                <w:szCs w:val="16"/>
              </w:rPr>
              <w:t>3,929</w:t>
            </w:r>
          </w:p>
        </w:tc>
        <w:tc>
          <w:tcPr>
            <w:tcW w:w="647" w:type="dxa"/>
            <w:tcBorders>
              <w:top w:val="single" w:sz="4" w:space="0" w:color="auto"/>
              <w:left w:val="nil"/>
              <w:bottom w:val="double" w:sz="6" w:space="0" w:color="auto"/>
              <w:right w:val="nil"/>
            </w:tcBorders>
            <w:shd w:val="clear" w:color="000000" w:fill="FFFFFF"/>
            <w:noWrap/>
            <w:hideMark/>
          </w:tcPr>
          <w:p w:rsidR="001D2F2B" w:rsidP="00F2512B" w14:paraId="3A5715BC" w14:textId="77777777">
            <w:pPr>
              <w:spacing w:after="80"/>
              <w:jc w:val="center"/>
              <w:rPr>
                <w:color w:val="000000"/>
                <w:sz w:val="16"/>
                <w:szCs w:val="16"/>
              </w:rPr>
            </w:pPr>
            <w:r>
              <w:rPr>
                <w:color w:val="000000"/>
                <w:sz w:val="16"/>
                <w:szCs w:val="16"/>
              </w:rPr>
              <w:t>1,720</w:t>
            </w:r>
          </w:p>
        </w:tc>
        <w:tc>
          <w:tcPr>
            <w:tcW w:w="647" w:type="dxa"/>
            <w:tcBorders>
              <w:top w:val="single" w:sz="4" w:space="0" w:color="auto"/>
              <w:left w:val="nil"/>
              <w:bottom w:val="double" w:sz="6" w:space="0" w:color="auto"/>
              <w:right w:val="nil"/>
            </w:tcBorders>
            <w:shd w:val="clear" w:color="000000" w:fill="FFFFFF"/>
            <w:noWrap/>
            <w:hideMark/>
          </w:tcPr>
          <w:p w:rsidR="001D2F2B" w:rsidP="00F2512B" w14:paraId="39E9AD95" w14:textId="46F4502C">
            <w:pPr>
              <w:spacing w:after="80"/>
              <w:jc w:val="center"/>
              <w:rPr>
                <w:color w:val="000000"/>
                <w:sz w:val="16"/>
                <w:szCs w:val="16"/>
              </w:rPr>
            </w:pPr>
          </w:p>
        </w:tc>
        <w:tc>
          <w:tcPr>
            <w:tcW w:w="665" w:type="dxa"/>
            <w:tcBorders>
              <w:top w:val="single" w:sz="4" w:space="0" w:color="auto"/>
              <w:left w:val="nil"/>
              <w:bottom w:val="double" w:sz="6" w:space="0" w:color="auto"/>
              <w:right w:val="nil"/>
            </w:tcBorders>
            <w:shd w:val="clear" w:color="000000" w:fill="FFFFFF"/>
            <w:noWrap/>
            <w:hideMark/>
          </w:tcPr>
          <w:p w:rsidR="001D2F2B" w:rsidP="00F2512B" w14:paraId="54B4F044" w14:textId="25B47DB4">
            <w:pPr>
              <w:spacing w:after="80"/>
              <w:jc w:val="center"/>
              <w:rPr>
                <w:color w:val="000000"/>
                <w:sz w:val="16"/>
                <w:szCs w:val="16"/>
              </w:rPr>
            </w:pPr>
          </w:p>
        </w:tc>
        <w:tc>
          <w:tcPr>
            <w:tcW w:w="647" w:type="dxa"/>
            <w:tcBorders>
              <w:top w:val="single" w:sz="4" w:space="0" w:color="auto"/>
              <w:left w:val="nil"/>
              <w:bottom w:val="double" w:sz="6" w:space="0" w:color="auto"/>
              <w:right w:val="nil"/>
            </w:tcBorders>
            <w:shd w:val="clear" w:color="000000" w:fill="FFFFFF"/>
            <w:noWrap/>
            <w:hideMark/>
          </w:tcPr>
          <w:p w:rsidR="001D2F2B" w:rsidP="00F2512B" w14:paraId="3C7230F4" w14:textId="18473471">
            <w:pPr>
              <w:spacing w:after="80"/>
              <w:jc w:val="center"/>
              <w:rPr>
                <w:color w:val="000000"/>
                <w:sz w:val="16"/>
                <w:szCs w:val="16"/>
              </w:rPr>
            </w:pPr>
          </w:p>
        </w:tc>
        <w:tc>
          <w:tcPr>
            <w:tcW w:w="647" w:type="dxa"/>
            <w:tcBorders>
              <w:top w:val="single" w:sz="4" w:space="0" w:color="auto"/>
              <w:left w:val="nil"/>
              <w:bottom w:val="double" w:sz="6" w:space="0" w:color="auto"/>
              <w:right w:val="nil"/>
            </w:tcBorders>
            <w:shd w:val="clear" w:color="000000" w:fill="FFFFFF"/>
            <w:noWrap/>
            <w:hideMark/>
          </w:tcPr>
          <w:p w:rsidR="001D2F2B" w:rsidP="00F2512B" w14:paraId="03CCC8BA" w14:textId="7EB3828D">
            <w:pPr>
              <w:spacing w:after="80"/>
              <w:jc w:val="center"/>
              <w:rPr>
                <w:color w:val="000000"/>
                <w:sz w:val="16"/>
                <w:szCs w:val="16"/>
              </w:rPr>
            </w:pPr>
          </w:p>
        </w:tc>
        <w:tc>
          <w:tcPr>
            <w:tcW w:w="676" w:type="dxa"/>
            <w:tcBorders>
              <w:top w:val="single" w:sz="4" w:space="0" w:color="auto"/>
              <w:left w:val="nil"/>
              <w:bottom w:val="double" w:sz="6" w:space="0" w:color="auto"/>
              <w:right w:val="nil"/>
            </w:tcBorders>
            <w:shd w:val="clear" w:color="000000" w:fill="FFFFFF"/>
            <w:noWrap/>
            <w:hideMark/>
          </w:tcPr>
          <w:p w:rsidR="001D2F2B" w:rsidP="00F2512B" w14:paraId="623D3101" w14:textId="47A46192">
            <w:pPr>
              <w:spacing w:after="80"/>
              <w:jc w:val="center"/>
              <w:rPr>
                <w:color w:val="000000"/>
                <w:sz w:val="16"/>
                <w:szCs w:val="16"/>
              </w:rPr>
            </w:pPr>
          </w:p>
        </w:tc>
        <w:tc>
          <w:tcPr>
            <w:tcW w:w="675" w:type="dxa"/>
            <w:tcBorders>
              <w:top w:val="single" w:sz="4" w:space="0" w:color="auto"/>
              <w:left w:val="nil"/>
              <w:bottom w:val="double" w:sz="6" w:space="0" w:color="auto"/>
              <w:right w:val="nil"/>
            </w:tcBorders>
            <w:shd w:val="clear" w:color="000000" w:fill="FFFFFF"/>
            <w:noWrap/>
            <w:hideMark/>
          </w:tcPr>
          <w:p w:rsidR="001D2F2B" w:rsidP="00F2512B" w14:paraId="608DDE5C" w14:textId="083FEBBE">
            <w:pPr>
              <w:spacing w:after="80"/>
              <w:jc w:val="center"/>
              <w:rPr>
                <w:color w:val="000000"/>
                <w:sz w:val="16"/>
                <w:szCs w:val="16"/>
              </w:rPr>
            </w:pPr>
          </w:p>
        </w:tc>
        <w:tc>
          <w:tcPr>
            <w:tcW w:w="675" w:type="dxa"/>
            <w:tcBorders>
              <w:top w:val="single" w:sz="4" w:space="0" w:color="auto"/>
              <w:left w:val="nil"/>
              <w:bottom w:val="double" w:sz="6" w:space="0" w:color="auto"/>
              <w:right w:val="nil"/>
            </w:tcBorders>
            <w:shd w:val="clear" w:color="000000" w:fill="FFFFFF"/>
            <w:noWrap/>
            <w:hideMark/>
          </w:tcPr>
          <w:p w:rsidR="001D2F2B" w:rsidP="00F2512B" w14:paraId="3D9857F3" w14:textId="1743995D">
            <w:pPr>
              <w:spacing w:after="80"/>
              <w:jc w:val="center"/>
              <w:rPr>
                <w:color w:val="000000"/>
                <w:sz w:val="16"/>
                <w:szCs w:val="16"/>
              </w:rPr>
            </w:pPr>
          </w:p>
        </w:tc>
        <w:tc>
          <w:tcPr>
            <w:tcW w:w="601" w:type="dxa"/>
            <w:tcBorders>
              <w:top w:val="single" w:sz="4" w:space="0" w:color="auto"/>
              <w:left w:val="nil"/>
              <w:bottom w:val="double" w:sz="6" w:space="0" w:color="auto"/>
              <w:right w:val="nil"/>
            </w:tcBorders>
            <w:shd w:val="clear" w:color="000000" w:fill="FFFFFF"/>
            <w:noWrap/>
            <w:hideMark/>
          </w:tcPr>
          <w:p w:rsidR="001D2F2B" w:rsidP="00F2512B" w14:paraId="1872C7AB" w14:textId="175F4740">
            <w:pPr>
              <w:spacing w:after="80"/>
              <w:jc w:val="center"/>
              <w:rPr>
                <w:color w:val="000000"/>
                <w:sz w:val="16"/>
                <w:szCs w:val="16"/>
              </w:rPr>
            </w:pPr>
          </w:p>
        </w:tc>
      </w:tr>
    </w:tbl>
    <w:p w:rsidR="000D5763" w:rsidP="000D5763" w14:paraId="7EBE3D5F" w14:textId="77777777">
      <w:pPr>
        <w:keepNext/>
        <w:keepLines/>
        <w:spacing w:before="120" w:after="120"/>
        <w:jc w:val="center"/>
        <w:rPr>
          <w:b/>
          <w:sz w:val="22"/>
          <w:szCs w:val="22"/>
        </w:rPr>
      </w:pPr>
    </w:p>
    <w:p w:rsidR="000D5763" w:rsidRPr="000D5763" w:rsidP="000D5763" w14:paraId="76040257" w14:textId="5A0EA434">
      <w:pPr>
        <w:keepNext/>
        <w:keepLines/>
        <w:spacing w:before="120" w:after="120"/>
        <w:jc w:val="center"/>
        <w:rPr>
          <w:b/>
          <w:bCs/>
          <w:sz w:val="22"/>
          <w:szCs w:val="22"/>
        </w:rPr>
      </w:pPr>
      <w:r w:rsidRPr="000D5763">
        <w:rPr>
          <w:b/>
          <w:bCs/>
          <w:sz w:val="22"/>
          <w:szCs w:val="22"/>
        </w:rPr>
        <w:t>Fig. B-7: Sample Means by Terrain Categories and Population Density Subsamples</w:t>
      </w:r>
    </w:p>
    <w:tbl>
      <w:tblPr>
        <w:tblW w:w="10080" w:type="dxa"/>
        <w:tblInd w:w="-360" w:type="dxa"/>
        <w:tblLook w:val="04A0"/>
      </w:tblPr>
      <w:tblGrid>
        <w:gridCol w:w="2292"/>
        <w:gridCol w:w="649"/>
        <w:gridCol w:w="649"/>
        <w:gridCol w:w="649"/>
        <w:gridCol w:w="649"/>
        <w:gridCol w:w="649"/>
        <w:gridCol w:w="649"/>
        <w:gridCol w:w="649"/>
        <w:gridCol w:w="649"/>
        <w:gridCol w:w="649"/>
        <w:gridCol w:w="649"/>
        <w:gridCol w:w="649"/>
        <w:gridCol w:w="649"/>
      </w:tblGrid>
      <w:tr w14:paraId="15529158" w14:textId="77777777" w:rsidTr="00F2512B">
        <w:tblPrEx>
          <w:tblW w:w="10080" w:type="dxa"/>
          <w:tblInd w:w="-360" w:type="dxa"/>
          <w:tblLook w:val="04A0"/>
        </w:tblPrEx>
        <w:trPr>
          <w:cantSplit/>
          <w:tblHeader/>
        </w:trPr>
        <w:tc>
          <w:tcPr>
            <w:tcW w:w="2260" w:type="dxa"/>
            <w:tcBorders>
              <w:top w:val="double" w:sz="6" w:space="0" w:color="auto"/>
              <w:left w:val="nil"/>
              <w:bottom w:val="nil"/>
              <w:right w:val="nil"/>
            </w:tcBorders>
            <w:shd w:val="clear" w:color="000000" w:fill="FFFFFF"/>
            <w:noWrap/>
            <w:hideMark/>
          </w:tcPr>
          <w:p w:rsidR="000D24A4" w:rsidP="00F2512B" w14:paraId="291B0EF6" w14:textId="77777777">
            <w:pPr>
              <w:spacing w:after="80"/>
              <w:rPr>
                <w:color w:val="000000"/>
                <w:sz w:val="16"/>
                <w:szCs w:val="16"/>
              </w:rPr>
            </w:pPr>
            <w:r>
              <w:rPr>
                <w:color w:val="000000"/>
                <w:sz w:val="16"/>
                <w:szCs w:val="16"/>
              </w:rPr>
              <w:t> </w:t>
            </w:r>
          </w:p>
        </w:tc>
        <w:tc>
          <w:tcPr>
            <w:tcW w:w="2560" w:type="dxa"/>
            <w:gridSpan w:val="4"/>
            <w:tcBorders>
              <w:top w:val="double" w:sz="6" w:space="0" w:color="auto"/>
              <w:left w:val="nil"/>
              <w:bottom w:val="nil"/>
              <w:right w:val="nil"/>
            </w:tcBorders>
            <w:shd w:val="clear" w:color="000000" w:fill="FFFFFF"/>
            <w:noWrap/>
            <w:hideMark/>
          </w:tcPr>
          <w:p w:rsidR="000D24A4" w:rsidP="00F2512B" w14:paraId="0E19BFCC" w14:textId="77777777">
            <w:pPr>
              <w:spacing w:after="80"/>
              <w:jc w:val="center"/>
              <w:rPr>
                <w:color w:val="000000"/>
                <w:sz w:val="16"/>
                <w:szCs w:val="16"/>
              </w:rPr>
            </w:pPr>
            <w:r>
              <w:rPr>
                <w:color w:val="000000"/>
                <w:sz w:val="16"/>
                <w:szCs w:val="16"/>
              </w:rPr>
              <w:t>Flat Terrain (0-40m)</w:t>
            </w:r>
          </w:p>
        </w:tc>
        <w:tc>
          <w:tcPr>
            <w:tcW w:w="2560" w:type="dxa"/>
            <w:gridSpan w:val="4"/>
            <w:tcBorders>
              <w:top w:val="double" w:sz="6" w:space="0" w:color="auto"/>
              <w:left w:val="nil"/>
              <w:bottom w:val="nil"/>
              <w:right w:val="nil"/>
            </w:tcBorders>
            <w:shd w:val="clear" w:color="000000" w:fill="FFFFFF"/>
            <w:noWrap/>
            <w:hideMark/>
          </w:tcPr>
          <w:p w:rsidR="000D24A4" w:rsidP="00F2512B" w14:paraId="0CDFB314" w14:textId="77777777">
            <w:pPr>
              <w:spacing w:after="80"/>
              <w:jc w:val="center"/>
              <w:rPr>
                <w:color w:val="000000"/>
                <w:sz w:val="16"/>
                <w:szCs w:val="16"/>
              </w:rPr>
            </w:pPr>
            <w:r>
              <w:rPr>
                <w:color w:val="000000"/>
                <w:sz w:val="16"/>
                <w:szCs w:val="16"/>
              </w:rPr>
              <w:t>Hilly Terrain (40-115m)</w:t>
            </w:r>
          </w:p>
        </w:tc>
        <w:tc>
          <w:tcPr>
            <w:tcW w:w="2560" w:type="dxa"/>
            <w:gridSpan w:val="4"/>
            <w:tcBorders>
              <w:top w:val="double" w:sz="6" w:space="0" w:color="auto"/>
              <w:left w:val="nil"/>
              <w:bottom w:val="nil"/>
              <w:right w:val="nil"/>
            </w:tcBorders>
            <w:shd w:val="clear" w:color="000000" w:fill="FFFFFF"/>
            <w:noWrap/>
            <w:hideMark/>
          </w:tcPr>
          <w:p w:rsidR="000D24A4" w:rsidP="00F2512B" w14:paraId="7CE5C20E" w14:textId="77777777">
            <w:pPr>
              <w:spacing w:after="80"/>
              <w:jc w:val="center"/>
              <w:rPr>
                <w:color w:val="000000"/>
                <w:sz w:val="16"/>
                <w:szCs w:val="16"/>
              </w:rPr>
            </w:pPr>
            <w:r>
              <w:rPr>
                <w:color w:val="000000"/>
                <w:sz w:val="16"/>
                <w:szCs w:val="16"/>
              </w:rPr>
              <w:t>Mountainous Terrain (115+m)</w:t>
            </w:r>
          </w:p>
        </w:tc>
      </w:tr>
      <w:tr w14:paraId="3A6030AA" w14:textId="77777777" w:rsidTr="00F2512B">
        <w:tblPrEx>
          <w:tblW w:w="10080" w:type="dxa"/>
          <w:tblInd w:w="-360" w:type="dxa"/>
          <w:tblLook w:val="04A0"/>
        </w:tblPrEx>
        <w:trPr>
          <w:cantSplit/>
          <w:tblHeader/>
        </w:trPr>
        <w:tc>
          <w:tcPr>
            <w:tcW w:w="2260" w:type="dxa"/>
            <w:tcBorders>
              <w:top w:val="nil"/>
              <w:left w:val="nil"/>
              <w:bottom w:val="nil"/>
              <w:right w:val="nil"/>
            </w:tcBorders>
            <w:shd w:val="clear" w:color="000000" w:fill="FFFFFF"/>
            <w:noWrap/>
            <w:hideMark/>
          </w:tcPr>
          <w:p w:rsidR="000D24A4" w:rsidP="00F2512B" w14:paraId="1B9E92FF" w14:textId="77777777">
            <w:pPr>
              <w:spacing w:after="80"/>
              <w:rPr>
                <w:color w:val="000000"/>
                <w:sz w:val="16"/>
                <w:szCs w:val="16"/>
              </w:rPr>
            </w:pPr>
            <w:r>
              <w:rPr>
                <w:color w:val="000000"/>
                <w:sz w:val="16"/>
                <w:szCs w:val="16"/>
              </w:rPr>
              <w:t> </w:t>
            </w:r>
          </w:p>
        </w:tc>
        <w:tc>
          <w:tcPr>
            <w:tcW w:w="7680" w:type="dxa"/>
            <w:gridSpan w:val="12"/>
            <w:tcBorders>
              <w:top w:val="single" w:sz="4" w:space="0" w:color="auto"/>
              <w:left w:val="nil"/>
              <w:bottom w:val="nil"/>
              <w:right w:val="nil"/>
            </w:tcBorders>
            <w:shd w:val="clear" w:color="000000" w:fill="FFFFFF"/>
            <w:noWrap/>
            <w:hideMark/>
          </w:tcPr>
          <w:p w:rsidR="000D24A4" w:rsidP="00F2512B" w14:paraId="2D79F2B1" w14:textId="77777777">
            <w:pPr>
              <w:spacing w:after="80"/>
              <w:jc w:val="center"/>
              <w:rPr>
                <w:color w:val="000000"/>
                <w:sz w:val="16"/>
                <w:szCs w:val="16"/>
              </w:rPr>
            </w:pPr>
            <w:r>
              <w:rPr>
                <w:color w:val="000000"/>
                <w:sz w:val="16"/>
                <w:szCs w:val="16"/>
              </w:rPr>
              <w:t>Population Density Restriction</w:t>
            </w:r>
          </w:p>
        </w:tc>
      </w:tr>
      <w:tr w14:paraId="484DA299" w14:textId="77777777" w:rsidTr="00F2512B">
        <w:tblPrEx>
          <w:tblW w:w="10080" w:type="dxa"/>
          <w:tblInd w:w="-360" w:type="dxa"/>
          <w:tblLook w:val="04A0"/>
        </w:tblPrEx>
        <w:trPr>
          <w:cantSplit/>
          <w:tblHeader/>
        </w:trPr>
        <w:tc>
          <w:tcPr>
            <w:tcW w:w="2260" w:type="dxa"/>
            <w:tcBorders>
              <w:top w:val="nil"/>
              <w:left w:val="nil"/>
              <w:bottom w:val="single" w:sz="4" w:space="0" w:color="auto"/>
              <w:right w:val="nil"/>
            </w:tcBorders>
            <w:shd w:val="clear" w:color="000000" w:fill="FFFFFF"/>
            <w:noWrap/>
            <w:hideMark/>
          </w:tcPr>
          <w:p w:rsidR="000D24A4" w:rsidP="00F2512B" w14:paraId="1737C4B9" w14:textId="77777777">
            <w:pPr>
              <w:spacing w:after="80"/>
              <w:jc w:val="right"/>
              <w:rPr>
                <w:color w:val="000000"/>
                <w:sz w:val="16"/>
                <w:szCs w:val="16"/>
              </w:rPr>
            </w:pPr>
            <w:r>
              <w:rPr>
                <w:color w:val="000000"/>
                <w:sz w:val="16"/>
                <w:szCs w:val="16"/>
              </w:rPr>
              <w:t> </w:t>
            </w:r>
          </w:p>
        </w:tc>
        <w:tc>
          <w:tcPr>
            <w:tcW w:w="640" w:type="dxa"/>
            <w:tcBorders>
              <w:top w:val="nil"/>
              <w:left w:val="nil"/>
              <w:bottom w:val="single" w:sz="4" w:space="0" w:color="auto"/>
              <w:right w:val="nil"/>
            </w:tcBorders>
            <w:shd w:val="clear" w:color="000000" w:fill="FFFFFF"/>
            <w:noWrap/>
            <w:hideMark/>
          </w:tcPr>
          <w:p w:rsidR="000D24A4" w:rsidP="00F2512B" w14:paraId="5182B450" w14:textId="77777777">
            <w:pPr>
              <w:spacing w:after="80"/>
              <w:jc w:val="center"/>
              <w:rPr>
                <w:color w:val="000000"/>
                <w:sz w:val="16"/>
                <w:szCs w:val="16"/>
              </w:rPr>
            </w:pPr>
            <w:r>
              <w:rPr>
                <w:color w:val="000000"/>
                <w:sz w:val="16"/>
                <w:szCs w:val="16"/>
              </w:rPr>
              <w:t>None</w:t>
            </w:r>
          </w:p>
        </w:tc>
        <w:tc>
          <w:tcPr>
            <w:tcW w:w="640" w:type="dxa"/>
            <w:tcBorders>
              <w:top w:val="nil"/>
              <w:left w:val="nil"/>
              <w:bottom w:val="single" w:sz="4" w:space="0" w:color="auto"/>
              <w:right w:val="nil"/>
            </w:tcBorders>
            <w:shd w:val="clear" w:color="000000" w:fill="FFFFFF"/>
            <w:noWrap/>
            <w:hideMark/>
          </w:tcPr>
          <w:p w:rsidR="000D24A4" w:rsidP="00F2512B" w14:paraId="1E4C495D" w14:textId="77777777">
            <w:pPr>
              <w:spacing w:after="80"/>
              <w:jc w:val="center"/>
              <w:rPr>
                <w:color w:val="000000"/>
                <w:sz w:val="16"/>
                <w:szCs w:val="16"/>
              </w:rPr>
            </w:pPr>
            <w:r>
              <w:rPr>
                <w:color w:val="000000"/>
                <w:sz w:val="16"/>
                <w:szCs w:val="16"/>
              </w:rPr>
              <w:t>&lt; 100</w:t>
            </w:r>
          </w:p>
        </w:tc>
        <w:tc>
          <w:tcPr>
            <w:tcW w:w="640" w:type="dxa"/>
            <w:tcBorders>
              <w:top w:val="nil"/>
              <w:left w:val="nil"/>
              <w:bottom w:val="single" w:sz="4" w:space="0" w:color="auto"/>
              <w:right w:val="nil"/>
            </w:tcBorders>
            <w:shd w:val="clear" w:color="000000" w:fill="FFFFFF"/>
            <w:noWrap/>
            <w:hideMark/>
          </w:tcPr>
          <w:p w:rsidR="000D24A4" w:rsidP="00F2512B" w14:paraId="6FA748A1" w14:textId="77777777">
            <w:pPr>
              <w:spacing w:after="80"/>
              <w:jc w:val="center"/>
              <w:rPr>
                <w:color w:val="000000"/>
                <w:sz w:val="16"/>
                <w:szCs w:val="16"/>
              </w:rPr>
            </w:pPr>
            <w:r>
              <w:rPr>
                <w:color w:val="000000"/>
                <w:sz w:val="16"/>
                <w:szCs w:val="16"/>
              </w:rPr>
              <w:t>&lt; 50</w:t>
            </w:r>
          </w:p>
        </w:tc>
        <w:tc>
          <w:tcPr>
            <w:tcW w:w="640" w:type="dxa"/>
            <w:tcBorders>
              <w:top w:val="nil"/>
              <w:left w:val="nil"/>
              <w:bottom w:val="single" w:sz="4" w:space="0" w:color="auto"/>
              <w:right w:val="nil"/>
            </w:tcBorders>
            <w:shd w:val="clear" w:color="000000" w:fill="FFFFFF"/>
            <w:noWrap/>
            <w:hideMark/>
          </w:tcPr>
          <w:p w:rsidR="000D24A4" w:rsidP="00F2512B" w14:paraId="7F9A2C24" w14:textId="77777777">
            <w:pPr>
              <w:spacing w:after="80"/>
              <w:jc w:val="center"/>
              <w:rPr>
                <w:color w:val="000000"/>
                <w:sz w:val="16"/>
                <w:szCs w:val="16"/>
              </w:rPr>
            </w:pPr>
            <w:r>
              <w:rPr>
                <w:color w:val="000000"/>
                <w:sz w:val="16"/>
                <w:szCs w:val="16"/>
              </w:rPr>
              <w:t>&lt; 20</w:t>
            </w:r>
          </w:p>
        </w:tc>
        <w:tc>
          <w:tcPr>
            <w:tcW w:w="640" w:type="dxa"/>
            <w:tcBorders>
              <w:top w:val="nil"/>
              <w:left w:val="nil"/>
              <w:bottom w:val="single" w:sz="4" w:space="0" w:color="auto"/>
              <w:right w:val="nil"/>
            </w:tcBorders>
            <w:shd w:val="clear" w:color="000000" w:fill="FFFFFF"/>
            <w:noWrap/>
            <w:hideMark/>
          </w:tcPr>
          <w:p w:rsidR="000D24A4" w:rsidP="00F2512B" w14:paraId="589C5165" w14:textId="77777777">
            <w:pPr>
              <w:spacing w:after="80"/>
              <w:jc w:val="center"/>
              <w:rPr>
                <w:color w:val="000000"/>
                <w:sz w:val="16"/>
                <w:szCs w:val="16"/>
              </w:rPr>
            </w:pPr>
            <w:r>
              <w:rPr>
                <w:color w:val="000000"/>
                <w:sz w:val="16"/>
                <w:szCs w:val="16"/>
              </w:rPr>
              <w:t>None</w:t>
            </w:r>
          </w:p>
        </w:tc>
        <w:tc>
          <w:tcPr>
            <w:tcW w:w="640" w:type="dxa"/>
            <w:tcBorders>
              <w:top w:val="nil"/>
              <w:left w:val="nil"/>
              <w:bottom w:val="single" w:sz="4" w:space="0" w:color="auto"/>
              <w:right w:val="nil"/>
            </w:tcBorders>
            <w:shd w:val="clear" w:color="000000" w:fill="FFFFFF"/>
            <w:noWrap/>
            <w:hideMark/>
          </w:tcPr>
          <w:p w:rsidR="000D24A4" w:rsidP="00F2512B" w14:paraId="7FEB7451" w14:textId="77777777">
            <w:pPr>
              <w:spacing w:after="80"/>
              <w:jc w:val="center"/>
              <w:rPr>
                <w:color w:val="000000"/>
                <w:sz w:val="16"/>
                <w:szCs w:val="16"/>
              </w:rPr>
            </w:pPr>
            <w:r>
              <w:rPr>
                <w:color w:val="000000"/>
                <w:sz w:val="16"/>
                <w:szCs w:val="16"/>
              </w:rPr>
              <w:t>&lt; 100</w:t>
            </w:r>
          </w:p>
        </w:tc>
        <w:tc>
          <w:tcPr>
            <w:tcW w:w="640" w:type="dxa"/>
            <w:tcBorders>
              <w:top w:val="nil"/>
              <w:left w:val="nil"/>
              <w:bottom w:val="single" w:sz="4" w:space="0" w:color="auto"/>
              <w:right w:val="nil"/>
            </w:tcBorders>
            <w:shd w:val="clear" w:color="000000" w:fill="FFFFFF"/>
            <w:noWrap/>
            <w:hideMark/>
          </w:tcPr>
          <w:p w:rsidR="000D24A4" w:rsidP="00F2512B" w14:paraId="06DA4576" w14:textId="77777777">
            <w:pPr>
              <w:spacing w:after="80"/>
              <w:jc w:val="center"/>
              <w:rPr>
                <w:color w:val="000000"/>
                <w:sz w:val="16"/>
                <w:szCs w:val="16"/>
              </w:rPr>
            </w:pPr>
            <w:r>
              <w:rPr>
                <w:color w:val="000000"/>
                <w:sz w:val="16"/>
                <w:szCs w:val="16"/>
              </w:rPr>
              <w:t>&lt; 50</w:t>
            </w:r>
          </w:p>
        </w:tc>
        <w:tc>
          <w:tcPr>
            <w:tcW w:w="640" w:type="dxa"/>
            <w:tcBorders>
              <w:top w:val="nil"/>
              <w:left w:val="nil"/>
              <w:bottom w:val="single" w:sz="4" w:space="0" w:color="auto"/>
              <w:right w:val="nil"/>
            </w:tcBorders>
            <w:shd w:val="clear" w:color="000000" w:fill="FFFFFF"/>
            <w:noWrap/>
            <w:hideMark/>
          </w:tcPr>
          <w:p w:rsidR="000D24A4" w:rsidP="00F2512B" w14:paraId="7EA7610F" w14:textId="77777777">
            <w:pPr>
              <w:spacing w:after="80"/>
              <w:jc w:val="center"/>
              <w:rPr>
                <w:color w:val="000000"/>
                <w:sz w:val="16"/>
                <w:szCs w:val="16"/>
              </w:rPr>
            </w:pPr>
            <w:r>
              <w:rPr>
                <w:color w:val="000000"/>
                <w:sz w:val="16"/>
                <w:szCs w:val="16"/>
              </w:rPr>
              <w:t>&lt; 20</w:t>
            </w:r>
          </w:p>
        </w:tc>
        <w:tc>
          <w:tcPr>
            <w:tcW w:w="640" w:type="dxa"/>
            <w:tcBorders>
              <w:top w:val="nil"/>
              <w:left w:val="nil"/>
              <w:bottom w:val="single" w:sz="4" w:space="0" w:color="auto"/>
              <w:right w:val="nil"/>
            </w:tcBorders>
            <w:shd w:val="clear" w:color="000000" w:fill="FFFFFF"/>
            <w:noWrap/>
            <w:hideMark/>
          </w:tcPr>
          <w:p w:rsidR="000D24A4" w:rsidP="00F2512B" w14:paraId="76436831" w14:textId="77777777">
            <w:pPr>
              <w:spacing w:after="80"/>
              <w:jc w:val="center"/>
              <w:rPr>
                <w:color w:val="000000"/>
                <w:sz w:val="16"/>
                <w:szCs w:val="16"/>
              </w:rPr>
            </w:pPr>
            <w:r>
              <w:rPr>
                <w:color w:val="000000"/>
                <w:sz w:val="16"/>
                <w:szCs w:val="16"/>
              </w:rPr>
              <w:t>None</w:t>
            </w:r>
          </w:p>
        </w:tc>
        <w:tc>
          <w:tcPr>
            <w:tcW w:w="640" w:type="dxa"/>
            <w:tcBorders>
              <w:top w:val="nil"/>
              <w:left w:val="nil"/>
              <w:bottom w:val="single" w:sz="4" w:space="0" w:color="auto"/>
              <w:right w:val="nil"/>
            </w:tcBorders>
            <w:shd w:val="clear" w:color="000000" w:fill="FFFFFF"/>
            <w:noWrap/>
            <w:hideMark/>
          </w:tcPr>
          <w:p w:rsidR="000D24A4" w:rsidP="00F2512B" w14:paraId="130127CC" w14:textId="77777777">
            <w:pPr>
              <w:spacing w:after="80"/>
              <w:jc w:val="center"/>
              <w:rPr>
                <w:color w:val="000000"/>
                <w:sz w:val="16"/>
                <w:szCs w:val="16"/>
              </w:rPr>
            </w:pPr>
            <w:r>
              <w:rPr>
                <w:color w:val="000000"/>
                <w:sz w:val="16"/>
                <w:szCs w:val="16"/>
              </w:rPr>
              <w:t>&lt; 100</w:t>
            </w:r>
          </w:p>
        </w:tc>
        <w:tc>
          <w:tcPr>
            <w:tcW w:w="640" w:type="dxa"/>
            <w:tcBorders>
              <w:top w:val="nil"/>
              <w:left w:val="nil"/>
              <w:bottom w:val="single" w:sz="4" w:space="0" w:color="auto"/>
              <w:right w:val="nil"/>
            </w:tcBorders>
            <w:shd w:val="clear" w:color="000000" w:fill="FFFFFF"/>
            <w:noWrap/>
            <w:hideMark/>
          </w:tcPr>
          <w:p w:rsidR="000D24A4" w:rsidP="00F2512B" w14:paraId="2E608AA9" w14:textId="77777777">
            <w:pPr>
              <w:spacing w:after="80"/>
              <w:jc w:val="center"/>
              <w:rPr>
                <w:color w:val="000000"/>
                <w:sz w:val="16"/>
                <w:szCs w:val="16"/>
              </w:rPr>
            </w:pPr>
            <w:r>
              <w:rPr>
                <w:color w:val="000000"/>
                <w:sz w:val="16"/>
                <w:szCs w:val="16"/>
              </w:rPr>
              <w:t>&lt; 50</w:t>
            </w:r>
          </w:p>
        </w:tc>
        <w:tc>
          <w:tcPr>
            <w:tcW w:w="640" w:type="dxa"/>
            <w:tcBorders>
              <w:top w:val="nil"/>
              <w:left w:val="nil"/>
              <w:bottom w:val="single" w:sz="4" w:space="0" w:color="auto"/>
              <w:right w:val="nil"/>
            </w:tcBorders>
            <w:shd w:val="clear" w:color="000000" w:fill="FFFFFF"/>
            <w:noWrap/>
            <w:hideMark/>
          </w:tcPr>
          <w:p w:rsidR="000D24A4" w:rsidP="00F2512B" w14:paraId="48B44F29" w14:textId="77777777">
            <w:pPr>
              <w:spacing w:after="80"/>
              <w:jc w:val="center"/>
              <w:rPr>
                <w:color w:val="000000"/>
                <w:sz w:val="16"/>
                <w:szCs w:val="16"/>
              </w:rPr>
            </w:pPr>
            <w:r>
              <w:rPr>
                <w:color w:val="000000"/>
                <w:sz w:val="16"/>
                <w:szCs w:val="16"/>
              </w:rPr>
              <w:t>&lt; 20</w:t>
            </w:r>
          </w:p>
        </w:tc>
      </w:tr>
      <w:tr w14:paraId="0D611C6C" w14:textId="77777777" w:rsidTr="00F2512B">
        <w:tblPrEx>
          <w:tblW w:w="10080" w:type="dxa"/>
          <w:tblInd w:w="-360" w:type="dxa"/>
          <w:tblLook w:val="04A0"/>
        </w:tblPrEx>
        <w:trPr>
          <w:cantSplit/>
        </w:trPr>
        <w:tc>
          <w:tcPr>
            <w:tcW w:w="2260" w:type="dxa"/>
            <w:tcBorders>
              <w:top w:val="nil"/>
              <w:left w:val="nil"/>
              <w:bottom w:val="nil"/>
              <w:right w:val="nil"/>
            </w:tcBorders>
            <w:shd w:val="clear" w:color="000000" w:fill="FFFFFF"/>
            <w:hideMark/>
          </w:tcPr>
          <w:p w:rsidR="000D24A4" w:rsidP="00F2512B" w14:paraId="6563A517" w14:textId="6ED5C1AF">
            <w:pPr>
              <w:spacing w:after="80"/>
              <w:rPr>
                <w:color w:val="000000"/>
                <w:sz w:val="16"/>
                <w:szCs w:val="16"/>
              </w:rPr>
            </w:pPr>
            <w:r>
              <w:rPr>
                <w:color w:val="000000"/>
                <w:sz w:val="16"/>
                <w:szCs w:val="16"/>
              </w:rPr>
              <w:t>Service Area per Site</w:t>
            </w:r>
            <w:r>
              <w:rPr>
                <w:color w:val="000000"/>
                <w:sz w:val="16"/>
                <w:szCs w:val="16"/>
              </w:rPr>
              <w:br/>
              <w:t>(Sq. Miles)</w:t>
            </w:r>
          </w:p>
        </w:tc>
        <w:tc>
          <w:tcPr>
            <w:tcW w:w="640" w:type="dxa"/>
            <w:tcBorders>
              <w:top w:val="nil"/>
              <w:left w:val="nil"/>
              <w:bottom w:val="nil"/>
              <w:right w:val="nil"/>
            </w:tcBorders>
            <w:shd w:val="clear" w:color="000000" w:fill="FFFFFF"/>
            <w:noWrap/>
            <w:hideMark/>
          </w:tcPr>
          <w:p w:rsidR="000D24A4" w:rsidP="00F2512B" w14:paraId="3AC15792" w14:textId="77777777">
            <w:pPr>
              <w:spacing w:after="80"/>
              <w:jc w:val="center"/>
              <w:rPr>
                <w:color w:val="000000"/>
                <w:sz w:val="16"/>
                <w:szCs w:val="16"/>
              </w:rPr>
            </w:pPr>
            <w:r>
              <w:rPr>
                <w:color w:val="000000"/>
                <w:sz w:val="16"/>
                <w:szCs w:val="16"/>
              </w:rPr>
              <w:t>109</w:t>
            </w:r>
          </w:p>
        </w:tc>
        <w:tc>
          <w:tcPr>
            <w:tcW w:w="640" w:type="dxa"/>
            <w:tcBorders>
              <w:top w:val="nil"/>
              <w:left w:val="nil"/>
              <w:bottom w:val="nil"/>
              <w:right w:val="nil"/>
            </w:tcBorders>
            <w:shd w:val="clear" w:color="000000" w:fill="FFFFFF"/>
            <w:noWrap/>
            <w:hideMark/>
          </w:tcPr>
          <w:p w:rsidR="000D24A4" w:rsidP="00F2512B" w14:paraId="26494B51" w14:textId="77777777">
            <w:pPr>
              <w:spacing w:after="80"/>
              <w:jc w:val="center"/>
              <w:rPr>
                <w:color w:val="000000"/>
                <w:sz w:val="16"/>
                <w:szCs w:val="16"/>
              </w:rPr>
            </w:pPr>
            <w:r>
              <w:rPr>
                <w:color w:val="000000"/>
                <w:sz w:val="16"/>
                <w:szCs w:val="16"/>
              </w:rPr>
              <w:t>161</w:t>
            </w:r>
          </w:p>
        </w:tc>
        <w:tc>
          <w:tcPr>
            <w:tcW w:w="640" w:type="dxa"/>
            <w:tcBorders>
              <w:top w:val="nil"/>
              <w:left w:val="nil"/>
              <w:bottom w:val="nil"/>
              <w:right w:val="nil"/>
            </w:tcBorders>
            <w:shd w:val="clear" w:color="000000" w:fill="FFFFFF"/>
            <w:noWrap/>
            <w:hideMark/>
          </w:tcPr>
          <w:p w:rsidR="000D24A4" w:rsidP="00F2512B" w14:paraId="64DB1CA5" w14:textId="77777777">
            <w:pPr>
              <w:spacing w:after="80"/>
              <w:jc w:val="center"/>
              <w:rPr>
                <w:color w:val="000000"/>
                <w:sz w:val="16"/>
                <w:szCs w:val="16"/>
              </w:rPr>
            </w:pPr>
            <w:r>
              <w:rPr>
                <w:color w:val="000000"/>
                <w:sz w:val="16"/>
                <w:szCs w:val="16"/>
              </w:rPr>
              <w:t>206</w:t>
            </w:r>
          </w:p>
        </w:tc>
        <w:tc>
          <w:tcPr>
            <w:tcW w:w="640" w:type="dxa"/>
            <w:tcBorders>
              <w:top w:val="nil"/>
              <w:left w:val="nil"/>
              <w:bottom w:val="nil"/>
              <w:right w:val="nil"/>
            </w:tcBorders>
            <w:shd w:val="clear" w:color="000000" w:fill="FFFFFF"/>
            <w:noWrap/>
            <w:hideMark/>
          </w:tcPr>
          <w:p w:rsidR="000D24A4" w:rsidP="00F2512B" w14:paraId="44E6C4F3" w14:textId="77777777">
            <w:pPr>
              <w:spacing w:after="80"/>
              <w:jc w:val="center"/>
              <w:rPr>
                <w:color w:val="000000"/>
                <w:sz w:val="16"/>
                <w:szCs w:val="16"/>
              </w:rPr>
            </w:pPr>
            <w:r>
              <w:rPr>
                <w:color w:val="000000"/>
                <w:sz w:val="16"/>
                <w:szCs w:val="16"/>
              </w:rPr>
              <w:t>337</w:t>
            </w:r>
          </w:p>
        </w:tc>
        <w:tc>
          <w:tcPr>
            <w:tcW w:w="640" w:type="dxa"/>
            <w:tcBorders>
              <w:top w:val="nil"/>
              <w:left w:val="nil"/>
              <w:bottom w:val="nil"/>
              <w:right w:val="nil"/>
            </w:tcBorders>
            <w:shd w:val="clear" w:color="000000" w:fill="FFFFFF"/>
            <w:noWrap/>
            <w:hideMark/>
          </w:tcPr>
          <w:p w:rsidR="000D24A4" w:rsidP="00F2512B" w14:paraId="641E8467" w14:textId="77777777">
            <w:pPr>
              <w:spacing w:after="80"/>
              <w:jc w:val="center"/>
              <w:rPr>
                <w:color w:val="000000"/>
                <w:sz w:val="16"/>
                <w:szCs w:val="16"/>
              </w:rPr>
            </w:pPr>
            <w:r>
              <w:rPr>
                <w:color w:val="000000"/>
                <w:sz w:val="16"/>
                <w:szCs w:val="16"/>
              </w:rPr>
              <w:t>132</w:t>
            </w:r>
          </w:p>
        </w:tc>
        <w:tc>
          <w:tcPr>
            <w:tcW w:w="640" w:type="dxa"/>
            <w:tcBorders>
              <w:top w:val="nil"/>
              <w:left w:val="nil"/>
              <w:bottom w:val="nil"/>
              <w:right w:val="nil"/>
            </w:tcBorders>
            <w:shd w:val="clear" w:color="000000" w:fill="FFFFFF"/>
            <w:noWrap/>
            <w:hideMark/>
          </w:tcPr>
          <w:p w:rsidR="000D24A4" w:rsidP="00F2512B" w14:paraId="01CA535D" w14:textId="77777777">
            <w:pPr>
              <w:spacing w:after="80"/>
              <w:jc w:val="center"/>
              <w:rPr>
                <w:color w:val="000000"/>
                <w:sz w:val="16"/>
                <w:szCs w:val="16"/>
              </w:rPr>
            </w:pPr>
            <w:r>
              <w:rPr>
                <w:color w:val="000000"/>
                <w:sz w:val="16"/>
                <w:szCs w:val="16"/>
              </w:rPr>
              <w:t>180</w:t>
            </w:r>
          </w:p>
        </w:tc>
        <w:tc>
          <w:tcPr>
            <w:tcW w:w="640" w:type="dxa"/>
            <w:tcBorders>
              <w:top w:val="nil"/>
              <w:left w:val="nil"/>
              <w:bottom w:val="nil"/>
              <w:right w:val="nil"/>
            </w:tcBorders>
            <w:shd w:val="clear" w:color="000000" w:fill="FFFFFF"/>
            <w:noWrap/>
            <w:hideMark/>
          </w:tcPr>
          <w:p w:rsidR="000D24A4" w:rsidP="00F2512B" w14:paraId="49ECD87F" w14:textId="77777777">
            <w:pPr>
              <w:spacing w:after="80"/>
              <w:jc w:val="center"/>
              <w:rPr>
                <w:color w:val="000000"/>
                <w:sz w:val="16"/>
                <w:szCs w:val="16"/>
              </w:rPr>
            </w:pPr>
            <w:r>
              <w:rPr>
                <w:color w:val="000000"/>
                <w:sz w:val="16"/>
                <w:szCs w:val="16"/>
              </w:rPr>
              <w:t>250</w:t>
            </w:r>
          </w:p>
        </w:tc>
        <w:tc>
          <w:tcPr>
            <w:tcW w:w="640" w:type="dxa"/>
            <w:tcBorders>
              <w:top w:val="nil"/>
              <w:left w:val="nil"/>
              <w:bottom w:val="nil"/>
              <w:right w:val="nil"/>
            </w:tcBorders>
            <w:shd w:val="clear" w:color="000000" w:fill="FFFFFF"/>
            <w:noWrap/>
            <w:hideMark/>
          </w:tcPr>
          <w:p w:rsidR="000D24A4" w:rsidP="00F2512B" w14:paraId="1E3A6572" w14:textId="77777777">
            <w:pPr>
              <w:spacing w:after="80"/>
              <w:jc w:val="center"/>
              <w:rPr>
                <w:color w:val="000000"/>
                <w:sz w:val="16"/>
                <w:szCs w:val="16"/>
              </w:rPr>
            </w:pPr>
            <w:r>
              <w:rPr>
                <w:color w:val="000000"/>
                <w:sz w:val="16"/>
                <w:szCs w:val="16"/>
              </w:rPr>
              <w:t>380</w:t>
            </w:r>
          </w:p>
        </w:tc>
        <w:tc>
          <w:tcPr>
            <w:tcW w:w="640" w:type="dxa"/>
            <w:tcBorders>
              <w:top w:val="nil"/>
              <w:left w:val="nil"/>
              <w:bottom w:val="nil"/>
              <w:right w:val="nil"/>
            </w:tcBorders>
            <w:shd w:val="clear" w:color="000000" w:fill="FFFFFF"/>
            <w:noWrap/>
            <w:hideMark/>
          </w:tcPr>
          <w:p w:rsidR="000D24A4" w:rsidP="00F2512B" w14:paraId="415280B5" w14:textId="77777777">
            <w:pPr>
              <w:spacing w:after="80"/>
              <w:jc w:val="center"/>
              <w:rPr>
                <w:color w:val="000000"/>
                <w:sz w:val="16"/>
                <w:szCs w:val="16"/>
              </w:rPr>
            </w:pPr>
            <w:r>
              <w:rPr>
                <w:color w:val="000000"/>
                <w:sz w:val="16"/>
                <w:szCs w:val="16"/>
              </w:rPr>
              <w:t>148</w:t>
            </w:r>
          </w:p>
        </w:tc>
        <w:tc>
          <w:tcPr>
            <w:tcW w:w="640" w:type="dxa"/>
            <w:tcBorders>
              <w:top w:val="nil"/>
              <w:left w:val="nil"/>
              <w:bottom w:val="nil"/>
              <w:right w:val="nil"/>
            </w:tcBorders>
            <w:shd w:val="clear" w:color="000000" w:fill="FFFFFF"/>
            <w:noWrap/>
            <w:hideMark/>
          </w:tcPr>
          <w:p w:rsidR="000D24A4" w:rsidP="00F2512B" w14:paraId="152085BC" w14:textId="77777777">
            <w:pPr>
              <w:spacing w:after="80"/>
              <w:jc w:val="center"/>
              <w:rPr>
                <w:color w:val="000000"/>
                <w:sz w:val="16"/>
                <w:szCs w:val="16"/>
              </w:rPr>
            </w:pPr>
            <w:r>
              <w:rPr>
                <w:color w:val="000000"/>
                <w:sz w:val="16"/>
                <w:szCs w:val="16"/>
              </w:rPr>
              <w:t>156</w:t>
            </w:r>
          </w:p>
        </w:tc>
        <w:tc>
          <w:tcPr>
            <w:tcW w:w="640" w:type="dxa"/>
            <w:tcBorders>
              <w:top w:val="nil"/>
              <w:left w:val="nil"/>
              <w:bottom w:val="nil"/>
              <w:right w:val="nil"/>
            </w:tcBorders>
            <w:shd w:val="clear" w:color="000000" w:fill="FFFFFF"/>
            <w:noWrap/>
            <w:hideMark/>
          </w:tcPr>
          <w:p w:rsidR="000D24A4" w:rsidP="00F2512B" w14:paraId="1BB738F1" w14:textId="77777777">
            <w:pPr>
              <w:spacing w:after="80"/>
              <w:jc w:val="center"/>
              <w:rPr>
                <w:color w:val="000000"/>
                <w:sz w:val="16"/>
                <w:szCs w:val="16"/>
              </w:rPr>
            </w:pPr>
            <w:r>
              <w:rPr>
                <w:color w:val="000000"/>
                <w:sz w:val="16"/>
                <w:szCs w:val="16"/>
              </w:rPr>
              <w:t>167</w:t>
            </w:r>
          </w:p>
        </w:tc>
        <w:tc>
          <w:tcPr>
            <w:tcW w:w="640" w:type="dxa"/>
            <w:tcBorders>
              <w:top w:val="nil"/>
              <w:left w:val="nil"/>
              <w:bottom w:val="nil"/>
              <w:right w:val="nil"/>
            </w:tcBorders>
            <w:shd w:val="clear" w:color="000000" w:fill="FFFFFF"/>
            <w:noWrap/>
            <w:hideMark/>
          </w:tcPr>
          <w:p w:rsidR="000D24A4" w:rsidP="00F2512B" w14:paraId="5F103F81" w14:textId="77777777">
            <w:pPr>
              <w:spacing w:after="80"/>
              <w:jc w:val="center"/>
              <w:rPr>
                <w:color w:val="000000"/>
                <w:sz w:val="16"/>
                <w:szCs w:val="16"/>
              </w:rPr>
            </w:pPr>
            <w:r>
              <w:rPr>
                <w:color w:val="000000"/>
                <w:sz w:val="16"/>
                <w:szCs w:val="16"/>
              </w:rPr>
              <w:t>209</w:t>
            </w:r>
          </w:p>
        </w:tc>
      </w:tr>
      <w:tr w14:paraId="2AEE98F6" w14:textId="77777777" w:rsidTr="00F2512B">
        <w:tblPrEx>
          <w:tblW w:w="10080" w:type="dxa"/>
          <w:tblInd w:w="-360" w:type="dxa"/>
          <w:tblLook w:val="04A0"/>
        </w:tblPrEx>
        <w:trPr>
          <w:cantSplit/>
        </w:trPr>
        <w:tc>
          <w:tcPr>
            <w:tcW w:w="2260" w:type="dxa"/>
            <w:tcBorders>
              <w:top w:val="nil"/>
              <w:left w:val="nil"/>
              <w:bottom w:val="nil"/>
              <w:right w:val="nil"/>
            </w:tcBorders>
            <w:shd w:val="clear" w:color="000000" w:fill="FFFFFF"/>
            <w:hideMark/>
          </w:tcPr>
          <w:p w:rsidR="000D24A4" w:rsidP="00F2512B" w14:paraId="618C0591" w14:textId="17AE868E">
            <w:pPr>
              <w:spacing w:after="80"/>
              <w:rPr>
                <w:color w:val="000000"/>
                <w:sz w:val="16"/>
                <w:szCs w:val="16"/>
              </w:rPr>
            </w:pPr>
            <w:r>
              <w:rPr>
                <w:color w:val="000000"/>
                <w:sz w:val="16"/>
                <w:szCs w:val="16"/>
              </w:rPr>
              <w:t>Terrain Roughness</w:t>
            </w:r>
            <w:r>
              <w:rPr>
                <w:color w:val="000000"/>
                <w:sz w:val="16"/>
                <w:szCs w:val="16"/>
              </w:rPr>
              <w:br/>
              <w:t>(Std. deviation of elevation)</w:t>
            </w:r>
          </w:p>
        </w:tc>
        <w:tc>
          <w:tcPr>
            <w:tcW w:w="640" w:type="dxa"/>
            <w:tcBorders>
              <w:top w:val="nil"/>
              <w:left w:val="nil"/>
              <w:bottom w:val="nil"/>
              <w:right w:val="nil"/>
            </w:tcBorders>
            <w:shd w:val="clear" w:color="000000" w:fill="FFFFFF"/>
            <w:noWrap/>
            <w:hideMark/>
          </w:tcPr>
          <w:p w:rsidR="000D24A4" w:rsidP="00F2512B" w14:paraId="53BE7D91" w14:textId="77777777">
            <w:pPr>
              <w:spacing w:after="80"/>
              <w:jc w:val="center"/>
              <w:rPr>
                <w:color w:val="000000"/>
                <w:sz w:val="16"/>
                <w:szCs w:val="16"/>
              </w:rPr>
            </w:pPr>
            <w:r>
              <w:rPr>
                <w:color w:val="000000"/>
                <w:sz w:val="16"/>
                <w:szCs w:val="16"/>
              </w:rPr>
              <w:t>12</w:t>
            </w:r>
          </w:p>
        </w:tc>
        <w:tc>
          <w:tcPr>
            <w:tcW w:w="640" w:type="dxa"/>
            <w:tcBorders>
              <w:top w:val="nil"/>
              <w:left w:val="nil"/>
              <w:bottom w:val="nil"/>
              <w:right w:val="nil"/>
            </w:tcBorders>
            <w:shd w:val="clear" w:color="000000" w:fill="FFFFFF"/>
            <w:noWrap/>
            <w:hideMark/>
          </w:tcPr>
          <w:p w:rsidR="000D24A4" w:rsidP="00F2512B" w14:paraId="4DE4011C" w14:textId="77777777">
            <w:pPr>
              <w:spacing w:after="80"/>
              <w:jc w:val="center"/>
              <w:rPr>
                <w:color w:val="000000"/>
                <w:sz w:val="16"/>
                <w:szCs w:val="16"/>
              </w:rPr>
            </w:pPr>
            <w:r>
              <w:rPr>
                <w:color w:val="000000"/>
                <w:sz w:val="16"/>
                <w:szCs w:val="16"/>
              </w:rPr>
              <w:t>11</w:t>
            </w:r>
          </w:p>
        </w:tc>
        <w:tc>
          <w:tcPr>
            <w:tcW w:w="640" w:type="dxa"/>
            <w:tcBorders>
              <w:top w:val="nil"/>
              <w:left w:val="nil"/>
              <w:bottom w:val="nil"/>
              <w:right w:val="nil"/>
            </w:tcBorders>
            <w:shd w:val="clear" w:color="000000" w:fill="FFFFFF"/>
            <w:noWrap/>
            <w:hideMark/>
          </w:tcPr>
          <w:p w:rsidR="000D24A4" w:rsidP="00F2512B" w14:paraId="3F0B7C6B" w14:textId="77777777">
            <w:pPr>
              <w:spacing w:after="80"/>
              <w:jc w:val="center"/>
              <w:rPr>
                <w:color w:val="000000"/>
                <w:sz w:val="16"/>
                <w:szCs w:val="16"/>
              </w:rPr>
            </w:pPr>
            <w:r>
              <w:rPr>
                <w:color w:val="000000"/>
                <w:sz w:val="16"/>
                <w:szCs w:val="16"/>
              </w:rPr>
              <w:t>11</w:t>
            </w:r>
          </w:p>
        </w:tc>
        <w:tc>
          <w:tcPr>
            <w:tcW w:w="640" w:type="dxa"/>
            <w:tcBorders>
              <w:top w:val="nil"/>
              <w:left w:val="nil"/>
              <w:bottom w:val="nil"/>
              <w:right w:val="nil"/>
            </w:tcBorders>
            <w:shd w:val="clear" w:color="000000" w:fill="FFFFFF"/>
            <w:noWrap/>
            <w:hideMark/>
          </w:tcPr>
          <w:p w:rsidR="000D24A4" w:rsidP="00F2512B" w14:paraId="36B0E844" w14:textId="77777777">
            <w:pPr>
              <w:spacing w:after="80"/>
              <w:jc w:val="center"/>
              <w:rPr>
                <w:color w:val="000000"/>
                <w:sz w:val="16"/>
                <w:szCs w:val="16"/>
              </w:rPr>
            </w:pPr>
            <w:r>
              <w:rPr>
                <w:color w:val="000000"/>
                <w:sz w:val="16"/>
                <w:szCs w:val="16"/>
              </w:rPr>
              <w:t>12</w:t>
            </w:r>
          </w:p>
        </w:tc>
        <w:tc>
          <w:tcPr>
            <w:tcW w:w="640" w:type="dxa"/>
            <w:tcBorders>
              <w:top w:val="nil"/>
              <w:left w:val="nil"/>
              <w:bottom w:val="nil"/>
              <w:right w:val="nil"/>
            </w:tcBorders>
            <w:shd w:val="clear" w:color="000000" w:fill="FFFFFF"/>
            <w:noWrap/>
            <w:hideMark/>
          </w:tcPr>
          <w:p w:rsidR="000D24A4" w:rsidP="00F2512B" w14:paraId="3BCB58E9" w14:textId="77777777">
            <w:pPr>
              <w:spacing w:after="80"/>
              <w:jc w:val="center"/>
              <w:rPr>
                <w:color w:val="000000"/>
                <w:sz w:val="16"/>
                <w:szCs w:val="16"/>
              </w:rPr>
            </w:pPr>
            <w:r>
              <w:rPr>
                <w:color w:val="000000"/>
                <w:sz w:val="16"/>
                <w:szCs w:val="16"/>
              </w:rPr>
              <w:t>68</w:t>
            </w:r>
          </w:p>
        </w:tc>
        <w:tc>
          <w:tcPr>
            <w:tcW w:w="640" w:type="dxa"/>
            <w:tcBorders>
              <w:top w:val="nil"/>
              <w:left w:val="nil"/>
              <w:bottom w:val="nil"/>
              <w:right w:val="nil"/>
            </w:tcBorders>
            <w:shd w:val="clear" w:color="000000" w:fill="FFFFFF"/>
            <w:noWrap/>
            <w:hideMark/>
          </w:tcPr>
          <w:p w:rsidR="000D24A4" w:rsidP="00F2512B" w14:paraId="031EC52E" w14:textId="77777777">
            <w:pPr>
              <w:spacing w:after="80"/>
              <w:jc w:val="center"/>
              <w:rPr>
                <w:color w:val="000000"/>
                <w:sz w:val="16"/>
                <w:szCs w:val="16"/>
              </w:rPr>
            </w:pPr>
            <w:r>
              <w:rPr>
                <w:color w:val="000000"/>
                <w:sz w:val="16"/>
                <w:szCs w:val="16"/>
              </w:rPr>
              <w:t>70</w:t>
            </w:r>
          </w:p>
        </w:tc>
        <w:tc>
          <w:tcPr>
            <w:tcW w:w="640" w:type="dxa"/>
            <w:tcBorders>
              <w:top w:val="nil"/>
              <w:left w:val="nil"/>
              <w:bottom w:val="nil"/>
              <w:right w:val="nil"/>
            </w:tcBorders>
            <w:shd w:val="clear" w:color="000000" w:fill="FFFFFF"/>
            <w:noWrap/>
            <w:hideMark/>
          </w:tcPr>
          <w:p w:rsidR="000D24A4" w:rsidP="00F2512B" w14:paraId="4E7F23B7" w14:textId="77777777">
            <w:pPr>
              <w:spacing w:after="80"/>
              <w:jc w:val="center"/>
              <w:rPr>
                <w:color w:val="000000"/>
                <w:sz w:val="16"/>
                <w:szCs w:val="16"/>
              </w:rPr>
            </w:pPr>
            <w:r>
              <w:rPr>
                <w:color w:val="000000"/>
                <w:sz w:val="16"/>
                <w:szCs w:val="16"/>
              </w:rPr>
              <w:t>71</w:t>
            </w:r>
          </w:p>
        </w:tc>
        <w:tc>
          <w:tcPr>
            <w:tcW w:w="640" w:type="dxa"/>
            <w:tcBorders>
              <w:top w:val="nil"/>
              <w:left w:val="nil"/>
              <w:bottom w:val="nil"/>
              <w:right w:val="nil"/>
            </w:tcBorders>
            <w:shd w:val="clear" w:color="000000" w:fill="FFFFFF"/>
            <w:noWrap/>
            <w:hideMark/>
          </w:tcPr>
          <w:p w:rsidR="000D24A4" w:rsidP="00F2512B" w14:paraId="7E8A118D" w14:textId="77777777">
            <w:pPr>
              <w:spacing w:after="80"/>
              <w:jc w:val="center"/>
              <w:rPr>
                <w:color w:val="000000"/>
                <w:sz w:val="16"/>
                <w:szCs w:val="16"/>
              </w:rPr>
            </w:pPr>
            <w:r>
              <w:rPr>
                <w:color w:val="000000"/>
                <w:sz w:val="16"/>
                <w:szCs w:val="16"/>
              </w:rPr>
              <w:t>73</w:t>
            </w:r>
          </w:p>
        </w:tc>
        <w:tc>
          <w:tcPr>
            <w:tcW w:w="640" w:type="dxa"/>
            <w:tcBorders>
              <w:top w:val="nil"/>
              <w:left w:val="nil"/>
              <w:bottom w:val="nil"/>
              <w:right w:val="nil"/>
            </w:tcBorders>
            <w:shd w:val="clear" w:color="000000" w:fill="FFFFFF"/>
            <w:noWrap/>
            <w:hideMark/>
          </w:tcPr>
          <w:p w:rsidR="000D24A4" w:rsidP="00F2512B" w14:paraId="11D0388D" w14:textId="77777777">
            <w:pPr>
              <w:spacing w:after="80"/>
              <w:jc w:val="center"/>
              <w:rPr>
                <w:color w:val="000000"/>
                <w:sz w:val="16"/>
                <w:szCs w:val="16"/>
              </w:rPr>
            </w:pPr>
            <w:r>
              <w:rPr>
                <w:color w:val="000000"/>
                <w:sz w:val="16"/>
                <w:szCs w:val="16"/>
              </w:rPr>
              <w:t>142</w:t>
            </w:r>
          </w:p>
        </w:tc>
        <w:tc>
          <w:tcPr>
            <w:tcW w:w="640" w:type="dxa"/>
            <w:tcBorders>
              <w:top w:val="nil"/>
              <w:left w:val="nil"/>
              <w:bottom w:val="nil"/>
              <w:right w:val="nil"/>
            </w:tcBorders>
            <w:shd w:val="clear" w:color="000000" w:fill="FFFFFF"/>
            <w:noWrap/>
            <w:hideMark/>
          </w:tcPr>
          <w:p w:rsidR="000D24A4" w:rsidP="00F2512B" w14:paraId="7C16231B" w14:textId="77777777">
            <w:pPr>
              <w:spacing w:after="80"/>
              <w:jc w:val="center"/>
              <w:rPr>
                <w:color w:val="000000"/>
                <w:sz w:val="16"/>
                <w:szCs w:val="16"/>
              </w:rPr>
            </w:pPr>
            <w:r>
              <w:rPr>
                <w:color w:val="000000"/>
                <w:sz w:val="16"/>
                <w:szCs w:val="16"/>
              </w:rPr>
              <w:t>143</w:t>
            </w:r>
          </w:p>
        </w:tc>
        <w:tc>
          <w:tcPr>
            <w:tcW w:w="640" w:type="dxa"/>
            <w:tcBorders>
              <w:top w:val="nil"/>
              <w:left w:val="nil"/>
              <w:bottom w:val="nil"/>
              <w:right w:val="nil"/>
            </w:tcBorders>
            <w:shd w:val="clear" w:color="000000" w:fill="FFFFFF"/>
            <w:noWrap/>
            <w:hideMark/>
          </w:tcPr>
          <w:p w:rsidR="000D24A4" w:rsidP="00F2512B" w14:paraId="784DB140" w14:textId="77777777">
            <w:pPr>
              <w:spacing w:after="80"/>
              <w:jc w:val="center"/>
              <w:rPr>
                <w:color w:val="000000"/>
                <w:sz w:val="16"/>
                <w:szCs w:val="16"/>
              </w:rPr>
            </w:pPr>
            <w:r>
              <w:rPr>
                <w:color w:val="000000"/>
                <w:sz w:val="16"/>
                <w:szCs w:val="16"/>
              </w:rPr>
              <w:t>145</w:t>
            </w:r>
          </w:p>
        </w:tc>
        <w:tc>
          <w:tcPr>
            <w:tcW w:w="640" w:type="dxa"/>
            <w:tcBorders>
              <w:top w:val="nil"/>
              <w:left w:val="nil"/>
              <w:bottom w:val="nil"/>
              <w:right w:val="nil"/>
            </w:tcBorders>
            <w:shd w:val="clear" w:color="000000" w:fill="FFFFFF"/>
            <w:noWrap/>
            <w:hideMark/>
          </w:tcPr>
          <w:p w:rsidR="000D24A4" w:rsidP="00F2512B" w14:paraId="5795DA90" w14:textId="77777777">
            <w:pPr>
              <w:spacing w:after="80"/>
              <w:jc w:val="center"/>
              <w:rPr>
                <w:color w:val="000000"/>
                <w:sz w:val="16"/>
                <w:szCs w:val="16"/>
              </w:rPr>
            </w:pPr>
            <w:r>
              <w:rPr>
                <w:color w:val="000000"/>
                <w:sz w:val="16"/>
                <w:szCs w:val="16"/>
              </w:rPr>
              <w:t>144</w:t>
            </w:r>
          </w:p>
        </w:tc>
      </w:tr>
      <w:tr w14:paraId="0D3C070A" w14:textId="77777777" w:rsidTr="00F2512B">
        <w:tblPrEx>
          <w:tblW w:w="10080" w:type="dxa"/>
          <w:tblInd w:w="-360" w:type="dxa"/>
          <w:tblLook w:val="04A0"/>
        </w:tblPrEx>
        <w:trPr>
          <w:cantSplit/>
        </w:trPr>
        <w:tc>
          <w:tcPr>
            <w:tcW w:w="2260" w:type="dxa"/>
            <w:tcBorders>
              <w:top w:val="nil"/>
              <w:left w:val="nil"/>
              <w:bottom w:val="nil"/>
              <w:right w:val="nil"/>
            </w:tcBorders>
            <w:shd w:val="clear" w:color="000000" w:fill="FFFFFF"/>
            <w:hideMark/>
          </w:tcPr>
          <w:p w:rsidR="000D24A4" w:rsidP="00F2512B" w14:paraId="1E6ED642" w14:textId="3F0B40BB">
            <w:pPr>
              <w:spacing w:after="80"/>
              <w:rPr>
                <w:color w:val="000000"/>
                <w:sz w:val="16"/>
                <w:szCs w:val="16"/>
              </w:rPr>
            </w:pPr>
            <w:r>
              <w:rPr>
                <w:color w:val="000000"/>
                <w:sz w:val="16"/>
                <w:szCs w:val="16"/>
              </w:rPr>
              <w:t>Population Density</w:t>
            </w:r>
            <w:r>
              <w:rPr>
                <w:color w:val="000000"/>
                <w:sz w:val="16"/>
                <w:szCs w:val="16"/>
              </w:rPr>
              <w:br/>
              <w:t>(Population per Sq. Mile)</w:t>
            </w:r>
          </w:p>
        </w:tc>
        <w:tc>
          <w:tcPr>
            <w:tcW w:w="640" w:type="dxa"/>
            <w:tcBorders>
              <w:top w:val="nil"/>
              <w:left w:val="nil"/>
              <w:bottom w:val="nil"/>
              <w:right w:val="nil"/>
            </w:tcBorders>
            <w:shd w:val="clear" w:color="000000" w:fill="FFFFFF"/>
            <w:noWrap/>
            <w:hideMark/>
          </w:tcPr>
          <w:p w:rsidR="000D24A4" w:rsidP="00F2512B" w14:paraId="1D1E60FE" w14:textId="77777777">
            <w:pPr>
              <w:spacing w:after="80"/>
              <w:jc w:val="center"/>
              <w:rPr>
                <w:color w:val="000000"/>
                <w:sz w:val="16"/>
                <w:szCs w:val="16"/>
              </w:rPr>
            </w:pPr>
            <w:r>
              <w:rPr>
                <w:color w:val="000000"/>
                <w:sz w:val="16"/>
                <w:szCs w:val="16"/>
              </w:rPr>
              <w:t>387</w:t>
            </w:r>
          </w:p>
        </w:tc>
        <w:tc>
          <w:tcPr>
            <w:tcW w:w="640" w:type="dxa"/>
            <w:tcBorders>
              <w:top w:val="nil"/>
              <w:left w:val="nil"/>
              <w:bottom w:val="nil"/>
              <w:right w:val="nil"/>
            </w:tcBorders>
            <w:shd w:val="clear" w:color="000000" w:fill="FFFFFF"/>
            <w:noWrap/>
            <w:hideMark/>
          </w:tcPr>
          <w:p w:rsidR="000D24A4" w:rsidP="00F2512B" w14:paraId="317BC0E6" w14:textId="77777777">
            <w:pPr>
              <w:spacing w:after="80"/>
              <w:jc w:val="center"/>
              <w:rPr>
                <w:color w:val="000000"/>
                <w:sz w:val="16"/>
                <w:szCs w:val="16"/>
              </w:rPr>
            </w:pPr>
            <w:r>
              <w:rPr>
                <w:color w:val="000000"/>
                <w:sz w:val="16"/>
                <w:szCs w:val="16"/>
              </w:rPr>
              <w:t>40</w:t>
            </w:r>
          </w:p>
        </w:tc>
        <w:tc>
          <w:tcPr>
            <w:tcW w:w="640" w:type="dxa"/>
            <w:tcBorders>
              <w:top w:val="nil"/>
              <w:left w:val="nil"/>
              <w:bottom w:val="nil"/>
              <w:right w:val="nil"/>
            </w:tcBorders>
            <w:shd w:val="clear" w:color="000000" w:fill="FFFFFF"/>
            <w:noWrap/>
            <w:hideMark/>
          </w:tcPr>
          <w:p w:rsidR="000D24A4" w:rsidP="00F2512B" w14:paraId="73A3FC1C" w14:textId="77777777">
            <w:pPr>
              <w:spacing w:after="80"/>
              <w:jc w:val="center"/>
              <w:rPr>
                <w:color w:val="000000"/>
                <w:sz w:val="16"/>
                <w:szCs w:val="16"/>
              </w:rPr>
            </w:pPr>
            <w:r>
              <w:rPr>
                <w:color w:val="000000"/>
                <w:sz w:val="16"/>
                <w:szCs w:val="16"/>
              </w:rPr>
              <w:t>24</w:t>
            </w:r>
          </w:p>
        </w:tc>
        <w:tc>
          <w:tcPr>
            <w:tcW w:w="640" w:type="dxa"/>
            <w:tcBorders>
              <w:top w:val="nil"/>
              <w:left w:val="nil"/>
              <w:bottom w:val="nil"/>
              <w:right w:val="nil"/>
            </w:tcBorders>
            <w:shd w:val="clear" w:color="000000" w:fill="FFFFFF"/>
            <w:noWrap/>
            <w:hideMark/>
          </w:tcPr>
          <w:p w:rsidR="000D24A4" w:rsidP="00F2512B" w14:paraId="750BC617" w14:textId="77777777">
            <w:pPr>
              <w:spacing w:after="80"/>
              <w:jc w:val="center"/>
              <w:rPr>
                <w:color w:val="000000"/>
                <w:sz w:val="16"/>
                <w:szCs w:val="16"/>
              </w:rPr>
            </w:pPr>
            <w:r>
              <w:rPr>
                <w:color w:val="000000"/>
                <w:sz w:val="16"/>
                <w:szCs w:val="16"/>
              </w:rPr>
              <w:t>10</w:t>
            </w:r>
          </w:p>
        </w:tc>
        <w:tc>
          <w:tcPr>
            <w:tcW w:w="640" w:type="dxa"/>
            <w:tcBorders>
              <w:top w:val="nil"/>
              <w:left w:val="nil"/>
              <w:bottom w:val="nil"/>
              <w:right w:val="nil"/>
            </w:tcBorders>
            <w:shd w:val="clear" w:color="000000" w:fill="FFFFFF"/>
            <w:noWrap/>
            <w:hideMark/>
          </w:tcPr>
          <w:p w:rsidR="000D24A4" w:rsidP="00F2512B" w14:paraId="5FBB4D60" w14:textId="77777777">
            <w:pPr>
              <w:spacing w:after="80"/>
              <w:jc w:val="center"/>
              <w:rPr>
                <w:color w:val="000000"/>
                <w:sz w:val="16"/>
                <w:szCs w:val="16"/>
              </w:rPr>
            </w:pPr>
            <w:r>
              <w:rPr>
                <w:color w:val="000000"/>
                <w:sz w:val="16"/>
                <w:szCs w:val="16"/>
              </w:rPr>
              <w:t>157</w:t>
            </w:r>
          </w:p>
        </w:tc>
        <w:tc>
          <w:tcPr>
            <w:tcW w:w="640" w:type="dxa"/>
            <w:tcBorders>
              <w:top w:val="nil"/>
              <w:left w:val="nil"/>
              <w:bottom w:val="nil"/>
              <w:right w:val="nil"/>
            </w:tcBorders>
            <w:shd w:val="clear" w:color="000000" w:fill="FFFFFF"/>
            <w:noWrap/>
            <w:hideMark/>
          </w:tcPr>
          <w:p w:rsidR="000D24A4" w:rsidP="00F2512B" w14:paraId="2F9440CE" w14:textId="77777777">
            <w:pPr>
              <w:spacing w:after="80"/>
              <w:jc w:val="center"/>
              <w:rPr>
                <w:color w:val="000000"/>
                <w:sz w:val="16"/>
                <w:szCs w:val="16"/>
              </w:rPr>
            </w:pPr>
            <w:r>
              <w:rPr>
                <w:color w:val="000000"/>
                <w:sz w:val="16"/>
                <w:szCs w:val="16"/>
              </w:rPr>
              <w:t>38</w:t>
            </w:r>
          </w:p>
        </w:tc>
        <w:tc>
          <w:tcPr>
            <w:tcW w:w="640" w:type="dxa"/>
            <w:tcBorders>
              <w:top w:val="nil"/>
              <w:left w:val="nil"/>
              <w:bottom w:val="nil"/>
              <w:right w:val="nil"/>
            </w:tcBorders>
            <w:shd w:val="clear" w:color="000000" w:fill="FFFFFF"/>
            <w:noWrap/>
            <w:hideMark/>
          </w:tcPr>
          <w:p w:rsidR="000D24A4" w:rsidP="00F2512B" w14:paraId="6586EC03" w14:textId="77777777">
            <w:pPr>
              <w:spacing w:after="80"/>
              <w:jc w:val="center"/>
              <w:rPr>
                <w:color w:val="000000"/>
                <w:sz w:val="16"/>
                <w:szCs w:val="16"/>
              </w:rPr>
            </w:pPr>
            <w:r>
              <w:rPr>
                <w:color w:val="000000"/>
                <w:sz w:val="16"/>
                <w:szCs w:val="16"/>
              </w:rPr>
              <w:t>20</w:t>
            </w:r>
          </w:p>
        </w:tc>
        <w:tc>
          <w:tcPr>
            <w:tcW w:w="640" w:type="dxa"/>
            <w:tcBorders>
              <w:top w:val="nil"/>
              <w:left w:val="nil"/>
              <w:bottom w:val="nil"/>
              <w:right w:val="nil"/>
            </w:tcBorders>
            <w:shd w:val="clear" w:color="000000" w:fill="FFFFFF"/>
            <w:noWrap/>
            <w:hideMark/>
          </w:tcPr>
          <w:p w:rsidR="000D24A4" w:rsidP="00F2512B" w14:paraId="04190C61" w14:textId="77777777">
            <w:pPr>
              <w:spacing w:after="80"/>
              <w:jc w:val="center"/>
              <w:rPr>
                <w:color w:val="000000"/>
                <w:sz w:val="16"/>
                <w:szCs w:val="16"/>
              </w:rPr>
            </w:pPr>
            <w:r>
              <w:rPr>
                <w:color w:val="000000"/>
                <w:sz w:val="16"/>
                <w:szCs w:val="16"/>
              </w:rPr>
              <w:t>7.3</w:t>
            </w:r>
          </w:p>
        </w:tc>
        <w:tc>
          <w:tcPr>
            <w:tcW w:w="640" w:type="dxa"/>
            <w:tcBorders>
              <w:top w:val="nil"/>
              <w:left w:val="nil"/>
              <w:bottom w:val="nil"/>
              <w:right w:val="nil"/>
            </w:tcBorders>
            <w:shd w:val="clear" w:color="000000" w:fill="FFFFFF"/>
            <w:noWrap/>
            <w:hideMark/>
          </w:tcPr>
          <w:p w:rsidR="000D24A4" w:rsidP="00F2512B" w14:paraId="4FFC9E2F" w14:textId="77777777">
            <w:pPr>
              <w:spacing w:after="80"/>
              <w:jc w:val="center"/>
              <w:rPr>
                <w:color w:val="000000"/>
                <w:sz w:val="16"/>
                <w:szCs w:val="16"/>
              </w:rPr>
            </w:pPr>
            <w:r>
              <w:rPr>
                <w:color w:val="000000"/>
                <w:sz w:val="16"/>
                <w:szCs w:val="16"/>
              </w:rPr>
              <w:t>39</w:t>
            </w:r>
          </w:p>
        </w:tc>
        <w:tc>
          <w:tcPr>
            <w:tcW w:w="640" w:type="dxa"/>
            <w:tcBorders>
              <w:top w:val="nil"/>
              <w:left w:val="nil"/>
              <w:bottom w:val="nil"/>
              <w:right w:val="nil"/>
            </w:tcBorders>
            <w:shd w:val="clear" w:color="000000" w:fill="FFFFFF"/>
            <w:noWrap/>
            <w:hideMark/>
          </w:tcPr>
          <w:p w:rsidR="000D24A4" w:rsidP="00F2512B" w14:paraId="294D4CB7" w14:textId="77777777">
            <w:pPr>
              <w:spacing w:after="80"/>
              <w:jc w:val="center"/>
              <w:rPr>
                <w:color w:val="000000"/>
                <w:sz w:val="16"/>
                <w:szCs w:val="16"/>
              </w:rPr>
            </w:pPr>
            <w:r>
              <w:rPr>
                <w:color w:val="000000"/>
                <w:sz w:val="16"/>
                <w:szCs w:val="16"/>
              </w:rPr>
              <w:t>23</w:t>
            </w:r>
          </w:p>
        </w:tc>
        <w:tc>
          <w:tcPr>
            <w:tcW w:w="640" w:type="dxa"/>
            <w:tcBorders>
              <w:top w:val="nil"/>
              <w:left w:val="nil"/>
              <w:bottom w:val="nil"/>
              <w:right w:val="nil"/>
            </w:tcBorders>
            <w:shd w:val="clear" w:color="000000" w:fill="FFFFFF"/>
            <w:noWrap/>
            <w:hideMark/>
          </w:tcPr>
          <w:p w:rsidR="000D24A4" w:rsidP="00F2512B" w14:paraId="1584C194" w14:textId="77777777">
            <w:pPr>
              <w:spacing w:after="80"/>
              <w:jc w:val="center"/>
              <w:rPr>
                <w:color w:val="000000"/>
                <w:sz w:val="16"/>
                <w:szCs w:val="16"/>
              </w:rPr>
            </w:pPr>
            <w:r>
              <w:rPr>
                <w:color w:val="000000"/>
                <w:sz w:val="16"/>
                <w:szCs w:val="16"/>
              </w:rPr>
              <w:t>17</w:t>
            </w:r>
          </w:p>
        </w:tc>
        <w:tc>
          <w:tcPr>
            <w:tcW w:w="640" w:type="dxa"/>
            <w:tcBorders>
              <w:top w:val="nil"/>
              <w:left w:val="nil"/>
              <w:bottom w:val="nil"/>
              <w:right w:val="nil"/>
            </w:tcBorders>
            <w:shd w:val="clear" w:color="000000" w:fill="FFFFFF"/>
            <w:noWrap/>
            <w:hideMark/>
          </w:tcPr>
          <w:p w:rsidR="000D24A4" w:rsidP="00F2512B" w14:paraId="21030DFB" w14:textId="77777777">
            <w:pPr>
              <w:spacing w:after="80"/>
              <w:jc w:val="center"/>
              <w:rPr>
                <w:color w:val="000000"/>
                <w:sz w:val="16"/>
                <w:szCs w:val="16"/>
              </w:rPr>
            </w:pPr>
            <w:r>
              <w:rPr>
                <w:color w:val="000000"/>
                <w:sz w:val="16"/>
                <w:szCs w:val="16"/>
              </w:rPr>
              <w:t>8.8</w:t>
            </w:r>
          </w:p>
        </w:tc>
      </w:tr>
      <w:tr w14:paraId="0E25025D" w14:textId="77777777" w:rsidTr="00F2512B">
        <w:tblPrEx>
          <w:tblW w:w="10080" w:type="dxa"/>
          <w:tblInd w:w="-360" w:type="dxa"/>
          <w:tblLook w:val="04A0"/>
        </w:tblPrEx>
        <w:trPr>
          <w:cantSplit/>
        </w:trPr>
        <w:tc>
          <w:tcPr>
            <w:tcW w:w="2260" w:type="dxa"/>
            <w:tcBorders>
              <w:top w:val="nil"/>
              <w:left w:val="nil"/>
              <w:bottom w:val="nil"/>
              <w:right w:val="nil"/>
            </w:tcBorders>
            <w:shd w:val="clear" w:color="000000" w:fill="FFFFFF"/>
            <w:hideMark/>
          </w:tcPr>
          <w:p w:rsidR="000D24A4" w:rsidP="00F2512B" w14:paraId="52E6CE98" w14:textId="0C4A21DB">
            <w:pPr>
              <w:spacing w:after="80"/>
              <w:rPr>
                <w:color w:val="000000"/>
                <w:sz w:val="16"/>
                <w:szCs w:val="16"/>
              </w:rPr>
            </w:pPr>
            <w:r>
              <w:rPr>
                <w:color w:val="000000"/>
                <w:sz w:val="16"/>
                <w:szCs w:val="16"/>
              </w:rPr>
              <w:t>Road Mile Density</w:t>
            </w:r>
            <w:r>
              <w:rPr>
                <w:color w:val="000000"/>
                <w:sz w:val="16"/>
                <w:szCs w:val="16"/>
              </w:rPr>
              <w:br/>
              <w:t>(Road Miles per Sq. Mile)</w:t>
            </w:r>
          </w:p>
        </w:tc>
        <w:tc>
          <w:tcPr>
            <w:tcW w:w="640" w:type="dxa"/>
            <w:tcBorders>
              <w:top w:val="nil"/>
              <w:left w:val="nil"/>
              <w:bottom w:val="nil"/>
              <w:right w:val="nil"/>
            </w:tcBorders>
            <w:shd w:val="clear" w:color="000000" w:fill="FFFFFF"/>
            <w:noWrap/>
            <w:hideMark/>
          </w:tcPr>
          <w:p w:rsidR="000D24A4" w:rsidP="00F2512B" w14:paraId="7B906D64" w14:textId="77777777">
            <w:pPr>
              <w:spacing w:after="80"/>
              <w:jc w:val="center"/>
              <w:rPr>
                <w:color w:val="000000"/>
                <w:sz w:val="16"/>
                <w:szCs w:val="16"/>
              </w:rPr>
            </w:pPr>
            <w:r>
              <w:rPr>
                <w:color w:val="000000"/>
                <w:sz w:val="16"/>
                <w:szCs w:val="16"/>
              </w:rPr>
              <w:t>3.5</w:t>
            </w:r>
          </w:p>
        </w:tc>
        <w:tc>
          <w:tcPr>
            <w:tcW w:w="640" w:type="dxa"/>
            <w:tcBorders>
              <w:top w:val="nil"/>
              <w:left w:val="nil"/>
              <w:bottom w:val="nil"/>
              <w:right w:val="nil"/>
            </w:tcBorders>
            <w:shd w:val="clear" w:color="000000" w:fill="FFFFFF"/>
            <w:noWrap/>
            <w:hideMark/>
          </w:tcPr>
          <w:p w:rsidR="000D24A4" w:rsidP="00F2512B" w14:paraId="6EC17CCD" w14:textId="77777777">
            <w:pPr>
              <w:spacing w:after="80"/>
              <w:jc w:val="center"/>
              <w:rPr>
                <w:color w:val="000000"/>
                <w:sz w:val="16"/>
                <w:szCs w:val="16"/>
              </w:rPr>
            </w:pPr>
            <w:r>
              <w:rPr>
                <w:color w:val="000000"/>
                <w:sz w:val="16"/>
                <w:szCs w:val="16"/>
              </w:rPr>
              <w:t>2.4</w:t>
            </w:r>
          </w:p>
        </w:tc>
        <w:tc>
          <w:tcPr>
            <w:tcW w:w="640" w:type="dxa"/>
            <w:tcBorders>
              <w:top w:val="nil"/>
              <w:left w:val="nil"/>
              <w:bottom w:val="nil"/>
              <w:right w:val="nil"/>
            </w:tcBorders>
            <w:shd w:val="clear" w:color="000000" w:fill="FFFFFF"/>
            <w:noWrap/>
            <w:hideMark/>
          </w:tcPr>
          <w:p w:rsidR="000D24A4" w:rsidP="00F2512B" w14:paraId="0FDDBED5" w14:textId="77777777">
            <w:pPr>
              <w:spacing w:after="80"/>
              <w:jc w:val="center"/>
              <w:rPr>
                <w:color w:val="000000"/>
                <w:sz w:val="16"/>
                <w:szCs w:val="16"/>
              </w:rPr>
            </w:pPr>
            <w:r>
              <w:rPr>
                <w:color w:val="000000"/>
                <w:sz w:val="16"/>
                <w:szCs w:val="16"/>
              </w:rPr>
              <w:t>2.2</w:t>
            </w:r>
          </w:p>
        </w:tc>
        <w:tc>
          <w:tcPr>
            <w:tcW w:w="640" w:type="dxa"/>
            <w:tcBorders>
              <w:top w:val="nil"/>
              <w:left w:val="nil"/>
              <w:bottom w:val="nil"/>
              <w:right w:val="nil"/>
            </w:tcBorders>
            <w:shd w:val="clear" w:color="000000" w:fill="FFFFFF"/>
            <w:noWrap/>
            <w:hideMark/>
          </w:tcPr>
          <w:p w:rsidR="000D24A4" w:rsidP="00F2512B" w14:paraId="48EEBCAE" w14:textId="77777777">
            <w:pPr>
              <w:spacing w:after="80"/>
              <w:jc w:val="center"/>
              <w:rPr>
                <w:color w:val="000000"/>
                <w:sz w:val="16"/>
                <w:szCs w:val="16"/>
              </w:rPr>
            </w:pPr>
            <w:r>
              <w:rPr>
                <w:color w:val="000000"/>
                <w:sz w:val="16"/>
                <w:szCs w:val="16"/>
              </w:rPr>
              <w:t>1.9</w:t>
            </w:r>
          </w:p>
        </w:tc>
        <w:tc>
          <w:tcPr>
            <w:tcW w:w="640" w:type="dxa"/>
            <w:tcBorders>
              <w:top w:val="nil"/>
              <w:left w:val="nil"/>
              <w:bottom w:val="nil"/>
              <w:right w:val="nil"/>
            </w:tcBorders>
            <w:shd w:val="clear" w:color="000000" w:fill="FFFFFF"/>
            <w:noWrap/>
            <w:hideMark/>
          </w:tcPr>
          <w:p w:rsidR="000D24A4" w:rsidP="00F2512B" w14:paraId="09C94E1C" w14:textId="77777777">
            <w:pPr>
              <w:spacing w:after="80"/>
              <w:jc w:val="center"/>
              <w:rPr>
                <w:color w:val="000000"/>
                <w:sz w:val="16"/>
                <w:szCs w:val="16"/>
              </w:rPr>
            </w:pPr>
            <w:r>
              <w:rPr>
                <w:color w:val="000000"/>
                <w:sz w:val="16"/>
                <w:szCs w:val="16"/>
              </w:rPr>
              <w:t>2.8</w:t>
            </w:r>
          </w:p>
        </w:tc>
        <w:tc>
          <w:tcPr>
            <w:tcW w:w="640" w:type="dxa"/>
            <w:tcBorders>
              <w:top w:val="nil"/>
              <w:left w:val="nil"/>
              <w:bottom w:val="nil"/>
              <w:right w:val="nil"/>
            </w:tcBorders>
            <w:shd w:val="clear" w:color="000000" w:fill="FFFFFF"/>
            <w:noWrap/>
            <w:hideMark/>
          </w:tcPr>
          <w:p w:rsidR="000D24A4" w:rsidP="00F2512B" w14:paraId="0AC6350F" w14:textId="77777777">
            <w:pPr>
              <w:spacing w:after="80"/>
              <w:jc w:val="center"/>
              <w:rPr>
                <w:color w:val="000000"/>
                <w:sz w:val="16"/>
                <w:szCs w:val="16"/>
              </w:rPr>
            </w:pPr>
            <w:r>
              <w:rPr>
                <w:color w:val="000000"/>
                <w:sz w:val="16"/>
                <w:szCs w:val="16"/>
              </w:rPr>
              <w:t>2.2</w:t>
            </w:r>
          </w:p>
        </w:tc>
        <w:tc>
          <w:tcPr>
            <w:tcW w:w="640" w:type="dxa"/>
            <w:tcBorders>
              <w:top w:val="nil"/>
              <w:left w:val="nil"/>
              <w:bottom w:val="nil"/>
              <w:right w:val="nil"/>
            </w:tcBorders>
            <w:shd w:val="clear" w:color="000000" w:fill="FFFFFF"/>
            <w:noWrap/>
            <w:hideMark/>
          </w:tcPr>
          <w:p w:rsidR="000D24A4" w:rsidP="00F2512B" w14:paraId="70EE2C5B" w14:textId="77777777">
            <w:pPr>
              <w:spacing w:after="80"/>
              <w:jc w:val="center"/>
              <w:rPr>
                <w:color w:val="000000"/>
                <w:sz w:val="16"/>
                <w:szCs w:val="16"/>
              </w:rPr>
            </w:pPr>
            <w:r>
              <w:rPr>
                <w:color w:val="000000"/>
                <w:sz w:val="16"/>
                <w:szCs w:val="16"/>
              </w:rPr>
              <w:t>1.9</w:t>
            </w:r>
          </w:p>
        </w:tc>
        <w:tc>
          <w:tcPr>
            <w:tcW w:w="640" w:type="dxa"/>
            <w:tcBorders>
              <w:top w:val="nil"/>
              <w:left w:val="nil"/>
              <w:bottom w:val="nil"/>
              <w:right w:val="nil"/>
            </w:tcBorders>
            <w:shd w:val="clear" w:color="000000" w:fill="FFFFFF"/>
            <w:noWrap/>
            <w:hideMark/>
          </w:tcPr>
          <w:p w:rsidR="000D24A4" w:rsidP="00F2512B" w14:paraId="7C2889D4" w14:textId="77777777">
            <w:pPr>
              <w:spacing w:after="80"/>
              <w:jc w:val="center"/>
              <w:rPr>
                <w:color w:val="000000"/>
                <w:sz w:val="16"/>
                <w:szCs w:val="16"/>
              </w:rPr>
            </w:pPr>
            <w:r>
              <w:rPr>
                <w:color w:val="000000"/>
                <w:sz w:val="16"/>
                <w:szCs w:val="16"/>
              </w:rPr>
              <w:t>1.5</w:t>
            </w:r>
          </w:p>
        </w:tc>
        <w:tc>
          <w:tcPr>
            <w:tcW w:w="640" w:type="dxa"/>
            <w:tcBorders>
              <w:top w:val="nil"/>
              <w:left w:val="nil"/>
              <w:bottom w:val="nil"/>
              <w:right w:val="nil"/>
            </w:tcBorders>
            <w:shd w:val="clear" w:color="000000" w:fill="FFFFFF"/>
            <w:noWrap/>
            <w:hideMark/>
          </w:tcPr>
          <w:p w:rsidR="000D24A4" w:rsidP="00F2512B" w14:paraId="3A3C8413" w14:textId="77777777">
            <w:pPr>
              <w:spacing w:after="80"/>
              <w:jc w:val="center"/>
              <w:rPr>
                <w:color w:val="000000"/>
                <w:sz w:val="16"/>
                <w:szCs w:val="16"/>
              </w:rPr>
            </w:pPr>
            <w:r>
              <w:rPr>
                <w:color w:val="000000"/>
                <w:sz w:val="16"/>
                <w:szCs w:val="16"/>
              </w:rPr>
              <w:t>1.9</w:t>
            </w:r>
          </w:p>
        </w:tc>
        <w:tc>
          <w:tcPr>
            <w:tcW w:w="640" w:type="dxa"/>
            <w:tcBorders>
              <w:top w:val="nil"/>
              <w:left w:val="nil"/>
              <w:bottom w:val="nil"/>
              <w:right w:val="nil"/>
            </w:tcBorders>
            <w:shd w:val="clear" w:color="000000" w:fill="FFFFFF"/>
            <w:noWrap/>
            <w:hideMark/>
          </w:tcPr>
          <w:p w:rsidR="000D24A4" w:rsidP="00F2512B" w14:paraId="3EA3A2B2" w14:textId="77777777">
            <w:pPr>
              <w:spacing w:after="80"/>
              <w:jc w:val="center"/>
              <w:rPr>
                <w:color w:val="000000"/>
                <w:sz w:val="16"/>
                <w:szCs w:val="16"/>
              </w:rPr>
            </w:pPr>
            <w:r>
              <w:rPr>
                <w:color w:val="000000"/>
                <w:sz w:val="16"/>
                <w:szCs w:val="16"/>
              </w:rPr>
              <w:t>1.7</w:t>
            </w:r>
          </w:p>
        </w:tc>
        <w:tc>
          <w:tcPr>
            <w:tcW w:w="640" w:type="dxa"/>
            <w:tcBorders>
              <w:top w:val="nil"/>
              <w:left w:val="nil"/>
              <w:bottom w:val="nil"/>
              <w:right w:val="nil"/>
            </w:tcBorders>
            <w:shd w:val="clear" w:color="000000" w:fill="FFFFFF"/>
            <w:noWrap/>
            <w:hideMark/>
          </w:tcPr>
          <w:p w:rsidR="000D24A4" w:rsidP="00F2512B" w14:paraId="26A55FAE" w14:textId="77777777">
            <w:pPr>
              <w:spacing w:after="80"/>
              <w:jc w:val="center"/>
              <w:rPr>
                <w:color w:val="000000"/>
                <w:sz w:val="16"/>
                <w:szCs w:val="16"/>
              </w:rPr>
            </w:pPr>
            <w:r>
              <w:rPr>
                <w:color w:val="000000"/>
                <w:sz w:val="16"/>
                <w:szCs w:val="16"/>
              </w:rPr>
              <w:t>1.6</w:t>
            </w:r>
          </w:p>
        </w:tc>
        <w:tc>
          <w:tcPr>
            <w:tcW w:w="640" w:type="dxa"/>
            <w:tcBorders>
              <w:top w:val="nil"/>
              <w:left w:val="nil"/>
              <w:bottom w:val="nil"/>
              <w:right w:val="nil"/>
            </w:tcBorders>
            <w:shd w:val="clear" w:color="000000" w:fill="FFFFFF"/>
            <w:noWrap/>
            <w:hideMark/>
          </w:tcPr>
          <w:p w:rsidR="000D24A4" w:rsidP="00F2512B" w14:paraId="315467F5" w14:textId="77777777">
            <w:pPr>
              <w:spacing w:after="80"/>
              <w:jc w:val="center"/>
              <w:rPr>
                <w:color w:val="000000"/>
                <w:sz w:val="16"/>
                <w:szCs w:val="16"/>
              </w:rPr>
            </w:pPr>
            <w:r>
              <w:rPr>
                <w:color w:val="000000"/>
                <w:sz w:val="16"/>
                <w:szCs w:val="16"/>
              </w:rPr>
              <w:t>1.4</w:t>
            </w:r>
          </w:p>
        </w:tc>
      </w:tr>
      <w:tr w14:paraId="76D1E5E7" w14:textId="77777777" w:rsidTr="00F2512B">
        <w:tblPrEx>
          <w:tblW w:w="10080" w:type="dxa"/>
          <w:tblInd w:w="-360" w:type="dxa"/>
          <w:tblLook w:val="04A0"/>
        </w:tblPrEx>
        <w:trPr>
          <w:cantSplit/>
        </w:trPr>
        <w:tc>
          <w:tcPr>
            <w:tcW w:w="2260" w:type="dxa"/>
            <w:tcBorders>
              <w:top w:val="nil"/>
              <w:left w:val="nil"/>
              <w:bottom w:val="nil"/>
              <w:right w:val="nil"/>
            </w:tcBorders>
            <w:shd w:val="clear" w:color="000000" w:fill="FFFFFF"/>
            <w:hideMark/>
          </w:tcPr>
          <w:p w:rsidR="000D24A4" w:rsidP="00F2512B" w14:paraId="3CD873E4" w14:textId="77777777">
            <w:pPr>
              <w:spacing w:after="80"/>
              <w:rPr>
                <w:color w:val="000000"/>
                <w:sz w:val="16"/>
                <w:szCs w:val="16"/>
              </w:rPr>
            </w:pPr>
            <w:r>
              <w:rPr>
                <w:color w:val="000000"/>
                <w:sz w:val="16"/>
                <w:szCs w:val="16"/>
              </w:rPr>
              <w:t>Establishment Density (Establishments per Sq. Mile)</w:t>
            </w:r>
          </w:p>
        </w:tc>
        <w:tc>
          <w:tcPr>
            <w:tcW w:w="640" w:type="dxa"/>
            <w:tcBorders>
              <w:top w:val="nil"/>
              <w:left w:val="nil"/>
              <w:bottom w:val="nil"/>
              <w:right w:val="nil"/>
            </w:tcBorders>
            <w:shd w:val="clear" w:color="000000" w:fill="FFFFFF"/>
            <w:noWrap/>
            <w:hideMark/>
          </w:tcPr>
          <w:p w:rsidR="000D24A4" w:rsidP="00F2512B" w14:paraId="56E2BDF4" w14:textId="77777777">
            <w:pPr>
              <w:spacing w:after="80"/>
              <w:jc w:val="center"/>
              <w:rPr>
                <w:color w:val="000000"/>
                <w:sz w:val="16"/>
                <w:szCs w:val="16"/>
              </w:rPr>
            </w:pPr>
            <w:r>
              <w:rPr>
                <w:color w:val="000000"/>
                <w:sz w:val="16"/>
                <w:szCs w:val="16"/>
              </w:rPr>
              <w:t>11.1</w:t>
            </w:r>
          </w:p>
        </w:tc>
        <w:tc>
          <w:tcPr>
            <w:tcW w:w="640" w:type="dxa"/>
            <w:tcBorders>
              <w:top w:val="nil"/>
              <w:left w:val="nil"/>
              <w:bottom w:val="nil"/>
              <w:right w:val="nil"/>
            </w:tcBorders>
            <w:shd w:val="clear" w:color="000000" w:fill="FFFFFF"/>
            <w:noWrap/>
            <w:hideMark/>
          </w:tcPr>
          <w:p w:rsidR="000D24A4" w:rsidP="00F2512B" w14:paraId="539E2875" w14:textId="77777777">
            <w:pPr>
              <w:spacing w:after="80"/>
              <w:jc w:val="center"/>
              <w:rPr>
                <w:color w:val="000000"/>
                <w:sz w:val="16"/>
                <w:szCs w:val="16"/>
              </w:rPr>
            </w:pPr>
            <w:r>
              <w:rPr>
                <w:color w:val="000000"/>
                <w:sz w:val="16"/>
                <w:szCs w:val="16"/>
              </w:rPr>
              <w:t>0.8</w:t>
            </w:r>
          </w:p>
        </w:tc>
        <w:tc>
          <w:tcPr>
            <w:tcW w:w="640" w:type="dxa"/>
            <w:tcBorders>
              <w:top w:val="nil"/>
              <w:left w:val="nil"/>
              <w:bottom w:val="nil"/>
              <w:right w:val="nil"/>
            </w:tcBorders>
            <w:shd w:val="clear" w:color="000000" w:fill="FFFFFF"/>
            <w:noWrap/>
            <w:hideMark/>
          </w:tcPr>
          <w:p w:rsidR="000D24A4" w:rsidP="00F2512B" w14:paraId="75830324" w14:textId="77777777">
            <w:pPr>
              <w:spacing w:after="80"/>
              <w:jc w:val="center"/>
              <w:rPr>
                <w:color w:val="000000"/>
                <w:sz w:val="16"/>
                <w:szCs w:val="16"/>
              </w:rPr>
            </w:pPr>
            <w:r>
              <w:rPr>
                <w:color w:val="000000"/>
                <w:sz w:val="16"/>
                <w:szCs w:val="16"/>
              </w:rPr>
              <w:t>0.5</w:t>
            </w:r>
          </w:p>
        </w:tc>
        <w:tc>
          <w:tcPr>
            <w:tcW w:w="640" w:type="dxa"/>
            <w:tcBorders>
              <w:top w:val="nil"/>
              <w:left w:val="nil"/>
              <w:bottom w:val="nil"/>
              <w:right w:val="nil"/>
            </w:tcBorders>
            <w:shd w:val="clear" w:color="000000" w:fill="FFFFFF"/>
            <w:noWrap/>
            <w:hideMark/>
          </w:tcPr>
          <w:p w:rsidR="000D24A4" w:rsidP="00F2512B" w14:paraId="3E1C78D6" w14:textId="77777777">
            <w:pPr>
              <w:spacing w:after="80"/>
              <w:jc w:val="center"/>
              <w:rPr>
                <w:color w:val="000000"/>
                <w:sz w:val="16"/>
                <w:szCs w:val="16"/>
              </w:rPr>
            </w:pPr>
            <w:r>
              <w:rPr>
                <w:color w:val="000000"/>
                <w:sz w:val="16"/>
                <w:szCs w:val="16"/>
              </w:rPr>
              <w:t>0.2</w:t>
            </w:r>
          </w:p>
        </w:tc>
        <w:tc>
          <w:tcPr>
            <w:tcW w:w="640" w:type="dxa"/>
            <w:tcBorders>
              <w:top w:val="nil"/>
              <w:left w:val="nil"/>
              <w:bottom w:val="nil"/>
              <w:right w:val="nil"/>
            </w:tcBorders>
            <w:shd w:val="clear" w:color="000000" w:fill="FFFFFF"/>
            <w:noWrap/>
            <w:hideMark/>
          </w:tcPr>
          <w:p w:rsidR="000D24A4" w:rsidP="00F2512B" w14:paraId="65546DDA" w14:textId="77777777">
            <w:pPr>
              <w:spacing w:after="80"/>
              <w:jc w:val="center"/>
              <w:rPr>
                <w:color w:val="000000"/>
                <w:sz w:val="16"/>
                <w:szCs w:val="16"/>
              </w:rPr>
            </w:pPr>
            <w:r>
              <w:rPr>
                <w:color w:val="000000"/>
                <w:sz w:val="16"/>
                <w:szCs w:val="16"/>
              </w:rPr>
              <w:t>3.9</w:t>
            </w:r>
          </w:p>
        </w:tc>
        <w:tc>
          <w:tcPr>
            <w:tcW w:w="640" w:type="dxa"/>
            <w:tcBorders>
              <w:top w:val="nil"/>
              <w:left w:val="nil"/>
              <w:bottom w:val="nil"/>
              <w:right w:val="nil"/>
            </w:tcBorders>
            <w:shd w:val="clear" w:color="000000" w:fill="FFFFFF"/>
            <w:noWrap/>
            <w:hideMark/>
          </w:tcPr>
          <w:p w:rsidR="000D24A4" w:rsidP="00F2512B" w14:paraId="7307224D" w14:textId="77777777">
            <w:pPr>
              <w:spacing w:after="80"/>
              <w:jc w:val="center"/>
              <w:rPr>
                <w:color w:val="000000"/>
                <w:sz w:val="16"/>
                <w:szCs w:val="16"/>
              </w:rPr>
            </w:pPr>
            <w:r>
              <w:rPr>
                <w:color w:val="000000"/>
                <w:sz w:val="16"/>
                <w:szCs w:val="16"/>
              </w:rPr>
              <w:t>0.9</w:t>
            </w:r>
          </w:p>
        </w:tc>
        <w:tc>
          <w:tcPr>
            <w:tcW w:w="640" w:type="dxa"/>
            <w:tcBorders>
              <w:top w:val="nil"/>
              <w:left w:val="nil"/>
              <w:bottom w:val="nil"/>
              <w:right w:val="nil"/>
            </w:tcBorders>
            <w:shd w:val="clear" w:color="000000" w:fill="FFFFFF"/>
            <w:noWrap/>
            <w:hideMark/>
          </w:tcPr>
          <w:p w:rsidR="000D24A4" w:rsidP="00F2512B" w14:paraId="73BBE991" w14:textId="77777777">
            <w:pPr>
              <w:spacing w:after="80"/>
              <w:jc w:val="center"/>
              <w:rPr>
                <w:color w:val="000000"/>
                <w:sz w:val="16"/>
                <w:szCs w:val="16"/>
              </w:rPr>
            </w:pPr>
            <w:r>
              <w:rPr>
                <w:color w:val="000000"/>
                <w:sz w:val="16"/>
                <w:szCs w:val="16"/>
              </w:rPr>
              <w:t>0.4</w:t>
            </w:r>
          </w:p>
        </w:tc>
        <w:tc>
          <w:tcPr>
            <w:tcW w:w="640" w:type="dxa"/>
            <w:tcBorders>
              <w:top w:val="nil"/>
              <w:left w:val="nil"/>
              <w:bottom w:val="nil"/>
              <w:right w:val="nil"/>
            </w:tcBorders>
            <w:shd w:val="clear" w:color="000000" w:fill="FFFFFF"/>
            <w:noWrap/>
            <w:hideMark/>
          </w:tcPr>
          <w:p w:rsidR="000D24A4" w:rsidP="00F2512B" w14:paraId="0AFC5AC9" w14:textId="77777777">
            <w:pPr>
              <w:spacing w:after="80"/>
              <w:jc w:val="center"/>
              <w:rPr>
                <w:color w:val="000000"/>
                <w:sz w:val="16"/>
                <w:szCs w:val="16"/>
              </w:rPr>
            </w:pPr>
            <w:r>
              <w:rPr>
                <w:color w:val="000000"/>
                <w:sz w:val="16"/>
                <w:szCs w:val="16"/>
              </w:rPr>
              <w:t>0.2</w:t>
            </w:r>
          </w:p>
        </w:tc>
        <w:tc>
          <w:tcPr>
            <w:tcW w:w="640" w:type="dxa"/>
            <w:tcBorders>
              <w:top w:val="nil"/>
              <w:left w:val="nil"/>
              <w:bottom w:val="nil"/>
              <w:right w:val="nil"/>
            </w:tcBorders>
            <w:shd w:val="clear" w:color="000000" w:fill="FFFFFF"/>
            <w:noWrap/>
            <w:hideMark/>
          </w:tcPr>
          <w:p w:rsidR="000D24A4" w:rsidP="00F2512B" w14:paraId="0E339548" w14:textId="77777777">
            <w:pPr>
              <w:spacing w:after="80"/>
              <w:jc w:val="center"/>
              <w:rPr>
                <w:color w:val="000000"/>
                <w:sz w:val="16"/>
                <w:szCs w:val="16"/>
              </w:rPr>
            </w:pPr>
            <w:r>
              <w:rPr>
                <w:color w:val="000000"/>
                <w:sz w:val="16"/>
                <w:szCs w:val="16"/>
              </w:rPr>
              <w:t>1.2</w:t>
            </w:r>
          </w:p>
        </w:tc>
        <w:tc>
          <w:tcPr>
            <w:tcW w:w="640" w:type="dxa"/>
            <w:tcBorders>
              <w:top w:val="nil"/>
              <w:left w:val="nil"/>
              <w:bottom w:val="nil"/>
              <w:right w:val="nil"/>
            </w:tcBorders>
            <w:shd w:val="clear" w:color="000000" w:fill="FFFFFF"/>
            <w:noWrap/>
            <w:hideMark/>
          </w:tcPr>
          <w:p w:rsidR="000D24A4" w:rsidP="00F2512B" w14:paraId="6BF2B0D6" w14:textId="77777777">
            <w:pPr>
              <w:spacing w:after="80"/>
              <w:jc w:val="center"/>
              <w:rPr>
                <w:color w:val="000000"/>
                <w:sz w:val="16"/>
                <w:szCs w:val="16"/>
              </w:rPr>
            </w:pPr>
            <w:r>
              <w:rPr>
                <w:color w:val="000000"/>
                <w:sz w:val="16"/>
                <w:szCs w:val="16"/>
              </w:rPr>
              <w:t>0.8</w:t>
            </w:r>
          </w:p>
        </w:tc>
        <w:tc>
          <w:tcPr>
            <w:tcW w:w="640" w:type="dxa"/>
            <w:tcBorders>
              <w:top w:val="nil"/>
              <w:left w:val="nil"/>
              <w:bottom w:val="nil"/>
              <w:right w:val="nil"/>
            </w:tcBorders>
            <w:shd w:val="clear" w:color="000000" w:fill="FFFFFF"/>
            <w:noWrap/>
            <w:hideMark/>
          </w:tcPr>
          <w:p w:rsidR="000D24A4" w:rsidP="00F2512B" w14:paraId="5876FF19" w14:textId="77777777">
            <w:pPr>
              <w:spacing w:after="80"/>
              <w:jc w:val="center"/>
              <w:rPr>
                <w:color w:val="000000"/>
                <w:sz w:val="16"/>
                <w:szCs w:val="16"/>
              </w:rPr>
            </w:pPr>
            <w:r>
              <w:rPr>
                <w:color w:val="000000"/>
                <w:sz w:val="16"/>
                <w:szCs w:val="16"/>
              </w:rPr>
              <w:t>0.7</w:t>
            </w:r>
          </w:p>
        </w:tc>
        <w:tc>
          <w:tcPr>
            <w:tcW w:w="640" w:type="dxa"/>
            <w:tcBorders>
              <w:top w:val="nil"/>
              <w:left w:val="nil"/>
              <w:bottom w:val="nil"/>
              <w:right w:val="nil"/>
            </w:tcBorders>
            <w:shd w:val="clear" w:color="000000" w:fill="FFFFFF"/>
            <w:noWrap/>
            <w:hideMark/>
          </w:tcPr>
          <w:p w:rsidR="000D24A4" w:rsidP="00F2512B" w14:paraId="68253793" w14:textId="77777777">
            <w:pPr>
              <w:spacing w:after="80"/>
              <w:jc w:val="center"/>
              <w:rPr>
                <w:color w:val="000000"/>
                <w:sz w:val="16"/>
                <w:szCs w:val="16"/>
              </w:rPr>
            </w:pPr>
            <w:r>
              <w:rPr>
                <w:color w:val="000000"/>
                <w:sz w:val="16"/>
                <w:szCs w:val="16"/>
              </w:rPr>
              <w:t>0.4</w:t>
            </w:r>
          </w:p>
        </w:tc>
      </w:tr>
      <w:tr w14:paraId="408F33CE" w14:textId="77777777" w:rsidTr="00F2512B">
        <w:tblPrEx>
          <w:tblW w:w="10080" w:type="dxa"/>
          <w:tblInd w:w="-360" w:type="dxa"/>
          <w:tblLook w:val="04A0"/>
        </w:tblPrEx>
        <w:trPr>
          <w:cantSplit/>
        </w:trPr>
        <w:tc>
          <w:tcPr>
            <w:tcW w:w="2260" w:type="dxa"/>
            <w:tcBorders>
              <w:top w:val="nil"/>
              <w:left w:val="nil"/>
              <w:bottom w:val="nil"/>
              <w:right w:val="nil"/>
            </w:tcBorders>
            <w:shd w:val="clear" w:color="000000" w:fill="FFFFFF"/>
            <w:hideMark/>
          </w:tcPr>
          <w:p w:rsidR="000D24A4" w:rsidP="00F2512B" w14:paraId="6D6DD783" w14:textId="7C7EE909">
            <w:pPr>
              <w:spacing w:after="80"/>
              <w:rPr>
                <w:color w:val="000000"/>
                <w:sz w:val="16"/>
                <w:szCs w:val="16"/>
              </w:rPr>
            </w:pPr>
            <w:r>
              <w:rPr>
                <w:color w:val="000000"/>
                <w:sz w:val="16"/>
                <w:szCs w:val="16"/>
              </w:rPr>
              <w:t>Median Household Income (Thousands of 2013 Dollars)</w:t>
            </w:r>
          </w:p>
        </w:tc>
        <w:tc>
          <w:tcPr>
            <w:tcW w:w="640" w:type="dxa"/>
            <w:tcBorders>
              <w:top w:val="nil"/>
              <w:left w:val="nil"/>
              <w:bottom w:val="nil"/>
              <w:right w:val="nil"/>
            </w:tcBorders>
            <w:shd w:val="clear" w:color="000000" w:fill="FFFFFF"/>
            <w:noWrap/>
            <w:hideMark/>
          </w:tcPr>
          <w:p w:rsidR="000D24A4" w:rsidP="00F2512B" w14:paraId="29F19B87" w14:textId="77777777">
            <w:pPr>
              <w:spacing w:after="80"/>
              <w:jc w:val="center"/>
              <w:rPr>
                <w:color w:val="000000"/>
                <w:sz w:val="16"/>
                <w:szCs w:val="16"/>
              </w:rPr>
            </w:pPr>
            <w:r>
              <w:rPr>
                <w:color w:val="000000"/>
                <w:sz w:val="16"/>
                <w:szCs w:val="16"/>
              </w:rPr>
              <w:t>46.7</w:t>
            </w:r>
          </w:p>
        </w:tc>
        <w:tc>
          <w:tcPr>
            <w:tcW w:w="640" w:type="dxa"/>
            <w:tcBorders>
              <w:top w:val="nil"/>
              <w:left w:val="nil"/>
              <w:bottom w:val="nil"/>
              <w:right w:val="nil"/>
            </w:tcBorders>
            <w:shd w:val="clear" w:color="000000" w:fill="FFFFFF"/>
            <w:noWrap/>
            <w:hideMark/>
          </w:tcPr>
          <w:p w:rsidR="000D24A4" w:rsidP="00F2512B" w14:paraId="34E842EA" w14:textId="77777777">
            <w:pPr>
              <w:spacing w:after="80"/>
              <w:jc w:val="center"/>
              <w:rPr>
                <w:color w:val="000000"/>
                <w:sz w:val="16"/>
                <w:szCs w:val="16"/>
              </w:rPr>
            </w:pPr>
            <w:r>
              <w:rPr>
                <w:color w:val="000000"/>
                <w:sz w:val="16"/>
                <w:szCs w:val="16"/>
              </w:rPr>
              <w:t>42.4</w:t>
            </w:r>
          </w:p>
        </w:tc>
        <w:tc>
          <w:tcPr>
            <w:tcW w:w="640" w:type="dxa"/>
            <w:tcBorders>
              <w:top w:val="nil"/>
              <w:left w:val="nil"/>
              <w:bottom w:val="nil"/>
              <w:right w:val="nil"/>
            </w:tcBorders>
            <w:shd w:val="clear" w:color="000000" w:fill="FFFFFF"/>
            <w:noWrap/>
            <w:hideMark/>
          </w:tcPr>
          <w:p w:rsidR="000D24A4" w:rsidP="00F2512B" w14:paraId="4D5BDFAD" w14:textId="77777777">
            <w:pPr>
              <w:spacing w:after="80"/>
              <w:jc w:val="center"/>
              <w:rPr>
                <w:color w:val="000000"/>
                <w:sz w:val="16"/>
                <w:szCs w:val="16"/>
              </w:rPr>
            </w:pPr>
            <w:r>
              <w:rPr>
                <w:color w:val="000000"/>
                <w:sz w:val="16"/>
                <w:szCs w:val="16"/>
              </w:rPr>
              <w:t>41.5</w:t>
            </w:r>
          </w:p>
        </w:tc>
        <w:tc>
          <w:tcPr>
            <w:tcW w:w="640" w:type="dxa"/>
            <w:tcBorders>
              <w:top w:val="nil"/>
              <w:left w:val="nil"/>
              <w:bottom w:val="nil"/>
              <w:right w:val="nil"/>
            </w:tcBorders>
            <w:shd w:val="clear" w:color="000000" w:fill="FFFFFF"/>
            <w:noWrap/>
            <w:hideMark/>
          </w:tcPr>
          <w:p w:rsidR="000D24A4" w:rsidP="00F2512B" w14:paraId="58A0D36D" w14:textId="77777777">
            <w:pPr>
              <w:spacing w:after="80"/>
              <w:jc w:val="center"/>
              <w:rPr>
                <w:color w:val="000000"/>
                <w:sz w:val="16"/>
                <w:szCs w:val="16"/>
              </w:rPr>
            </w:pPr>
            <w:r>
              <w:rPr>
                <w:color w:val="000000"/>
                <w:sz w:val="16"/>
                <w:szCs w:val="16"/>
              </w:rPr>
              <w:t>42.4</w:t>
            </w:r>
          </w:p>
        </w:tc>
        <w:tc>
          <w:tcPr>
            <w:tcW w:w="640" w:type="dxa"/>
            <w:tcBorders>
              <w:top w:val="nil"/>
              <w:left w:val="nil"/>
              <w:bottom w:val="nil"/>
              <w:right w:val="nil"/>
            </w:tcBorders>
            <w:shd w:val="clear" w:color="000000" w:fill="FFFFFF"/>
            <w:noWrap/>
            <w:hideMark/>
          </w:tcPr>
          <w:p w:rsidR="000D24A4" w:rsidP="00F2512B" w14:paraId="2CDBE5CC" w14:textId="77777777">
            <w:pPr>
              <w:spacing w:after="80"/>
              <w:jc w:val="center"/>
              <w:rPr>
                <w:color w:val="000000"/>
                <w:sz w:val="16"/>
                <w:szCs w:val="16"/>
              </w:rPr>
            </w:pPr>
            <w:r>
              <w:rPr>
                <w:color w:val="000000"/>
                <w:sz w:val="16"/>
                <w:szCs w:val="16"/>
              </w:rPr>
              <w:t>48.0</w:t>
            </w:r>
          </w:p>
        </w:tc>
        <w:tc>
          <w:tcPr>
            <w:tcW w:w="640" w:type="dxa"/>
            <w:tcBorders>
              <w:top w:val="nil"/>
              <w:left w:val="nil"/>
              <w:bottom w:val="nil"/>
              <w:right w:val="nil"/>
            </w:tcBorders>
            <w:shd w:val="clear" w:color="000000" w:fill="FFFFFF"/>
            <w:noWrap/>
            <w:hideMark/>
          </w:tcPr>
          <w:p w:rsidR="000D24A4" w:rsidP="00F2512B" w14:paraId="0B0B9DDA" w14:textId="77777777">
            <w:pPr>
              <w:spacing w:after="80"/>
              <w:jc w:val="center"/>
              <w:rPr>
                <w:color w:val="000000"/>
                <w:sz w:val="16"/>
                <w:szCs w:val="16"/>
              </w:rPr>
            </w:pPr>
            <w:r>
              <w:rPr>
                <w:color w:val="000000"/>
                <w:sz w:val="16"/>
                <w:szCs w:val="16"/>
              </w:rPr>
              <w:t>44.6</w:t>
            </w:r>
          </w:p>
        </w:tc>
        <w:tc>
          <w:tcPr>
            <w:tcW w:w="640" w:type="dxa"/>
            <w:tcBorders>
              <w:top w:val="nil"/>
              <w:left w:val="nil"/>
              <w:bottom w:val="nil"/>
              <w:right w:val="nil"/>
            </w:tcBorders>
            <w:shd w:val="clear" w:color="000000" w:fill="FFFFFF"/>
            <w:noWrap/>
            <w:hideMark/>
          </w:tcPr>
          <w:p w:rsidR="000D24A4" w:rsidP="00F2512B" w14:paraId="57B36665" w14:textId="77777777">
            <w:pPr>
              <w:spacing w:after="80"/>
              <w:jc w:val="center"/>
              <w:rPr>
                <w:color w:val="000000"/>
                <w:sz w:val="16"/>
                <w:szCs w:val="16"/>
              </w:rPr>
            </w:pPr>
            <w:r>
              <w:rPr>
                <w:color w:val="000000"/>
                <w:sz w:val="16"/>
                <w:szCs w:val="16"/>
              </w:rPr>
              <w:t>44.7</w:t>
            </w:r>
          </w:p>
        </w:tc>
        <w:tc>
          <w:tcPr>
            <w:tcW w:w="640" w:type="dxa"/>
            <w:tcBorders>
              <w:top w:val="nil"/>
              <w:left w:val="nil"/>
              <w:bottom w:val="nil"/>
              <w:right w:val="nil"/>
            </w:tcBorders>
            <w:shd w:val="clear" w:color="000000" w:fill="FFFFFF"/>
            <w:noWrap/>
            <w:hideMark/>
          </w:tcPr>
          <w:p w:rsidR="000D24A4" w:rsidP="00F2512B" w14:paraId="186C255C" w14:textId="77777777">
            <w:pPr>
              <w:spacing w:after="80"/>
              <w:jc w:val="center"/>
              <w:rPr>
                <w:color w:val="000000"/>
                <w:sz w:val="16"/>
                <w:szCs w:val="16"/>
              </w:rPr>
            </w:pPr>
            <w:r>
              <w:rPr>
                <w:color w:val="000000"/>
                <w:sz w:val="16"/>
                <w:szCs w:val="16"/>
              </w:rPr>
              <w:t>45.2</w:t>
            </w:r>
          </w:p>
        </w:tc>
        <w:tc>
          <w:tcPr>
            <w:tcW w:w="640" w:type="dxa"/>
            <w:tcBorders>
              <w:top w:val="nil"/>
              <w:left w:val="nil"/>
              <w:bottom w:val="nil"/>
              <w:right w:val="nil"/>
            </w:tcBorders>
            <w:shd w:val="clear" w:color="000000" w:fill="FFFFFF"/>
            <w:noWrap/>
            <w:hideMark/>
          </w:tcPr>
          <w:p w:rsidR="000D24A4" w:rsidP="00F2512B" w14:paraId="07E1E6C8" w14:textId="77777777">
            <w:pPr>
              <w:spacing w:after="80"/>
              <w:jc w:val="center"/>
              <w:rPr>
                <w:color w:val="000000"/>
                <w:sz w:val="16"/>
                <w:szCs w:val="16"/>
              </w:rPr>
            </w:pPr>
            <w:r>
              <w:rPr>
                <w:color w:val="000000"/>
                <w:sz w:val="16"/>
                <w:szCs w:val="16"/>
              </w:rPr>
              <w:t>50.1</w:t>
            </w:r>
          </w:p>
        </w:tc>
        <w:tc>
          <w:tcPr>
            <w:tcW w:w="640" w:type="dxa"/>
            <w:tcBorders>
              <w:top w:val="nil"/>
              <w:left w:val="nil"/>
              <w:bottom w:val="nil"/>
              <w:right w:val="nil"/>
            </w:tcBorders>
            <w:shd w:val="clear" w:color="000000" w:fill="FFFFFF"/>
            <w:noWrap/>
            <w:hideMark/>
          </w:tcPr>
          <w:p w:rsidR="000D24A4" w:rsidP="00F2512B" w14:paraId="005F4E84" w14:textId="77777777">
            <w:pPr>
              <w:spacing w:after="80"/>
              <w:jc w:val="center"/>
              <w:rPr>
                <w:color w:val="000000"/>
                <w:sz w:val="16"/>
                <w:szCs w:val="16"/>
              </w:rPr>
            </w:pPr>
            <w:r>
              <w:rPr>
                <w:color w:val="000000"/>
                <w:sz w:val="16"/>
                <w:szCs w:val="16"/>
              </w:rPr>
              <w:t>49.8</w:t>
            </w:r>
          </w:p>
        </w:tc>
        <w:tc>
          <w:tcPr>
            <w:tcW w:w="640" w:type="dxa"/>
            <w:tcBorders>
              <w:top w:val="nil"/>
              <w:left w:val="nil"/>
              <w:bottom w:val="nil"/>
              <w:right w:val="nil"/>
            </w:tcBorders>
            <w:shd w:val="clear" w:color="000000" w:fill="FFFFFF"/>
            <w:noWrap/>
            <w:hideMark/>
          </w:tcPr>
          <w:p w:rsidR="000D24A4" w:rsidP="00F2512B" w14:paraId="6353D8D8" w14:textId="77777777">
            <w:pPr>
              <w:spacing w:after="80"/>
              <w:jc w:val="center"/>
              <w:rPr>
                <w:color w:val="000000"/>
                <w:sz w:val="16"/>
                <w:szCs w:val="16"/>
              </w:rPr>
            </w:pPr>
            <w:r>
              <w:rPr>
                <w:color w:val="000000"/>
                <w:sz w:val="16"/>
                <w:szCs w:val="16"/>
              </w:rPr>
              <w:t>50.9</w:t>
            </w:r>
          </w:p>
        </w:tc>
        <w:tc>
          <w:tcPr>
            <w:tcW w:w="640" w:type="dxa"/>
            <w:tcBorders>
              <w:top w:val="nil"/>
              <w:left w:val="nil"/>
              <w:bottom w:val="nil"/>
              <w:right w:val="nil"/>
            </w:tcBorders>
            <w:shd w:val="clear" w:color="000000" w:fill="FFFFFF"/>
            <w:noWrap/>
            <w:hideMark/>
          </w:tcPr>
          <w:p w:rsidR="000D24A4" w:rsidP="00F2512B" w14:paraId="22B2CDD5" w14:textId="77777777">
            <w:pPr>
              <w:spacing w:after="80"/>
              <w:jc w:val="center"/>
              <w:rPr>
                <w:color w:val="000000"/>
                <w:sz w:val="16"/>
                <w:szCs w:val="16"/>
              </w:rPr>
            </w:pPr>
            <w:r>
              <w:rPr>
                <w:color w:val="000000"/>
                <w:sz w:val="16"/>
                <w:szCs w:val="16"/>
              </w:rPr>
              <w:t>49.0</w:t>
            </w:r>
          </w:p>
        </w:tc>
      </w:tr>
      <w:tr w14:paraId="5DAAF614" w14:textId="77777777" w:rsidTr="00F2512B">
        <w:tblPrEx>
          <w:tblW w:w="10080" w:type="dxa"/>
          <w:tblInd w:w="-360" w:type="dxa"/>
          <w:tblLook w:val="04A0"/>
        </w:tblPrEx>
        <w:trPr>
          <w:cantSplit/>
        </w:trPr>
        <w:tc>
          <w:tcPr>
            <w:tcW w:w="2260" w:type="dxa"/>
            <w:tcBorders>
              <w:top w:val="nil"/>
              <w:left w:val="nil"/>
              <w:bottom w:val="nil"/>
              <w:right w:val="nil"/>
            </w:tcBorders>
            <w:shd w:val="clear" w:color="000000" w:fill="FFFFFF"/>
            <w:hideMark/>
          </w:tcPr>
          <w:p w:rsidR="000D24A4" w:rsidP="00F2512B" w14:paraId="50C32DFE" w14:textId="599F94D8">
            <w:pPr>
              <w:spacing w:after="80"/>
              <w:rPr>
                <w:color w:val="000000"/>
                <w:sz w:val="16"/>
                <w:szCs w:val="16"/>
              </w:rPr>
            </w:pPr>
            <w:r>
              <w:rPr>
                <w:color w:val="000000"/>
                <w:sz w:val="16"/>
                <w:szCs w:val="16"/>
              </w:rPr>
              <w:t>Subscribers per MHz Deployed Spectrum (CMA)</w:t>
            </w:r>
          </w:p>
        </w:tc>
        <w:tc>
          <w:tcPr>
            <w:tcW w:w="640" w:type="dxa"/>
            <w:tcBorders>
              <w:top w:val="nil"/>
              <w:left w:val="nil"/>
              <w:bottom w:val="nil"/>
              <w:right w:val="nil"/>
            </w:tcBorders>
            <w:shd w:val="clear" w:color="000000" w:fill="FFFFFF"/>
            <w:noWrap/>
            <w:hideMark/>
          </w:tcPr>
          <w:p w:rsidR="000D24A4" w:rsidP="00F2512B" w14:paraId="6AC8400A" w14:textId="77777777">
            <w:pPr>
              <w:spacing w:after="80"/>
              <w:jc w:val="center"/>
              <w:rPr>
                <w:color w:val="000000"/>
                <w:sz w:val="16"/>
                <w:szCs w:val="16"/>
              </w:rPr>
            </w:pPr>
            <w:r>
              <w:rPr>
                <w:color w:val="000000"/>
                <w:sz w:val="16"/>
                <w:szCs w:val="16"/>
              </w:rPr>
              <w:t>1,766</w:t>
            </w:r>
          </w:p>
        </w:tc>
        <w:tc>
          <w:tcPr>
            <w:tcW w:w="640" w:type="dxa"/>
            <w:tcBorders>
              <w:top w:val="nil"/>
              <w:left w:val="nil"/>
              <w:bottom w:val="nil"/>
              <w:right w:val="nil"/>
            </w:tcBorders>
            <w:shd w:val="clear" w:color="000000" w:fill="FFFFFF"/>
            <w:noWrap/>
            <w:hideMark/>
          </w:tcPr>
          <w:p w:rsidR="000D24A4" w:rsidP="00F2512B" w14:paraId="1F4DA683" w14:textId="77777777">
            <w:pPr>
              <w:spacing w:after="80"/>
              <w:jc w:val="center"/>
              <w:rPr>
                <w:color w:val="000000"/>
                <w:sz w:val="16"/>
                <w:szCs w:val="16"/>
              </w:rPr>
            </w:pPr>
            <w:r>
              <w:rPr>
                <w:color w:val="000000"/>
                <w:sz w:val="16"/>
                <w:szCs w:val="16"/>
              </w:rPr>
              <w:t>518</w:t>
            </w:r>
          </w:p>
        </w:tc>
        <w:tc>
          <w:tcPr>
            <w:tcW w:w="640" w:type="dxa"/>
            <w:tcBorders>
              <w:top w:val="nil"/>
              <w:left w:val="nil"/>
              <w:bottom w:val="nil"/>
              <w:right w:val="nil"/>
            </w:tcBorders>
            <w:shd w:val="clear" w:color="000000" w:fill="FFFFFF"/>
            <w:noWrap/>
            <w:hideMark/>
          </w:tcPr>
          <w:p w:rsidR="000D24A4" w:rsidP="00F2512B" w14:paraId="00F9B235" w14:textId="77777777">
            <w:pPr>
              <w:spacing w:after="80"/>
              <w:jc w:val="center"/>
              <w:rPr>
                <w:color w:val="000000"/>
                <w:sz w:val="16"/>
                <w:szCs w:val="16"/>
              </w:rPr>
            </w:pPr>
            <w:r>
              <w:rPr>
                <w:color w:val="000000"/>
                <w:sz w:val="16"/>
                <w:szCs w:val="16"/>
              </w:rPr>
              <w:t>422</w:t>
            </w:r>
          </w:p>
        </w:tc>
        <w:tc>
          <w:tcPr>
            <w:tcW w:w="640" w:type="dxa"/>
            <w:tcBorders>
              <w:top w:val="nil"/>
              <w:left w:val="nil"/>
              <w:bottom w:val="nil"/>
              <w:right w:val="nil"/>
            </w:tcBorders>
            <w:shd w:val="clear" w:color="000000" w:fill="FFFFFF"/>
            <w:noWrap/>
            <w:hideMark/>
          </w:tcPr>
          <w:p w:rsidR="000D24A4" w:rsidP="00F2512B" w14:paraId="06363ABA" w14:textId="77777777">
            <w:pPr>
              <w:spacing w:after="80"/>
              <w:jc w:val="center"/>
              <w:rPr>
                <w:color w:val="000000"/>
                <w:sz w:val="16"/>
                <w:szCs w:val="16"/>
              </w:rPr>
            </w:pPr>
            <w:r>
              <w:rPr>
                <w:color w:val="000000"/>
                <w:sz w:val="16"/>
                <w:szCs w:val="16"/>
              </w:rPr>
              <w:t>351</w:t>
            </w:r>
          </w:p>
        </w:tc>
        <w:tc>
          <w:tcPr>
            <w:tcW w:w="640" w:type="dxa"/>
            <w:tcBorders>
              <w:top w:val="nil"/>
              <w:left w:val="nil"/>
              <w:bottom w:val="nil"/>
              <w:right w:val="nil"/>
            </w:tcBorders>
            <w:shd w:val="clear" w:color="000000" w:fill="FFFFFF"/>
            <w:noWrap/>
            <w:hideMark/>
          </w:tcPr>
          <w:p w:rsidR="000D24A4" w:rsidP="00F2512B" w14:paraId="6977B022" w14:textId="77777777">
            <w:pPr>
              <w:spacing w:after="80"/>
              <w:jc w:val="center"/>
              <w:rPr>
                <w:color w:val="000000"/>
                <w:sz w:val="16"/>
                <w:szCs w:val="16"/>
              </w:rPr>
            </w:pPr>
            <w:r>
              <w:rPr>
                <w:color w:val="000000"/>
                <w:sz w:val="16"/>
                <w:szCs w:val="16"/>
              </w:rPr>
              <w:t>1,776</w:t>
            </w:r>
          </w:p>
        </w:tc>
        <w:tc>
          <w:tcPr>
            <w:tcW w:w="640" w:type="dxa"/>
            <w:tcBorders>
              <w:top w:val="nil"/>
              <w:left w:val="nil"/>
              <w:bottom w:val="nil"/>
              <w:right w:val="nil"/>
            </w:tcBorders>
            <w:shd w:val="clear" w:color="000000" w:fill="FFFFFF"/>
            <w:noWrap/>
            <w:hideMark/>
          </w:tcPr>
          <w:p w:rsidR="000D24A4" w:rsidP="00F2512B" w14:paraId="2FAD0764" w14:textId="77777777">
            <w:pPr>
              <w:spacing w:after="80"/>
              <w:jc w:val="center"/>
              <w:rPr>
                <w:color w:val="000000"/>
                <w:sz w:val="16"/>
                <w:szCs w:val="16"/>
              </w:rPr>
            </w:pPr>
            <w:r>
              <w:rPr>
                <w:color w:val="000000"/>
                <w:sz w:val="16"/>
                <w:szCs w:val="16"/>
              </w:rPr>
              <w:t>558</w:t>
            </w:r>
          </w:p>
        </w:tc>
        <w:tc>
          <w:tcPr>
            <w:tcW w:w="640" w:type="dxa"/>
            <w:tcBorders>
              <w:top w:val="nil"/>
              <w:left w:val="nil"/>
              <w:bottom w:val="nil"/>
              <w:right w:val="nil"/>
            </w:tcBorders>
            <w:shd w:val="clear" w:color="000000" w:fill="FFFFFF"/>
            <w:noWrap/>
            <w:hideMark/>
          </w:tcPr>
          <w:p w:rsidR="000D24A4" w:rsidP="00F2512B" w14:paraId="1C01454C" w14:textId="77777777">
            <w:pPr>
              <w:spacing w:after="80"/>
              <w:jc w:val="center"/>
              <w:rPr>
                <w:color w:val="000000"/>
                <w:sz w:val="16"/>
                <w:szCs w:val="16"/>
              </w:rPr>
            </w:pPr>
            <w:r>
              <w:rPr>
                <w:color w:val="000000"/>
                <w:sz w:val="16"/>
                <w:szCs w:val="16"/>
              </w:rPr>
              <w:t>523</w:t>
            </w:r>
          </w:p>
        </w:tc>
        <w:tc>
          <w:tcPr>
            <w:tcW w:w="640" w:type="dxa"/>
            <w:tcBorders>
              <w:top w:val="nil"/>
              <w:left w:val="nil"/>
              <w:bottom w:val="nil"/>
              <w:right w:val="nil"/>
            </w:tcBorders>
            <w:shd w:val="clear" w:color="000000" w:fill="FFFFFF"/>
            <w:noWrap/>
            <w:hideMark/>
          </w:tcPr>
          <w:p w:rsidR="000D24A4" w:rsidP="00F2512B" w14:paraId="77CC3066" w14:textId="77777777">
            <w:pPr>
              <w:spacing w:after="80"/>
              <w:jc w:val="center"/>
              <w:rPr>
                <w:color w:val="000000"/>
                <w:sz w:val="16"/>
                <w:szCs w:val="16"/>
              </w:rPr>
            </w:pPr>
            <w:r>
              <w:rPr>
                <w:color w:val="000000"/>
                <w:sz w:val="16"/>
                <w:szCs w:val="16"/>
              </w:rPr>
              <w:t>472</w:t>
            </w:r>
          </w:p>
        </w:tc>
        <w:tc>
          <w:tcPr>
            <w:tcW w:w="640" w:type="dxa"/>
            <w:tcBorders>
              <w:top w:val="nil"/>
              <w:left w:val="nil"/>
              <w:bottom w:val="nil"/>
              <w:right w:val="nil"/>
            </w:tcBorders>
            <w:shd w:val="clear" w:color="000000" w:fill="FFFFFF"/>
            <w:noWrap/>
            <w:hideMark/>
          </w:tcPr>
          <w:p w:rsidR="000D24A4" w:rsidP="00F2512B" w14:paraId="6F69B74E" w14:textId="77777777">
            <w:pPr>
              <w:spacing w:after="80"/>
              <w:jc w:val="center"/>
              <w:rPr>
                <w:color w:val="000000"/>
                <w:sz w:val="16"/>
                <w:szCs w:val="16"/>
              </w:rPr>
            </w:pPr>
            <w:r>
              <w:rPr>
                <w:color w:val="000000"/>
                <w:sz w:val="16"/>
                <w:szCs w:val="16"/>
              </w:rPr>
              <w:t>865</w:t>
            </w:r>
          </w:p>
        </w:tc>
        <w:tc>
          <w:tcPr>
            <w:tcW w:w="640" w:type="dxa"/>
            <w:tcBorders>
              <w:top w:val="nil"/>
              <w:left w:val="nil"/>
              <w:bottom w:val="nil"/>
              <w:right w:val="nil"/>
            </w:tcBorders>
            <w:shd w:val="clear" w:color="000000" w:fill="FFFFFF"/>
            <w:noWrap/>
            <w:hideMark/>
          </w:tcPr>
          <w:p w:rsidR="000D24A4" w:rsidP="00F2512B" w14:paraId="45AA2E16" w14:textId="77777777">
            <w:pPr>
              <w:spacing w:after="80"/>
              <w:jc w:val="center"/>
              <w:rPr>
                <w:color w:val="000000"/>
                <w:sz w:val="16"/>
                <w:szCs w:val="16"/>
              </w:rPr>
            </w:pPr>
            <w:r>
              <w:rPr>
                <w:color w:val="000000"/>
                <w:sz w:val="16"/>
                <w:szCs w:val="16"/>
              </w:rPr>
              <w:t>766</w:t>
            </w:r>
          </w:p>
        </w:tc>
        <w:tc>
          <w:tcPr>
            <w:tcW w:w="640" w:type="dxa"/>
            <w:tcBorders>
              <w:top w:val="nil"/>
              <w:left w:val="nil"/>
              <w:bottom w:val="nil"/>
              <w:right w:val="nil"/>
            </w:tcBorders>
            <w:shd w:val="clear" w:color="000000" w:fill="FFFFFF"/>
            <w:noWrap/>
            <w:hideMark/>
          </w:tcPr>
          <w:p w:rsidR="000D24A4" w:rsidP="00F2512B" w14:paraId="2CB6DA7C" w14:textId="77777777">
            <w:pPr>
              <w:spacing w:after="80"/>
              <w:jc w:val="center"/>
              <w:rPr>
                <w:color w:val="000000"/>
                <w:sz w:val="16"/>
                <w:szCs w:val="16"/>
              </w:rPr>
            </w:pPr>
            <w:r>
              <w:rPr>
                <w:color w:val="000000"/>
                <w:sz w:val="16"/>
                <w:szCs w:val="16"/>
              </w:rPr>
              <w:t>756</w:t>
            </w:r>
          </w:p>
        </w:tc>
        <w:tc>
          <w:tcPr>
            <w:tcW w:w="640" w:type="dxa"/>
            <w:tcBorders>
              <w:top w:val="nil"/>
              <w:left w:val="nil"/>
              <w:bottom w:val="nil"/>
              <w:right w:val="nil"/>
            </w:tcBorders>
            <w:shd w:val="clear" w:color="000000" w:fill="FFFFFF"/>
            <w:noWrap/>
            <w:hideMark/>
          </w:tcPr>
          <w:p w:rsidR="000D24A4" w:rsidP="00F2512B" w14:paraId="7DE88E60" w14:textId="77777777">
            <w:pPr>
              <w:spacing w:after="80"/>
              <w:jc w:val="center"/>
              <w:rPr>
                <w:color w:val="000000"/>
                <w:sz w:val="16"/>
                <w:szCs w:val="16"/>
              </w:rPr>
            </w:pPr>
            <w:r>
              <w:rPr>
                <w:color w:val="000000"/>
                <w:sz w:val="16"/>
                <w:szCs w:val="16"/>
              </w:rPr>
              <w:t>517</w:t>
            </w:r>
          </w:p>
        </w:tc>
      </w:tr>
      <w:tr w14:paraId="16EC1D85" w14:textId="77777777" w:rsidTr="00F2512B">
        <w:tblPrEx>
          <w:tblW w:w="10080" w:type="dxa"/>
          <w:tblInd w:w="-360" w:type="dxa"/>
          <w:tblLook w:val="04A0"/>
        </w:tblPrEx>
        <w:trPr>
          <w:cantSplit/>
        </w:trPr>
        <w:tc>
          <w:tcPr>
            <w:tcW w:w="2260" w:type="dxa"/>
            <w:tcBorders>
              <w:top w:val="nil"/>
              <w:left w:val="nil"/>
              <w:bottom w:val="nil"/>
              <w:right w:val="nil"/>
            </w:tcBorders>
            <w:shd w:val="clear" w:color="000000" w:fill="FFFFFF"/>
            <w:hideMark/>
          </w:tcPr>
          <w:p w:rsidR="000D24A4" w:rsidP="00F2512B" w14:paraId="02AF4B31" w14:textId="77777777">
            <w:pPr>
              <w:spacing w:after="80"/>
              <w:rPr>
                <w:color w:val="000000"/>
                <w:sz w:val="16"/>
                <w:szCs w:val="16"/>
              </w:rPr>
            </w:pPr>
            <w:r>
              <w:rPr>
                <w:color w:val="000000"/>
                <w:sz w:val="16"/>
                <w:szCs w:val="16"/>
              </w:rPr>
              <w:t>Pct. Area Covered by 4G-LTE</w:t>
            </w:r>
          </w:p>
        </w:tc>
        <w:tc>
          <w:tcPr>
            <w:tcW w:w="640" w:type="dxa"/>
            <w:tcBorders>
              <w:top w:val="nil"/>
              <w:left w:val="nil"/>
              <w:bottom w:val="nil"/>
              <w:right w:val="nil"/>
            </w:tcBorders>
            <w:shd w:val="clear" w:color="000000" w:fill="FFFFFF"/>
            <w:noWrap/>
            <w:hideMark/>
          </w:tcPr>
          <w:p w:rsidR="000D24A4" w:rsidP="00F2512B" w14:paraId="19E435D3" w14:textId="77777777">
            <w:pPr>
              <w:spacing w:after="80"/>
              <w:jc w:val="center"/>
              <w:rPr>
                <w:color w:val="000000"/>
                <w:sz w:val="16"/>
                <w:szCs w:val="16"/>
              </w:rPr>
            </w:pPr>
            <w:r>
              <w:rPr>
                <w:color w:val="000000"/>
                <w:sz w:val="16"/>
                <w:szCs w:val="16"/>
              </w:rPr>
              <w:t>52%</w:t>
            </w:r>
          </w:p>
        </w:tc>
        <w:tc>
          <w:tcPr>
            <w:tcW w:w="640" w:type="dxa"/>
            <w:tcBorders>
              <w:top w:val="nil"/>
              <w:left w:val="nil"/>
              <w:bottom w:val="nil"/>
              <w:right w:val="nil"/>
            </w:tcBorders>
            <w:shd w:val="clear" w:color="000000" w:fill="FFFFFF"/>
            <w:noWrap/>
            <w:hideMark/>
          </w:tcPr>
          <w:p w:rsidR="000D24A4" w:rsidP="00F2512B" w14:paraId="62F19AC5" w14:textId="77777777">
            <w:pPr>
              <w:spacing w:after="80"/>
              <w:jc w:val="center"/>
              <w:rPr>
                <w:color w:val="000000"/>
                <w:sz w:val="16"/>
                <w:szCs w:val="16"/>
              </w:rPr>
            </w:pPr>
            <w:r>
              <w:rPr>
                <w:color w:val="000000"/>
                <w:sz w:val="16"/>
                <w:szCs w:val="16"/>
              </w:rPr>
              <w:t>44%</w:t>
            </w:r>
          </w:p>
        </w:tc>
        <w:tc>
          <w:tcPr>
            <w:tcW w:w="640" w:type="dxa"/>
            <w:tcBorders>
              <w:top w:val="nil"/>
              <w:left w:val="nil"/>
              <w:bottom w:val="nil"/>
              <w:right w:val="nil"/>
            </w:tcBorders>
            <w:shd w:val="clear" w:color="000000" w:fill="FFFFFF"/>
            <w:noWrap/>
            <w:hideMark/>
          </w:tcPr>
          <w:p w:rsidR="000D24A4" w:rsidP="00F2512B" w14:paraId="69CB7478" w14:textId="77777777">
            <w:pPr>
              <w:spacing w:after="80"/>
              <w:jc w:val="center"/>
              <w:rPr>
                <w:color w:val="000000"/>
                <w:sz w:val="16"/>
                <w:szCs w:val="16"/>
              </w:rPr>
            </w:pPr>
            <w:r>
              <w:rPr>
                <w:color w:val="000000"/>
                <w:sz w:val="16"/>
                <w:szCs w:val="16"/>
              </w:rPr>
              <w:t>42%</w:t>
            </w:r>
          </w:p>
        </w:tc>
        <w:tc>
          <w:tcPr>
            <w:tcW w:w="640" w:type="dxa"/>
            <w:tcBorders>
              <w:top w:val="nil"/>
              <w:left w:val="nil"/>
              <w:bottom w:val="nil"/>
              <w:right w:val="nil"/>
            </w:tcBorders>
            <w:shd w:val="clear" w:color="000000" w:fill="FFFFFF"/>
            <w:noWrap/>
            <w:hideMark/>
          </w:tcPr>
          <w:p w:rsidR="000D24A4" w:rsidP="00F2512B" w14:paraId="3D4017EE" w14:textId="77777777">
            <w:pPr>
              <w:spacing w:after="80"/>
              <w:jc w:val="center"/>
              <w:rPr>
                <w:color w:val="000000"/>
                <w:sz w:val="16"/>
                <w:szCs w:val="16"/>
              </w:rPr>
            </w:pPr>
            <w:r>
              <w:rPr>
                <w:color w:val="000000"/>
                <w:sz w:val="16"/>
                <w:szCs w:val="16"/>
              </w:rPr>
              <w:t>40%</w:t>
            </w:r>
          </w:p>
        </w:tc>
        <w:tc>
          <w:tcPr>
            <w:tcW w:w="640" w:type="dxa"/>
            <w:tcBorders>
              <w:top w:val="nil"/>
              <w:left w:val="nil"/>
              <w:bottom w:val="nil"/>
              <w:right w:val="nil"/>
            </w:tcBorders>
            <w:shd w:val="clear" w:color="000000" w:fill="FFFFFF"/>
            <w:noWrap/>
            <w:hideMark/>
          </w:tcPr>
          <w:p w:rsidR="000D24A4" w:rsidP="00F2512B" w14:paraId="5EE2D45C" w14:textId="77777777">
            <w:pPr>
              <w:spacing w:after="80"/>
              <w:jc w:val="center"/>
              <w:rPr>
                <w:color w:val="000000"/>
                <w:sz w:val="16"/>
                <w:szCs w:val="16"/>
              </w:rPr>
            </w:pPr>
            <w:r>
              <w:rPr>
                <w:color w:val="000000"/>
                <w:sz w:val="16"/>
                <w:szCs w:val="16"/>
              </w:rPr>
              <w:t>30%</w:t>
            </w:r>
          </w:p>
        </w:tc>
        <w:tc>
          <w:tcPr>
            <w:tcW w:w="640" w:type="dxa"/>
            <w:tcBorders>
              <w:top w:val="nil"/>
              <w:left w:val="nil"/>
              <w:bottom w:val="nil"/>
              <w:right w:val="nil"/>
            </w:tcBorders>
            <w:shd w:val="clear" w:color="000000" w:fill="FFFFFF"/>
            <w:noWrap/>
            <w:hideMark/>
          </w:tcPr>
          <w:p w:rsidR="000D24A4" w:rsidP="00F2512B" w14:paraId="3EF9B187" w14:textId="77777777">
            <w:pPr>
              <w:spacing w:after="80"/>
              <w:jc w:val="center"/>
              <w:rPr>
                <w:color w:val="000000"/>
                <w:sz w:val="16"/>
                <w:szCs w:val="16"/>
              </w:rPr>
            </w:pPr>
            <w:r>
              <w:rPr>
                <w:color w:val="000000"/>
                <w:sz w:val="16"/>
                <w:szCs w:val="16"/>
              </w:rPr>
              <w:t>22%</w:t>
            </w:r>
          </w:p>
        </w:tc>
        <w:tc>
          <w:tcPr>
            <w:tcW w:w="640" w:type="dxa"/>
            <w:tcBorders>
              <w:top w:val="nil"/>
              <w:left w:val="nil"/>
              <w:bottom w:val="nil"/>
              <w:right w:val="nil"/>
            </w:tcBorders>
            <w:shd w:val="clear" w:color="000000" w:fill="FFFFFF"/>
            <w:noWrap/>
            <w:hideMark/>
          </w:tcPr>
          <w:p w:rsidR="000D24A4" w:rsidP="00F2512B" w14:paraId="0C1C554C" w14:textId="77777777">
            <w:pPr>
              <w:spacing w:after="80"/>
              <w:jc w:val="center"/>
              <w:rPr>
                <w:color w:val="000000"/>
                <w:sz w:val="16"/>
                <w:szCs w:val="16"/>
              </w:rPr>
            </w:pPr>
            <w:r>
              <w:rPr>
                <w:color w:val="000000"/>
                <w:sz w:val="16"/>
                <w:szCs w:val="16"/>
              </w:rPr>
              <w:t>19%</w:t>
            </w:r>
          </w:p>
        </w:tc>
        <w:tc>
          <w:tcPr>
            <w:tcW w:w="640" w:type="dxa"/>
            <w:tcBorders>
              <w:top w:val="nil"/>
              <w:left w:val="nil"/>
              <w:bottom w:val="nil"/>
              <w:right w:val="nil"/>
            </w:tcBorders>
            <w:shd w:val="clear" w:color="000000" w:fill="FFFFFF"/>
            <w:noWrap/>
            <w:hideMark/>
          </w:tcPr>
          <w:p w:rsidR="000D24A4" w:rsidP="00F2512B" w14:paraId="36010280" w14:textId="77777777">
            <w:pPr>
              <w:spacing w:after="80"/>
              <w:jc w:val="center"/>
              <w:rPr>
                <w:color w:val="000000"/>
                <w:sz w:val="16"/>
                <w:szCs w:val="16"/>
              </w:rPr>
            </w:pPr>
            <w:r>
              <w:rPr>
                <w:color w:val="000000"/>
                <w:sz w:val="16"/>
                <w:szCs w:val="16"/>
              </w:rPr>
              <w:t>16%</w:t>
            </w:r>
          </w:p>
        </w:tc>
        <w:tc>
          <w:tcPr>
            <w:tcW w:w="640" w:type="dxa"/>
            <w:tcBorders>
              <w:top w:val="nil"/>
              <w:left w:val="nil"/>
              <w:bottom w:val="nil"/>
              <w:right w:val="nil"/>
            </w:tcBorders>
            <w:shd w:val="clear" w:color="000000" w:fill="FFFFFF"/>
            <w:noWrap/>
            <w:hideMark/>
          </w:tcPr>
          <w:p w:rsidR="000D24A4" w:rsidP="00F2512B" w14:paraId="5FC9C3B0" w14:textId="77777777">
            <w:pPr>
              <w:spacing w:after="80"/>
              <w:jc w:val="center"/>
              <w:rPr>
                <w:color w:val="000000"/>
                <w:sz w:val="16"/>
                <w:szCs w:val="16"/>
              </w:rPr>
            </w:pPr>
            <w:r>
              <w:rPr>
                <w:color w:val="000000"/>
                <w:sz w:val="16"/>
                <w:szCs w:val="16"/>
              </w:rPr>
              <w:t>17%</w:t>
            </w:r>
          </w:p>
        </w:tc>
        <w:tc>
          <w:tcPr>
            <w:tcW w:w="640" w:type="dxa"/>
            <w:tcBorders>
              <w:top w:val="nil"/>
              <w:left w:val="nil"/>
              <w:bottom w:val="nil"/>
              <w:right w:val="nil"/>
            </w:tcBorders>
            <w:shd w:val="clear" w:color="000000" w:fill="FFFFFF"/>
            <w:noWrap/>
            <w:hideMark/>
          </w:tcPr>
          <w:p w:rsidR="000D24A4" w:rsidP="00F2512B" w14:paraId="5A6512F3" w14:textId="77777777">
            <w:pPr>
              <w:spacing w:after="80"/>
              <w:jc w:val="center"/>
              <w:rPr>
                <w:color w:val="000000"/>
                <w:sz w:val="16"/>
                <w:szCs w:val="16"/>
              </w:rPr>
            </w:pPr>
            <w:r>
              <w:rPr>
                <w:color w:val="000000"/>
                <w:sz w:val="16"/>
                <w:szCs w:val="16"/>
              </w:rPr>
              <w:t>15%</w:t>
            </w:r>
          </w:p>
        </w:tc>
        <w:tc>
          <w:tcPr>
            <w:tcW w:w="640" w:type="dxa"/>
            <w:tcBorders>
              <w:top w:val="nil"/>
              <w:left w:val="nil"/>
              <w:bottom w:val="nil"/>
              <w:right w:val="nil"/>
            </w:tcBorders>
            <w:shd w:val="clear" w:color="000000" w:fill="FFFFFF"/>
            <w:noWrap/>
            <w:hideMark/>
          </w:tcPr>
          <w:p w:rsidR="000D24A4" w:rsidP="00F2512B" w14:paraId="7294D036" w14:textId="77777777">
            <w:pPr>
              <w:spacing w:after="80"/>
              <w:jc w:val="center"/>
              <w:rPr>
                <w:color w:val="000000"/>
                <w:sz w:val="16"/>
                <w:szCs w:val="16"/>
              </w:rPr>
            </w:pPr>
            <w:r>
              <w:rPr>
                <w:color w:val="000000"/>
                <w:sz w:val="16"/>
                <w:szCs w:val="16"/>
              </w:rPr>
              <w:t>14%</w:t>
            </w:r>
          </w:p>
        </w:tc>
        <w:tc>
          <w:tcPr>
            <w:tcW w:w="640" w:type="dxa"/>
            <w:tcBorders>
              <w:top w:val="nil"/>
              <w:left w:val="nil"/>
              <w:bottom w:val="nil"/>
              <w:right w:val="nil"/>
            </w:tcBorders>
            <w:shd w:val="clear" w:color="000000" w:fill="FFFFFF"/>
            <w:noWrap/>
            <w:hideMark/>
          </w:tcPr>
          <w:p w:rsidR="000D24A4" w:rsidP="00F2512B" w14:paraId="5204A2F3" w14:textId="77777777">
            <w:pPr>
              <w:spacing w:after="80"/>
              <w:jc w:val="center"/>
              <w:rPr>
                <w:color w:val="000000"/>
                <w:sz w:val="16"/>
                <w:szCs w:val="16"/>
              </w:rPr>
            </w:pPr>
            <w:r>
              <w:rPr>
                <w:color w:val="000000"/>
                <w:sz w:val="16"/>
                <w:szCs w:val="16"/>
              </w:rPr>
              <w:t>10%</w:t>
            </w:r>
          </w:p>
        </w:tc>
      </w:tr>
      <w:tr w14:paraId="0C113CAA" w14:textId="77777777" w:rsidTr="00F2512B">
        <w:tblPrEx>
          <w:tblW w:w="10080" w:type="dxa"/>
          <w:tblInd w:w="-360" w:type="dxa"/>
          <w:tblLook w:val="04A0"/>
        </w:tblPrEx>
        <w:trPr>
          <w:cantSplit/>
        </w:trPr>
        <w:tc>
          <w:tcPr>
            <w:tcW w:w="2260" w:type="dxa"/>
            <w:tcBorders>
              <w:top w:val="nil"/>
              <w:left w:val="nil"/>
              <w:bottom w:val="nil"/>
              <w:right w:val="nil"/>
            </w:tcBorders>
            <w:shd w:val="clear" w:color="000000" w:fill="FFFFFF"/>
            <w:hideMark/>
          </w:tcPr>
          <w:p w:rsidR="000D24A4" w:rsidP="00F2512B" w14:paraId="7B35379A" w14:textId="77777777">
            <w:pPr>
              <w:spacing w:after="80"/>
              <w:rPr>
                <w:color w:val="000000"/>
                <w:sz w:val="16"/>
                <w:szCs w:val="16"/>
              </w:rPr>
            </w:pPr>
            <w:r>
              <w:rPr>
                <w:color w:val="000000"/>
                <w:sz w:val="16"/>
                <w:szCs w:val="16"/>
              </w:rPr>
              <w:t>Pct. Area Covered by Forest</w:t>
            </w:r>
          </w:p>
        </w:tc>
        <w:tc>
          <w:tcPr>
            <w:tcW w:w="640" w:type="dxa"/>
            <w:tcBorders>
              <w:top w:val="nil"/>
              <w:left w:val="nil"/>
              <w:bottom w:val="nil"/>
              <w:right w:val="nil"/>
            </w:tcBorders>
            <w:shd w:val="clear" w:color="000000" w:fill="FFFFFF"/>
            <w:noWrap/>
            <w:hideMark/>
          </w:tcPr>
          <w:p w:rsidR="000D24A4" w:rsidP="00F2512B" w14:paraId="43A3094E" w14:textId="77777777">
            <w:pPr>
              <w:spacing w:after="80"/>
              <w:jc w:val="center"/>
              <w:rPr>
                <w:color w:val="000000"/>
                <w:sz w:val="16"/>
                <w:szCs w:val="16"/>
              </w:rPr>
            </w:pPr>
            <w:r>
              <w:rPr>
                <w:color w:val="000000"/>
                <w:sz w:val="16"/>
                <w:szCs w:val="16"/>
              </w:rPr>
              <w:t>34%</w:t>
            </w:r>
          </w:p>
        </w:tc>
        <w:tc>
          <w:tcPr>
            <w:tcW w:w="640" w:type="dxa"/>
            <w:tcBorders>
              <w:top w:val="nil"/>
              <w:left w:val="nil"/>
              <w:bottom w:val="nil"/>
              <w:right w:val="nil"/>
            </w:tcBorders>
            <w:shd w:val="clear" w:color="000000" w:fill="FFFFFF"/>
            <w:noWrap/>
            <w:hideMark/>
          </w:tcPr>
          <w:p w:rsidR="000D24A4" w:rsidP="00F2512B" w14:paraId="60A8C0A3" w14:textId="77777777">
            <w:pPr>
              <w:spacing w:after="80"/>
              <w:jc w:val="center"/>
              <w:rPr>
                <w:color w:val="000000"/>
                <w:sz w:val="16"/>
                <w:szCs w:val="16"/>
              </w:rPr>
            </w:pPr>
            <w:r>
              <w:rPr>
                <w:color w:val="000000"/>
                <w:sz w:val="16"/>
                <w:szCs w:val="16"/>
              </w:rPr>
              <w:t>34%</w:t>
            </w:r>
          </w:p>
        </w:tc>
        <w:tc>
          <w:tcPr>
            <w:tcW w:w="640" w:type="dxa"/>
            <w:tcBorders>
              <w:top w:val="nil"/>
              <w:left w:val="nil"/>
              <w:bottom w:val="nil"/>
              <w:right w:val="nil"/>
            </w:tcBorders>
            <w:shd w:val="clear" w:color="000000" w:fill="FFFFFF"/>
            <w:noWrap/>
            <w:hideMark/>
          </w:tcPr>
          <w:p w:rsidR="000D24A4" w:rsidP="00F2512B" w14:paraId="44F31C1C" w14:textId="77777777">
            <w:pPr>
              <w:spacing w:after="80"/>
              <w:jc w:val="center"/>
              <w:rPr>
                <w:color w:val="000000"/>
                <w:sz w:val="16"/>
                <w:szCs w:val="16"/>
              </w:rPr>
            </w:pPr>
            <w:r>
              <w:rPr>
                <w:color w:val="000000"/>
                <w:sz w:val="16"/>
                <w:szCs w:val="16"/>
              </w:rPr>
              <w:t>31%</w:t>
            </w:r>
          </w:p>
        </w:tc>
        <w:tc>
          <w:tcPr>
            <w:tcW w:w="640" w:type="dxa"/>
            <w:tcBorders>
              <w:top w:val="nil"/>
              <w:left w:val="nil"/>
              <w:bottom w:val="nil"/>
              <w:right w:val="nil"/>
            </w:tcBorders>
            <w:shd w:val="clear" w:color="000000" w:fill="FFFFFF"/>
            <w:noWrap/>
            <w:hideMark/>
          </w:tcPr>
          <w:p w:rsidR="000D24A4" w:rsidP="00F2512B" w14:paraId="3D8A316B" w14:textId="77777777">
            <w:pPr>
              <w:spacing w:after="80"/>
              <w:jc w:val="center"/>
              <w:rPr>
                <w:color w:val="000000"/>
                <w:sz w:val="16"/>
                <w:szCs w:val="16"/>
              </w:rPr>
            </w:pPr>
            <w:r>
              <w:rPr>
                <w:color w:val="000000"/>
                <w:sz w:val="16"/>
                <w:szCs w:val="16"/>
              </w:rPr>
              <w:t>19%</w:t>
            </w:r>
          </w:p>
        </w:tc>
        <w:tc>
          <w:tcPr>
            <w:tcW w:w="640" w:type="dxa"/>
            <w:tcBorders>
              <w:top w:val="nil"/>
              <w:left w:val="nil"/>
              <w:bottom w:val="nil"/>
              <w:right w:val="nil"/>
            </w:tcBorders>
            <w:shd w:val="clear" w:color="000000" w:fill="FFFFFF"/>
            <w:noWrap/>
            <w:hideMark/>
          </w:tcPr>
          <w:p w:rsidR="000D24A4" w:rsidP="00F2512B" w14:paraId="7996A824" w14:textId="77777777">
            <w:pPr>
              <w:spacing w:after="80"/>
              <w:jc w:val="center"/>
              <w:rPr>
                <w:color w:val="000000"/>
                <w:sz w:val="16"/>
                <w:szCs w:val="16"/>
              </w:rPr>
            </w:pPr>
            <w:r>
              <w:rPr>
                <w:color w:val="000000"/>
                <w:sz w:val="16"/>
                <w:szCs w:val="16"/>
              </w:rPr>
              <w:t>49%</w:t>
            </w:r>
          </w:p>
        </w:tc>
        <w:tc>
          <w:tcPr>
            <w:tcW w:w="640" w:type="dxa"/>
            <w:tcBorders>
              <w:top w:val="nil"/>
              <w:left w:val="nil"/>
              <w:bottom w:val="nil"/>
              <w:right w:val="nil"/>
            </w:tcBorders>
            <w:shd w:val="clear" w:color="000000" w:fill="FFFFFF"/>
            <w:noWrap/>
            <w:hideMark/>
          </w:tcPr>
          <w:p w:rsidR="000D24A4" w:rsidP="00F2512B" w14:paraId="23BD57DA" w14:textId="77777777">
            <w:pPr>
              <w:spacing w:after="80"/>
              <w:jc w:val="center"/>
              <w:rPr>
                <w:color w:val="000000"/>
                <w:sz w:val="16"/>
                <w:szCs w:val="16"/>
              </w:rPr>
            </w:pPr>
            <w:r>
              <w:rPr>
                <w:color w:val="000000"/>
                <w:sz w:val="16"/>
                <w:szCs w:val="16"/>
              </w:rPr>
              <w:t>49%</w:t>
            </w:r>
          </w:p>
        </w:tc>
        <w:tc>
          <w:tcPr>
            <w:tcW w:w="640" w:type="dxa"/>
            <w:tcBorders>
              <w:top w:val="nil"/>
              <w:left w:val="nil"/>
              <w:bottom w:val="nil"/>
              <w:right w:val="nil"/>
            </w:tcBorders>
            <w:shd w:val="clear" w:color="000000" w:fill="FFFFFF"/>
            <w:noWrap/>
            <w:hideMark/>
          </w:tcPr>
          <w:p w:rsidR="000D24A4" w:rsidP="00F2512B" w14:paraId="31E019E4" w14:textId="77777777">
            <w:pPr>
              <w:spacing w:after="80"/>
              <w:jc w:val="center"/>
              <w:rPr>
                <w:color w:val="000000"/>
                <w:sz w:val="16"/>
                <w:szCs w:val="16"/>
              </w:rPr>
            </w:pPr>
            <w:r>
              <w:rPr>
                <w:color w:val="000000"/>
                <w:sz w:val="16"/>
                <w:szCs w:val="16"/>
              </w:rPr>
              <w:t>42%</w:t>
            </w:r>
          </w:p>
        </w:tc>
        <w:tc>
          <w:tcPr>
            <w:tcW w:w="640" w:type="dxa"/>
            <w:tcBorders>
              <w:top w:val="nil"/>
              <w:left w:val="nil"/>
              <w:bottom w:val="nil"/>
              <w:right w:val="nil"/>
            </w:tcBorders>
            <w:shd w:val="clear" w:color="000000" w:fill="FFFFFF"/>
            <w:noWrap/>
            <w:hideMark/>
          </w:tcPr>
          <w:p w:rsidR="000D24A4" w:rsidP="00F2512B" w14:paraId="7D4E158B" w14:textId="77777777">
            <w:pPr>
              <w:spacing w:after="80"/>
              <w:jc w:val="center"/>
              <w:rPr>
                <w:color w:val="000000"/>
                <w:sz w:val="16"/>
                <w:szCs w:val="16"/>
              </w:rPr>
            </w:pPr>
            <w:r>
              <w:rPr>
                <w:color w:val="000000"/>
                <w:sz w:val="16"/>
                <w:szCs w:val="16"/>
              </w:rPr>
              <w:t>31%</w:t>
            </w:r>
          </w:p>
        </w:tc>
        <w:tc>
          <w:tcPr>
            <w:tcW w:w="640" w:type="dxa"/>
            <w:tcBorders>
              <w:top w:val="nil"/>
              <w:left w:val="nil"/>
              <w:bottom w:val="nil"/>
              <w:right w:val="nil"/>
            </w:tcBorders>
            <w:shd w:val="clear" w:color="000000" w:fill="FFFFFF"/>
            <w:noWrap/>
            <w:hideMark/>
          </w:tcPr>
          <w:p w:rsidR="000D24A4" w:rsidP="00F2512B" w14:paraId="379D6DE8" w14:textId="77777777">
            <w:pPr>
              <w:spacing w:after="80"/>
              <w:jc w:val="center"/>
              <w:rPr>
                <w:color w:val="000000"/>
                <w:sz w:val="16"/>
                <w:szCs w:val="16"/>
              </w:rPr>
            </w:pPr>
            <w:r>
              <w:rPr>
                <w:color w:val="000000"/>
                <w:sz w:val="16"/>
                <w:szCs w:val="16"/>
              </w:rPr>
              <w:t>60%</w:t>
            </w:r>
          </w:p>
        </w:tc>
        <w:tc>
          <w:tcPr>
            <w:tcW w:w="640" w:type="dxa"/>
            <w:tcBorders>
              <w:top w:val="nil"/>
              <w:left w:val="nil"/>
              <w:bottom w:val="nil"/>
              <w:right w:val="nil"/>
            </w:tcBorders>
            <w:shd w:val="clear" w:color="000000" w:fill="FFFFFF"/>
            <w:noWrap/>
            <w:hideMark/>
          </w:tcPr>
          <w:p w:rsidR="000D24A4" w:rsidP="00F2512B" w14:paraId="2D8E333A" w14:textId="77777777">
            <w:pPr>
              <w:spacing w:after="80"/>
              <w:jc w:val="center"/>
              <w:rPr>
                <w:color w:val="000000"/>
                <w:sz w:val="16"/>
                <w:szCs w:val="16"/>
              </w:rPr>
            </w:pPr>
            <w:r>
              <w:rPr>
                <w:color w:val="000000"/>
                <w:sz w:val="16"/>
                <w:szCs w:val="16"/>
              </w:rPr>
              <w:t>60%</w:t>
            </w:r>
          </w:p>
        </w:tc>
        <w:tc>
          <w:tcPr>
            <w:tcW w:w="640" w:type="dxa"/>
            <w:tcBorders>
              <w:top w:val="nil"/>
              <w:left w:val="nil"/>
              <w:bottom w:val="nil"/>
              <w:right w:val="nil"/>
            </w:tcBorders>
            <w:shd w:val="clear" w:color="000000" w:fill="FFFFFF"/>
            <w:noWrap/>
            <w:hideMark/>
          </w:tcPr>
          <w:p w:rsidR="000D24A4" w:rsidP="00F2512B" w14:paraId="434FF8A9" w14:textId="77777777">
            <w:pPr>
              <w:spacing w:after="80"/>
              <w:jc w:val="center"/>
              <w:rPr>
                <w:color w:val="000000"/>
                <w:sz w:val="16"/>
                <w:szCs w:val="16"/>
              </w:rPr>
            </w:pPr>
            <w:r>
              <w:rPr>
                <w:color w:val="000000"/>
                <w:sz w:val="16"/>
                <w:szCs w:val="16"/>
              </w:rPr>
              <w:t>59%</w:t>
            </w:r>
          </w:p>
        </w:tc>
        <w:tc>
          <w:tcPr>
            <w:tcW w:w="640" w:type="dxa"/>
            <w:tcBorders>
              <w:top w:val="nil"/>
              <w:left w:val="nil"/>
              <w:bottom w:val="nil"/>
              <w:right w:val="nil"/>
            </w:tcBorders>
            <w:shd w:val="clear" w:color="000000" w:fill="FFFFFF"/>
            <w:noWrap/>
            <w:hideMark/>
          </w:tcPr>
          <w:p w:rsidR="000D24A4" w:rsidP="00F2512B" w14:paraId="6E0334E6" w14:textId="77777777">
            <w:pPr>
              <w:spacing w:after="80"/>
              <w:jc w:val="center"/>
              <w:rPr>
                <w:color w:val="000000"/>
                <w:sz w:val="16"/>
                <w:szCs w:val="16"/>
              </w:rPr>
            </w:pPr>
            <w:r>
              <w:rPr>
                <w:color w:val="000000"/>
                <w:sz w:val="16"/>
                <w:szCs w:val="16"/>
              </w:rPr>
              <w:t>56%</w:t>
            </w:r>
          </w:p>
        </w:tc>
      </w:tr>
      <w:tr w14:paraId="4D7B190B" w14:textId="77777777" w:rsidTr="00F2512B">
        <w:tblPrEx>
          <w:tblW w:w="10080" w:type="dxa"/>
          <w:tblInd w:w="-360" w:type="dxa"/>
          <w:tblLook w:val="04A0"/>
        </w:tblPrEx>
        <w:trPr>
          <w:cantSplit/>
        </w:trPr>
        <w:tc>
          <w:tcPr>
            <w:tcW w:w="2260" w:type="dxa"/>
            <w:tcBorders>
              <w:top w:val="nil"/>
              <w:left w:val="nil"/>
              <w:bottom w:val="nil"/>
              <w:right w:val="nil"/>
            </w:tcBorders>
            <w:shd w:val="clear" w:color="000000" w:fill="FFFFFF"/>
            <w:hideMark/>
          </w:tcPr>
          <w:p w:rsidR="000D24A4" w:rsidP="00F2512B" w14:paraId="0C5108D2" w14:textId="719737E3">
            <w:pPr>
              <w:spacing w:after="80"/>
              <w:rPr>
                <w:color w:val="000000"/>
                <w:sz w:val="16"/>
                <w:szCs w:val="16"/>
              </w:rPr>
            </w:pPr>
            <w:r>
              <w:rPr>
                <w:color w:val="000000"/>
                <w:sz w:val="16"/>
                <w:szCs w:val="16"/>
              </w:rPr>
              <w:t>Pct. Counties with Low Band Spectrum Deployed</w:t>
            </w:r>
          </w:p>
        </w:tc>
        <w:tc>
          <w:tcPr>
            <w:tcW w:w="640" w:type="dxa"/>
            <w:tcBorders>
              <w:top w:val="nil"/>
              <w:left w:val="nil"/>
              <w:bottom w:val="nil"/>
              <w:right w:val="nil"/>
            </w:tcBorders>
            <w:shd w:val="clear" w:color="000000" w:fill="FFFFFF"/>
            <w:noWrap/>
            <w:hideMark/>
          </w:tcPr>
          <w:p w:rsidR="000D24A4" w:rsidP="00F2512B" w14:paraId="1BCC2992" w14:textId="77777777">
            <w:pPr>
              <w:spacing w:after="80"/>
              <w:jc w:val="center"/>
              <w:rPr>
                <w:color w:val="000000"/>
                <w:sz w:val="16"/>
                <w:szCs w:val="16"/>
              </w:rPr>
            </w:pPr>
            <w:r>
              <w:rPr>
                <w:color w:val="000000"/>
                <w:sz w:val="16"/>
                <w:szCs w:val="16"/>
              </w:rPr>
              <w:t>82%</w:t>
            </w:r>
          </w:p>
        </w:tc>
        <w:tc>
          <w:tcPr>
            <w:tcW w:w="640" w:type="dxa"/>
            <w:tcBorders>
              <w:top w:val="nil"/>
              <w:left w:val="nil"/>
              <w:bottom w:val="nil"/>
              <w:right w:val="nil"/>
            </w:tcBorders>
            <w:shd w:val="clear" w:color="000000" w:fill="FFFFFF"/>
            <w:noWrap/>
            <w:hideMark/>
          </w:tcPr>
          <w:p w:rsidR="000D24A4" w:rsidP="00F2512B" w14:paraId="0263923F" w14:textId="77777777">
            <w:pPr>
              <w:spacing w:after="80"/>
              <w:jc w:val="center"/>
              <w:rPr>
                <w:color w:val="000000"/>
                <w:sz w:val="16"/>
                <w:szCs w:val="16"/>
              </w:rPr>
            </w:pPr>
            <w:r>
              <w:rPr>
                <w:color w:val="000000"/>
                <w:sz w:val="16"/>
                <w:szCs w:val="16"/>
              </w:rPr>
              <w:t>84%</w:t>
            </w:r>
          </w:p>
        </w:tc>
        <w:tc>
          <w:tcPr>
            <w:tcW w:w="640" w:type="dxa"/>
            <w:tcBorders>
              <w:top w:val="nil"/>
              <w:left w:val="nil"/>
              <w:bottom w:val="nil"/>
              <w:right w:val="nil"/>
            </w:tcBorders>
            <w:shd w:val="clear" w:color="000000" w:fill="FFFFFF"/>
            <w:noWrap/>
            <w:hideMark/>
          </w:tcPr>
          <w:p w:rsidR="000D24A4" w:rsidP="00F2512B" w14:paraId="40EE23F3" w14:textId="77777777">
            <w:pPr>
              <w:spacing w:after="80"/>
              <w:jc w:val="center"/>
              <w:rPr>
                <w:color w:val="000000"/>
                <w:sz w:val="16"/>
                <w:szCs w:val="16"/>
              </w:rPr>
            </w:pPr>
            <w:r>
              <w:rPr>
                <w:color w:val="000000"/>
                <w:sz w:val="16"/>
                <w:szCs w:val="16"/>
              </w:rPr>
              <w:t>85%</w:t>
            </w:r>
          </w:p>
        </w:tc>
        <w:tc>
          <w:tcPr>
            <w:tcW w:w="640" w:type="dxa"/>
            <w:tcBorders>
              <w:top w:val="nil"/>
              <w:left w:val="nil"/>
              <w:bottom w:val="nil"/>
              <w:right w:val="nil"/>
            </w:tcBorders>
            <w:shd w:val="clear" w:color="000000" w:fill="FFFFFF"/>
            <w:noWrap/>
            <w:hideMark/>
          </w:tcPr>
          <w:p w:rsidR="000D24A4" w:rsidP="00F2512B" w14:paraId="0AE5E970" w14:textId="77777777">
            <w:pPr>
              <w:spacing w:after="80"/>
              <w:jc w:val="center"/>
              <w:rPr>
                <w:color w:val="000000"/>
                <w:sz w:val="16"/>
                <w:szCs w:val="16"/>
              </w:rPr>
            </w:pPr>
            <w:r>
              <w:rPr>
                <w:color w:val="000000"/>
                <w:sz w:val="16"/>
                <w:szCs w:val="16"/>
              </w:rPr>
              <w:t>88%</w:t>
            </w:r>
          </w:p>
        </w:tc>
        <w:tc>
          <w:tcPr>
            <w:tcW w:w="640" w:type="dxa"/>
            <w:tcBorders>
              <w:top w:val="nil"/>
              <w:left w:val="nil"/>
              <w:bottom w:val="nil"/>
              <w:right w:val="nil"/>
            </w:tcBorders>
            <w:shd w:val="clear" w:color="000000" w:fill="FFFFFF"/>
            <w:noWrap/>
            <w:hideMark/>
          </w:tcPr>
          <w:p w:rsidR="000D24A4" w:rsidP="00F2512B" w14:paraId="31393518" w14:textId="77777777">
            <w:pPr>
              <w:spacing w:after="80"/>
              <w:jc w:val="center"/>
              <w:rPr>
                <w:color w:val="000000"/>
                <w:sz w:val="16"/>
                <w:szCs w:val="16"/>
              </w:rPr>
            </w:pPr>
            <w:r>
              <w:rPr>
                <w:color w:val="000000"/>
                <w:sz w:val="16"/>
                <w:szCs w:val="16"/>
              </w:rPr>
              <w:t>78%</w:t>
            </w:r>
          </w:p>
        </w:tc>
        <w:tc>
          <w:tcPr>
            <w:tcW w:w="640" w:type="dxa"/>
            <w:tcBorders>
              <w:top w:val="nil"/>
              <w:left w:val="nil"/>
              <w:bottom w:val="nil"/>
              <w:right w:val="nil"/>
            </w:tcBorders>
            <w:shd w:val="clear" w:color="000000" w:fill="FFFFFF"/>
            <w:noWrap/>
            <w:hideMark/>
          </w:tcPr>
          <w:p w:rsidR="000D24A4" w:rsidP="00F2512B" w14:paraId="7AB6B787" w14:textId="77777777">
            <w:pPr>
              <w:spacing w:after="80"/>
              <w:jc w:val="center"/>
              <w:rPr>
                <w:color w:val="000000"/>
                <w:sz w:val="16"/>
                <w:szCs w:val="16"/>
              </w:rPr>
            </w:pPr>
            <w:r>
              <w:rPr>
                <w:color w:val="000000"/>
                <w:sz w:val="16"/>
                <w:szCs w:val="16"/>
              </w:rPr>
              <w:t>79%</w:t>
            </w:r>
          </w:p>
        </w:tc>
        <w:tc>
          <w:tcPr>
            <w:tcW w:w="640" w:type="dxa"/>
            <w:tcBorders>
              <w:top w:val="nil"/>
              <w:left w:val="nil"/>
              <w:bottom w:val="nil"/>
              <w:right w:val="nil"/>
            </w:tcBorders>
            <w:shd w:val="clear" w:color="000000" w:fill="FFFFFF"/>
            <w:noWrap/>
            <w:hideMark/>
          </w:tcPr>
          <w:p w:rsidR="000D24A4" w:rsidP="00F2512B" w14:paraId="4EAB9FC4" w14:textId="77777777">
            <w:pPr>
              <w:spacing w:after="80"/>
              <w:jc w:val="center"/>
              <w:rPr>
                <w:color w:val="000000"/>
                <w:sz w:val="16"/>
                <w:szCs w:val="16"/>
              </w:rPr>
            </w:pPr>
            <w:r>
              <w:rPr>
                <w:color w:val="000000"/>
                <w:sz w:val="16"/>
                <w:szCs w:val="16"/>
              </w:rPr>
              <w:t>80%</w:t>
            </w:r>
          </w:p>
        </w:tc>
        <w:tc>
          <w:tcPr>
            <w:tcW w:w="640" w:type="dxa"/>
            <w:tcBorders>
              <w:top w:val="nil"/>
              <w:left w:val="nil"/>
              <w:bottom w:val="nil"/>
              <w:right w:val="nil"/>
            </w:tcBorders>
            <w:shd w:val="clear" w:color="000000" w:fill="FFFFFF"/>
            <w:noWrap/>
            <w:hideMark/>
          </w:tcPr>
          <w:p w:rsidR="000D24A4" w:rsidP="00F2512B" w14:paraId="291D076F" w14:textId="77777777">
            <w:pPr>
              <w:spacing w:after="80"/>
              <w:jc w:val="center"/>
              <w:rPr>
                <w:color w:val="000000"/>
                <w:sz w:val="16"/>
                <w:szCs w:val="16"/>
              </w:rPr>
            </w:pPr>
            <w:r>
              <w:rPr>
                <w:color w:val="000000"/>
                <w:sz w:val="16"/>
                <w:szCs w:val="16"/>
              </w:rPr>
              <w:t>82%</w:t>
            </w:r>
          </w:p>
        </w:tc>
        <w:tc>
          <w:tcPr>
            <w:tcW w:w="640" w:type="dxa"/>
            <w:tcBorders>
              <w:top w:val="nil"/>
              <w:left w:val="nil"/>
              <w:bottom w:val="nil"/>
              <w:right w:val="nil"/>
            </w:tcBorders>
            <w:shd w:val="clear" w:color="000000" w:fill="FFFFFF"/>
            <w:noWrap/>
            <w:hideMark/>
          </w:tcPr>
          <w:p w:rsidR="000D24A4" w:rsidP="00F2512B" w14:paraId="59B2F002" w14:textId="77777777">
            <w:pPr>
              <w:spacing w:after="80"/>
              <w:jc w:val="center"/>
              <w:rPr>
                <w:color w:val="000000"/>
                <w:sz w:val="16"/>
                <w:szCs w:val="16"/>
              </w:rPr>
            </w:pPr>
            <w:r>
              <w:rPr>
                <w:color w:val="000000"/>
                <w:sz w:val="16"/>
                <w:szCs w:val="16"/>
              </w:rPr>
              <w:t>85%</w:t>
            </w:r>
          </w:p>
        </w:tc>
        <w:tc>
          <w:tcPr>
            <w:tcW w:w="640" w:type="dxa"/>
            <w:tcBorders>
              <w:top w:val="nil"/>
              <w:left w:val="nil"/>
              <w:bottom w:val="nil"/>
              <w:right w:val="nil"/>
            </w:tcBorders>
            <w:shd w:val="clear" w:color="000000" w:fill="FFFFFF"/>
            <w:noWrap/>
            <w:hideMark/>
          </w:tcPr>
          <w:p w:rsidR="000D24A4" w:rsidP="00F2512B" w14:paraId="40AE6FE4" w14:textId="77777777">
            <w:pPr>
              <w:spacing w:after="80"/>
              <w:jc w:val="center"/>
              <w:rPr>
                <w:color w:val="000000"/>
                <w:sz w:val="16"/>
                <w:szCs w:val="16"/>
              </w:rPr>
            </w:pPr>
            <w:r>
              <w:rPr>
                <w:color w:val="000000"/>
                <w:sz w:val="16"/>
                <w:szCs w:val="16"/>
              </w:rPr>
              <w:t>85%</w:t>
            </w:r>
          </w:p>
        </w:tc>
        <w:tc>
          <w:tcPr>
            <w:tcW w:w="640" w:type="dxa"/>
            <w:tcBorders>
              <w:top w:val="nil"/>
              <w:left w:val="nil"/>
              <w:bottom w:val="nil"/>
              <w:right w:val="nil"/>
            </w:tcBorders>
            <w:shd w:val="clear" w:color="000000" w:fill="FFFFFF"/>
            <w:noWrap/>
            <w:hideMark/>
          </w:tcPr>
          <w:p w:rsidR="000D24A4" w:rsidP="00F2512B" w14:paraId="7F075EA2" w14:textId="77777777">
            <w:pPr>
              <w:spacing w:after="80"/>
              <w:jc w:val="center"/>
              <w:rPr>
                <w:color w:val="000000"/>
                <w:sz w:val="16"/>
                <w:szCs w:val="16"/>
              </w:rPr>
            </w:pPr>
            <w:r>
              <w:rPr>
                <w:color w:val="000000"/>
                <w:sz w:val="16"/>
                <w:szCs w:val="16"/>
              </w:rPr>
              <w:t>85%</w:t>
            </w:r>
          </w:p>
        </w:tc>
        <w:tc>
          <w:tcPr>
            <w:tcW w:w="640" w:type="dxa"/>
            <w:tcBorders>
              <w:top w:val="nil"/>
              <w:left w:val="nil"/>
              <w:bottom w:val="nil"/>
              <w:right w:val="nil"/>
            </w:tcBorders>
            <w:shd w:val="clear" w:color="000000" w:fill="FFFFFF"/>
            <w:noWrap/>
            <w:hideMark/>
          </w:tcPr>
          <w:p w:rsidR="000D24A4" w:rsidP="00F2512B" w14:paraId="58C660C4" w14:textId="77777777">
            <w:pPr>
              <w:spacing w:after="80"/>
              <w:jc w:val="center"/>
              <w:rPr>
                <w:color w:val="000000"/>
                <w:sz w:val="16"/>
                <w:szCs w:val="16"/>
              </w:rPr>
            </w:pPr>
            <w:r>
              <w:rPr>
                <w:color w:val="000000"/>
                <w:sz w:val="16"/>
                <w:szCs w:val="16"/>
              </w:rPr>
              <w:t>88%</w:t>
            </w:r>
          </w:p>
        </w:tc>
      </w:tr>
      <w:tr w14:paraId="5226BFFA" w14:textId="77777777" w:rsidTr="00F2512B">
        <w:tblPrEx>
          <w:tblW w:w="10080" w:type="dxa"/>
          <w:tblInd w:w="-360" w:type="dxa"/>
          <w:tblLook w:val="04A0"/>
        </w:tblPrEx>
        <w:trPr>
          <w:cantSplit/>
        </w:trPr>
        <w:tc>
          <w:tcPr>
            <w:tcW w:w="2260" w:type="dxa"/>
            <w:tcBorders>
              <w:top w:val="nil"/>
              <w:left w:val="nil"/>
              <w:bottom w:val="nil"/>
              <w:right w:val="nil"/>
            </w:tcBorders>
            <w:shd w:val="clear" w:color="000000" w:fill="FFFFFF"/>
            <w:hideMark/>
          </w:tcPr>
          <w:p w:rsidR="000D24A4" w:rsidP="00F2512B" w14:paraId="067C8CAC" w14:textId="5D7C9880">
            <w:pPr>
              <w:spacing w:after="80"/>
              <w:rPr>
                <w:color w:val="000000"/>
                <w:sz w:val="16"/>
                <w:szCs w:val="16"/>
              </w:rPr>
            </w:pPr>
            <w:r>
              <w:rPr>
                <w:color w:val="000000"/>
                <w:sz w:val="16"/>
                <w:szCs w:val="16"/>
              </w:rPr>
              <w:t>Av</w:t>
            </w:r>
            <w:r w:rsidR="00F2512B">
              <w:rPr>
                <w:color w:val="000000"/>
                <w:sz w:val="16"/>
                <w:szCs w:val="16"/>
              </w:rPr>
              <w:t>g.</w:t>
            </w:r>
            <w:r>
              <w:rPr>
                <w:color w:val="000000"/>
                <w:sz w:val="16"/>
                <w:szCs w:val="16"/>
              </w:rPr>
              <w:t xml:space="preserve"> Download Speed (Mbps)</w:t>
            </w:r>
          </w:p>
        </w:tc>
        <w:tc>
          <w:tcPr>
            <w:tcW w:w="640" w:type="dxa"/>
            <w:tcBorders>
              <w:top w:val="nil"/>
              <w:left w:val="nil"/>
              <w:bottom w:val="nil"/>
              <w:right w:val="nil"/>
            </w:tcBorders>
            <w:shd w:val="clear" w:color="000000" w:fill="FFFFFF"/>
            <w:noWrap/>
            <w:hideMark/>
          </w:tcPr>
          <w:p w:rsidR="000D24A4" w:rsidP="00F2512B" w14:paraId="732D5582" w14:textId="77777777">
            <w:pPr>
              <w:spacing w:after="80"/>
              <w:jc w:val="center"/>
              <w:rPr>
                <w:color w:val="000000"/>
                <w:sz w:val="16"/>
                <w:szCs w:val="16"/>
              </w:rPr>
            </w:pPr>
            <w:r>
              <w:rPr>
                <w:color w:val="000000"/>
                <w:sz w:val="16"/>
                <w:szCs w:val="16"/>
              </w:rPr>
              <w:t>12</w:t>
            </w:r>
          </w:p>
        </w:tc>
        <w:tc>
          <w:tcPr>
            <w:tcW w:w="640" w:type="dxa"/>
            <w:tcBorders>
              <w:top w:val="nil"/>
              <w:left w:val="nil"/>
              <w:bottom w:val="nil"/>
              <w:right w:val="nil"/>
            </w:tcBorders>
            <w:shd w:val="clear" w:color="000000" w:fill="FFFFFF"/>
            <w:noWrap/>
            <w:hideMark/>
          </w:tcPr>
          <w:p w:rsidR="000D24A4" w:rsidP="00F2512B" w14:paraId="2D3650D1" w14:textId="77777777">
            <w:pPr>
              <w:spacing w:after="80"/>
              <w:jc w:val="center"/>
              <w:rPr>
                <w:color w:val="000000"/>
                <w:sz w:val="16"/>
                <w:szCs w:val="16"/>
              </w:rPr>
            </w:pPr>
            <w:r>
              <w:rPr>
                <w:color w:val="000000"/>
                <w:sz w:val="16"/>
                <w:szCs w:val="16"/>
              </w:rPr>
              <w:t>12</w:t>
            </w:r>
          </w:p>
        </w:tc>
        <w:tc>
          <w:tcPr>
            <w:tcW w:w="640" w:type="dxa"/>
            <w:tcBorders>
              <w:top w:val="nil"/>
              <w:left w:val="nil"/>
              <w:bottom w:val="nil"/>
              <w:right w:val="nil"/>
            </w:tcBorders>
            <w:shd w:val="clear" w:color="000000" w:fill="FFFFFF"/>
            <w:noWrap/>
            <w:hideMark/>
          </w:tcPr>
          <w:p w:rsidR="000D24A4" w:rsidP="00F2512B" w14:paraId="17C72DAE" w14:textId="77777777">
            <w:pPr>
              <w:spacing w:after="80"/>
              <w:jc w:val="center"/>
              <w:rPr>
                <w:color w:val="000000"/>
                <w:sz w:val="16"/>
                <w:szCs w:val="16"/>
              </w:rPr>
            </w:pPr>
            <w:r>
              <w:rPr>
                <w:color w:val="000000"/>
                <w:sz w:val="16"/>
                <w:szCs w:val="16"/>
              </w:rPr>
              <w:t>12</w:t>
            </w:r>
          </w:p>
        </w:tc>
        <w:tc>
          <w:tcPr>
            <w:tcW w:w="640" w:type="dxa"/>
            <w:tcBorders>
              <w:top w:val="nil"/>
              <w:left w:val="nil"/>
              <w:bottom w:val="nil"/>
              <w:right w:val="nil"/>
            </w:tcBorders>
            <w:shd w:val="clear" w:color="000000" w:fill="FFFFFF"/>
            <w:noWrap/>
            <w:hideMark/>
          </w:tcPr>
          <w:p w:rsidR="000D24A4" w:rsidP="00F2512B" w14:paraId="4F303830" w14:textId="77777777">
            <w:pPr>
              <w:spacing w:after="80"/>
              <w:jc w:val="center"/>
              <w:rPr>
                <w:color w:val="000000"/>
                <w:sz w:val="16"/>
                <w:szCs w:val="16"/>
              </w:rPr>
            </w:pPr>
            <w:r>
              <w:rPr>
                <w:color w:val="000000"/>
                <w:sz w:val="16"/>
                <w:szCs w:val="16"/>
              </w:rPr>
              <w:t>12</w:t>
            </w:r>
          </w:p>
        </w:tc>
        <w:tc>
          <w:tcPr>
            <w:tcW w:w="640" w:type="dxa"/>
            <w:tcBorders>
              <w:top w:val="nil"/>
              <w:left w:val="nil"/>
              <w:bottom w:val="nil"/>
              <w:right w:val="nil"/>
            </w:tcBorders>
            <w:shd w:val="clear" w:color="000000" w:fill="FFFFFF"/>
            <w:noWrap/>
            <w:hideMark/>
          </w:tcPr>
          <w:p w:rsidR="000D24A4" w:rsidP="00F2512B" w14:paraId="07E86A53" w14:textId="77777777">
            <w:pPr>
              <w:spacing w:after="80"/>
              <w:jc w:val="center"/>
              <w:rPr>
                <w:color w:val="000000"/>
                <w:sz w:val="16"/>
                <w:szCs w:val="16"/>
              </w:rPr>
            </w:pPr>
            <w:r>
              <w:rPr>
                <w:color w:val="000000"/>
                <w:sz w:val="16"/>
                <w:szCs w:val="16"/>
              </w:rPr>
              <w:t>10</w:t>
            </w:r>
          </w:p>
        </w:tc>
        <w:tc>
          <w:tcPr>
            <w:tcW w:w="640" w:type="dxa"/>
            <w:tcBorders>
              <w:top w:val="nil"/>
              <w:left w:val="nil"/>
              <w:bottom w:val="nil"/>
              <w:right w:val="nil"/>
            </w:tcBorders>
            <w:shd w:val="clear" w:color="000000" w:fill="FFFFFF"/>
            <w:noWrap/>
            <w:hideMark/>
          </w:tcPr>
          <w:p w:rsidR="000D24A4" w:rsidP="00F2512B" w14:paraId="7A43A04E" w14:textId="77777777">
            <w:pPr>
              <w:spacing w:after="80"/>
              <w:jc w:val="center"/>
              <w:rPr>
                <w:color w:val="000000"/>
                <w:sz w:val="16"/>
                <w:szCs w:val="16"/>
              </w:rPr>
            </w:pPr>
            <w:r>
              <w:rPr>
                <w:color w:val="000000"/>
                <w:sz w:val="16"/>
                <w:szCs w:val="16"/>
              </w:rPr>
              <w:t>10</w:t>
            </w:r>
          </w:p>
        </w:tc>
        <w:tc>
          <w:tcPr>
            <w:tcW w:w="640" w:type="dxa"/>
            <w:tcBorders>
              <w:top w:val="nil"/>
              <w:left w:val="nil"/>
              <w:bottom w:val="nil"/>
              <w:right w:val="nil"/>
            </w:tcBorders>
            <w:shd w:val="clear" w:color="000000" w:fill="FFFFFF"/>
            <w:noWrap/>
            <w:hideMark/>
          </w:tcPr>
          <w:p w:rsidR="000D24A4" w:rsidP="00F2512B" w14:paraId="0F69CC58" w14:textId="77777777">
            <w:pPr>
              <w:spacing w:after="80"/>
              <w:jc w:val="center"/>
              <w:rPr>
                <w:color w:val="000000"/>
                <w:sz w:val="16"/>
                <w:szCs w:val="16"/>
              </w:rPr>
            </w:pPr>
            <w:r>
              <w:rPr>
                <w:color w:val="000000"/>
                <w:sz w:val="16"/>
                <w:szCs w:val="16"/>
              </w:rPr>
              <w:t>10</w:t>
            </w:r>
          </w:p>
        </w:tc>
        <w:tc>
          <w:tcPr>
            <w:tcW w:w="640" w:type="dxa"/>
            <w:tcBorders>
              <w:top w:val="nil"/>
              <w:left w:val="nil"/>
              <w:bottom w:val="nil"/>
              <w:right w:val="nil"/>
            </w:tcBorders>
            <w:shd w:val="clear" w:color="000000" w:fill="FFFFFF"/>
            <w:noWrap/>
            <w:hideMark/>
          </w:tcPr>
          <w:p w:rsidR="000D24A4" w:rsidP="00F2512B" w14:paraId="68D1171F" w14:textId="77777777">
            <w:pPr>
              <w:spacing w:after="80"/>
              <w:jc w:val="center"/>
              <w:rPr>
                <w:color w:val="000000"/>
                <w:sz w:val="16"/>
                <w:szCs w:val="16"/>
              </w:rPr>
            </w:pPr>
            <w:r>
              <w:rPr>
                <w:color w:val="000000"/>
                <w:sz w:val="16"/>
                <w:szCs w:val="16"/>
              </w:rPr>
              <w:t>9.0</w:t>
            </w:r>
          </w:p>
        </w:tc>
        <w:tc>
          <w:tcPr>
            <w:tcW w:w="640" w:type="dxa"/>
            <w:tcBorders>
              <w:top w:val="nil"/>
              <w:left w:val="nil"/>
              <w:bottom w:val="nil"/>
              <w:right w:val="nil"/>
            </w:tcBorders>
            <w:shd w:val="clear" w:color="000000" w:fill="FFFFFF"/>
            <w:noWrap/>
            <w:hideMark/>
          </w:tcPr>
          <w:p w:rsidR="000D24A4" w:rsidP="00F2512B" w14:paraId="3870E138" w14:textId="77777777">
            <w:pPr>
              <w:spacing w:after="80"/>
              <w:jc w:val="center"/>
              <w:rPr>
                <w:color w:val="000000"/>
                <w:sz w:val="16"/>
                <w:szCs w:val="16"/>
              </w:rPr>
            </w:pPr>
            <w:r>
              <w:rPr>
                <w:color w:val="000000"/>
                <w:sz w:val="16"/>
                <w:szCs w:val="16"/>
              </w:rPr>
              <w:t>8.8</w:t>
            </w:r>
          </w:p>
        </w:tc>
        <w:tc>
          <w:tcPr>
            <w:tcW w:w="640" w:type="dxa"/>
            <w:tcBorders>
              <w:top w:val="nil"/>
              <w:left w:val="nil"/>
              <w:bottom w:val="nil"/>
              <w:right w:val="nil"/>
            </w:tcBorders>
            <w:shd w:val="clear" w:color="000000" w:fill="FFFFFF"/>
            <w:noWrap/>
            <w:hideMark/>
          </w:tcPr>
          <w:p w:rsidR="000D24A4" w:rsidP="00F2512B" w14:paraId="5D7CFCD4" w14:textId="77777777">
            <w:pPr>
              <w:spacing w:after="80"/>
              <w:jc w:val="center"/>
              <w:rPr>
                <w:color w:val="000000"/>
                <w:sz w:val="16"/>
                <w:szCs w:val="16"/>
              </w:rPr>
            </w:pPr>
            <w:r>
              <w:rPr>
                <w:color w:val="000000"/>
                <w:sz w:val="16"/>
                <w:szCs w:val="16"/>
              </w:rPr>
              <w:t>8.7</w:t>
            </w:r>
          </w:p>
        </w:tc>
        <w:tc>
          <w:tcPr>
            <w:tcW w:w="640" w:type="dxa"/>
            <w:tcBorders>
              <w:top w:val="nil"/>
              <w:left w:val="nil"/>
              <w:bottom w:val="nil"/>
              <w:right w:val="nil"/>
            </w:tcBorders>
            <w:shd w:val="clear" w:color="000000" w:fill="FFFFFF"/>
            <w:noWrap/>
            <w:hideMark/>
          </w:tcPr>
          <w:p w:rsidR="000D24A4" w:rsidP="00F2512B" w14:paraId="1EFC48E7" w14:textId="77777777">
            <w:pPr>
              <w:spacing w:after="80"/>
              <w:jc w:val="center"/>
              <w:rPr>
                <w:color w:val="000000"/>
                <w:sz w:val="16"/>
                <w:szCs w:val="16"/>
              </w:rPr>
            </w:pPr>
            <w:r>
              <w:rPr>
                <w:color w:val="000000"/>
                <w:sz w:val="16"/>
                <w:szCs w:val="16"/>
              </w:rPr>
              <w:t>8.4</w:t>
            </w:r>
          </w:p>
        </w:tc>
        <w:tc>
          <w:tcPr>
            <w:tcW w:w="640" w:type="dxa"/>
            <w:tcBorders>
              <w:top w:val="nil"/>
              <w:left w:val="nil"/>
              <w:bottom w:val="nil"/>
              <w:right w:val="nil"/>
            </w:tcBorders>
            <w:shd w:val="clear" w:color="000000" w:fill="FFFFFF"/>
            <w:noWrap/>
            <w:hideMark/>
          </w:tcPr>
          <w:p w:rsidR="000D24A4" w:rsidP="00F2512B" w14:paraId="4F85915F" w14:textId="77777777">
            <w:pPr>
              <w:spacing w:after="80"/>
              <w:jc w:val="center"/>
              <w:rPr>
                <w:color w:val="000000"/>
                <w:sz w:val="16"/>
                <w:szCs w:val="16"/>
              </w:rPr>
            </w:pPr>
            <w:r>
              <w:rPr>
                <w:color w:val="000000"/>
                <w:sz w:val="16"/>
                <w:szCs w:val="16"/>
              </w:rPr>
              <w:t>7.9</w:t>
            </w:r>
          </w:p>
        </w:tc>
      </w:tr>
      <w:tr w14:paraId="47B8392B" w14:textId="77777777" w:rsidTr="00F2512B">
        <w:tblPrEx>
          <w:tblW w:w="10080" w:type="dxa"/>
          <w:tblInd w:w="-360" w:type="dxa"/>
          <w:tblLook w:val="04A0"/>
        </w:tblPrEx>
        <w:trPr>
          <w:cantSplit/>
        </w:trPr>
        <w:tc>
          <w:tcPr>
            <w:tcW w:w="2260" w:type="dxa"/>
            <w:tcBorders>
              <w:top w:val="nil"/>
              <w:left w:val="nil"/>
              <w:bottom w:val="nil"/>
              <w:right w:val="nil"/>
            </w:tcBorders>
            <w:shd w:val="clear" w:color="000000" w:fill="FFFFFF"/>
            <w:hideMark/>
          </w:tcPr>
          <w:p w:rsidR="000D24A4" w:rsidP="00F2512B" w14:paraId="339FCB30" w14:textId="0C0C5A13">
            <w:pPr>
              <w:spacing w:after="80"/>
              <w:rPr>
                <w:color w:val="000000"/>
                <w:sz w:val="16"/>
                <w:szCs w:val="16"/>
              </w:rPr>
            </w:pPr>
            <w:r>
              <w:rPr>
                <w:color w:val="000000"/>
                <w:sz w:val="16"/>
                <w:szCs w:val="16"/>
              </w:rPr>
              <w:t>Av</w:t>
            </w:r>
            <w:r w:rsidR="00F2512B">
              <w:rPr>
                <w:color w:val="000000"/>
                <w:sz w:val="16"/>
                <w:szCs w:val="16"/>
              </w:rPr>
              <w:t>g.</w:t>
            </w:r>
            <w:r>
              <w:rPr>
                <w:color w:val="000000"/>
                <w:sz w:val="16"/>
                <w:szCs w:val="16"/>
              </w:rPr>
              <w:t xml:space="preserve"> Tower Height (Meters)</w:t>
            </w:r>
          </w:p>
        </w:tc>
        <w:tc>
          <w:tcPr>
            <w:tcW w:w="640" w:type="dxa"/>
            <w:tcBorders>
              <w:top w:val="nil"/>
              <w:left w:val="nil"/>
              <w:bottom w:val="nil"/>
              <w:right w:val="nil"/>
            </w:tcBorders>
            <w:shd w:val="clear" w:color="000000" w:fill="FFFFFF"/>
            <w:noWrap/>
            <w:hideMark/>
          </w:tcPr>
          <w:p w:rsidR="000D24A4" w:rsidP="00F2512B" w14:paraId="1442C376" w14:textId="77777777">
            <w:pPr>
              <w:spacing w:after="80"/>
              <w:jc w:val="center"/>
              <w:rPr>
                <w:color w:val="000000"/>
                <w:sz w:val="16"/>
                <w:szCs w:val="16"/>
              </w:rPr>
            </w:pPr>
            <w:r>
              <w:rPr>
                <w:color w:val="000000"/>
                <w:sz w:val="16"/>
                <w:szCs w:val="16"/>
              </w:rPr>
              <w:t>70</w:t>
            </w:r>
          </w:p>
        </w:tc>
        <w:tc>
          <w:tcPr>
            <w:tcW w:w="640" w:type="dxa"/>
            <w:tcBorders>
              <w:top w:val="nil"/>
              <w:left w:val="nil"/>
              <w:bottom w:val="nil"/>
              <w:right w:val="nil"/>
            </w:tcBorders>
            <w:shd w:val="clear" w:color="000000" w:fill="FFFFFF"/>
            <w:noWrap/>
            <w:hideMark/>
          </w:tcPr>
          <w:p w:rsidR="000D24A4" w:rsidP="00F2512B" w14:paraId="6051433B" w14:textId="77777777">
            <w:pPr>
              <w:spacing w:after="80"/>
              <w:jc w:val="center"/>
              <w:rPr>
                <w:color w:val="000000"/>
                <w:sz w:val="16"/>
                <w:szCs w:val="16"/>
              </w:rPr>
            </w:pPr>
            <w:r>
              <w:rPr>
                <w:color w:val="000000"/>
                <w:sz w:val="16"/>
                <w:szCs w:val="16"/>
              </w:rPr>
              <w:t>79</w:t>
            </w:r>
          </w:p>
        </w:tc>
        <w:tc>
          <w:tcPr>
            <w:tcW w:w="640" w:type="dxa"/>
            <w:tcBorders>
              <w:top w:val="nil"/>
              <w:left w:val="nil"/>
              <w:bottom w:val="nil"/>
              <w:right w:val="nil"/>
            </w:tcBorders>
            <w:shd w:val="clear" w:color="000000" w:fill="FFFFFF"/>
            <w:noWrap/>
            <w:hideMark/>
          </w:tcPr>
          <w:p w:rsidR="000D24A4" w:rsidP="00F2512B" w14:paraId="288D2592" w14:textId="77777777">
            <w:pPr>
              <w:spacing w:after="80"/>
              <w:jc w:val="center"/>
              <w:rPr>
                <w:color w:val="000000"/>
                <w:sz w:val="16"/>
                <w:szCs w:val="16"/>
              </w:rPr>
            </w:pPr>
            <w:r>
              <w:rPr>
                <w:color w:val="000000"/>
                <w:sz w:val="16"/>
                <w:szCs w:val="16"/>
              </w:rPr>
              <w:t>82</w:t>
            </w:r>
          </w:p>
        </w:tc>
        <w:tc>
          <w:tcPr>
            <w:tcW w:w="640" w:type="dxa"/>
            <w:tcBorders>
              <w:top w:val="nil"/>
              <w:left w:val="nil"/>
              <w:bottom w:val="nil"/>
              <w:right w:val="nil"/>
            </w:tcBorders>
            <w:shd w:val="clear" w:color="000000" w:fill="FFFFFF"/>
            <w:noWrap/>
            <w:hideMark/>
          </w:tcPr>
          <w:p w:rsidR="000D24A4" w:rsidP="00F2512B" w14:paraId="49E72489" w14:textId="77777777">
            <w:pPr>
              <w:spacing w:after="80"/>
              <w:jc w:val="center"/>
              <w:rPr>
                <w:color w:val="000000"/>
                <w:sz w:val="16"/>
                <w:szCs w:val="16"/>
              </w:rPr>
            </w:pPr>
            <w:r>
              <w:rPr>
                <w:color w:val="000000"/>
                <w:sz w:val="16"/>
                <w:szCs w:val="16"/>
              </w:rPr>
              <w:t>85</w:t>
            </w:r>
          </w:p>
        </w:tc>
        <w:tc>
          <w:tcPr>
            <w:tcW w:w="640" w:type="dxa"/>
            <w:tcBorders>
              <w:top w:val="nil"/>
              <w:left w:val="nil"/>
              <w:bottom w:val="nil"/>
              <w:right w:val="nil"/>
            </w:tcBorders>
            <w:shd w:val="clear" w:color="000000" w:fill="FFFFFF"/>
            <w:noWrap/>
            <w:hideMark/>
          </w:tcPr>
          <w:p w:rsidR="000D24A4" w:rsidP="00F2512B" w14:paraId="43717516" w14:textId="77777777">
            <w:pPr>
              <w:spacing w:after="80"/>
              <w:jc w:val="center"/>
              <w:rPr>
                <w:color w:val="000000"/>
                <w:sz w:val="16"/>
                <w:szCs w:val="16"/>
              </w:rPr>
            </w:pPr>
            <w:r>
              <w:rPr>
                <w:color w:val="000000"/>
                <w:sz w:val="16"/>
                <w:szCs w:val="16"/>
              </w:rPr>
              <w:t>47</w:t>
            </w:r>
          </w:p>
        </w:tc>
        <w:tc>
          <w:tcPr>
            <w:tcW w:w="640" w:type="dxa"/>
            <w:tcBorders>
              <w:top w:val="nil"/>
              <w:left w:val="nil"/>
              <w:bottom w:val="nil"/>
              <w:right w:val="nil"/>
            </w:tcBorders>
            <w:shd w:val="clear" w:color="000000" w:fill="FFFFFF"/>
            <w:noWrap/>
            <w:hideMark/>
          </w:tcPr>
          <w:p w:rsidR="000D24A4" w:rsidP="00F2512B" w14:paraId="72A5943F" w14:textId="77777777">
            <w:pPr>
              <w:spacing w:after="80"/>
              <w:jc w:val="center"/>
              <w:rPr>
                <w:color w:val="000000"/>
                <w:sz w:val="16"/>
                <w:szCs w:val="16"/>
              </w:rPr>
            </w:pPr>
            <w:r>
              <w:rPr>
                <w:color w:val="000000"/>
                <w:sz w:val="16"/>
                <w:szCs w:val="16"/>
              </w:rPr>
              <w:t>49</w:t>
            </w:r>
          </w:p>
        </w:tc>
        <w:tc>
          <w:tcPr>
            <w:tcW w:w="640" w:type="dxa"/>
            <w:tcBorders>
              <w:top w:val="nil"/>
              <w:left w:val="nil"/>
              <w:bottom w:val="nil"/>
              <w:right w:val="nil"/>
            </w:tcBorders>
            <w:shd w:val="clear" w:color="000000" w:fill="FFFFFF"/>
            <w:noWrap/>
            <w:hideMark/>
          </w:tcPr>
          <w:p w:rsidR="000D24A4" w:rsidP="00F2512B" w14:paraId="55352B1F" w14:textId="77777777">
            <w:pPr>
              <w:spacing w:after="80"/>
              <w:jc w:val="center"/>
              <w:rPr>
                <w:color w:val="000000"/>
                <w:sz w:val="16"/>
                <w:szCs w:val="16"/>
              </w:rPr>
            </w:pPr>
            <w:r>
              <w:rPr>
                <w:color w:val="000000"/>
                <w:sz w:val="16"/>
                <w:szCs w:val="16"/>
              </w:rPr>
              <w:t>47</w:t>
            </w:r>
          </w:p>
        </w:tc>
        <w:tc>
          <w:tcPr>
            <w:tcW w:w="640" w:type="dxa"/>
            <w:tcBorders>
              <w:top w:val="nil"/>
              <w:left w:val="nil"/>
              <w:bottom w:val="nil"/>
              <w:right w:val="nil"/>
            </w:tcBorders>
            <w:shd w:val="clear" w:color="000000" w:fill="FFFFFF"/>
            <w:noWrap/>
            <w:hideMark/>
          </w:tcPr>
          <w:p w:rsidR="000D24A4" w:rsidP="00F2512B" w14:paraId="73C43660" w14:textId="77777777">
            <w:pPr>
              <w:spacing w:after="80"/>
              <w:jc w:val="center"/>
              <w:rPr>
                <w:color w:val="000000"/>
                <w:sz w:val="16"/>
                <w:szCs w:val="16"/>
              </w:rPr>
            </w:pPr>
            <w:r>
              <w:rPr>
                <w:color w:val="000000"/>
                <w:sz w:val="16"/>
                <w:szCs w:val="16"/>
              </w:rPr>
              <w:t>43</w:t>
            </w:r>
          </w:p>
        </w:tc>
        <w:tc>
          <w:tcPr>
            <w:tcW w:w="640" w:type="dxa"/>
            <w:tcBorders>
              <w:top w:val="nil"/>
              <w:left w:val="nil"/>
              <w:bottom w:val="nil"/>
              <w:right w:val="nil"/>
            </w:tcBorders>
            <w:shd w:val="clear" w:color="000000" w:fill="FFFFFF"/>
            <w:noWrap/>
            <w:hideMark/>
          </w:tcPr>
          <w:p w:rsidR="000D24A4" w:rsidP="00F2512B" w14:paraId="4966F337" w14:textId="77777777">
            <w:pPr>
              <w:spacing w:after="80"/>
              <w:jc w:val="center"/>
              <w:rPr>
                <w:color w:val="000000"/>
                <w:sz w:val="16"/>
                <w:szCs w:val="16"/>
              </w:rPr>
            </w:pPr>
            <w:r>
              <w:rPr>
                <w:color w:val="000000"/>
                <w:sz w:val="16"/>
                <w:szCs w:val="16"/>
              </w:rPr>
              <w:t>32</w:t>
            </w:r>
          </w:p>
        </w:tc>
        <w:tc>
          <w:tcPr>
            <w:tcW w:w="640" w:type="dxa"/>
            <w:tcBorders>
              <w:top w:val="nil"/>
              <w:left w:val="nil"/>
              <w:bottom w:val="nil"/>
              <w:right w:val="nil"/>
            </w:tcBorders>
            <w:shd w:val="clear" w:color="000000" w:fill="FFFFFF"/>
            <w:noWrap/>
            <w:hideMark/>
          </w:tcPr>
          <w:p w:rsidR="000D24A4" w:rsidP="00F2512B" w14:paraId="0D8D6604" w14:textId="77777777">
            <w:pPr>
              <w:spacing w:after="80"/>
              <w:jc w:val="center"/>
              <w:rPr>
                <w:color w:val="000000"/>
                <w:sz w:val="16"/>
                <w:szCs w:val="16"/>
              </w:rPr>
            </w:pPr>
            <w:r>
              <w:rPr>
                <w:color w:val="000000"/>
                <w:sz w:val="16"/>
                <w:szCs w:val="16"/>
              </w:rPr>
              <w:t>31</w:t>
            </w:r>
          </w:p>
        </w:tc>
        <w:tc>
          <w:tcPr>
            <w:tcW w:w="640" w:type="dxa"/>
            <w:tcBorders>
              <w:top w:val="nil"/>
              <w:left w:val="nil"/>
              <w:bottom w:val="nil"/>
              <w:right w:val="nil"/>
            </w:tcBorders>
            <w:shd w:val="clear" w:color="000000" w:fill="FFFFFF"/>
            <w:noWrap/>
            <w:hideMark/>
          </w:tcPr>
          <w:p w:rsidR="000D24A4" w:rsidP="00F2512B" w14:paraId="048F638D" w14:textId="77777777">
            <w:pPr>
              <w:spacing w:after="80"/>
              <w:jc w:val="center"/>
              <w:rPr>
                <w:color w:val="000000"/>
                <w:sz w:val="16"/>
                <w:szCs w:val="16"/>
              </w:rPr>
            </w:pPr>
            <w:r>
              <w:rPr>
                <w:color w:val="000000"/>
                <w:sz w:val="16"/>
                <w:szCs w:val="16"/>
              </w:rPr>
              <w:t>30</w:t>
            </w:r>
          </w:p>
        </w:tc>
        <w:tc>
          <w:tcPr>
            <w:tcW w:w="640" w:type="dxa"/>
            <w:tcBorders>
              <w:top w:val="nil"/>
              <w:left w:val="nil"/>
              <w:bottom w:val="nil"/>
              <w:right w:val="nil"/>
            </w:tcBorders>
            <w:shd w:val="clear" w:color="000000" w:fill="FFFFFF"/>
            <w:noWrap/>
            <w:hideMark/>
          </w:tcPr>
          <w:p w:rsidR="000D24A4" w:rsidP="00F2512B" w14:paraId="0BEABF44" w14:textId="77777777">
            <w:pPr>
              <w:spacing w:after="80"/>
              <w:jc w:val="center"/>
              <w:rPr>
                <w:color w:val="000000"/>
                <w:sz w:val="16"/>
                <w:szCs w:val="16"/>
              </w:rPr>
            </w:pPr>
            <w:r>
              <w:rPr>
                <w:color w:val="000000"/>
                <w:sz w:val="16"/>
                <w:szCs w:val="16"/>
              </w:rPr>
              <w:t>30</w:t>
            </w:r>
          </w:p>
        </w:tc>
      </w:tr>
      <w:tr w14:paraId="04FF9228" w14:textId="77777777" w:rsidTr="00F2512B">
        <w:tblPrEx>
          <w:tblW w:w="10080" w:type="dxa"/>
          <w:tblInd w:w="-360" w:type="dxa"/>
          <w:tblLook w:val="04A0"/>
        </w:tblPrEx>
        <w:trPr>
          <w:cantSplit/>
        </w:trPr>
        <w:tc>
          <w:tcPr>
            <w:tcW w:w="2260" w:type="dxa"/>
            <w:tcBorders>
              <w:top w:val="single" w:sz="4" w:space="0" w:color="auto"/>
              <w:left w:val="nil"/>
              <w:bottom w:val="double" w:sz="6" w:space="0" w:color="auto"/>
              <w:right w:val="nil"/>
            </w:tcBorders>
            <w:shd w:val="clear" w:color="000000" w:fill="FFFFFF"/>
            <w:hideMark/>
          </w:tcPr>
          <w:p w:rsidR="000D24A4" w:rsidP="000D24A4" w14:paraId="0175F992" w14:textId="77777777">
            <w:pPr>
              <w:rPr>
                <w:color w:val="000000"/>
                <w:sz w:val="16"/>
                <w:szCs w:val="16"/>
              </w:rPr>
            </w:pPr>
            <w:r>
              <w:rPr>
                <w:color w:val="000000"/>
                <w:sz w:val="16"/>
                <w:szCs w:val="16"/>
              </w:rPr>
              <w:t>Number of Observations</w:t>
            </w:r>
          </w:p>
        </w:tc>
        <w:tc>
          <w:tcPr>
            <w:tcW w:w="640" w:type="dxa"/>
            <w:tcBorders>
              <w:top w:val="single" w:sz="4" w:space="0" w:color="auto"/>
              <w:left w:val="nil"/>
              <w:bottom w:val="double" w:sz="6" w:space="0" w:color="auto"/>
              <w:right w:val="nil"/>
            </w:tcBorders>
            <w:shd w:val="clear" w:color="000000" w:fill="FFFFFF"/>
            <w:hideMark/>
          </w:tcPr>
          <w:p w:rsidR="000D24A4" w:rsidP="000D24A4" w14:paraId="25F40C70" w14:textId="77777777">
            <w:pPr>
              <w:jc w:val="center"/>
              <w:rPr>
                <w:color w:val="000000"/>
                <w:sz w:val="16"/>
                <w:szCs w:val="16"/>
              </w:rPr>
            </w:pPr>
            <w:r>
              <w:rPr>
                <w:color w:val="000000"/>
                <w:sz w:val="16"/>
                <w:szCs w:val="16"/>
              </w:rPr>
              <w:t>7,702</w:t>
            </w:r>
          </w:p>
        </w:tc>
        <w:tc>
          <w:tcPr>
            <w:tcW w:w="640" w:type="dxa"/>
            <w:tcBorders>
              <w:top w:val="single" w:sz="4" w:space="0" w:color="auto"/>
              <w:left w:val="nil"/>
              <w:bottom w:val="double" w:sz="6" w:space="0" w:color="auto"/>
              <w:right w:val="nil"/>
            </w:tcBorders>
            <w:shd w:val="clear" w:color="000000" w:fill="FFFFFF"/>
            <w:hideMark/>
          </w:tcPr>
          <w:p w:rsidR="000D24A4" w:rsidP="000D24A4" w14:paraId="1E8DF996" w14:textId="77777777">
            <w:pPr>
              <w:jc w:val="center"/>
              <w:rPr>
                <w:color w:val="000000"/>
                <w:sz w:val="16"/>
                <w:szCs w:val="16"/>
              </w:rPr>
            </w:pPr>
            <w:r>
              <w:rPr>
                <w:color w:val="000000"/>
                <w:sz w:val="16"/>
                <w:szCs w:val="16"/>
              </w:rPr>
              <w:t>4,767</w:t>
            </w:r>
          </w:p>
        </w:tc>
        <w:tc>
          <w:tcPr>
            <w:tcW w:w="640" w:type="dxa"/>
            <w:tcBorders>
              <w:top w:val="single" w:sz="4" w:space="0" w:color="auto"/>
              <w:left w:val="nil"/>
              <w:bottom w:val="double" w:sz="6" w:space="0" w:color="auto"/>
              <w:right w:val="nil"/>
            </w:tcBorders>
            <w:shd w:val="clear" w:color="000000" w:fill="FFFFFF"/>
            <w:hideMark/>
          </w:tcPr>
          <w:p w:rsidR="000D24A4" w:rsidP="000D24A4" w14:paraId="47ACA6C0" w14:textId="77777777">
            <w:pPr>
              <w:jc w:val="center"/>
              <w:rPr>
                <w:color w:val="000000"/>
                <w:sz w:val="16"/>
                <w:szCs w:val="16"/>
              </w:rPr>
            </w:pPr>
            <w:r>
              <w:rPr>
                <w:color w:val="000000"/>
                <w:sz w:val="16"/>
                <w:szCs w:val="16"/>
              </w:rPr>
              <w:t>3,198</w:t>
            </w:r>
          </w:p>
        </w:tc>
        <w:tc>
          <w:tcPr>
            <w:tcW w:w="640" w:type="dxa"/>
            <w:tcBorders>
              <w:top w:val="single" w:sz="4" w:space="0" w:color="auto"/>
              <w:left w:val="nil"/>
              <w:bottom w:val="double" w:sz="6" w:space="0" w:color="auto"/>
              <w:right w:val="nil"/>
            </w:tcBorders>
            <w:shd w:val="clear" w:color="000000" w:fill="FFFFFF"/>
            <w:hideMark/>
          </w:tcPr>
          <w:p w:rsidR="000D24A4" w:rsidP="000D24A4" w14:paraId="4585FF3C" w14:textId="77777777">
            <w:pPr>
              <w:jc w:val="center"/>
              <w:rPr>
                <w:color w:val="000000"/>
                <w:sz w:val="16"/>
                <w:szCs w:val="16"/>
              </w:rPr>
            </w:pPr>
            <w:r>
              <w:rPr>
                <w:color w:val="000000"/>
                <w:sz w:val="16"/>
                <w:szCs w:val="16"/>
              </w:rPr>
              <w:t>1,294</w:t>
            </w:r>
          </w:p>
        </w:tc>
        <w:tc>
          <w:tcPr>
            <w:tcW w:w="640" w:type="dxa"/>
            <w:tcBorders>
              <w:top w:val="single" w:sz="4" w:space="0" w:color="auto"/>
              <w:left w:val="nil"/>
              <w:bottom w:val="double" w:sz="6" w:space="0" w:color="auto"/>
              <w:right w:val="nil"/>
            </w:tcBorders>
            <w:shd w:val="clear" w:color="000000" w:fill="FFFFFF"/>
            <w:hideMark/>
          </w:tcPr>
          <w:p w:rsidR="000D24A4" w:rsidP="000D24A4" w14:paraId="409D7D1C" w14:textId="77777777">
            <w:pPr>
              <w:jc w:val="center"/>
              <w:rPr>
                <w:color w:val="000000"/>
                <w:sz w:val="16"/>
                <w:szCs w:val="16"/>
              </w:rPr>
            </w:pPr>
            <w:r>
              <w:rPr>
                <w:color w:val="000000"/>
                <w:sz w:val="16"/>
                <w:szCs w:val="16"/>
              </w:rPr>
              <w:t>1,325</w:t>
            </w:r>
          </w:p>
        </w:tc>
        <w:tc>
          <w:tcPr>
            <w:tcW w:w="640" w:type="dxa"/>
            <w:tcBorders>
              <w:top w:val="single" w:sz="4" w:space="0" w:color="auto"/>
              <w:left w:val="nil"/>
              <w:bottom w:val="double" w:sz="6" w:space="0" w:color="auto"/>
              <w:right w:val="nil"/>
            </w:tcBorders>
            <w:shd w:val="clear" w:color="000000" w:fill="FFFFFF"/>
            <w:hideMark/>
          </w:tcPr>
          <w:p w:rsidR="000D24A4" w:rsidP="000D24A4" w14:paraId="74D56C9E" w14:textId="77777777">
            <w:pPr>
              <w:jc w:val="center"/>
              <w:rPr>
                <w:color w:val="000000"/>
                <w:sz w:val="16"/>
                <w:szCs w:val="16"/>
              </w:rPr>
            </w:pPr>
            <w:r>
              <w:rPr>
                <w:color w:val="000000"/>
                <w:sz w:val="16"/>
                <w:szCs w:val="16"/>
              </w:rPr>
              <w:t>915</w:t>
            </w:r>
          </w:p>
        </w:tc>
        <w:tc>
          <w:tcPr>
            <w:tcW w:w="640" w:type="dxa"/>
            <w:tcBorders>
              <w:top w:val="single" w:sz="4" w:space="0" w:color="auto"/>
              <w:left w:val="nil"/>
              <w:bottom w:val="double" w:sz="6" w:space="0" w:color="auto"/>
              <w:right w:val="nil"/>
            </w:tcBorders>
            <w:shd w:val="clear" w:color="000000" w:fill="FFFFFF"/>
            <w:hideMark/>
          </w:tcPr>
          <w:p w:rsidR="000D24A4" w:rsidP="000D24A4" w14:paraId="3AB4D43F" w14:textId="77777777">
            <w:pPr>
              <w:jc w:val="center"/>
              <w:rPr>
                <w:color w:val="000000"/>
                <w:sz w:val="16"/>
                <w:szCs w:val="16"/>
              </w:rPr>
            </w:pPr>
            <w:r>
              <w:rPr>
                <w:color w:val="000000"/>
                <w:sz w:val="16"/>
                <w:szCs w:val="16"/>
              </w:rPr>
              <w:t>593</w:t>
            </w:r>
          </w:p>
        </w:tc>
        <w:tc>
          <w:tcPr>
            <w:tcW w:w="640" w:type="dxa"/>
            <w:tcBorders>
              <w:top w:val="single" w:sz="4" w:space="0" w:color="auto"/>
              <w:left w:val="nil"/>
              <w:bottom w:val="double" w:sz="6" w:space="0" w:color="auto"/>
              <w:right w:val="nil"/>
            </w:tcBorders>
            <w:shd w:val="clear" w:color="000000" w:fill="FFFFFF"/>
            <w:hideMark/>
          </w:tcPr>
          <w:p w:rsidR="000D24A4" w:rsidP="000D24A4" w14:paraId="463F4FA0" w14:textId="77777777">
            <w:pPr>
              <w:jc w:val="center"/>
              <w:rPr>
                <w:color w:val="000000"/>
                <w:sz w:val="16"/>
                <w:szCs w:val="16"/>
              </w:rPr>
            </w:pPr>
            <w:r>
              <w:rPr>
                <w:color w:val="000000"/>
                <w:sz w:val="16"/>
                <w:szCs w:val="16"/>
              </w:rPr>
              <w:t>331</w:t>
            </w:r>
          </w:p>
        </w:tc>
        <w:tc>
          <w:tcPr>
            <w:tcW w:w="640" w:type="dxa"/>
            <w:tcBorders>
              <w:top w:val="single" w:sz="4" w:space="0" w:color="auto"/>
              <w:left w:val="nil"/>
              <w:bottom w:val="double" w:sz="6" w:space="0" w:color="auto"/>
              <w:right w:val="nil"/>
            </w:tcBorders>
            <w:shd w:val="clear" w:color="000000" w:fill="FFFFFF"/>
            <w:hideMark/>
          </w:tcPr>
          <w:p w:rsidR="000D24A4" w:rsidP="000D24A4" w14:paraId="05DE85B2" w14:textId="77777777">
            <w:pPr>
              <w:jc w:val="center"/>
              <w:rPr>
                <w:color w:val="000000"/>
                <w:sz w:val="16"/>
                <w:szCs w:val="16"/>
              </w:rPr>
            </w:pPr>
            <w:r>
              <w:rPr>
                <w:color w:val="000000"/>
                <w:sz w:val="16"/>
                <w:szCs w:val="16"/>
              </w:rPr>
              <w:t>163</w:t>
            </w:r>
          </w:p>
        </w:tc>
        <w:tc>
          <w:tcPr>
            <w:tcW w:w="640" w:type="dxa"/>
            <w:tcBorders>
              <w:top w:val="single" w:sz="4" w:space="0" w:color="auto"/>
              <w:left w:val="nil"/>
              <w:bottom w:val="double" w:sz="6" w:space="0" w:color="auto"/>
              <w:right w:val="nil"/>
            </w:tcBorders>
            <w:shd w:val="clear" w:color="000000" w:fill="FFFFFF"/>
            <w:hideMark/>
          </w:tcPr>
          <w:p w:rsidR="000D24A4" w:rsidP="000D24A4" w14:paraId="44BBA59A" w14:textId="77777777">
            <w:pPr>
              <w:jc w:val="center"/>
              <w:rPr>
                <w:color w:val="000000"/>
                <w:sz w:val="16"/>
                <w:szCs w:val="16"/>
              </w:rPr>
            </w:pPr>
            <w:r>
              <w:rPr>
                <w:color w:val="000000"/>
                <w:sz w:val="16"/>
                <w:szCs w:val="16"/>
              </w:rPr>
              <w:t>154</w:t>
            </w:r>
          </w:p>
        </w:tc>
        <w:tc>
          <w:tcPr>
            <w:tcW w:w="640" w:type="dxa"/>
            <w:tcBorders>
              <w:top w:val="single" w:sz="4" w:space="0" w:color="auto"/>
              <w:left w:val="nil"/>
              <w:bottom w:val="double" w:sz="6" w:space="0" w:color="auto"/>
              <w:right w:val="nil"/>
            </w:tcBorders>
            <w:shd w:val="clear" w:color="000000" w:fill="FFFFFF"/>
            <w:hideMark/>
          </w:tcPr>
          <w:p w:rsidR="000D24A4" w:rsidP="000D24A4" w14:paraId="6DCCD7AA" w14:textId="77777777">
            <w:pPr>
              <w:jc w:val="center"/>
              <w:rPr>
                <w:color w:val="000000"/>
                <w:sz w:val="16"/>
                <w:szCs w:val="16"/>
              </w:rPr>
            </w:pPr>
            <w:r>
              <w:rPr>
                <w:color w:val="000000"/>
                <w:sz w:val="16"/>
                <w:szCs w:val="16"/>
              </w:rPr>
              <w:t>138</w:t>
            </w:r>
          </w:p>
        </w:tc>
        <w:tc>
          <w:tcPr>
            <w:tcW w:w="640" w:type="dxa"/>
            <w:tcBorders>
              <w:top w:val="single" w:sz="4" w:space="0" w:color="auto"/>
              <w:left w:val="nil"/>
              <w:bottom w:val="double" w:sz="6" w:space="0" w:color="auto"/>
              <w:right w:val="nil"/>
            </w:tcBorders>
            <w:shd w:val="clear" w:color="000000" w:fill="FFFFFF"/>
            <w:hideMark/>
          </w:tcPr>
          <w:p w:rsidR="000D24A4" w:rsidP="000D24A4" w14:paraId="667A82FA" w14:textId="77777777">
            <w:pPr>
              <w:jc w:val="center"/>
              <w:rPr>
                <w:color w:val="000000"/>
                <w:sz w:val="16"/>
                <w:szCs w:val="16"/>
              </w:rPr>
            </w:pPr>
            <w:r>
              <w:rPr>
                <w:color w:val="000000"/>
                <w:sz w:val="16"/>
                <w:szCs w:val="16"/>
              </w:rPr>
              <w:t>95</w:t>
            </w:r>
          </w:p>
        </w:tc>
      </w:tr>
    </w:tbl>
    <w:p w:rsidR="002A34EE" w:rsidP="002A34EE" w14:paraId="2735AAF0" w14:textId="3C6F6F81">
      <w:pPr>
        <w:keepNext/>
        <w:keepLines/>
        <w:spacing w:before="120" w:after="120"/>
        <w:jc w:val="center"/>
        <w:rPr>
          <w:sz w:val="22"/>
          <w:szCs w:val="22"/>
        </w:rPr>
      </w:pPr>
      <w:r w:rsidRPr="002A34EE">
        <w:rPr>
          <w:b/>
          <w:bCs/>
          <w:sz w:val="22"/>
          <w:szCs w:val="22"/>
        </w:rPr>
        <w:t xml:space="preserve">Fig. B-8: Regression Estimates of the Natural Logarithm of Average Coverage Area </w:t>
      </w:r>
      <w:r>
        <w:rPr>
          <w:b/>
          <w:bCs/>
          <w:sz w:val="22"/>
          <w:szCs w:val="22"/>
        </w:rPr>
        <w:br/>
      </w:r>
      <w:r w:rsidRPr="002A34EE">
        <w:rPr>
          <w:b/>
          <w:bCs/>
          <w:sz w:val="22"/>
          <w:szCs w:val="22"/>
        </w:rPr>
        <w:t>on Capacity and Coverage Factors</w:t>
      </w:r>
    </w:p>
    <w:tbl>
      <w:tblPr>
        <w:tblW w:w="9360" w:type="dxa"/>
        <w:tblLook w:val="04A0"/>
      </w:tblPr>
      <w:tblGrid>
        <w:gridCol w:w="2952"/>
        <w:gridCol w:w="801"/>
        <w:gridCol w:w="801"/>
        <w:gridCol w:w="801"/>
        <w:gridCol w:w="801"/>
        <w:gridCol w:w="801"/>
        <w:gridCol w:w="801"/>
        <w:gridCol w:w="801"/>
        <w:gridCol w:w="801"/>
      </w:tblGrid>
      <w:tr w14:paraId="26BFF319" w14:textId="77777777" w:rsidTr="00F2512B">
        <w:tblPrEx>
          <w:tblW w:w="9360" w:type="dxa"/>
          <w:tblLook w:val="04A0"/>
        </w:tblPrEx>
        <w:trPr>
          <w:cantSplit/>
        </w:trPr>
        <w:tc>
          <w:tcPr>
            <w:tcW w:w="2580" w:type="dxa"/>
            <w:tcBorders>
              <w:top w:val="double" w:sz="6" w:space="0" w:color="auto"/>
              <w:left w:val="nil"/>
              <w:bottom w:val="single" w:sz="4" w:space="0" w:color="auto"/>
              <w:right w:val="nil"/>
            </w:tcBorders>
            <w:shd w:val="clear" w:color="000000" w:fill="FFFFFF"/>
            <w:noWrap/>
            <w:hideMark/>
          </w:tcPr>
          <w:p w:rsidR="00F2512B" w:rsidP="00F2512B" w14:paraId="1F5F4C44" w14:textId="77777777">
            <w:pPr>
              <w:spacing w:after="80"/>
              <w:rPr>
                <w:color w:val="000000"/>
                <w:sz w:val="16"/>
                <w:szCs w:val="16"/>
              </w:rPr>
            </w:pPr>
            <w:r>
              <w:rPr>
                <w:color w:val="000000"/>
                <w:sz w:val="16"/>
                <w:szCs w:val="16"/>
              </w:rPr>
              <w:t> </w:t>
            </w:r>
          </w:p>
        </w:tc>
        <w:tc>
          <w:tcPr>
            <w:tcW w:w="700" w:type="dxa"/>
            <w:tcBorders>
              <w:top w:val="double" w:sz="6" w:space="0" w:color="auto"/>
              <w:left w:val="nil"/>
              <w:bottom w:val="single" w:sz="4" w:space="0" w:color="auto"/>
              <w:right w:val="nil"/>
            </w:tcBorders>
            <w:shd w:val="clear" w:color="000000" w:fill="FFFFFF"/>
            <w:noWrap/>
            <w:hideMark/>
          </w:tcPr>
          <w:p w:rsidR="00F2512B" w:rsidP="00F2512B" w14:paraId="25FD84C0" w14:textId="77777777">
            <w:pPr>
              <w:spacing w:after="80"/>
              <w:jc w:val="center"/>
              <w:rPr>
                <w:color w:val="000000"/>
                <w:sz w:val="16"/>
                <w:szCs w:val="16"/>
              </w:rPr>
            </w:pPr>
            <w:r>
              <w:rPr>
                <w:color w:val="000000"/>
                <w:sz w:val="16"/>
                <w:szCs w:val="16"/>
              </w:rPr>
              <w:t>Model 1</w:t>
            </w:r>
          </w:p>
        </w:tc>
        <w:tc>
          <w:tcPr>
            <w:tcW w:w="700" w:type="dxa"/>
            <w:tcBorders>
              <w:top w:val="double" w:sz="6" w:space="0" w:color="auto"/>
              <w:left w:val="nil"/>
              <w:bottom w:val="single" w:sz="4" w:space="0" w:color="auto"/>
              <w:right w:val="nil"/>
            </w:tcBorders>
            <w:shd w:val="clear" w:color="000000" w:fill="FFFFFF"/>
            <w:noWrap/>
            <w:hideMark/>
          </w:tcPr>
          <w:p w:rsidR="00F2512B" w:rsidP="00F2512B" w14:paraId="09DA8E7F" w14:textId="77777777">
            <w:pPr>
              <w:spacing w:after="80"/>
              <w:jc w:val="center"/>
              <w:rPr>
                <w:color w:val="000000"/>
                <w:sz w:val="16"/>
                <w:szCs w:val="16"/>
              </w:rPr>
            </w:pPr>
            <w:r>
              <w:rPr>
                <w:color w:val="000000"/>
                <w:sz w:val="16"/>
                <w:szCs w:val="16"/>
              </w:rPr>
              <w:t>Model 2</w:t>
            </w:r>
          </w:p>
        </w:tc>
        <w:tc>
          <w:tcPr>
            <w:tcW w:w="700" w:type="dxa"/>
            <w:tcBorders>
              <w:top w:val="double" w:sz="6" w:space="0" w:color="auto"/>
              <w:left w:val="nil"/>
              <w:bottom w:val="single" w:sz="4" w:space="0" w:color="auto"/>
              <w:right w:val="nil"/>
            </w:tcBorders>
            <w:shd w:val="clear" w:color="000000" w:fill="FFFFFF"/>
            <w:noWrap/>
            <w:hideMark/>
          </w:tcPr>
          <w:p w:rsidR="00F2512B" w:rsidP="00F2512B" w14:paraId="20996253" w14:textId="77777777">
            <w:pPr>
              <w:spacing w:after="80"/>
              <w:jc w:val="center"/>
              <w:rPr>
                <w:color w:val="000000"/>
                <w:sz w:val="16"/>
                <w:szCs w:val="16"/>
              </w:rPr>
            </w:pPr>
            <w:r>
              <w:rPr>
                <w:color w:val="000000"/>
                <w:sz w:val="16"/>
                <w:szCs w:val="16"/>
              </w:rPr>
              <w:t>Model 3</w:t>
            </w:r>
          </w:p>
        </w:tc>
        <w:tc>
          <w:tcPr>
            <w:tcW w:w="700" w:type="dxa"/>
            <w:tcBorders>
              <w:top w:val="double" w:sz="6" w:space="0" w:color="auto"/>
              <w:left w:val="nil"/>
              <w:bottom w:val="single" w:sz="4" w:space="0" w:color="auto"/>
              <w:right w:val="nil"/>
            </w:tcBorders>
            <w:shd w:val="clear" w:color="000000" w:fill="FFFFFF"/>
            <w:noWrap/>
            <w:hideMark/>
          </w:tcPr>
          <w:p w:rsidR="00F2512B" w:rsidP="00F2512B" w14:paraId="375DC8DE" w14:textId="77777777">
            <w:pPr>
              <w:spacing w:after="80"/>
              <w:jc w:val="center"/>
              <w:rPr>
                <w:color w:val="000000"/>
                <w:sz w:val="16"/>
                <w:szCs w:val="16"/>
              </w:rPr>
            </w:pPr>
            <w:r>
              <w:rPr>
                <w:color w:val="000000"/>
                <w:sz w:val="16"/>
                <w:szCs w:val="16"/>
              </w:rPr>
              <w:t>Model 4</w:t>
            </w:r>
          </w:p>
        </w:tc>
        <w:tc>
          <w:tcPr>
            <w:tcW w:w="700" w:type="dxa"/>
            <w:tcBorders>
              <w:top w:val="double" w:sz="6" w:space="0" w:color="auto"/>
              <w:left w:val="nil"/>
              <w:bottom w:val="single" w:sz="4" w:space="0" w:color="auto"/>
              <w:right w:val="nil"/>
            </w:tcBorders>
            <w:shd w:val="clear" w:color="000000" w:fill="FFFFFF"/>
            <w:noWrap/>
            <w:hideMark/>
          </w:tcPr>
          <w:p w:rsidR="00F2512B" w:rsidP="00F2512B" w14:paraId="23EFC7C3" w14:textId="77777777">
            <w:pPr>
              <w:spacing w:after="80"/>
              <w:jc w:val="center"/>
              <w:rPr>
                <w:color w:val="000000"/>
                <w:sz w:val="16"/>
                <w:szCs w:val="16"/>
              </w:rPr>
            </w:pPr>
            <w:r>
              <w:rPr>
                <w:color w:val="000000"/>
                <w:sz w:val="16"/>
                <w:szCs w:val="16"/>
              </w:rPr>
              <w:t>Model 5</w:t>
            </w:r>
          </w:p>
        </w:tc>
        <w:tc>
          <w:tcPr>
            <w:tcW w:w="700" w:type="dxa"/>
            <w:tcBorders>
              <w:top w:val="double" w:sz="6" w:space="0" w:color="auto"/>
              <w:left w:val="nil"/>
              <w:bottom w:val="single" w:sz="4" w:space="0" w:color="auto"/>
              <w:right w:val="nil"/>
            </w:tcBorders>
            <w:shd w:val="clear" w:color="000000" w:fill="FFFFFF"/>
            <w:noWrap/>
            <w:hideMark/>
          </w:tcPr>
          <w:p w:rsidR="00F2512B" w:rsidP="00F2512B" w14:paraId="40CF58E2" w14:textId="77777777">
            <w:pPr>
              <w:spacing w:after="80"/>
              <w:jc w:val="center"/>
              <w:rPr>
                <w:color w:val="000000"/>
                <w:sz w:val="16"/>
                <w:szCs w:val="16"/>
              </w:rPr>
            </w:pPr>
            <w:r>
              <w:rPr>
                <w:color w:val="000000"/>
                <w:sz w:val="16"/>
                <w:szCs w:val="16"/>
              </w:rPr>
              <w:t>Model 6</w:t>
            </w:r>
          </w:p>
        </w:tc>
        <w:tc>
          <w:tcPr>
            <w:tcW w:w="700" w:type="dxa"/>
            <w:tcBorders>
              <w:top w:val="double" w:sz="6" w:space="0" w:color="auto"/>
              <w:left w:val="nil"/>
              <w:bottom w:val="single" w:sz="4" w:space="0" w:color="auto"/>
              <w:right w:val="nil"/>
            </w:tcBorders>
            <w:shd w:val="clear" w:color="000000" w:fill="FFFFFF"/>
            <w:noWrap/>
            <w:hideMark/>
          </w:tcPr>
          <w:p w:rsidR="00F2512B" w:rsidP="00F2512B" w14:paraId="6D91B628" w14:textId="77777777">
            <w:pPr>
              <w:spacing w:after="80"/>
              <w:jc w:val="center"/>
              <w:rPr>
                <w:color w:val="000000"/>
                <w:sz w:val="16"/>
                <w:szCs w:val="16"/>
              </w:rPr>
            </w:pPr>
            <w:r>
              <w:rPr>
                <w:color w:val="000000"/>
                <w:sz w:val="16"/>
                <w:szCs w:val="16"/>
              </w:rPr>
              <w:t>Model 7</w:t>
            </w:r>
          </w:p>
        </w:tc>
        <w:tc>
          <w:tcPr>
            <w:tcW w:w="700" w:type="dxa"/>
            <w:tcBorders>
              <w:top w:val="double" w:sz="6" w:space="0" w:color="auto"/>
              <w:left w:val="nil"/>
              <w:bottom w:val="single" w:sz="4" w:space="0" w:color="auto"/>
              <w:right w:val="nil"/>
            </w:tcBorders>
            <w:shd w:val="clear" w:color="000000" w:fill="FFFFFF"/>
            <w:noWrap/>
            <w:hideMark/>
          </w:tcPr>
          <w:p w:rsidR="00F2512B" w:rsidP="00F2512B" w14:paraId="0A06177E" w14:textId="77777777">
            <w:pPr>
              <w:spacing w:after="80"/>
              <w:jc w:val="center"/>
              <w:rPr>
                <w:color w:val="000000"/>
                <w:sz w:val="16"/>
                <w:szCs w:val="16"/>
              </w:rPr>
            </w:pPr>
            <w:r>
              <w:rPr>
                <w:color w:val="000000"/>
                <w:sz w:val="16"/>
                <w:szCs w:val="16"/>
              </w:rPr>
              <w:t>Model 8</w:t>
            </w:r>
          </w:p>
        </w:tc>
      </w:tr>
      <w:tr w14:paraId="1B9B856A" w14:textId="77777777" w:rsidTr="00F2512B">
        <w:tblPrEx>
          <w:tblW w:w="9360" w:type="dxa"/>
          <w:tblLook w:val="04A0"/>
        </w:tblPrEx>
        <w:trPr>
          <w:cantSplit/>
        </w:trPr>
        <w:tc>
          <w:tcPr>
            <w:tcW w:w="2580" w:type="dxa"/>
            <w:tcBorders>
              <w:top w:val="nil"/>
              <w:left w:val="nil"/>
              <w:bottom w:val="nil"/>
              <w:right w:val="nil"/>
            </w:tcBorders>
            <w:shd w:val="clear" w:color="000000" w:fill="FFFFFF"/>
            <w:hideMark/>
          </w:tcPr>
          <w:p w:rsidR="00F2512B" w:rsidP="00F2512B" w14:paraId="2CDDD402" w14:textId="77777777">
            <w:pPr>
              <w:spacing w:after="80"/>
              <w:rPr>
                <w:color w:val="000000"/>
                <w:sz w:val="16"/>
                <w:szCs w:val="16"/>
              </w:rPr>
            </w:pPr>
            <w:r>
              <w:rPr>
                <w:color w:val="000000"/>
                <w:sz w:val="16"/>
                <w:szCs w:val="16"/>
              </w:rPr>
              <w:t>State Fixed Effects</w:t>
            </w:r>
          </w:p>
        </w:tc>
        <w:tc>
          <w:tcPr>
            <w:tcW w:w="700" w:type="dxa"/>
            <w:tcBorders>
              <w:top w:val="nil"/>
              <w:left w:val="nil"/>
              <w:bottom w:val="nil"/>
              <w:right w:val="nil"/>
            </w:tcBorders>
            <w:shd w:val="clear" w:color="000000" w:fill="FFFFFF"/>
            <w:noWrap/>
            <w:hideMark/>
          </w:tcPr>
          <w:p w:rsidR="00F2512B" w:rsidP="00F2512B" w14:paraId="551B26F8" w14:textId="77777777">
            <w:pPr>
              <w:spacing w:after="80"/>
              <w:jc w:val="center"/>
              <w:rPr>
                <w:color w:val="000000"/>
                <w:sz w:val="16"/>
                <w:szCs w:val="16"/>
              </w:rPr>
            </w:pPr>
            <w:r>
              <w:rPr>
                <w:color w:val="000000"/>
                <w:sz w:val="16"/>
                <w:szCs w:val="16"/>
              </w:rPr>
              <w:t>No</w:t>
            </w:r>
          </w:p>
        </w:tc>
        <w:tc>
          <w:tcPr>
            <w:tcW w:w="700" w:type="dxa"/>
            <w:tcBorders>
              <w:top w:val="nil"/>
              <w:left w:val="nil"/>
              <w:bottom w:val="nil"/>
              <w:right w:val="nil"/>
            </w:tcBorders>
            <w:shd w:val="clear" w:color="000000" w:fill="FFFFFF"/>
            <w:noWrap/>
            <w:hideMark/>
          </w:tcPr>
          <w:p w:rsidR="00F2512B" w:rsidP="00F2512B" w14:paraId="0DB2D48F" w14:textId="77777777">
            <w:pPr>
              <w:spacing w:after="80"/>
              <w:jc w:val="center"/>
              <w:rPr>
                <w:color w:val="000000"/>
                <w:sz w:val="16"/>
                <w:szCs w:val="16"/>
              </w:rPr>
            </w:pPr>
            <w:r>
              <w:rPr>
                <w:color w:val="000000"/>
                <w:sz w:val="16"/>
                <w:szCs w:val="16"/>
              </w:rPr>
              <w:t>No</w:t>
            </w:r>
          </w:p>
        </w:tc>
        <w:tc>
          <w:tcPr>
            <w:tcW w:w="700" w:type="dxa"/>
            <w:tcBorders>
              <w:top w:val="nil"/>
              <w:left w:val="nil"/>
              <w:bottom w:val="nil"/>
              <w:right w:val="nil"/>
            </w:tcBorders>
            <w:shd w:val="clear" w:color="000000" w:fill="FFFFFF"/>
            <w:noWrap/>
            <w:hideMark/>
          </w:tcPr>
          <w:p w:rsidR="00F2512B" w:rsidP="00F2512B" w14:paraId="20912AF9" w14:textId="77777777">
            <w:pPr>
              <w:spacing w:after="80"/>
              <w:jc w:val="center"/>
              <w:rPr>
                <w:color w:val="000000"/>
                <w:sz w:val="16"/>
                <w:szCs w:val="16"/>
              </w:rPr>
            </w:pPr>
            <w:r>
              <w:rPr>
                <w:color w:val="000000"/>
                <w:sz w:val="16"/>
                <w:szCs w:val="16"/>
              </w:rPr>
              <w:t>No</w:t>
            </w:r>
          </w:p>
        </w:tc>
        <w:tc>
          <w:tcPr>
            <w:tcW w:w="700" w:type="dxa"/>
            <w:tcBorders>
              <w:top w:val="nil"/>
              <w:left w:val="nil"/>
              <w:bottom w:val="nil"/>
              <w:right w:val="nil"/>
            </w:tcBorders>
            <w:shd w:val="clear" w:color="000000" w:fill="FFFFFF"/>
            <w:noWrap/>
            <w:hideMark/>
          </w:tcPr>
          <w:p w:rsidR="00F2512B" w:rsidP="00F2512B" w14:paraId="7C2A4EB2" w14:textId="77777777">
            <w:pPr>
              <w:spacing w:after="80"/>
              <w:jc w:val="center"/>
              <w:rPr>
                <w:color w:val="000000"/>
                <w:sz w:val="16"/>
                <w:szCs w:val="16"/>
              </w:rPr>
            </w:pPr>
            <w:r>
              <w:rPr>
                <w:color w:val="000000"/>
                <w:sz w:val="16"/>
                <w:szCs w:val="16"/>
              </w:rPr>
              <w:t>No</w:t>
            </w:r>
          </w:p>
        </w:tc>
        <w:tc>
          <w:tcPr>
            <w:tcW w:w="700" w:type="dxa"/>
            <w:tcBorders>
              <w:top w:val="nil"/>
              <w:left w:val="nil"/>
              <w:bottom w:val="nil"/>
              <w:right w:val="nil"/>
            </w:tcBorders>
            <w:shd w:val="clear" w:color="000000" w:fill="FFFFFF"/>
            <w:noWrap/>
            <w:hideMark/>
          </w:tcPr>
          <w:p w:rsidR="00F2512B" w:rsidP="00F2512B" w14:paraId="7E1A045D" w14:textId="77777777">
            <w:pPr>
              <w:spacing w:after="80"/>
              <w:jc w:val="center"/>
              <w:rPr>
                <w:color w:val="000000"/>
                <w:sz w:val="16"/>
                <w:szCs w:val="16"/>
              </w:rPr>
            </w:pPr>
            <w:r>
              <w:rPr>
                <w:color w:val="000000"/>
                <w:sz w:val="16"/>
                <w:szCs w:val="16"/>
              </w:rPr>
              <w:t>Yes</w:t>
            </w:r>
          </w:p>
        </w:tc>
        <w:tc>
          <w:tcPr>
            <w:tcW w:w="700" w:type="dxa"/>
            <w:tcBorders>
              <w:top w:val="nil"/>
              <w:left w:val="nil"/>
              <w:bottom w:val="nil"/>
              <w:right w:val="nil"/>
            </w:tcBorders>
            <w:shd w:val="clear" w:color="000000" w:fill="FFFFFF"/>
            <w:noWrap/>
            <w:hideMark/>
          </w:tcPr>
          <w:p w:rsidR="00F2512B" w:rsidP="00F2512B" w14:paraId="47264DCF" w14:textId="77777777">
            <w:pPr>
              <w:spacing w:after="80"/>
              <w:jc w:val="center"/>
              <w:rPr>
                <w:color w:val="000000"/>
                <w:sz w:val="16"/>
                <w:szCs w:val="16"/>
              </w:rPr>
            </w:pPr>
            <w:r>
              <w:rPr>
                <w:color w:val="000000"/>
                <w:sz w:val="16"/>
                <w:szCs w:val="16"/>
              </w:rPr>
              <w:t>Yes</w:t>
            </w:r>
          </w:p>
        </w:tc>
        <w:tc>
          <w:tcPr>
            <w:tcW w:w="700" w:type="dxa"/>
            <w:tcBorders>
              <w:top w:val="nil"/>
              <w:left w:val="nil"/>
              <w:bottom w:val="nil"/>
              <w:right w:val="nil"/>
            </w:tcBorders>
            <w:shd w:val="clear" w:color="000000" w:fill="FFFFFF"/>
            <w:noWrap/>
            <w:hideMark/>
          </w:tcPr>
          <w:p w:rsidR="00F2512B" w:rsidP="00F2512B" w14:paraId="2383D8F0" w14:textId="77777777">
            <w:pPr>
              <w:spacing w:after="80"/>
              <w:jc w:val="center"/>
              <w:rPr>
                <w:color w:val="000000"/>
                <w:sz w:val="16"/>
                <w:szCs w:val="16"/>
              </w:rPr>
            </w:pPr>
            <w:r>
              <w:rPr>
                <w:color w:val="000000"/>
                <w:sz w:val="16"/>
                <w:szCs w:val="16"/>
              </w:rPr>
              <w:t>Yes</w:t>
            </w:r>
          </w:p>
        </w:tc>
        <w:tc>
          <w:tcPr>
            <w:tcW w:w="700" w:type="dxa"/>
            <w:tcBorders>
              <w:top w:val="nil"/>
              <w:left w:val="nil"/>
              <w:bottom w:val="nil"/>
              <w:right w:val="nil"/>
            </w:tcBorders>
            <w:shd w:val="clear" w:color="000000" w:fill="FFFFFF"/>
            <w:noWrap/>
            <w:hideMark/>
          </w:tcPr>
          <w:p w:rsidR="00F2512B" w:rsidP="00F2512B" w14:paraId="142647C1" w14:textId="77777777">
            <w:pPr>
              <w:spacing w:after="80"/>
              <w:jc w:val="center"/>
              <w:rPr>
                <w:color w:val="000000"/>
                <w:sz w:val="16"/>
                <w:szCs w:val="16"/>
              </w:rPr>
            </w:pPr>
            <w:r>
              <w:rPr>
                <w:color w:val="000000"/>
                <w:sz w:val="16"/>
                <w:szCs w:val="16"/>
              </w:rPr>
              <w:t>Yes</w:t>
            </w:r>
          </w:p>
        </w:tc>
      </w:tr>
      <w:tr w14:paraId="382F5047" w14:textId="77777777" w:rsidTr="00F2512B">
        <w:tblPrEx>
          <w:tblW w:w="9360" w:type="dxa"/>
          <w:tblLook w:val="04A0"/>
        </w:tblPrEx>
        <w:trPr>
          <w:cantSplit/>
        </w:trPr>
        <w:tc>
          <w:tcPr>
            <w:tcW w:w="2580" w:type="dxa"/>
            <w:tcBorders>
              <w:top w:val="nil"/>
              <w:left w:val="nil"/>
              <w:bottom w:val="single" w:sz="4" w:space="0" w:color="auto"/>
              <w:right w:val="nil"/>
            </w:tcBorders>
            <w:shd w:val="clear" w:color="000000" w:fill="FFFFFF"/>
            <w:noWrap/>
            <w:hideMark/>
          </w:tcPr>
          <w:p w:rsidR="00F2512B" w:rsidP="00F2512B" w14:paraId="385A063B" w14:textId="77777777">
            <w:pPr>
              <w:spacing w:after="80"/>
              <w:rPr>
                <w:color w:val="000000"/>
                <w:sz w:val="16"/>
                <w:szCs w:val="16"/>
              </w:rPr>
            </w:pPr>
            <w:r>
              <w:rPr>
                <w:color w:val="000000"/>
                <w:sz w:val="16"/>
                <w:szCs w:val="16"/>
              </w:rPr>
              <w:t>Population Density Restriction</w:t>
            </w:r>
          </w:p>
        </w:tc>
        <w:tc>
          <w:tcPr>
            <w:tcW w:w="700" w:type="dxa"/>
            <w:tcBorders>
              <w:top w:val="nil"/>
              <w:left w:val="nil"/>
              <w:bottom w:val="single" w:sz="4" w:space="0" w:color="auto"/>
              <w:right w:val="nil"/>
            </w:tcBorders>
            <w:shd w:val="clear" w:color="000000" w:fill="FFFFFF"/>
            <w:noWrap/>
            <w:hideMark/>
          </w:tcPr>
          <w:p w:rsidR="00F2512B" w:rsidP="00F2512B" w14:paraId="70ADCD4A" w14:textId="77777777">
            <w:pPr>
              <w:spacing w:after="80"/>
              <w:jc w:val="center"/>
              <w:rPr>
                <w:color w:val="000000"/>
                <w:sz w:val="16"/>
                <w:szCs w:val="16"/>
              </w:rPr>
            </w:pPr>
            <w:r>
              <w:rPr>
                <w:color w:val="000000"/>
                <w:sz w:val="16"/>
                <w:szCs w:val="16"/>
              </w:rPr>
              <w:t>None</w:t>
            </w:r>
          </w:p>
        </w:tc>
        <w:tc>
          <w:tcPr>
            <w:tcW w:w="700" w:type="dxa"/>
            <w:tcBorders>
              <w:top w:val="nil"/>
              <w:left w:val="nil"/>
              <w:bottom w:val="single" w:sz="4" w:space="0" w:color="auto"/>
              <w:right w:val="nil"/>
            </w:tcBorders>
            <w:shd w:val="clear" w:color="000000" w:fill="FFFFFF"/>
            <w:noWrap/>
            <w:hideMark/>
          </w:tcPr>
          <w:p w:rsidR="00F2512B" w:rsidP="00F2512B" w14:paraId="56A97124" w14:textId="77777777">
            <w:pPr>
              <w:spacing w:after="80"/>
              <w:jc w:val="center"/>
              <w:rPr>
                <w:color w:val="000000"/>
                <w:sz w:val="16"/>
                <w:szCs w:val="16"/>
              </w:rPr>
            </w:pPr>
            <w:r>
              <w:rPr>
                <w:color w:val="000000"/>
                <w:sz w:val="16"/>
                <w:szCs w:val="16"/>
              </w:rPr>
              <w:t>100</w:t>
            </w:r>
          </w:p>
        </w:tc>
        <w:tc>
          <w:tcPr>
            <w:tcW w:w="700" w:type="dxa"/>
            <w:tcBorders>
              <w:top w:val="nil"/>
              <w:left w:val="nil"/>
              <w:bottom w:val="single" w:sz="4" w:space="0" w:color="auto"/>
              <w:right w:val="nil"/>
            </w:tcBorders>
            <w:shd w:val="clear" w:color="000000" w:fill="FFFFFF"/>
            <w:noWrap/>
            <w:hideMark/>
          </w:tcPr>
          <w:p w:rsidR="00F2512B" w:rsidP="00F2512B" w14:paraId="3D66433A" w14:textId="77777777">
            <w:pPr>
              <w:spacing w:after="80"/>
              <w:jc w:val="center"/>
              <w:rPr>
                <w:color w:val="000000"/>
                <w:sz w:val="16"/>
                <w:szCs w:val="16"/>
              </w:rPr>
            </w:pPr>
            <w:r>
              <w:rPr>
                <w:color w:val="000000"/>
                <w:sz w:val="16"/>
                <w:szCs w:val="16"/>
              </w:rPr>
              <w:t>50</w:t>
            </w:r>
          </w:p>
        </w:tc>
        <w:tc>
          <w:tcPr>
            <w:tcW w:w="700" w:type="dxa"/>
            <w:tcBorders>
              <w:top w:val="nil"/>
              <w:left w:val="nil"/>
              <w:bottom w:val="single" w:sz="4" w:space="0" w:color="auto"/>
              <w:right w:val="nil"/>
            </w:tcBorders>
            <w:shd w:val="clear" w:color="000000" w:fill="FFFFFF"/>
            <w:noWrap/>
            <w:hideMark/>
          </w:tcPr>
          <w:p w:rsidR="00F2512B" w:rsidP="00F2512B" w14:paraId="172DD70C" w14:textId="77777777">
            <w:pPr>
              <w:spacing w:after="80"/>
              <w:jc w:val="center"/>
              <w:rPr>
                <w:color w:val="000000"/>
                <w:sz w:val="16"/>
                <w:szCs w:val="16"/>
              </w:rPr>
            </w:pPr>
            <w:r>
              <w:rPr>
                <w:color w:val="000000"/>
                <w:sz w:val="16"/>
                <w:szCs w:val="16"/>
              </w:rPr>
              <w:t>20</w:t>
            </w:r>
          </w:p>
        </w:tc>
        <w:tc>
          <w:tcPr>
            <w:tcW w:w="700" w:type="dxa"/>
            <w:tcBorders>
              <w:top w:val="nil"/>
              <w:left w:val="nil"/>
              <w:bottom w:val="single" w:sz="4" w:space="0" w:color="auto"/>
              <w:right w:val="nil"/>
            </w:tcBorders>
            <w:shd w:val="clear" w:color="000000" w:fill="FFFFFF"/>
            <w:noWrap/>
            <w:hideMark/>
          </w:tcPr>
          <w:p w:rsidR="00F2512B" w:rsidP="00F2512B" w14:paraId="549FAC11" w14:textId="77777777">
            <w:pPr>
              <w:spacing w:after="80"/>
              <w:jc w:val="center"/>
              <w:rPr>
                <w:color w:val="000000"/>
                <w:sz w:val="16"/>
                <w:szCs w:val="16"/>
              </w:rPr>
            </w:pPr>
            <w:r>
              <w:rPr>
                <w:color w:val="000000"/>
                <w:sz w:val="16"/>
                <w:szCs w:val="16"/>
              </w:rPr>
              <w:t>None</w:t>
            </w:r>
          </w:p>
        </w:tc>
        <w:tc>
          <w:tcPr>
            <w:tcW w:w="700" w:type="dxa"/>
            <w:tcBorders>
              <w:top w:val="nil"/>
              <w:left w:val="nil"/>
              <w:bottom w:val="single" w:sz="4" w:space="0" w:color="auto"/>
              <w:right w:val="nil"/>
            </w:tcBorders>
            <w:shd w:val="clear" w:color="000000" w:fill="FFFFFF"/>
            <w:noWrap/>
            <w:hideMark/>
          </w:tcPr>
          <w:p w:rsidR="00F2512B" w:rsidP="00F2512B" w14:paraId="0C98F7AC" w14:textId="77777777">
            <w:pPr>
              <w:spacing w:after="80"/>
              <w:jc w:val="center"/>
              <w:rPr>
                <w:color w:val="000000"/>
                <w:sz w:val="16"/>
                <w:szCs w:val="16"/>
              </w:rPr>
            </w:pPr>
            <w:r>
              <w:rPr>
                <w:color w:val="000000"/>
                <w:sz w:val="16"/>
                <w:szCs w:val="16"/>
              </w:rPr>
              <w:t>100</w:t>
            </w:r>
          </w:p>
        </w:tc>
        <w:tc>
          <w:tcPr>
            <w:tcW w:w="700" w:type="dxa"/>
            <w:tcBorders>
              <w:top w:val="nil"/>
              <w:left w:val="nil"/>
              <w:bottom w:val="single" w:sz="4" w:space="0" w:color="auto"/>
              <w:right w:val="nil"/>
            </w:tcBorders>
            <w:shd w:val="clear" w:color="000000" w:fill="FFFFFF"/>
            <w:noWrap/>
            <w:hideMark/>
          </w:tcPr>
          <w:p w:rsidR="00F2512B" w:rsidP="00F2512B" w14:paraId="63623FBF" w14:textId="77777777">
            <w:pPr>
              <w:spacing w:after="80"/>
              <w:jc w:val="center"/>
              <w:rPr>
                <w:color w:val="000000"/>
                <w:sz w:val="16"/>
                <w:szCs w:val="16"/>
              </w:rPr>
            </w:pPr>
            <w:r>
              <w:rPr>
                <w:color w:val="000000"/>
                <w:sz w:val="16"/>
                <w:szCs w:val="16"/>
              </w:rPr>
              <w:t>50</w:t>
            </w:r>
          </w:p>
        </w:tc>
        <w:tc>
          <w:tcPr>
            <w:tcW w:w="700" w:type="dxa"/>
            <w:tcBorders>
              <w:top w:val="nil"/>
              <w:left w:val="nil"/>
              <w:bottom w:val="single" w:sz="4" w:space="0" w:color="auto"/>
              <w:right w:val="nil"/>
            </w:tcBorders>
            <w:shd w:val="clear" w:color="000000" w:fill="FFFFFF"/>
            <w:noWrap/>
            <w:hideMark/>
          </w:tcPr>
          <w:p w:rsidR="00F2512B" w:rsidP="00F2512B" w14:paraId="4B34806A" w14:textId="77777777">
            <w:pPr>
              <w:spacing w:after="80"/>
              <w:jc w:val="center"/>
              <w:rPr>
                <w:color w:val="000000"/>
                <w:sz w:val="16"/>
                <w:szCs w:val="16"/>
              </w:rPr>
            </w:pPr>
            <w:r>
              <w:rPr>
                <w:color w:val="000000"/>
                <w:sz w:val="16"/>
                <w:szCs w:val="16"/>
              </w:rPr>
              <w:t>20</w:t>
            </w:r>
          </w:p>
        </w:tc>
      </w:tr>
      <w:tr w14:paraId="6D80E1D8" w14:textId="77777777" w:rsidTr="00F2512B">
        <w:tblPrEx>
          <w:tblW w:w="9360" w:type="dxa"/>
          <w:tblLook w:val="04A0"/>
        </w:tblPrEx>
        <w:trPr>
          <w:cantSplit/>
        </w:trPr>
        <w:tc>
          <w:tcPr>
            <w:tcW w:w="2580" w:type="dxa"/>
            <w:vMerge w:val="restart"/>
            <w:tcBorders>
              <w:top w:val="nil"/>
              <w:left w:val="nil"/>
              <w:bottom w:val="nil"/>
              <w:right w:val="nil"/>
            </w:tcBorders>
            <w:shd w:val="clear" w:color="000000" w:fill="FFFFFF"/>
            <w:hideMark/>
          </w:tcPr>
          <w:p w:rsidR="00F2512B" w:rsidP="00F2512B" w14:paraId="0A27919B" w14:textId="77777777">
            <w:pPr>
              <w:spacing w:after="80"/>
              <w:rPr>
                <w:color w:val="000000"/>
                <w:sz w:val="16"/>
                <w:szCs w:val="16"/>
              </w:rPr>
            </w:pPr>
            <w:r>
              <w:rPr>
                <w:color w:val="000000"/>
                <w:sz w:val="16"/>
                <w:szCs w:val="16"/>
              </w:rPr>
              <w:t xml:space="preserve">Carrier-Specific Terrain </w:t>
            </w:r>
          </w:p>
        </w:tc>
        <w:tc>
          <w:tcPr>
            <w:tcW w:w="700" w:type="dxa"/>
            <w:tcBorders>
              <w:top w:val="nil"/>
              <w:left w:val="nil"/>
              <w:bottom w:val="nil"/>
              <w:right w:val="nil"/>
            </w:tcBorders>
            <w:shd w:val="clear" w:color="000000" w:fill="FFFFFF"/>
            <w:noWrap/>
            <w:hideMark/>
          </w:tcPr>
          <w:p w:rsidR="00F2512B" w:rsidP="00F2512B" w14:paraId="2B09AAAC" w14:textId="77777777">
            <w:pPr>
              <w:spacing w:after="80"/>
              <w:jc w:val="center"/>
              <w:rPr>
                <w:color w:val="000000"/>
                <w:sz w:val="16"/>
                <w:szCs w:val="16"/>
              </w:rPr>
            </w:pPr>
            <w:r>
              <w:rPr>
                <w:color w:val="000000"/>
                <w:sz w:val="16"/>
                <w:szCs w:val="16"/>
              </w:rPr>
              <w:t>-0.010</w:t>
            </w:r>
          </w:p>
        </w:tc>
        <w:tc>
          <w:tcPr>
            <w:tcW w:w="700" w:type="dxa"/>
            <w:tcBorders>
              <w:top w:val="nil"/>
              <w:left w:val="nil"/>
              <w:bottom w:val="nil"/>
              <w:right w:val="nil"/>
            </w:tcBorders>
            <w:shd w:val="clear" w:color="000000" w:fill="FFFFFF"/>
            <w:noWrap/>
            <w:hideMark/>
          </w:tcPr>
          <w:p w:rsidR="00F2512B" w:rsidP="00F2512B" w14:paraId="2CE54747" w14:textId="77777777">
            <w:pPr>
              <w:spacing w:after="80"/>
              <w:jc w:val="center"/>
              <w:rPr>
                <w:color w:val="000000"/>
                <w:sz w:val="16"/>
                <w:szCs w:val="16"/>
              </w:rPr>
            </w:pPr>
            <w:r>
              <w:rPr>
                <w:color w:val="000000"/>
                <w:sz w:val="16"/>
                <w:szCs w:val="16"/>
              </w:rPr>
              <w:t>-0.011</w:t>
            </w:r>
          </w:p>
        </w:tc>
        <w:tc>
          <w:tcPr>
            <w:tcW w:w="700" w:type="dxa"/>
            <w:tcBorders>
              <w:top w:val="nil"/>
              <w:left w:val="nil"/>
              <w:bottom w:val="nil"/>
              <w:right w:val="nil"/>
            </w:tcBorders>
            <w:shd w:val="clear" w:color="000000" w:fill="FFFFFF"/>
            <w:noWrap/>
            <w:hideMark/>
          </w:tcPr>
          <w:p w:rsidR="00F2512B" w:rsidP="00F2512B" w14:paraId="72EC2A82" w14:textId="77777777">
            <w:pPr>
              <w:spacing w:after="80"/>
              <w:jc w:val="center"/>
              <w:rPr>
                <w:color w:val="000000"/>
                <w:sz w:val="16"/>
                <w:szCs w:val="16"/>
              </w:rPr>
            </w:pPr>
            <w:r>
              <w:rPr>
                <w:color w:val="000000"/>
                <w:sz w:val="16"/>
                <w:szCs w:val="16"/>
              </w:rPr>
              <w:t>-0.010</w:t>
            </w:r>
          </w:p>
        </w:tc>
        <w:tc>
          <w:tcPr>
            <w:tcW w:w="700" w:type="dxa"/>
            <w:tcBorders>
              <w:top w:val="nil"/>
              <w:left w:val="nil"/>
              <w:bottom w:val="nil"/>
              <w:right w:val="nil"/>
            </w:tcBorders>
            <w:shd w:val="clear" w:color="000000" w:fill="FFFFFF"/>
            <w:noWrap/>
            <w:hideMark/>
          </w:tcPr>
          <w:p w:rsidR="00F2512B" w:rsidP="00F2512B" w14:paraId="6927B483" w14:textId="77777777">
            <w:pPr>
              <w:spacing w:after="80"/>
              <w:jc w:val="center"/>
              <w:rPr>
                <w:color w:val="000000"/>
                <w:sz w:val="16"/>
                <w:szCs w:val="16"/>
              </w:rPr>
            </w:pPr>
            <w:r>
              <w:rPr>
                <w:color w:val="000000"/>
                <w:sz w:val="16"/>
                <w:szCs w:val="16"/>
              </w:rPr>
              <w:t>-0.008</w:t>
            </w:r>
          </w:p>
        </w:tc>
        <w:tc>
          <w:tcPr>
            <w:tcW w:w="700" w:type="dxa"/>
            <w:tcBorders>
              <w:top w:val="nil"/>
              <w:left w:val="nil"/>
              <w:bottom w:val="nil"/>
              <w:right w:val="nil"/>
            </w:tcBorders>
            <w:shd w:val="clear" w:color="000000" w:fill="FFFFFF"/>
            <w:noWrap/>
            <w:hideMark/>
          </w:tcPr>
          <w:p w:rsidR="00F2512B" w:rsidP="00F2512B" w14:paraId="3344E606" w14:textId="77777777">
            <w:pPr>
              <w:spacing w:after="80"/>
              <w:jc w:val="center"/>
              <w:rPr>
                <w:color w:val="000000"/>
                <w:sz w:val="16"/>
                <w:szCs w:val="16"/>
              </w:rPr>
            </w:pPr>
            <w:r>
              <w:rPr>
                <w:color w:val="000000"/>
                <w:sz w:val="16"/>
                <w:szCs w:val="16"/>
              </w:rPr>
              <w:t>-0.010</w:t>
            </w:r>
          </w:p>
        </w:tc>
        <w:tc>
          <w:tcPr>
            <w:tcW w:w="700" w:type="dxa"/>
            <w:tcBorders>
              <w:top w:val="nil"/>
              <w:left w:val="nil"/>
              <w:bottom w:val="nil"/>
              <w:right w:val="nil"/>
            </w:tcBorders>
            <w:shd w:val="clear" w:color="000000" w:fill="FFFFFF"/>
            <w:noWrap/>
            <w:hideMark/>
          </w:tcPr>
          <w:p w:rsidR="00F2512B" w:rsidP="00F2512B" w14:paraId="75394540" w14:textId="77777777">
            <w:pPr>
              <w:spacing w:after="80"/>
              <w:jc w:val="center"/>
              <w:rPr>
                <w:color w:val="000000"/>
                <w:sz w:val="16"/>
                <w:szCs w:val="16"/>
              </w:rPr>
            </w:pPr>
            <w:r>
              <w:rPr>
                <w:color w:val="000000"/>
                <w:sz w:val="16"/>
                <w:szCs w:val="16"/>
              </w:rPr>
              <w:t>-0.011</w:t>
            </w:r>
          </w:p>
        </w:tc>
        <w:tc>
          <w:tcPr>
            <w:tcW w:w="700" w:type="dxa"/>
            <w:tcBorders>
              <w:top w:val="nil"/>
              <w:left w:val="nil"/>
              <w:bottom w:val="nil"/>
              <w:right w:val="nil"/>
            </w:tcBorders>
            <w:shd w:val="clear" w:color="000000" w:fill="FFFFFF"/>
            <w:noWrap/>
            <w:hideMark/>
          </w:tcPr>
          <w:p w:rsidR="00F2512B" w:rsidP="00F2512B" w14:paraId="3122969F" w14:textId="77777777">
            <w:pPr>
              <w:spacing w:after="80"/>
              <w:jc w:val="center"/>
              <w:rPr>
                <w:color w:val="000000"/>
                <w:sz w:val="16"/>
                <w:szCs w:val="16"/>
              </w:rPr>
            </w:pPr>
            <w:r>
              <w:rPr>
                <w:color w:val="000000"/>
                <w:sz w:val="16"/>
                <w:szCs w:val="16"/>
              </w:rPr>
              <w:t>-0.009</w:t>
            </w:r>
          </w:p>
        </w:tc>
        <w:tc>
          <w:tcPr>
            <w:tcW w:w="700" w:type="dxa"/>
            <w:tcBorders>
              <w:top w:val="nil"/>
              <w:left w:val="nil"/>
              <w:bottom w:val="nil"/>
              <w:right w:val="nil"/>
            </w:tcBorders>
            <w:shd w:val="clear" w:color="000000" w:fill="FFFFFF"/>
            <w:noWrap/>
            <w:hideMark/>
          </w:tcPr>
          <w:p w:rsidR="00F2512B" w:rsidP="00F2512B" w14:paraId="16F91AAB" w14:textId="77777777">
            <w:pPr>
              <w:spacing w:after="80"/>
              <w:jc w:val="center"/>
              <w:rPr>
                <w:color w:val="000000"/>
                <w:sz w:val="16"/>
                <w:szCs w:val="16"/>
              </w:rPr>
            </w:pPr>
            <w:r>
              <w:rPr>
                <w:color w:val="000000"/>
                <w:sz w:val="16"/>
                <w:szCs w:val="16"/>
              </w:rPr>
              <w:t>-0.009</w:t>
            </w:r>
          </w:p>
        </w:tc>
      </w:tr>
      <w:tr w14:paraId="4F3DCD9C"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0464FF81"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31AA97DC" w14:textId="77777777">
            <w:pPr>
              <w:spacing w:after="80"/>
              <w:jc w:val="center"/>
              <w:rPr>
                <w:color w:val="000000"/>
                <w:sz w:val="16"/>
                <w:szCs w:val="16"/>
              </w:rPr>
            </w:pPr>
            <w:r>
              <w:rPr>
                <w:color w:val="000000"/>
                <w:sz w:val="16"/>
                <w:szCs w:val="16"/>
              </w:rPr>
              <w:t>(.002)</w:t>
            </w:r>
          </w:p>
        </w:tc>
        <w:tc>
          <w:tcPr>
            <w:tcW w:w="700" w:type="dxa"/>
            <w:tcBorders>
              <w:top w:val="nil"/>
              <w:left w:val="nil"/>
              <w:bottom w:val="nil"/>
              <w:right w:val="nil"/>
            </w:tcBorders>
            <w:shd w:val="clear" w:color="000000" w:fill="FFFFFF"/>
            <w:noWrap/>
            <w:hideMark/>
          </w:tcPr>
          <w:p w:rsidR="00F2512B" w:rsidP="00F2512B" w14:paraId="78909BE6" w14:textId="77777777">
            <w:pPr>
              <w:spacing w:after="80"/>
              <w:jc w:val="center"/>
              <w:rPr>
                <w:color w:val="000000"/>
                <w:sz w:val="16"/>
                <w:szCs w:val="16"/>
              </w:rPr>
            </w:pPr>
            <w:r>
              <w:rPr>
                <w:color w:val="000000"/>
                <w:sz w:val="16"/>
                <w:szCs w:val="16"/>
              </w:rPr>
              <w:t>(.002)</w:t>
            </w:r>
          </w:p>
        </w:tc>
        <w:tc>
          <w:tcPr>
            <w:tcW w:w="700" w:type="dxa"/>
            <w:tcBorders>
              <w:top w:val="nil"/>
              <w:left w:val="nil"/>
              <w:bottom w:val="nil"/>
              <w:right w:val="nil"/>
            </w:tcBorders>
            <w:shd w:val="clear" w:color="000000" w:fill="FFFFFF"/>
            <w:noWrap/>
            <w:hideMark/>
          </w:tcPr>
          <w:p w:rsidR="00F2512B" w:rsidP="00F2512B" w14:paraId="5EB9C39C" w14:textId="77777777">
            <w:pPr>
              <w:spacing w:after="80"/>
              <w:jc w:val="center"/>
              <w:rPr>
                <w:color w:val="000000"/>
                <w:sz w:val="16"/>
                <w:szCs w:val="16"/>
              </w:rPr>
            </w:pPr>
            <w:r>
              <w:rPr>
                <w:color w:val="000000"/>
                <w:sz w:val="16"/>
                <w:szCs w:val="16"/>
              </w:rPr>
              <w:t>(.002)</w:t>
            </w:r>
          </w:p>
        </w:tc>
        <w:tc>
          <w:tcPr>
            <w:tcW w:w="700" w:type="dxa"/>
            <w:tcBorders>
              <w:top w:val="nil"/>
              <w:left w:val="nil"/>
              <w:bottom w:val="nil"/>
              <w:right w:val="nil"/>
            </w:tcBorders>
            <w:shd w:val="clear" w:color="000000" w:fill="FFFFFF"/>
            <w:noWrap/>
            <w:hideMark/>
          </w:tcPr>
          <w:p w:rsidR="00F2512B" w:rsidP="00F2512B" w14:paraId="179217A8" w14:textId="77777777">
            <w:pPr>
              <w:spacing w:after="80"/>
              <w:jc w:val="center"/>
              <w:rPr>
                <w:color w:val="000000"/>
                <w:sz w:val="16"/>
                <w:szCs w:val="16"/>
              </w:rPr>
            </w:pPr>
            <w:r>
              <w:rPr>
                <w:color w:val="000000"/>
                <w:sz w:val="16"/>
                <w:szCs w:val="16"/>
              </w:rPr>
              <w:t>(.003)</w:t>
            </w:r>
          </w:p>
        </w:tc>
        <w:tc>
          <w:tcPr>
            <w:tcW w:w="700" w:type="dxa"/>
            <w:tcBorders>
              <w:top w:val="nil"/>
              <w:left w:val="nil"/>
              <w:bottom w:val="nil"/>
              <w:right w:val="nil"/>
            </w:tcBorders>
            <w:shd w:val="clear" w:color="000000" w:fill="FFFFFF"/>
            <w:noWrap/>
            <w:hideMark/>
          </w:tcPr>
          <w:p w:rsidR="00F2512B" w:rsidP="00F2512B" w14:paraId="5AA255A8" w14:textId="77777777">
            <w:pPr>
              <w:spacing w:after="80"/>
              <w:jc w:val="center"/>
              <w:rPr>
                <w:color w:val="000000"/>
                <w:sz w:val="16"/>
                <w:szCs w:val="16"/>
              </w:rPr>
            </w:pPr>
            <w:r>
              <w:rPr>
                <w:color w:val="000000"/>
                <w:sz w:val="16"/>
                <w:szCs w:val="16"/>
              </w:rPr>
              <w:t>(.002)</w:t>
            </w:r>
          </w:p>
        </w:tc>
        <w:tc>
          <w:tcPr>
            <w:tcW w:w="700" w:type="dxa"/>
            <w:tcBorders>
              <w:top w:val="nil"/>
              <w:left w:val="nil"/>
              <w:bottom w:val="nil"/>
              <w:right w:val="nil"/>
            </w:tcBorders>
            <w:shd w:val="clear" w:color="000000" w:fill="FFFFFF"/>
            <w:noWrap/>
            <w:hideMark/>
          </w:tcPr>
          <w:p w:rsidR="00F2512B" w:rsidP="00F2512B" w14:paraId="20BCEEC4" w14:textId="77777777">
            <w:pPr>
              <w:spacing w:after="80"/>
              <w:jc w:val="center"/>
              <w:rPr>
                <w:color w:val="000000"/>
                <w:sz w:val="16"/>
                <w:szCs w:val="16"/>
              </w:rPr>
            </w:pPr>
            <w:r>
              <w:rPr>
                <w:color w:val="000000"/>
                <w:sz w:val="16"/>
                <w:szCs w:val="16"/>
              </w:rPr>
              <w:t>(.002)</w:t>
            </w:r>
          </w:p>
        </w:tc>
        <w:tc>
          <w:tcPr>
            <w:tcW w:w="700" w:type="dxa"/>
            <w:tcBorders>
              <w:top w:val="nil"/>
              <w:left w:val="nil"/>
              <w:bottom w:val="nil"/>
              <w:right w:val="nil"/>
            </w:tcBorders>
            <w:shd w:val="clear" w:color="000000" w:fill="FFFFFF"/>
            <w:noWrap/>
            <w:hideMark/>
          </w:tcPr>
          <w:p w:rsidR="00F2512B" w:rsidP="00F2512B" w14:paraId="0B209BCA" w14:textId="77777777">
            <w:pPr>
              <w:spacing w:after="80"/>
              <w:jc w:val="center"/>
              <w:rPr>
                <w:color w:val="000000"/>
                <w:sz w:val="16"/>
                <w:szCs w:val="16"/>
              </w:rPr>
            </w:pPr>
            <w:r>
              <w:rPr>
                <w:color w:val="000000"/>
                <w:sz w:val="16"/>
                <w:szCs w:val="16"/>
              </w:rPr>
              <w:t>(.002)</w:t>
            </w:r>
          </w:p>
        </w:tc>
        <w:tc>
          <w:tcPr>
            <w:tcW w:w="700" w:type="dxa"/>
            <w:tcBorders>
              <w:top w:val="nil"/>
              <w:left w:val="nil"/>
              <w:bottom w:val="nil"/>
              <w:right w:val="nil"/>
            </w:tcBorders>
            <w:shd w:val="clear" w:color="000000" w:fill="FFFFFF"/>
            <w:noWrap/>
            <w:hideMark/>
          </w:tcPr>
          <w:p w:rsidR="00F2512B" w:rsidP="00F2512B" w14:paraId="7D054BE7" w14:textId="77777777">
            <w:pPr>
              <w:spacing w:after="80"/>
              <w:jc w:val="center"/>
              <w:rPr>
                <w:color w:val="000000"/>
                <w:sz w:val="16"/>
                <w:szCs w:val="16"/>
              </w:rPr>
            </w:pPr>
            <w:r>
              <w:rPr>
                <w:color w:val="000000"/>
                <w:sz w:val="16"/>
                <w:szCs w:val="16"/>
              </w:rPr>
              <w:t>(.002)</w:t>
            </w:r>
          </w:p>
        </w:tc>
      </w:tr>
      <w:tr w14:paraId="5D6B48A6"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1105BAB5"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23D86DD9"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40FAEB3C"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751F289F"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47665512"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3BDA7060"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4615EEBD"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527496A9"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5DC4AE9B" w14:textId="77777777">
            <w:pPr>
              <w:jc w:val="center"/>
              <w:rPr>
                <w:color w:val="000000"/>
                <w:sz w:val="16"/>
                <w:szCs w:val="16"/>
              </w:rPr>
            </w:pPr>
            <w:r>
              <w:rPr>
                <w:color w:val="000000"/>
                <w:sz w:val="16"/>
                <w:szCs w:val="16"/>
              </w:rPr>
              <w:t>***</w:t>
            </w:r>
          </w:p>
        </w:tc>
      </w:tr>
      <w:tr w14:paraId="7A966688" w14:textId="77777777" w:rsidTr="00F2512B">
        <w:tblPrEx>
          <w:tblW w:w="9360" w:type="dxa"/>
          <w:tblLook w:val="04A0"/>
        </w:tblPrEx>
        <w:trPr>
          <w:cantSplit/>
        </w:trPr>
        <w:tc>
          <w:tcPr>
            <w:tcW w:w="2580" w:type="dxa"/>
            <w:vMerge w:val="restart"/>
            <w:tcBorders>
              <w:top w:val="nil"/>
              <w:left w:val="nil"/>
              <w:bottom w:val="nil"/>
              <w:right w:val="nil"/>
            </w:tcBorders>
            <w:shd w:val="clear" w:color="000000" w:fill="FFFFFF"/>
            <w:hideMark/>
          </w:tcPr>
          <w:p w:rsidR="00F2512B" w:rsidP="00F2512B" w14:paraId="77CEE80F" w14:textId="77777777">
            <w:pPr>
              <w:spacing w:after="80"/>
              <w:rPr>
                <w:color w:val="000000"/>
                <w:sz w:val="16"/>
                <w:szCs w:val="16"/>
              </w:rPr>
            </w:pPr>
            <w:r>
              <w:rPr>
                <w:color w:val="000000"/>
                <w:sz w:val="16"/>
                <w:szCs w:val="16"/>
              </w:rPr>
              <w:t>Log(Population Density)</w:t>
            </w:r>
          </w:p>
        </w:tc>
        <w:tc>
          <w:tcPr>
            <w:tcW w:w="700" w:type="dxa"/>
            <w:tcBorders>
              <w:top w:val="nil"/>
              <w:left w:val="nil"/>
              <w:bottom w:val="nil"/>
              <w:right w:val="nil"/>
            </w:tcBorders>
            <w:shd w:val="clear" w:color="000000" w:fill="FFFFFF"/>
            <w:noWrap/>
            <w:hideMark/>
          </w:tcPr>
          <w:p w:rsidR="00F2512B" w:rsidP="00F2512B" w14:paraId="57A98CE5" w14:textId="77777777">
            <w:pPr>
              <w:spacing w:after="80"/>
              <w:jc w:val="center"/>
              <w:rPr>
                <w:color w:val="000000"/>
                <w:sz w:val="16"/>
                <w:szCs w:val="16"/>
              </w:rPr>
            </w:pPr>
            <w:r>
              <w:rPr>
                <w:color w:val="000000"/>
                <w:sz w:val="16"/>
                <w:szCs w:val="16"/>
              </w:rPr>
              <w:t>-0.339</w:t>
            </w:r>
          </w:p>
        </w:tc>
        <w:tc>
          <w:tcPr>
            <w:tcW w:w="700" w:type="dxa"/>
            <w:tcBorders>
              <w:top w:val="nil"/>
              <w:left w:val="nil"/>
              <w:bottom w:val="nil"/>
              <w:right w:val="nil"/>
            </w:tcBorders>
            <w:shd w:val="clear" w:color="000000" w:fill="FFFFFF"/>
            <w:noWrap/>
            <w:hideMark/>
          </w:tcPr>
          <w:p w:rsidR="00F2512B" w:rsidP="00F2512B" w14:paraId="1E8F1A5D" w14:textId="77777777">
            <w:pPr>
              <w:spacing w:after="80"/>
              <w:jc w:val="center"/>
              <w:rPr>
                <w:color w:val="000000"/>
                <w:sz w:val="16"/>
                <w:szCs w:val="16"/>
              </w:rPr>
            </w:pPr>
            <w:r>
              <w:rPr>
                <w:color w:val="000000"/>
                <w:sz w:val="16"/>
                <w:szCs w:val="16"/>
              </w:rPr>
              <w:t>-0.398</w:t>
            </w:r>
          </w:p>
        </w:tc>
        <w:tc>
          <w:tcPr>
            <w:tcW w:w="700" w:type="dxa"/>
            <w:tcBorders>
              <w:top w:val="nil"/>
              <w:left w:val="nil"/>
              <w:bottom w:val="nil"/>
              <w:right w:val="nil"/>
            </w:tcBorders>
            <w:shd w:val="clear" w:color="000000" w:fill="FFFFFF"/>
            <w:noWrap/>
            <w:hideMark/>
          </w:tcPr>
          <w:p w:rsidR="00F2512B" w:rsidP="00F2512B" w14:paraId="72F32E36" w14:textId="77777777">
            <w:pPr>
              <w:spacing w:after="80"/>
              <w:jc w:val="center"/>
              <w:rPr>
                <w:color w:val="000000"/>
                <w:sz w:val="16"/>
                <w:szCs w:val="16"/>
              </w:rPr>
            </w:pPr>
            <w:r>
              <w:rPr>
                <w:color w:val="000000"/>
                <w:sz w:val="16"/>
                <w:szCs w:val="16"/>
              </w:rPr>
              <w:t>-0.411</w:t>
            </w:r>
          </w:p>
        </w:tc>
        <w:tc>
          <w:tcPr>
            <w:tcW w:w="700" w:type="dxa"/>
            <w:tcBorders>
              <w:top w:val="nil"/>
              <w:left w:val="nil"/>
              <w:bottom w:val="nil"/>
              <w:right w:val="nil"/>
            </w:tcBorders>
            <w:shd w:val="clear" w:color="000000" w:fill="FFFFFF"/>
            <w:noWrap/>
            <w:hideMark/>
          </w:tcPr>
          <w:p w:rsidR="00F2512B" w:rsidP="00F2512B" w14:paraId="7640B1F1" w14:textId="77777777">
            <w:pPr>
              <w:spacing w:after="80"/>
              <w:jc w:val="center"/>
              <w:rPr>
                <w:color w:val="000000"/>
                <w:sz w:val="16"/>
                <w:szCs w:val="16"/>
              </w:rPr>
            </w:pPr>
            <w:r>
              <w:rPr>
                <w:color w:val="000000"/>
                <w:sz w:val="16"/>
                <w:szCs w:val="16"/>
              </w:rPr>
              <w:t>-0.336</w:t>
            </w:r>
          </w:p>
        </w:tc>
        <w:tc>
          <w:tcPr>
            <w:tcW w:w="700" w:type="dxa"/>
            <w:tcBorders>
              <w:top w:val="nil"/>
              <w:left w:val="nil"/>
              <w:bottom w:val="nil"/>
              <w:right w:val="nil"/>
            </w:tcBorders>
            <w:shd w:val="clear" w:color="000000" w:fill="FFFFFF"/>
            <w:noWrap/>
            <w:hideMark/>
          </w:tcPr>
          <w:p w:rsidR="00F2512B" w:rsidP="00F2512B" w14:paraId="2AF77326" w14:textId="77777777">
            <w:pPr>
              <w:spacing w:after="80"/>
              <w:jc w:val="center"/>
              <w:rPr>
                <w:color w:val="000000"/>
                <w:sz w:val="16"/>
                <w:szCs w:val="16"/>
              </w:rPr>
            </w:pPr>
            <w:r>
              <w:rPr>
                <w:color w:val="000000"/>
                <w:sz w:val="16"/>
                <w:szCs w:val="16"/>
              </w:rPr>
              <w:t>-0.259</w:t>
            </w:r>
          </w:p>
        </w:tc>
        <w:tc>
          <w:tcPr>
            <w:tcW w:w="700" w:type="dxa"/>
            <w:tcBorders>
              <w:top w:val="nil"/>
              <w:left w:val="nil"/>
              <w:bottom w:val="nil"/>
              <w:right w:val="nil"/>
            </w:tcBorders>
            <w:shd w:val="clear" w:color="000000" w:fill="FFFFFF"/>
            <w:noWrap/>
            <w:hideMark/>
          </w:tcPr>
          <w:p w:rsidR="00F2512B" w:rsidP="00F2512B" w14:paraId="7209315F" w14:textId="77777777">
            <w:pPr>
              <w:spacing w:after="80"/>
              <w:jc w:val="center"/>
              <w:rPr>
                <w:color w:val="000000"/>
                <w:sz w:val="16"/>
                <w:szCs w:val="16"/>
              </w:rPr>
            </w:pPr>
            <w:r>
              <w:rPr>
                <w:color w:val="000000"/>
                <w:sz w:val="16"/>
                <w:szCs w:val="16"/>
              </w:rPr>
              <w:t>-0.304</w:t>
            </w:r>
          </w:p>
        </w:tc>
        <w:tc>
          <w:tcPr>
            <w:tcW w:w="700" w:type="dxa"/>
            <w:tcBorders>
              <w:top w:val="nil"/>
              <w:left w:val="nil"/>
              <w:bottom w:val="nil"/>
              <w:right w:val="nil"/>
            </w:tcBorders>
            <w:shd w:val="clear" w:color="000000" w:fill="FFFFFF"/>
            <w:noWrap/>
            <w:hideMark/>
          </w:tcPr>
          <w:p w:rsidR="00F2512B" w:rsidP="00F2512B" w14:paraId="65B80F08" w14:textId="77777777">
            <w:pPr>
              <w:spacing w:after="80"/>
              <w:jc w:val="center"/>
              <w:rPr>
                <w:color w:val="000000"/>
                <w:sz w:val="16"/>
                <w:szCs w:val="16"/>
              </w:rPr>
            </w:pPr>
            <w:r>
              <w:rPr>
                <w:color w:val="000000"/>
                <w:sz w:val="16"/>
                <w:szCs w:val="16"/>
              </w:rPr>
              <w:t>-0.309</w:t>
            </w:r>
          </w:p>
        </w:tc>
        <w:tc>
          <w:tcPr>
            <w:tcW w:w="700" w:type="dxa"/>
            <w:tcBorders>
              <w:top w:val="nil"/>
              <w:left w:val="nil"/>
              <w:bottom w:val="nil"/>
              <w:right w:val="nil"/>
            </w:tcBorders>
            <w:shd w:val="clear" w:color="000000" w:fill="FFFFFF"/>
            <w:noWrap/>
            <w:hideMark/>
          </w:tcPr>
          <w:p w:rsidR="00F2512B" w:rsidP="00F2512B" w14:paraId="61259A1E" w14:textId="77777777">
            <w:pPr>
              <w:spacing w:after="80"/>
              <w:jc w:val="center"/>
              <w:rPr>
                <w:color w:val="000000"/>
                <w:sz w:val="16"/>
                <w:szCs w:val="16"/>
              </w:rPr>
            </w:pPr>
            <w:r>
              <w:rPr>
                <w:color w:val="000000"/>
                <w:sz w:val="16"/>
                <w:szCs w:val="16"/>
              </w:rPr>
              <w:t>-0.257</w:t>
            </w:r>
          </w:p>
        </w:tc>
      </w:tr>
      <w:tr w14:paraId="7B47E95A"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76E87659"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4F1139C7" w14:textId="77777777">
            <w:pPr>
              <w:spacing w:after="80"/>
              <w:jc w:val="center"/>
              <w:rPr>
                <w:color w:val="000000"/>
                <w:sz w:val="16"/>
                <w:szCs w:val="16"/>
              </w:rPr>
            </w:pPr>
            <w:r>
              <w:rPr>
                <w:color w:val="000000"/>
                <w:sz w:val="16"/>
                <w:szCs w:val="16"/>
              </w:rPr>
              <w:t>(.032)</w:t>
            </w:r>
          </w:p>
        </w:tc>
        <w:tc>
          <w:tcPr>
            <w:tcW w:w="700" w:type="dxa"/>
            <w:tcBorders>
              <w:top w:val="nil"/>
              <w:left w:val="nil"/>
              <w:bottom w:val="nil"/>
              <w:right w:val="nil"/>
            </w:tcBorders>
            <w:shd w:val="clear" w:color="000000" w:fill="FFFFFF"/>
            <w:noWrap/>
            <w:hideMark/>
          </w:tcPr>
          <w:p w:rsidR="00F2512B" w:rsidP="00F2512B" w14:paraId="62E27476" w14:textId="77777777">
            <w:pPr>
              <w:spacing w:after="80"/>
              <w:jc w:val="center"/>
              <w:rPr>
                <w:color w:val="000000"/>
                <w:sz w:val="16"/>
                <w:szCs w:val="16"/>
              </w:rPr>
            </w:pPr>
            <w:r>
              <w:rPr>
                <w:color w:val="000000"/>
                <w:sz w:val="16"/>
                <w:szCs w:val="16"/>
              </w:rPr>
              <w:t>(.034)</w:t>
            </w:r>
          </w:p>
        </w:tc>
        <w:tc>
          <w:tcPr>
            <w:tcW w:w="700" w:type="dxa"/>
            <w:tcBorders>
              <w:top w:val="nil"/>
              <w:left w:val="nil"/>
              <w:bottom w:val="nil"/>
              <w:right w:val="nil"/>
            </w:tcBorders>
            <w:shd w:val="clear" w:color="000000" w:fill="FFFFFF"/>
            <w:noWrap/>
            <w:hideMark/>
          </w:tcPr>
          <w:p w:rsidR="00F2512B" w:rsidP="00F2512B" w14:paraId="249AC5A9" w14:textId="77777777">
            <w:pPr>
              <w:spacing w:after="80"/>
              <w:jc w:val="center"/>
              <w:rPr>
                <w:color w:val="000000"/>
                <w:sz w:val="16"/>
                <w:szCs w:val="16"/>
              </w:rPr>
            </w:pPr>
            <w:r>
              <w:rPr>
                <w:color w:val="000000"/>
                <w:sz w:val="16"/>
                <w:szCs w:val="16"/>
              </w:rPr>
              <w:t>(.038)</w:t>
            </w:r>
          </w:p>
        </w:tc>
        <w:tc>
          <w:tcPr>
            <w:tcW w:w="700" w:type="dxa"/>
            <w:tcBorders>
              <w:top w:val="nil"/>
              <w:left w:val="nil"/>
              <w:bottom w:val="nil"/>
              <w:right w:val="nil"/>
            </w:tcBorders>
            <w:shd w:val="clear" w:color="000000" w:fill="FFFFFF"/>
            <w:noWrap/>
            <w:hideMark/>
          </w:tcPr>
          <w:p w:rsidR="00F2512B" w:rsidP="00F2512B" w14:paraId="609DA25C" w14:textId="77777777">
            <w:pPr>
              <w:spacing w:after="80"/>
              <w:jc w:val="center"/>
              <w:rPr>
                <w:color w:val="000000"/>
                <w:sz w:val="16"/>
                <w:szCs w:val="16"/>
              </w:rPr>
            </w:pPr>
            <w:r>
              <w:rPr>
                <w:color w:val="000000"/>
                <w:sz w:val="16"/>
                <w:szCs w:val="16"/>
              </w:rPr>
              <w:t>(.054)</w:t>
            </w:r>
          </w:p>
        </w:tc>
        <w:tc>
          <w:tcPr>
            <w:tcW w:w="700" w:type="dxa"/>
            <w:tcBorders>
              <w:top w:val="nil"/>
              <w:left w:val="nil"/>
              <w:bottom w:val="nil"/>
              <w:right w:val="nil"/>
            </w:tcBorders>
            <w:shd w:val="clear" w:color="000000" w:fill="FFFFFF"/>
            <w:noWrap/>
            <w:hideMark/>
          </w:tcPr>
          <w:p w:rsidR="00F2512B" w:rsidP="00F2512B" w14:paraId="1A6A8595" w14:textId="77777777">
            <w:pPr>
              <w:spacing w:after="80"/>
              <w:jc w:val="center"/>
              <w:rPr>
                <w:color w:val="000000"/>
                <w:sz w:val="16"/>
                <w:szCs w:val="16"/>
              </w:rPr>
            </w:pPr>
            <w:r>
              <w:rPr>
                <w:color w:val="000000"/>
                <w:sz w:val="16"/>
                <w:szCs w:val="16"/>
              </w:rPr>
              <w:t>(.032)</w:t>
            </w:r>
          </w:p>
        </w:tc>
        <w:tc>
          <w:tcPr>
            <w:tcW w:w="700" w:type="dxa"/>
            <w:tcBorders>
              <w:top w:val="nil"/>
              <w:left w:val="nil"/>
              <w:bottom w:val="nil"/>
              <w:right w:val="nil"/>
            </w:tcBorders>
            <w:shd w:val="clear" w:color="000000" w:fill="FFFFFF"/>
            <w:noWrap/>
            <w:hideMark/>
          </w:tcPr>
          <w:p w:rsidR="00F2512B" w:rsidP="00F2512B" w14:paraId="039356A9" w14:textId="77777777">
            <w:pPr>
              <w:spacing w:after="80"/>
              <w:jc w:val="center"/>
              <w:rPr>
                <w:color w:val="000000"/>
                <w:sz w:val="16"/>
                <w:szCs w:val="16"/>
              </w:rPr>
            </w:pPr>
            <w:r>
              <w:rPr>
                <w:color w:val="000000"/>
                <w:sz w:val="16"/>
                <w:szCs w:val="16"/>
              </w:rPr>
              <w:t>(.034)</w:t>
            </w:r>
          </w:p>
        </w:tc>
        <w:tc>
          <w:tcPr>
            <w:tcW w:w="700" w:type="dxa"/>
            <w:tcBorders>
              <w:top w:val="nil"/>
              <w:left w:val="nil"/>
              <w:bottom w:val="nil"/>
              <w:right w:val="nil"/>
            </w:tcBorders>
            <w:shd w:val="clear" w:color="000000" w:fill="FFFFFF"/>
            <w:noWrap/>
            <w:hideMark/>
          </w:tcPr>
          <w:p w:rsidR="00F2512B" w:rsidP="00F2512B" w14:paraId="46704758" w14:textId="77777777">
            <w:pPr>
              <w:spacing w:after="80"/>
              <w:jc w:val="center"/>
              <w:rPr>
                <w:color w:val="000000"/>
                <w:sz w:val="16"/>
                <w:szCs w:val="16"/>
              </w:rPr>
            </w:pPr>
            <w:r>
              <w:rPr>
                <w:color w:val="000000"/>
                <w:sz w:val="16"/>
                <w:szCs w:val="16"/>
              </w:rPr>
              <w:t>(.039)</w:t>
            </w:r>
          </w:p>
        </w:tc>
        <w:tc>
          <w:tcPr>
            <w:tcW w:w="700" w:type="dxa"/>
            <w:tcBorders>
              <w:top w:val="nil"/>
              <w:left w:val="nil"/>
              <w:bottom w:val="nil"/>
              <w:right w:val="nil"/>
            </w:tcBorders>
            <w:shd w:val="clear" w:color="000000" w:fill="FFFFFF"/>
            <w:noWrap/>
            <w:hideMark/>
          </w:tcPr>
          <w:p w:rsidR="00F2512B" w:rsidP="00F2512B" w14:paraId="5C6DCC6A" w14:textId="77777777">
            <w:pPr>
              <w:spacing w:after="80"/>
              <w:jc w:val="center"/>
              <w:rPr>
                <w:color w:val="000000"/>
                <w:sz w:val="16"/>
                <w:szCs w:val="16"/>
              </w:rPr>
            </w:pPr>
            <w:r>
              <w:rPr>
                <w:color w:val="000000"/>
                <w:sz w:val="16"/>
                <w:szCs w:val="16"/>
              </w:rPr>
              <w:t>(.054)</w:t>
            </w:r>
          </w:p>
        </w:tc>
      </w:tr>
      <w:tr w14:paraId="0E345489"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10D022A6"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1BCE0503"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49A2FB3D"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0C8D2104"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1D383F5E"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11E3B35F"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6764FC28"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282A70A9"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7F30CCF8" w14:textId="77777777">
            <w:pPr>
              <w:jc w:val="center"/>
              <w:rPr>
                <w:color w:val="000000"/>
                <w:sz w:val="16"/>
                <w:szCs w:val="16"/>
              </w:rPr>
            </w:pPr>
            <w:r>
              <w:rPr>
                <w:color w:val="000000"/>
                <w:sz w:val="16"/>
                <w:szCs w:val="16"/>
              </w:rPr>
              <w:t>***</w:t>
            </w:r>
          </w:p>
        </w:tc>
      </w:tr>
      <w:tr w14:paraId="1BE61FBA" w14:textId="77777777" w:rsidTr="00F2512B">
        <w:tblPrEx>
          <w:tblW w:w="9360" w:type="dxa"/>
          <w:tblLook w:val="04A0"/>
        </w:tblPrEx>
        <w:trPr>
          <w:cantSplit/>
        </w:trPr>
        <w:tc>
          <w:tcPr>
            <w:tcW w:w="2580" w:type="dxa"/>
            <w:vMerge w:val="restart"/>
            <w:tcBorders>
              <w:top w:val="nil"/>
              <w:left w:val="nil"/>
              <w:bottom w:val="nil"/>
              <w:right w:val="nil"/>
            </w:tcBorders>
            <w:shd w:val="clear" w:color="000000" w:fill="FFFFFF"/>
            <w:hideMark/>
          </w:tcPr>
          <w:p w:rsidR="00F2512B" w:rsidP="00F2512B" w14:paraId="089BCACA" w14:textId="77777777">
            <w:pPr>
              <w:spacing w:after="80"/>
              <w:rPr>
                <w:color w:val="000000"/>
                <w:sz w:val="16"/>
                <w:szCs w:val="16"/>
              </w:rPr>
            </w:pPr>
            <w:r>
              <w:rPr>
                <w:color w:val="000000"/>
                <w:sz w:val="16"/>
                <w:szCs w:val="16"/>
              </w:rPr>
              <w:t>Log(Road Mile Density)</w:t>
            </w:r>
          </w:p>
        </w:tc>
        <w:tc>
          <w:tcPr>
            <w:tcW w:w="700" w:type="dxa"/>
            <w:tcBorders>
              <w:top w:val="nil"/>
              <w:left w:val="nil"/>
              <w:bottom w:val="nil"/>
              <w:right w:val="nil"/>
            </w:tcBorders>
            <w:shd w:val="clear" w:color="000000" w:fill="FFFFFF"/>
            <w:noWrap/>
            <w:hideMark/>
          </w:tcPr>
          <w:p w:rsidR="00F2512B" w:rsidP="00F2512B" w14:paraId="5BBF51A4" w14:textId="77777777">
            <w:pPr>
              <w:spacing w:after="80"/>
              <w:jc w:val="center"/>
              <w:rPr>
                <w:color w:val="000000"/>
                <w:sz w:val="16"/>
                <w:szCs w:val="16"/>
              </w:rPr>
            </w:pPr>
            <w:r>
              <w:rPr>
                <w:color w:val="000000"/>
                <w:sz w:val="16"/>
                <w:szCs w:val="16"/>
              </w:rPr>
              <w:t>-0.389</w:t>
            </w:r>
          </w:p>
        </w:tc>
        <w:tc>
          <w:tcPr>
            <w:tcW w:w="700" w:type="dxa"/>
            <w:tcBorders>
              <w:top w:val="nil"/>
              <w:left w:val="nil"/>
              <w:bottom w:val="nil"/>
              <w:right w:val="nil"/>
            </w:tcBorders>
            <w:shd w:val="clear" w:color="000000" w:fill="FFFFFF"/>
            <w:noWrap/>
            <w:hideMark/>
          </w:tcPr>
          <w:p w:rsidR="00F2512B" w:rsidP="00F2512B" w14:paraId="55ABEB80" w14:textId="77777777">
            <w:pPr>
              <w:spacing w:after="80"/>
              <w:jc w:val="center"/>
              <w:rPr>
                <w:color w:val="000000"/>
                <w:sz w:val="16"/>
                <w:szCs w:val="16"/>
              </w:rPr>
            </w:pPr>
            <w:r>
              <w:rPr>
                <w:color w:val="000000"/>
                <w:sz w:val="16"/>
                <w:szCs w:val="16"/>
              </w:rPr>
              <w:t>-0.155</w:t>
            </w:r>
          </w:p>
        </w:tc>
        <w:tc>
          <w:tcPr>
            <w:tcW w:w="700" w:type="dxa"/>
            <w:tcBorders>
              <w:top w:val="nil"/>
              <w:left w:val="nil"/>
              <w:bottom w:val="nil"/>
              <w:right w:val="nil"/>
            </w:tcBorders>
            <w:shd w:val="clear" w:color="000000" w:fill="FFFFFF"/>
            <w:noWrap/>
            <w:hideMark/>
          </w:tcPr>
          <w:p w:rsidR="00F2512B" w:rsidP="00F2512B" w14:paraId="3F766F0F" w14:textId="77777777">
            <w:pPr>
              <w:spacing w:after="80"/>
              <w:jc w:val="center"/>
              <w:rPr>
                <w:color w:val="000000"/>
                <w:sz w:val="16"/>
                <w:szCs w:val="16"/>
              </w:rPr>
            </w:pPr>
            <w:r>
              <w:rPr>
                <w:color w:val="000000"/>
                <w:sz w:val="16"/>
                <w:szCs w:val="16"/>
              </w:rPr>
              <w:t>-0.169</w:t>
            </w:r>
          </w:p>
        </w:tc>
        <w:tc>
          <w:tcPr>
            <w:tcW w:w="700" w:type="dxa"/>
            <w:tcBorders>
              <w:top w:val="nil"/>
              <w:left w:val="nil"/>
              <w:bottom w:val="nil"/>
              <w:right w:val="nil"/>
            </w:tcBorders>
            <w:shd w:val="clear" w:color="000000" w:fill="FFFFFF"/>
            <w:noWrap/>
            <w:hideMark/>
          </w:tcPr>
          <w:p w:rsidR="00F2512B" w:rsidP="00F2512B" w14:paraId="3D8F58F5" w14:textId="77777777">
            <w:pPr>
              <w:spacing w:after="80"/>
              <w:jc w:val="center"/>
              <w:rPr>
                <w:color w:val="000000"/>
                <w:sz w:val="16"/>
                <w:szCs w:val="16"/>
              </w:rPr>
            </w:pPr>
            <w:r>
              <w:rPr>
                <w:color w:val="000000"/>
                <w:sz w:val="16"/>
                <w:szCs w:val="16"/>
              </w:rPr>
              <w:t>-0.093</w:t>
            </w:r>
          </w:p>
        </w:tc>
        <w:tc>
          <w:tcPr>
            <w:tcW w:w="700" w:type="dxa"/>
            <w:tcBorders>
              <w:top w:val="nil"/>
              <w:left w:val="nil"/>
              <w:bottom w:val="nil"/>
              <w:right w:val="nil"/>
            </w:tcBorders>
            <w:shd w:val="clear" w:color="000000" w:fill="FFFFFF"/>
            <w:noWrap/>
            <w:hideMark/>
          </w:tcPr>
          <w:p w:rsidR="00F2512B" w:rsidP="00F2512B" w14:paraId="3F5485EC" w14:textId="77777777">
            <w:pPr>
              <w:spacing w:after="80"/>
              <w:jc w:val="center"/>
              <w:rPr>
                <w:color w:val="000000"/>
                <w:sz w:val="16"/>
                <w:szCs w:val="16"/>
              </w:rPr>
            </w:pPr>
            <w:r>
              <w:rPr>
                <w:color w:val="000000"/>
                <w:sz w:val="16"/>
                <w:szCs w:val="16"/>
              </w:rPr>
              <w:t>-0.335</w:t>
            </w:r>
          </w:p>
        </w:tc>
        <w:tc>
          <w:tcPr>
            <w:tcW w:w="700" w:type="dxa"/>
            <w:tcBorders>
              <w:top w:val="nil"/>
              <w:left w:val="nil"/>
              <w:bottom w:val="nil"/>
              <w:right w:val="nil"/>
            </w:tcBorders>
            <w:shd w:val="clear" w:color="000000" w:fill="FFFFFF"/>
            <w:noWrap/>
            <w:hideMark/>
          </w:tcPr>
          <w:p w:rsidR="00F2512B" w:rsidP="00F2512B" w14:paraId="28A27D30" w14:textId="77777777">
            <w:pPr>
              <w:spacing w:after="80"/>
              <w:jc w:val="center"/>
              <w:rPr>
                <w:color w:val="000000"/>
                <w:sz w:val="16"/>
                <w:szCs w:val="16"/>
              </w:rPr>
            </w:pPr>
            <w:r>
              <w:rPr>
                <w:color w:val="000000"/>
                <w:sz w:val="16"/>
                <w:szCs w:val="16"/>
              </w:rPr>
              <w:t>-0.020</w:t>
            </w:r>
          </w:p>
        </w:tc>
        <w:tc>
          <w:tcPr>
            <w:tcW w:w="700" w:type="dxa"/>
            <w:tcBorders>
              <w:top w:val="nil"/>
              <w:left w:val="nil"/>
              <w:bottom w:val="nil"/>
              <w:right w:val="nil"/>
            </w:tcBorders>
            <w:shd w:val="clear" w:color="000000" w:fill="FFFFFF"/>
            <w:noWrap/>
            <w:hideMark/>
          </w:tcPr>
          <w:p w:rsidR="00F2512B" w:rsidP="00F2512B" w14:paraId="7CA954BA" w14:textId="77777777">
            <w:pPr>
              <w:spacing w:after="80"/>
              <w:jc w:val="center"/>
              <w:rPr>
                <w:color w:val="000000"/>
                <w:sz w:val="16"/>
                <w:szCs w:val="16"/>
              </w:rPr>
            </w:pPr>
            <w:r>
              <w:rPr>
                <w:color w:val="000000"/>
                <w:sz w:val="16"/>
                <w:szCs w:val="16"/>
              </w:rPr>
              <w:t>-0.043</w:t>
            </w:r>
          </w:p>
        </w:tc>
        <w:tc>
          <w:tcPr>
            <w:tcW w:w="700" w:type="dxa"/>
            <w:tcBorders>
              <w:top w:val="nil"/>
              <w:left w:val="nil"/>
              <w:bottom w:val="nil"/>
              <w:right w:val="nil"/>
            </w:tcBorders>
            <w:shd w:val="clear" w:color="000000" w:fill="FFFFFF"/>
            <w:noWrap/>
            <w:hideMark/>
          </w:tcPr>
          <w:p w:rsidR="00F2512B" w:rsidP="00F2512B" w14:paraId="07246FEA" w14:textId="77777777">
            <w:pPr>
              <w:spacing w:after="80"/>
              <w:jc w:val="center"/>
              <w:rPr>
                <w:color w:val="000000"/>
                <w:sz w:val="16"/>
                <w:szCs w:val="16"/>
              </w:rPr>
            </w:pPr>
            <w:r>
              <w:rPr>
                <w:color w:val="000000"/>
                <w:sz w:val="16"/>
                <w:szCs w:val="16"/>
              </w:rPr>
              <w:t>0.040</w:t>
            </w:r>
          </w:p>
        </w:tc>
      </w:tr>
      <w:tr w14:paraId="1A275FAF"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665BF37E"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70990934" w14:textId="77777777">
            <w:pPr>
              <w:spacing w:after="80"/>
              <w:jc w:val="center"/>
              <w:rPr>
                <w:color w:val="000000"/>
                <w:sz w:val="16"/>
                <w:szCs w:val="16"/>
              </w:rPr>
            </w:pPr>
            <w:r>
              <w:rPr>
                <w:color w:val="000000"/>
                <w:sz w:val="16"/>
                <w:szCs w:val="16"/>
              </w:rPr>
              <w:t>(.047)</w:t>
            </w:r>
          </w:p>
        </w:tc>
        <w:tc>
          <w:tcPr>
            <w:tcW w:w="700" w:type="dxa"/>
            <w:tcBorders>
              <w:top w:val="nil"/>
              <w:left w:val="nil"/>
              <w:bottom w:val="nil"/>
              <w:right w:val="nil"/>
            </w:tcBorders>
            <w:shd w:val="clear" w:color="000000" w:fill="FFFFFF"/>
            <w:noWrap/>
            <w:hideMark/>
          </w:tcPr>
          <w:p w:rsidR="00F2512B" w:rsidP="00F2512B" w14:paraId="3A030754" w14:textId="77777777">
            <w:pPr>
              <w:spacing w:after="80"/>
              <w:jc w:val="center"/>
              <w:rPr>
                <w:color w:val="000000"/>
                <w:sz w:val="16"/>
                <w:szCs w:val="16"/>
              </w:rPr>
            </w:pPr>
            <w:r>
              <w:rPr>
                <w:color w:val="000000"/>
                <w:sz w:val="16"/>
                <w:szCs w:val="16"/>
              </w:rPr>
              <w:t>(.059)</w:t>
            </w:r>
          </w:p>
        </w:tc>
        <w:tc>
          <w:tcPr>
            <w:tcW w:w="700" w:type="dxa"/>
            <w:tcBorders>
              <w:top w:val="nil"/>
              <w:left w:val="nil"/>
              <w:bottom w:val="nil"/>
              <w:right w:val="nil"/>
            </w:tcBorders>
            <w:shd w:val="clear" w:color="000000" w:fill="FFFFFF"/>
            <w:noWrap/>
            <w:hideMark/>
          </w:tcPr>
          <w:p w:rsidR="00F2512B" w:rsidP="00F2512B" w14:paraId="213CE9AC" w14:textId="77777777">
            <w:pPr>
              <w:spacing w:after="80"/>
              <w:jc w:val="center"/>
              <w:rPr>
                <w:color w:val="000000"/>
                <w:sz w:val="16"/>
                <w:szCs w:val="16"/>
              </w:rPr>
            </w:pPr>
            <w:r>
              <w:rPr>
                <w:color w:val="000000"/>
                <w:sz w:val="16"/>
                <w:szCs w:val="16"/>
              </w:rPr>
              <w:t>(.059)</w:t>
            </w:r>
          </w:p>
        </w:tc>
        <w:tc>
          <w:tcPr>
            <w:tcW w:w="700" w:type="dxa"/>
            <w:tcBorders>
              <w:top w:val="nil"/>
              <w:left w:val="nil"/>
              <w:bottom w:val="nil"/>
              <w:right w:val="nil"/>
            </w:tcBorders>
            <w:shd w:val="clear" w:color="000000" w:fill="FFFFFF"/>
            <w:noWrap/>
            <w:hideMark/>
          </w:tcPr>
          <w:p w:rsidR="00F2512B" w:rsidP="00F2512B" w14:paraId="38DD4241" w14:textId="77777777">
            <w:pPr>
              <w:spacing w:after="80"/>
              <w:jc w:val="center"/>
              <w:rPr>
                <w:color w:val="000000"/>
                <w:sz w:val="16"/>
                <w:szCs w:val="16"/>
              </w:rPr>
            </w:pPr>
            <w:r>
              <w:rPr>
                <w:color w:val="000000"/>
                <w:sz w:val="16"/>
                <w:szCs w:val="16"/>
              </w:rPr>
              <w:t>(.063)</w:t>
            </w:r>
          </w:p>
        </w:tc>
        <w:tc>
          <w:tcPr>
            <w:tcW w:w="700" w:type="dxa"/>
            <w:tcBorders>
              <w:top w:val="nil"/>
              <w:left w:val="nil"/>
              <w:bottom w:val="nil"/>
              <w:right w:val="nil"/>
            </w:tcBorders>
            <w:shd w:val="clear" w:color="000000" w:fill="FFFFFF"/>
            <w:noWrap/>
            <w:hideMark/>
          </w:tcPr>
          <w:p w:rsidR="00F2512B" w:rsidP="00F2512B" w14:paraId="1B437821" w14:textId="77777777">
            <w:pPr>
              <w:spacing w:after="80"/>
              <w:jc w:val="center"/>
              <w:rPr>
                <w:color w:val="000000"/>
                <w:sz w:val="16"/>
                <w:szCs w:val="16"/>
              </w:rPr>
            </w:pPr>
            <w:r>
              <w:rPr>
                <w:color w:val="000000"/>
                <w:sz w:val="16"/>
                <w:szCs w:val="16"/>
              </w:rPr>
              <w:t>(.035)</w:t>
            </w:r>
          </w:p>
        </w:tc>
        <w:tc>
          <w:tcPr>
            <w:tcW w:w="700" w:type="dxa"/>
            <w:tcBorders>
              <w:top w:val="nil"/>
              <w:left w:val="nil"/>
              <w:bottom w:val="nil"/>
              <w:right w:val="nil"/>
            </w:tcBorders>
            <w:shd w:val="clear" w:color="000000" w:fill="FFFFFF"/>
            <w:noWrap/>
            <w:hideMark/>
          </w:tcPr>
          <w:p w:rsidR="00F2512B" w:rsidP="00F2512B" w14:paraId="06644C87" w14:textId="77777777">
            <w:pPr>
              <w:spacing w:after="80"/>
              <w:jc w:val="center"/>
              <w:rPr>
                <w:color w:val="000000"/>
                <w:sz w:val="16"/>
                <w:szCs w:val="16"/>
              </w:rPr>
            </w:pPr>
            <w:r>
              <w:rPr>
                <w:color w:val="000000"/>
                <w:sz w:val="16"/>
                <w:szCs w:val="16"/>
              </w:rPr>
              <w:t>(.041)</w:t>
            </w:r>
          </w:p>
        </w:tc>
        <w:tc>
          <w:tcPr>
            <w:tcW w:w="700" w:type="dxa"/>
            <w:tcBorders>
              <w:top w:val="nil"/>
              <w:left w:val="nil"/>
              <w:bottom w:val="nil"/>
              <w:right w:val="nil"/>
            </w:tcBorders>
            <w:shd w:val="clear" w:color="000000" w:fill="FFFFFF"/>
            <w:noWrap/>
            <w:hideMark/>
          </w:tcPr>
          <w:p w:rsidR="00F2512B" w:rsidP="00F2512B" w14:paraId="50D895E8" w14:textId="77777777">
            <w:pPr>
              <w:spacing w:after="80"/>
              <w:jc w:val="center"/>
              <w:rPr>
                <w:color w:val="000000"/>
                <w:sz w:val="16"/>
                <w:szCs w:val="16"/>
              </w:rPr>
            </w:pPr>
            <w:r>
              <w:rPr>
                <w:color w:val="000000"/>
                <w:sz w:val="16"/>
                <w:szCs w:val="16"/>
              </w:rPr>
              <w:t>(.044)</w:t>
            </w:r>
          </w:p>
        </w:tc>
        <w:tc>
          <w:tcPr>
            <w:tcW w:w="700" w:type="dxa"/>
            <w:tcBorders>
              <w:top w:val="nil"/>
              <w:left w:val="nil"/>
              <w:bottom w:val="nil"/>
              <w:right w:val="nil"/>
            </w:tcBorders>
            <w:shd w:val="clear" w:color="000000" w:fill="FFFFFF"/>
            <w:noWrap/>
            <w:hideMark/>
          </w:tcPr>
          <w:p w:rsidR="00F2512B" w:rsidP="00F2512B" w14:paraId="1FFBCE55" w14:textId="77777777">
            <w:pPr>
              <w:spacing w:after="80"/>
              <w:jc w:val="center"/>
              <w:rPr>
                <w:color w:val="000000"/>
                <w:sz w:val="16"/>
                <w:szCs w:val="16"/>
              </w:rPr>
            </w:pPr>
            <w:r>
              <w:rPr>
                <w:color w:val="000000"/>
                <w:sz w:val="16"/>
                <w:szCs w:val="16"/>
              </w:rPr>
              <w:t>(.060)</w:t>
            </w:r>
          </w:p>
        </w:tc>
      </w:tr>
      <w:tr w14:paraId="3E7077FA"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738E7704"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3B78C85E"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23AB97FD"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08F29696"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5D87AB84"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38CBDB8B"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7FB22F3F"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71CB7639"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2583701B" w14:textId="77777777">
            <w:pPr>
              <w:jc w:val="center"/>
              <w:rPr>
                <w:color w:val="000000"/>
                <w:sz w:val="16"/>
                <w:szCs w:val="16"/>
              </w:rPr>
            </w:pPr>
            <w:r>
              <w:rPr>
                <w:color w:val="000000"/>
                <w:sz w:val="16"/>
                <w:szCs w:val="16"/>
              </w:rPr>
              <w:t> </w:t>
            </w:r>
          </w:p>
        </w:tc>
      </w:tr>
      <w:tr w14:paraId="030F3C6B" w14:textId="77777777" w:rsidTr="00F2512B">
        <w:tblPrEx>
          <w:tblW w:w="9360" w:type="dxa"/>
          <w:tblLook w:val="04A0"/>
        </w:tblPrEx>
        <w:trPr>
          <w:cantSplit/>
        </w:trPr>
        <w:tc>
          <w:tcPr>
            <w:tcW w:w="2580" w:type="dxa"/>
            <w:vMerge w:val="restart"/>
            <w:tcBorders>
              <w:top w:val="nil"/>
              <w:left w:val="nil"/>
              <w:bottom w:val="nil"/>
              <w:right w:val="nil"/>
            </w:tcBorders>
            <w:shd w:val="clear" w:color="000000" w:fill="FFFFFF"/>
            <w:hideMark/>
          </w:tcPr>
          <w:p w:rsidR="00F2512B" w:rsidP="00F2512B" w14:paraId="7BB78630" w14:textId="77777777">
            <w:pPr>
              <w:spacing w:after="80"/>
              <w:rPr>
                <w:color w:val="000000"/>
                <w:sz w:val="16"/>
                <w:szCs w:val="16"/>
              </w:rPr>
            </w:pPr>
            <w:r>
              <w:rPr>
                <w:color w:val="000000"/>
                <w:sz w:val="16"/>
                <w:szCs w:val="16"/>
              </w:rPr>
              <w:t>Log(Establishment Density)</w:t>
            </w:r>
          </w:p>
        </w:tc>
        <w:tc>
          <w:tcPr>
            <w:tcW w:w="700" w:type="dxa"/>
            <w:tcBorders>
              <w:top w:val="nil"/>
              <w:left w:val="nil"/>
              <w:bottom w:val="nil"/>
              <w:right w:val="nil"/>
            </w:tcBorders>
            <w:shd w:val="clear" w:color="000000" w:fill="FFFFFF"/>
            <w:noWrap/>
            <w:hideMark/>
          </w:tcPr>
          <w:p w:rsidR="00F2512B" w:rsidP="00F2512B" w14:paraId="4AA3CD82" w14:textId="77777777">
            <w:pPr>
              <w:spacing w:after="80"/>
              <w:jc w:val="center"/>
              <w:rPr>
                <w:color w:val="000000"/>
                <w:sz w:val="16"/>
                <w:szCs w:val="16"/>
              </w:rPr>
            </w:pPr>
            <w:r>
              <w:rPr>
                <w:color w:val="000000"/>
                <w:sz w:val="16"/>
                <w:szCs w:val="16"/>
              </w:rPr>
              <w:t>-0.201</w:t>
            </w:r>
          </w:p>
        </w:tc>
        <w:tc>
          <w:tcPr>
            <w:tcW w:w="700" w:type="dxa"/>
            <w:tcBorders>
              <w:top w:val="nil"/>
              <w:left w:val="nil"/>
              <w:bottom w:val="nil"/>
              <w:right w:val="nil"/>
            </w:tcBorders>
            <w:shd w:val="clear" w:color="000000" w:fill="FFFFFF"/>
            <w:noWrap/>
            <w:hideMark/>
          </w:tcPr>
          <w:p w:rsidR="00F2512B" w:rsidP="00F2512B" w14:paraId="090FC7A0" w14:textId="77777777">
            <w:pPr>
              <w:spacing w:after="80"/>
              <w:jc w:val="center"/>
              <w:rPr>
                <w:color w:val="000000"/>
                <w:sz w:val="16"/>
                <w:szCs w:val="16"/>
              </w:rPr>
            </w:pPr>
            <w:r>
              <w:rPr>
                <w:color w:val="000000"/>
                <w:sz w:val="16"/>
                <w:szCs w:val="16"/>
              </w:rPr>
              <w:t>-0.087</w:t>
            </w:r>
          </w:p>
        </w:tc>
        <w:tc>
          <w:tcPr>
            <w:tcW w:w="700" w:type="dxa"/>
            <w:tcBorders>
              <w:top w:val="nil"/>
              <w:left w:val="nil"/>
              <w:bottom w:val="nil"/>
              <w:right w:val="nil"/>
            </w:tcBorders>
            <w:shd w:val="clear" w:color="000000" w:fill="FFFFFF"/>
            <w:noWrap/>
            <w:hideMark/>
          </w:tcPr>
          <w:p w:rsidR="00F2512B" w:rsidP="00F2512B" w14:paraId="3D69FEF8" w14:textId="77777777">
            <w:pPr>
              <w:spacing w:after="80"/>
              <w:jc w:val="center"/>
              <w:rPr>
                <w:color w:val="000000"/>
                <w:sz w:val="16"/>
                <w:szCs w:val="16"/>
              </w:rPr>
            </w:pPr>
            <w:r>
              <w:rPr>
                <w:color w:val="000000"/>
                <w:sz w:val="16"/>
                <w:szCs w:val="16"/>
              </w:rPr>
              <w:t>-0.029</w:t>
            </w:r>
          </w:p>
        </w:tc>
        <w:tc>
          <w:tcPr>
            <w:tcW w:w="700" w:type="dxa"/>
            <w:tcBorders>
              <w:top w:val="nil"/>
              <w:left w:val="nil"/>
              <w:bottom w:val="nil"/>
              <w:right w:val="nil"/>
            </w:tcBorders>
            <w:shd w:val="clear" w:color="000000" w:fill="FFFFFF"/>
            <w:noWrap/>
            <w:hideMark/>
          </w:tcPr>
          <w:p w:rsidR="00F2512B" w:rsidP="00F2512B" w14:paraId="266752A0" w14:textId="77777777">
            <w:pPr>
              <w:spacing w:after="80"/>
              <w:jc w:val="center"/>
              <w:rPr>
                <w:color w:val="000000"/>
                <w:sz w:val="16"/>
                <w:szCs w:val="16"/>
              </w:rPr>
            </w:pPr>
            <w:r>
              <w:rPr>
                <w:color w:val="000000"/>
                <w:sz w:val="16"/>
                <w:szCs w:val="16"/>
              </w:rPr>
              <w:t>-0.028</w:t>
            </w:r>
          </w:p>
        </w:tc>
        <w:tc>
          <w:tcPr>
            <w:tcW w:w="700" w:type="dxa"/>
            <w:tcBorders>
              <w:top w:val="nil"/>
              <w:left w:val="nil"/>
              <w:bottom w:val="nil"/>
              <w:right w:val="nil"/>
            </w:tcBorders>
            <w:shd w:val="clear" w:color="000000" w:fill="FFFFFF"/>
            <w:noWrap/>
            <w:hideMark/>
          </w:tcPr>
          <w:p w:rsidR="00F2512B" w:rsidP="00F2512B" w14:paraId="64D9987E" w14:textId="77777777">
            <w:pPr>
              <w:spacing w:after="80"/>
              <w:jc w:val="center"/>
              <w:rPr>
                <w:color w:val="000000"/>
                <w:sz w:val="16"/>
                <w:szCs w:val="16"/>
              </w:rPr>
            </w:pPr>
            <w:r>
              <w:rPr>
                <w:color w:val="000000"/>
                <w:sz w:val="16"/>
                <w:szCs w:val="16"/>
              </w:rPr>
              <w:t>-0.279</w:t>
            </w:r>
          </w:p>
        </w:tc>
        <w:tc>
          <w:tcPr>
            <w:tcW w:w="700" w:type="dxa"/>
            <w:tcBorders>
              <w:top w:val="nil"/>
              <w:left w:val="nil"/>
              <w:bottom w:val="nil"/>
              <w:right w:val="nil"/>
            </w:tcBorders>
            <w:shd w:val="clear" w:color="000000" w:fill="FFFFFF"/>
            <w:noWrap/>
            <w:hideMark/>
          </w:tcPr>
          <w:p w:rsidR="00F2512B" w:rsidP="00F2512B" w14:paraId="0ABC07D9" w14:textId="77777777">
            <w:pPr>
              <w:spacing w:after="80"/>
              <w:jc w:val="center"/>
              <w:rPr>
                <w:color w:val="000000"/>
                <w:sz w:val="16"/>
                <w:szCs w:val="16"/>
              </w:rPr>
            </w:pPr>
            <w:r>
              <w:rPr>
                <w:color w:val="000000"/>
                <w:sz w:val="16"/>
                <w:szCs w:val="16"/>
              </w:rPr>
              <w:t>-0.183</w:t>
            </w:r>
          </w:p>
        </w:tc>
        <w:tc>
          <w:tcPr>
            <w:tcW w:w="700" w:type="dxa"/>
            <w:tcBorders>
              <w:top w:val="nil"/>
              <w:left w:val="nil"/>
              <w:bottom w:val="nil"/>
              <w:right w:val="nil"/>
            </w:tcBorders>
            <w:shd w:val="clear" w:color="000000" w:fill="FFFFFF"/>
            <w:noWrap/>
            <w:hideMark/>
          </w:tcPr>
          <w:p w:rsidR="00F2512B" w:rsidP="00F2512B" w14:paraId="6A85BCC9" w14:textId="77777777">
            <w:pPr>
              <w:spacing w:after="80"/>
              <w:jc w:val="center"/>
              <w:rPr>
                <w:color w:val="000000"/>
                <w:sz w:val="16"/>
                <w:szCs w:val="16"/>
              </w:rPr>
            </w:pPr>
            <w:r>
              <w:rPr>
                <w:color w:val="000000"/>
                <w:sz w:val="16"/>
                <w:szCs w:val="16"/>
              </w:rPr>
              <w:t>-0.129</w:t>
            </w:r>
          </w:p>
        </w:tc>
        <w:tc>
          <w:tcPr>
            <w:tcW w:w="700" w:type="dxa"/>
            <w:tcBorders>
              <w:top w:val="nil"/>
              <w:left w:val="nil"/>
              <w:bottom w:val="nil"/>
              <w:right w:val="nil"/>
            </w:tcBorders>
            <w:shd w:val="clear" w:color="000000" w:fill="FFFFFF"/>
            <w:noWrap/>
            <w:hideMark/>
          </w:tcPr>
          <w:p w:rsidR="00F2512B" w:rsidP="00F2512B" w14:paraId="27A86AA0" w14:textId="77777777">
            <w:pPr>
              <w:spacing w:after="80"/>
              <w:jc w:val="center"/>
              <w:rPr>
                <w:color w:val="000000"/>
                <w:sz w:val="16"/>
                <w:szCs w:val="16"/>
              </w:rPr>
            </w:pPr>
            <w:r>
              <w:rPr>
                <w:color w:val="000000"/>
                <w:sz w:val="16"/>
                <w:szCs w:val="16"/>
              </w:rPr>
              <w:t>-0.107</w:t>
            </w:r>
          </w:p>
        </w:tc>
      </w:tr>
      <w:tr w14:paraId="4DEBE942"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7A8D8280"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21D45A19" w14:textId="77777777">
            <w:pPr>
              <w:spacing w:after="80"/>
              <w:jc w:val="center"/>
              <w:rPr>
                <w:color w:val="000000"/>
                <w:sz w:val="16"/>
                <w:szCs w:val="16"/>
              </w:rPr>
            </w:pPr>
            <w:r>
              <w:rPr>
                <w:color w:val="000000"/>
                <w:sz w:val="16"/>
                <w:szCs w:val="16"/>
              </w:rPr>
              <w:t>(.030)</w:t>
            </w:r>
          </w:p>
        </w:tc>
        <w:tc>
          <w:tcPr>
            <w:tcW w:w="700" w:type="dxa"/>
            <w:tcBorders>
              <w:top w:val="nil"/>
              <w:left w:val="nil"/>
              <w:bottom w:val="nil"/>
              <w:right w:val="nil"/>
            </w:tcBorders>
            <w:shd w:val="clear" w:color="000000" w:fill="FFFFFF"/>
            <w:noWrap/>
            <w:hideMark/>
          </w:tcPr>
          <w:p w:rsidR="00F2512B" w:rsidP="00F2512B" w14:paraId="6A91235B" w14:textId="77777777">
            <w:pPr>
              <w:spacing w:after="80"/>
              <w:jc w:val="center"/>
              <w:rPr>
                <w:color w:val="000000"/>
                <w:sz w:val="16"/>
                <w:szCs w:val="16"/>
              </w:rPr>
            </w:pPr>
            <w:r>
              <w:rPr>
                <w:color w:val="000000"/>
                <w:sz w:val="16"/>
                <w:szCs w:val="16"/>
              </w:rPr>
              <w:t>(.033)</w:t>
            </w:r>
          </w:p>
        </w:tc>
        <w:tc>
          <w:tcPr>
            <w:tcW w:w="700" w:type="dxa"/>
            <w:tcBorders>
              <w:top w:val="nil"/>
              <w:left w:val="nil"/>
              <w:bottom w:val="nil"/>
              <w:right w:val="nil"/>
            </w:tcBorders>
            <w:shd w:val="clear" w:color="000000" w:fill="FFFFFF"/>
            <w:noWrap/>
            <w:hideMark/>
          </w:tcPr>
          <w:p w:rsidR="00F2512B" w:rsidP="00F2512B" w14:paraId="5D0655B0" w14:textId="77777777">
            <w:pPr>
              <w:spacing w:after="80"/>
              <w:jc w:val="center"/>
              <w:rPr>
                <w:color w:val="000000"/>
                <w:sz w:val="16"/>
                <w:szCs w:val="16"/>
              </w:rPr>
            </w:pPr>
            <w:r>
              <w:rPr>
                <w:color w:val="000000"/>
                <w:sz w:val="16"/>
                <w:szCs w:val="16"/>
              </w:rPr>
              <w:t>(.037)</w:t>
            </w:r>
          </w:p>
        </w:tc>
        <w:tc>
          <w:tcPr>
            <w:tcW w:w="700" w:type="dxa"/>
            <w:tcBorders>
              <w:top w:val="nil"/>
              <w:left w:val="nil"/>
              <w:bottom w:val="nil"/>
              <w:right w:val="nil"/>
            </w:tcBorders>
            <w:shd w:val="clear" w:color="000000" w:fill="FFFFFF"/>
            <w:noWrap/>
            <w:hideMark/>
          </w:tcPr>
          <w:p w:rsidR="00F2512B" w:rsidP="00F2512B" w14:paraId="571235E6" w14:textId="77777777">
            <w:pPr>
              <w:spacing w:after="80"/>
              <w:jc w:val="center"/>
              <w:rPr>
                <w:color w:val="000000"/>
                <w:sz w:val="16"/>
                <w:szCs w:val="16"/>
              </w:rPr>
            </w:pPr>
            <w:r>
              <w:rPr>
                <w:color w:val="000000"/>
                <w:sz w:val="16"/>
                <w:szCs w:val="16"/>
              </w:rPr>
              <w:t>(.048)</w:t>
            </w:r>
          </w:p>
        </w:tc>
        <w:tc>
          <w:tcPr>
            <w:tcW w:w="700" w:type="dxa"/>
            <w:tcBorders>
              <w:top w:val="nil"/>
              <w:left w:val="nil"/>
              <w:bottom w:val="nil"/>
              <w:right w:val="nil"/>
            </w:tcBorders>
            <w:shd w:val="clear" w:color="000000" w:fill="FFFFFF"/>
            <w:noWrap/>
            <w:hideMark/>
          </w:tcPr>
          <w:p w:rsidR="00F2512B" w:rsidP="00F2512B" w14:paraId="70AAA725" w14:textId="77777777">
            <w:pPr>
              <w:spacing w:after="80"/>
              <w:jc w:val="center"/>
              <w:rPr>
                <w:color w:val="000000"/>
                <w:sz w:val="16"/>
                <w:szCs w:val="16"/>
              </w:rPr>
            </w:pPr>
            <w:r>
              <w:rPr>
                <w:color w:val="000000"/>
                <w:sz w:val="16"/>
                <w:szCs w:val="16"/>
              </w:rPr>
              <w:t>(.029)</w:t>
            </w:r>
          </w:p>
        </w:tc>
        <w:tc>
          <w:tcPr>
            <w:tcW w:w="700" w:type="dxa"/>
            <w:tcBorders>
              <w:top w:val="nil"/>
              <w:left w:val="nil"/>
              <w:bottom w:val="nil"/>
              <w:right w:val="nil"/>
            </w:tcBorders>
            <w:shd w:val="clear" w:color="000000" w:fill="FFFFFF"/>
            <w:noWrap/>
            <w:hideMark/>
          </w:tcPr>
          <w:p w:rsidR="00F2512B" w:rsidP="00F2512B" w14:paraId="5DDB3A8A" w14:textId="77777777">
            <w:pPr>
              <w:spacing w:after="80"/>
              <w:jc w:val="center"/>
              <w:rPr>
                <w:color w:val="000000"/>
                <w:sz w:val="16"/>
                <w:szCs w:val="16"/>
              </w:rPr>
            </w:pPr>
            <w:r>
              <w:rPr>
                <w:color w:val="000000"/>
                <w:sz w:val="16"/>
                <w:szCs w:val="16"/>
              </w:rPr>
              <w:t>(.033)</w:t>
            </w:r>
          </w:p>
        </w:tc>
        <w:tc>
          <w:tcPr>
            <w:tcW w:w="700" w:type="dxa"/>
            <w:tcBorders>
              <w:top w:val="nil"/>
              <w:left w:val="nil"/>
              <w:bottom w:val="nil"/>
              <w:right w:val="nil"/>
            </w:tcBorders>
            <w:shd w:val="clear" w:color="000000" w:fill="FFFFFF"/>
            <w:noWrap/>
            <w:hideMark/>
          </w:tcPr>
          <w:p w:rsidR="00F2512B" w:rsidP="00F2512B" w14:paraId="3E61A2F7" w14:textId="77777777">
            <w:pPr>
              <w:spacing w:after="80"/>
              <w:jc w:val="center"/>
              <w:rPr>
                <w:color w:val="000000"/>
                <w:sz w:val="16"/>
                <w:szCs w:val="16"/>
              </w:rPr>
            </w:pPr>
            <w:r>
              <w:rPr>
                <w:color w:val="000000"/>
                <w:sz w:val="16"/>
                <w:szCs w:val="16"/>
              </w:rPr>
              <w:t>(.035)</w:t>
            </w:r>
          </w:p>
        </w:tc>
        <w:tc>
          <w:tcPr>
            <w:tcW w:w="700" w:type="dxa"/>
            <w:tcBorders>
              <w:top w:val="nil"/>
              <w:left w:val="nil"/>
              <w:bottom w:val="nil"/>
              <w:right w:val="nil"/>
            </w:tcBorders>
            <w:shd w:val="clear" w:color="000000" w:fill="FFFFFF"/>
            <w:noWrap/>
            <w:hideMark/>
          </w:tcPr>
          <w:p w:rsidR="00F2512B" w:rsidP="00F2512B" w14:paraId="42B5A79C" w14:textId="77777777">
            <w:pPr>
              <w:spacing w:after="80"/>
              <w:jc w:val="center"/>
              <w:rPr>
                <w:color w:val="000000"/>
                <w:sz w:val="16"/>
                <w:szCs w:val="16"/>
              </w:rPr>
            </w:pPr>
            <w:r>
              <w:rPr>
                <w:color w:val="000000"/>
                <w:sz w:val="16"/>
                <w:szCs w:val="16"/>
              </w:rPr>
              <w:t>(.046)</w:t>
            </w:r>
          </w:p>
        </w:tc>
      </w:tr>
      <w:tr w14:paraId="6DC11212"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6E605DCB"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01FB2644"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1AF7B960"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2C8F53F9"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11953580"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24323243"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34BF081C"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1FA6F6DC"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635923D8" w14:textId="77777777">
            <w:pPr>
              <w:jc w:val="center"/>
              <w:rPr>
                <w:color w:val="000000"/>
                <w:sz w:val="16"/>
                <w:szCs w:val="16"/>
              </w:rPr>
            </w:pPr>
            <w:r>
              <w:rPr>
                <w:color w:val="000000"/>
                <w:sz w:val="16"/>
                <w:szCs w:val="16"/>
              </w:rPr>
              <w:t>**</w:t>
            </w:r>
          </w:p>
        </w:tc>
      </w:tr>
      <w:tr w14:paraId="51A08DAF" w14:textId="77777777" w:rsidTr="00F2512B">
        <w:tblPrEx>
          <w:tblW w:w="9360" w:type="dxa"/>
          <w:tblLook w:val="04A0"/>
        </w:tblPrEx>
        <w:trPr>
          <w:cantSplit/>
        </w:trPr>
        <w:tc>
          <w:tcPr>
            <w:tcW w:w="2580" w:type="dxa"/>
            <w:vMerge w:val="restart"/>
            <w:tcBorders>
              <w:top w:val="nil"/>
              <w:left w:val="nil"/>
              <w:bottom w:val="nil"/>
              <w:right w:val="nil"/>
            </w:tcBorders>
            <w:shd w:val="clear" w:color="000000" w:fill="FFFFFF"/>
            <w:hideMark/>
          </w:tcPr>
          <w:p w:rsidR="00F2512B" w:rsidP="00F2512B" w14:paraId="22DF3F5E" w14:textId="77777777">
            <w:pPr>
              <w:spacing w:after="80"/>
              <w:rPr>
                <w:color w:val="000000"/>
                <w:sz w:val="16"/>
                <w:szCs w:val="16"/>
              </w:rPr>
            </w:pPr>
            <w:r>
              <w:rPr>
                <w:color w:val="000000"/>
                <w:sz w:val="16"/>
                <w:szCs w:val="16"/>
              </w:rPr>
              <w:t>Log(Income)</w:t>
            </w:r>
          </w:p>
        </w:tc>
        <w:tc>
          <w:tcPr>
            <w:tcW w:w="700" w:type="dxa"/>
            <w:tcBorders>
              <w:top w:val="nil"/>
              <w:left w:val="nil"/>
              <w:bottom w:val="nil"/>
              <w:right w:val="nil"/>
            </w:tcBorders>
            <w:shd w:val="clear" w:color="000000" w:fill="FFFFFF"/>
            <w:noWrap/>
            <w:hideMark/>
          </w:tcPr>
          <w:p w:rsidR="00F2512B" w:rsidP="00F2512B" w14:paraId="698EB251" w14:textId="77777777">
            <w:pPr>
              <w:spacing w:after="80"/>
              <w:jc w:val="center"/>
              <w:rPr>
                <w:color w:val="000000"/>
                <w:sz w:val="16"/>
                <w:szCs w:val="16"/>
              </w:rPr>
            </w:pPr>
            <w:r>
              <w:rPr>
                <w:color w:val="000000"/>
                <w:sz w:val="16"/>
                <w:szCs w:val="16"/>
              </w:rPr>
              <w:t>0.013</w:t>
            </w:r>
          </w:p>
        </w:tc>
        <w:tc>
          <w:tcPr>
            <w:tcW w:w="700" w:type="dxa"/>
            <w:tcBorders>
              <w:top w:val="nil"/>
              <w:left w:val="nil"/>
              <w:bottom w:val="nil"/>
              <w:right w:val="nil"/>
            </w:tcBorders>
            <w:shd w:val="clear" w:color="000000" w:fill="FFFFFF"/>
            <w:noWrap/>
            <w:hideMark/>
          </w:tcPr>
          <w:p w:rsidR="00F2512B" w:rsidP="00F2512B" w14:paraId="225BBDF8" w14:textId="77777777">
            <w:pPr>
              <w:spacing w:after="80"/>
              <w:jc w:val="center"/>
              <w:rPr>
                <w:color w:val="000000"/>
                <w:sz w:val="16"/>
                <w:szCs w:val="16"/>
              </w:rPr>
            </w:pPr>
            <w:r>
              <w:rPr>
                <w:color w:val="000000"/>
                <w:sz w:val="16"/>
                <w:szCs w:val="16"/>
              </w:rPr>
              <w:t>-0.080</w:t>
            </w:r>
          </w:p>
        </w:tc>
        <w:tc>
          <w:tcPr>
            <w:tcW w:w="700" w:type="dxa"/>
            <w:tcBorders>
              <w:top w:val="nil"/>
              <w:left w:val="nil"/>
              <w:bottom w:val="nil"/>
              <w:right w:val="nil"/>
            </w:tcBorders>
            <w:shd w:val="clear" w:color="000000" w:fill="FFFFFF"/>
            <w:noWrap/>
            <w:hideMark/>
          </w:tcPr>
          <w:p w:rsidR="00F2512B" w:rsidP="00F2512B" w14:paraId="3493A631" w14:textId="77777777">
            <w:pPr>
              <w:spacing w:after="80"/>
              <w:jc w:val="center"/>
              <w:rPr>
                <w:color w:val="000000"/>
                <w:sz w:val="16"/>
                <w:szCs w:val="16"/>
              </w:rPr>
            </w:pPr>
            <w:r>
              <w:rPr>
                <w:color w:val="000000"/>
                <w:sz w:val="16"/>
                <w:szCs w:val="16"/>
              </w:rPr>
              <w:t>-0.055</w:t>
            </w:r>
          </w:p>
        </w:tc>
        <w:tc>
          <w:tcPr>
            <w:tcW w:w="700" w:type="dxa"/>
            <w:tcBorders>
              <w:top w:val="nil"/>
              <w:left w:val="nil"/>
              <w:bottom w:val="nil"/>
              <w:right w:val="nil"/>
            </w:tcBorders>
            <w:shd w:val="clear" w:color="000000" w:fill="FFFFFF"/>
            <w:noWrap/>
            <w:hideMark/>
          </w:tcPr>
          <w:p w:rsidR="00F2512B" w:rsidP="00F2512B" w14:paraId="1F5B6A23" w14:textId="77777777">
            <w:pPr>
              <w:spacing w:after="80"/>
              <w:jc w:val="center"/>
              <w:rPr>
                <w:color w:val="000000"/>
                <w:sz w:val="16"/>
                <w:szCs w:val="16"/>
              </w:rPr>
            </w:pPr>
            <w:r>
              <w:rPr>
                <w:color w:val="000000"/>
                <w:sz w:val="16"/>
                <w:szCs w:val="16"/>
              </w:rPr>
              <w:t>0.030</w:t>
            </w:r>
          </w:p>
        </w:tc>
        <w:tc>
          <w:tcPr>
            <w:tcW w:w="700" w:type="dxa"/>
            <w:tcBorders>
              <w:top w:val="nil"/>
              <w:left w:val="nil"/>
              <w:bottom w:val="nil"/>
              <w:right w:val="nil"/>
            </w:tcBorders>
            <w:shd w:val="clear" w:color="000000" w:fill="FFFFFF"/>
            <w:noWrap/>
            <w:hideMark/>
          </w:tcPr>
          <w:p w:rsidR="00F2512B" w:rsidP="00F2512B" w14:paraId="11038D5F" w14:textId="77777777">
            <w:pPr>
              <w:spacing w:after="80"/>
              <w:jc w:val="center"/>
              <w:rPr>
                <w:color w:val="000000"/>
                <w:sz w:val="16"/>
                <w:szCs w:val="16"/>
              </w:rPr>
            </w:pPr>
            <w:r>
              <w:rPr>
                <w:color w:val="000000"/>
                <w:sz w:val="16"/>
                <w:szCs w:val="16"/>
              </w:rPr>
              <w:t>0.036</w:t>
            </w:r>
          </w:p>
        </w:tc>
        <w:tc>
          <w:tcPr>
            <w:tcW w:w="700" w:type="dxa"/>
            <w:tcBorders>
              <w:top w:val="nil"/>
              <w:left w:val="nil"/>
              <w:bottom w:val="nil"/>
              <w:right w:val="nil"/>
            </w:tcBorders>
            <w:shd w:val="clear" w:color="000000" w:fill="FFFFFF"/>
            <w:noWrap/>
            <w:hideMark/>
          </w:tcPr>
          <w:p w:rsidR="00F2512B" w:rsidP="00F2512B" w14:paraId="50532205" w14:textId="77777777">
            <w:pPr>
              <w:spacing w:after="80"/>
              <w:jc w:val="center"/>
              <w:rPr>
                <w:color w:val="000000"/>
                <w:sz w:val="16"/>
                <w:szCs w:val="16"/>
              </w:rPr>
            </w:pPr>
            <w:r>
              <w:rPr>
                <w:color w:val="000000"/>
                <w:sz w:val="16"/>
                <w:szCs w:val="16"/>
              </w:rPr>
              <w:t>-0.151</w:t>
            </w:r>
          </w:p>
        </w:tc>
        <w:tc>
          <w:tcPr>
            <w:tcW w:w="700" w:type="dxa"/>
            <w:tcBorders>
              <w:top w:val="nil"/>
              <w:left w:val="nil"/>
              <w:bottom w:val="nil"/>
              <w:right w:val="nil"/>
            </w:tcBorders>
            <w:shd w:val="clear" w:color="000000" w:fill="FFFFFF"/>
            <w:noWrap/>
            <w:hideMark/>
          </w:tcPr>
          <w:p w:rsidR="00F2512B" w:rsidP="00F2512B" w14:paraId="204CEF9D" w14:textId="77777777">
            <w:pPr>
              <w:spacing w:after="80"/>
              <w:jc w:val="center"/>
              <w:rPr>
                <w:color w:val="000000"/>
                <w:sz w:val="16"/>
                <w:szCs w:val="16"/>
              </w:rPr>
            </w:pPr>
            <w:r>
              <w:rPr>
                <w:color w:val="000000"/>
                <w:sz w:val="16"/>
                <w:szCs w:val="16"/>
              </w:rPr>
              <w:t>-0.157</w:t>
            </w:r>
          </w:p>
        </w:tc>
        <w:tc>
          <w:tcPr>
            <w:tcW w:w="700" w:type="dxa"/>
            <w:tcBorders>
              <w:top w:val="nil"/>
              <w:left w:val="nil"/>
              <w:bottom w:val="nil"/>
              <w:right w:val="nil"/>
            </w:tcBorders>
            <w:shd w:val="clear" w:color="000000" w:fill="FFFFFF"/>
            <w:noWrap/>
            <w:hideMark/>
          </w:tcPr>
          <w:p w:rsidR="00F2512B" w:rsidP="00F2512B" w14:paraId="42910CB0" w14:textId="77777777">
            <w:pPr>
              <w:spacing w:after="80"/>
              <w:jc w:val="center"/>
              <w:rPr>
                <w:color w:val="000000"/>
                <w:sz w:val="16"/>
                <w:szCs w:val="16"/>
              </w:rPr>
            </w:pPr>
            <w:r>
              <w:rPr>
                <w:color w:val="000000"/>
                <w:sz w:val="16"/>
                <w:szCs w:val="16"/>
              </w:rPr>
              <w:t>-0.061</w:t>
            </w:r>
          </w:p>
        </w:tc>
      </w:tr>
      <w:tr w14:paraId="6B2B11CB"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176852EF"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184264EE" w14:textId="77777777">
            <w:pPr>
              <w:spacing w:after="80"/>
              <w:jc w:val="center"/>
              <w:rPr>
                <w:color w:val="000000"/>
                <w:sz w:val="16"/>
                <w:szCs w:val="16"/>
              </w:rPr>
            </w:pPr>
            <w:r>
              <w:rPr>
                <w:color w:val="000000"/>
                <w:sz w:val="16"/>
                <w:szCs w:val="16"/>
              </w:rPr>
              <w:t>(.045)</w:t>
            </w:r>
          </w:p>
        </w:tc>
        <w:tc>
          <w:tcPr>
            <w:tcW w:w="700" w:type="dxa"/>
            <w:tcBorders>
              <w:top w:val="nil"/>
              <w:left w:val="nil"/>
              <w:bottom w:val="nil"/>
              <w:right w:val="nil"/>
            </w:tcBorders>
            <w:shd w:val="clear" w:color="000000" w:fill="FFFFFF"/>
            <w:noWrap/>
            <w:hideMark/>
          </w:tcPr>
          <w:p w:rsidR="00F2512B" w:rsidP="00F2512B" w14:paraId="4626CA97" w14:textId="77777777">
            <w:pPr>
              <w:spacing w:after="80"/>
              <w:jc w:val="center"/>
              <w:rPr>
                <w:color w:val="000000"/>
                <w:sz w:val="16"/>
                <w:szCs w:val="16"/>
              </w:rPr>
            </w:pPr>
            <w:r>
              <w:rPr>
                <w:color w:val="000000"/>
                <w:sz w:val="16"/>
                <w:szCs w:val="16"/>
              </w:rPr>
              <w:t>(.061)</w:t>
            </w:r>
          </w:p>
        </w:tc>
        <w:tc>
          <w:tcPr>
            <w:tcW w:w="700" w:type="dxa"/>
            <w:tcBorders>
              <w:top w:val="nil"/>
              <w:left w:val="nil"/>
              <w:bottom w:val="nil"/>
              <w:right w:val="nil"/>
            </w:tcBorders>
            <w:shd w:val="clear" w:color="000000" w:fill="FFFFFF"/>
            <w:noWrap/>
            <w:hideMark/>
          </w:tcPr>
          <w:p w:rsidR="00F2512B" w:rsidP="00F2512B" w14:paraId="5936CB4F" w14:textId="77777777">
            <w:pPr>
              <w:spacing w:after="80"/>
              <w:jc w:val="center"/>
              <w:rPr>
                <w:color w:val="000000"/>
                <w:sz w:val="16"/>
                <w:szCs w:val="16"/>
              </w:rPr>
            </w:pPr>
            <w:r>
              <w:rPr>
                <w:color w:val="000000"/>
                <w:sz w:val="16"/>
                <w:szCs w:val="16"/>
              </w:rPr>
              <w:t>(.072)</w:t>
            </w:r>
          </w:p>
        </w:tc>
        <w:tc>
          <w:tcPr>
            <w:tcW w:w="700" w:type="dxa"/>
            <w:tcBorders>
              <w:top w:val="nil"/>
              <w:left w:val="nil"/>
              <w:bottom w:val="nil"/>
              <w:right w:val="nil"/>
            </w:tcBorders>
            <w:shd w:val="clear" w:color="000000" w:fill="FFFFFF"/>
            <w:noWrap/>
            <w:hideMark/>
          </w:tcPr>
          <w:p w:rsidR="00F2512B" w:rsidP="00F2512B" w14:paraId="26228857" w14:textId="77777777">
            <w:pPr>
              <w:spacing w:after="80"/>
              <w:jc w:val="center"/>
              <w:rPr>
                <w:color w:val="000000"/>
                <w:sz w:val="16"/>
                <w:szCs w:val="16"/>
              </w:rPr>
            </w:pPr>
            <w:r>
              <w:rPr>
                <w:color w:val="000000"/>
                <w:sz w:val="16"/>
                <w:szCs w:val="16"/>
              </w:rPr>
              <w:t>(.095)</w:t>
            </w:r>
          </w:p>
        </w:tc>
        <w:tc>
          <w:tcPr>
            <w:tcW w:w="700" w:type="dxa"/>
            <w:tcBorders>
              <w:top w:val="nil"/>
              <w:left w:val="nil"/>
              <w:bottom w:val="nil"/>
              <w:right w:val="nil"/>
            </w:tcBorders>
            <w:shd w:val="clear" w:color="000000" w:fill="FFFFFF"/>
            <w:noWrap/>
            <w:hideMark/>
          </w:tcPr>
          <w:p w:rsidR="00F2512B" w:rsidP="00F2512B" w14:paraId="15D54800" w14:textId="77777777">
            <w:pPr>
              <w:spacing w:after="80"/>
              <w:jc w:val="center"/>
              <w:rPr>
                <w:color w:val="000000"/>
                <w:sz w:val="16"/>
                <w:szCs w:val="16"/>
              </w:rPr>
            </w:pPr>
            <w:r>
              <w:rPr>
                <w:color w:val="000000"/>
                <w:sz w:val="16"/>
                <w:szCs w:val="16"/>
              </w:rPr>
              <w:t>(.040)</w:t>
            </w:r>
          </w:p>
        </w:tc>
        <w:tc>
          <w:tcPr>
            <w:tcW w:w="700" w:type="dxa"/>
            <w:tcBorders>
              <w:top w:val="nil"/>
              <w:left w:val="nil"/>
              <w:bottom w:val="nil"/>
              <w:right w:val="nil"/>
            </w:tcBorders>
            <w:shd w:val="clear" w:color="000000" w:fill="FFFFFF"/>
            <w:noWrap/>
            <w:hideMark/>
          </w:tcPr>
          <w:p w:rsidR="00F2512B" w:rsidP="00F2512B" w14:paraId="3237EC09" w14:textId="77777777">
            <w:pPr>
              <w:spacing w:after="80"/>
              <w:jc w:val="center"/>
              <w:rPr>
                <w:color w:val="000000"/>
                <w:sz w:val="16"/>
                <w:szCs w:val="16"/>
              </w:rPr>
            </w:pPr>
            <w:r>
              <w:rPr>
                <w:color w:val="000000"/>
                <w:sz w:val="16"/>
                <w:szCs w:val="16"/>
              </w:rPr>
              <w:t>(.053)</w:t>
            </w:r>
          </w:p>
        </w:tc>
        <w:tc>
          <w:tcPr>
            <w:tcW w:w="700" w:type="dxa"/>
            <w:tcBorders>
              <w:top w:val="nil"/>
              <w:left w:val="nil"/>
              <w:bottom w:val="nil"/>
              <w:right w:val="nil"/>
            </w:tcBorders>
            <w:shd w:val="clear" w:color="000000" w:fill="FFFFFF"/>
            <w:noWrap/>
            <w:hideMark/>
          </w:tcPr>
          <w:p w:rsidR="00F2512B" w:rsidP="00F2512B" w14:paraId="2666EC6A" w14:textId="77777777">
            <w:pPr>
              <w:spacing w:after="80"/>
              <w:jc w:val="center"/>
              <w:rPr>
                <w:color w:val="000000"/>
                <w:sz w:val="16"/>
                <w:szCs w:val="16"/>
              </w:rPr>
            </w:pPr>
            <w:r>
              <w:rPr>
                <w:color w:val="000000"/>
                <w:sz w:val="16"/>
                <w:szCs w:val="16"/>
              </w:rPr>
              <w:t>(.069)</w:t>
            </w:r>
          </w:p>
        </w:tc>
        <w:tc>
          <w:tcPr>
            <w:tcW w:w="700" w:type="dxa"/>
            <w:tcBorders>
              <w:top w:val="nil"/>
              <w:left w:val="nil"/>
              <w:bottom w:val="nil"/>
              <w:right w:val="nil"/>
            </w:tcBorders>
            <w:shd w:val="clear" w:color="000000" w:fill="FFFFFF"/>
            <w:noWrap/>
            <w:hideMark/>
          </w:tcPr>
          <w:p w:rsidR="00F2512B" w:rsidP="00F2512B" w14:paraId="55885B80" w14:textId="77777777">
            <w:pPr>
              <w:spacing w:after="80"/>
              <w:jc w:val="center"/>
              <w:rPr>
                <w:color w:val="000000"/>
                <w:sz w:val="16"/>
                <w:szCs w:val="16"/>
              </w:rPr>
            </w:pPr>
            <w:r>
              <w:rPr>
                <w:color w:val="000000"/>
                <w:sz w:val="16"/>
                <w:szCs w:val="16"/>
              </w:rPr>
              <w:t>(.093)</w:t>
            </w:r>
          </w:p>
        </w:tc>
      </w:tr>
      <w:tr w14:paraId="4C23EACD"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6E567FD8"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07737F47"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74E6795E"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48CAFC4A"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2E3D8783"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09848442"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3BD29F62"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1A39506A"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23CEB5DF" w14:textId="77777777">
            <w:pPr>
              <w:jc w:val="center"/>
              <w:rPr>
                <w:color w:val="000000"/>
                <w:sz w:val="16"/>
                <w:szCs w:val="16"/>
              </w:rPr>
            </w:pPr>
            <w:r>
              <w:rPr>
                <w:color w:val="000000"/>
                <w:sz w:val="16"/>
                <w:szCs w:val="16"/>
              </w:rPr>
              <w:t> </w:t>
            </w:r>
          </w:p>
        </w:tc>
      </w:tr>
      <w:tr w14:paraId="50FF1C08" w14:textId="77777777" w:rsidTr="00F2512B">
        <w:tblPrEx>
          <w:tblW w:w="9360" w:type="dxa"/>
          <w:tblLook w:val="04A0"/>
        </w:tblPrEx>
        <w:trPr>
          <w:cantSplit/>
        </w:trPr>
        <w:tc>
          <w:tcPr>
            <w:tcW w:w="2580" w:type="dxa"/>
            <w:vMerge w:val="restart"/>
            <w:tcBorders>
              <w:top w:val="nil"/>
              <w:left w:val="nil"/>
              <w:bottom w:val="nil"/>
              <w:right w:val="nil"/>
            </w:tcBorders>
            <w:shd w:val="clear" w:color="000000" w:fill="FFFFFF"/>
            <w:hideMark/>
          </w:tcPr>
          <w:p w:rsidR="00F2512B" w:rsidP="00F2512B" w14:paraId="18F39C8E" w14:textId="058FC2AF">
            <w:pPr>
              <w:spacing w:after="80"/>
              <w:rPr>
                <w:color w:val="000000"/>
                <w:sz w:val="16"/>
                <w:szCs w:val="16"/>
              </w:rPr>
            </w:pPr>
            <w:r>
              <w:rPr>
                <w:color w:val="000000"/>
                <w:sz w:val="16"/>
                <w:szCs w:val="16"/>
              </w:rPr>
              <w:t>Log(Subscribers per Deployed MHz) (CMA Level)</w:t>
            </w:r>
          </w:p>
        </w:tc>
        <w:tc>
          <w:tcPr>
            <w:tcW w:w="700" w:type="dxa"/>
            <w:tcBorders>
              <w:top w:val="nil"/>
              <w:left w:val="nil"/>
              <w:bottom w:val="nil"/>
              <w:right w:val="nil"/>
            </w:tcBorders>
            <w:shd w:val="clear" w:color="000000" w:fill="FFFFFF"/>
            <w:noWrap/>
            <w:hideMark/>
          </w:tcPr>
          <w:p w:rsidR="00F2512B" w:rsidP="00F2512B" w14:paraId="54C9C482" w14:textId="77777777">
            <w:pPr>
              <w:spacing w:after="80"/>
              <w:jc w:val="center"/>
              <w:rPr>
                <w:color w:val="000000"/>
                <w:sz w:val="16"/>
                <w:szCs w:val="16"/>
              </w:rPr>
            </w:pPr>
            <w:r>
              <w:rPr>
                <w:color w:val="000000"/>
                <w:sz w:val="16"/>
                <w:szCs w:val="16"/>
              </w:rPr>
              <w:t>-0.100</w:t>
            </w:r>
          </w:p>
        </w:tc>
        <w:tc>
          <w:tcPr>
            <w:tcW w:w="700" w:type="dxa"/>
            <w:tcBorders>
              <w:top w:val="nil"/>
              <w:left w:val="nil"/>
              <w:bottom w:val="nil"/>
              <w:right w:val="nil"/>
            </w:tcBorders>
            <w:shd w:val="clear" w:color="000000" w:fill="FFFFFF"/>
            <w:noWrap/>
            <w:hideMark/>
          </w:tcPr>
          <w:p w:rsidR="00F2512B" w:rsidP="00F2512B" w14:paraId="5B848FA8" w14:textId="77777777">
            <w:pPr>
              <w:spacing w:after="80"/>
              <w:jc w:val="center"/>
              <w:rPr>
                <w:color w:val="000000"/>
                <w:sz w:val="16"/>
                <w:szCs w:val="16"/>
              </w:rPr>
            </w:pPr>
            <w:r>
              <w:rPr>
                <w:color w:val="000000"/>
                <w:sz w:val="16"/>
                <w:szCs w:val="16"/>
              </w:rPr>
              <w:t>-0.083</w:t>
            </w:r>
          </w:p>
        </w:tc>
        <w:tc>
          <w:tcPr>
            <w:tcW w:w="700" w:type="dxa"/>
            <w:tcBorders>
              <w:top w:val="nil"/>
              <w:left w:val="nil"/>
              <w:bottom w:val="nil"/>
              <w:right w:val="nil"/>
            </w:tcBorders>
            <w:shd w:val="clear" w:color="000000" w:fill="FFFFFF"/>
            <w:noWrap/>
            <w:hideMark/>
          </w:tcPr>
          <w:p w:rsidR="00F2512B" w:rsidP="00F2512B" w14:paraId="07881779" w14:textId="77777777">
            <w:pPr>
              <w:spacing w:after="80"/>
              <w:jc w:val="center"/>
              <w:rPr>
                <w:color w:val="000000"/>
                <w:sz w:val="16"/>
                <w:szCs w:val="16"/>
              </w:rPr>
            </w:pPr>
            <w:r>
              <w:rPr>
                <w:color w:val="000000"/>
                <w:sz w:val="16"/>
                <w:szCs w:val="16"/>
              </w:rPr>
              <w:t>-0.067</w:t>
            </w:r>
          </w:p>
        </w:tc>
        <w:tc>
          <w:tcPr>
            <w:tcW w:w="700" w:type="dxa"/>
            <w:tcBorders>
              <w:top w:val="nil"/>
              <w:left w:val="nil"/>
              <w:bottom w:val="nil"/>
              <w:right w:val="nil"/>
            </w:tcBorders>
            <w:shd w:val="clear" w:color="000000" w:fill="FFFFFF"/>
            <w:noWrap/>
            <w:hideMark/>
          </w:tcPr>
          <w:p w:rsidR="00F2512B" w:rsidP="00F2512B" w14:paraId="0AF91E9A" w14:textId="77777777">
            <w:pPr>
              <w:spacing w:after="80"/>
              <w:jc w:val="center"/>
              <w:rPr>
                <w:color w:val="000000"/>
                <w:sz w:val="16"/>
                <w:szCs w:val="16"/>
              </w:rPr>
            </w:pPr>
            <w:r>
              <w:rPr>
                <w:color w:val="000000"/>
                <w:sz w:val="16"/>
                <w:szCs w:val="16"/>
              </w:rPr>
              <w:t>-0.070</w:t>
            </w:r>
          </w:p>
        </w:tc>
        <w:tc>
          <w:tcPr>
            <w:tcW w:w="700" w:type="dxa"/>
            <w:tcBorders>
              <w:top w:val="nil"/>
              <w:left w:val="nil"/>
              <w:bottom w:val="nil"/>
              <w:right w:val="nil"/>
            </w:tcBorders>
            <w:shd w:val="clear" w:color="000000" w:fill="FFFFFF"/>
            <w:noWrap/>
            <w:hideMark/>
          </w:tcPr>
          <w:p w:rsidR="00F2512B" w:rsidP="00F2512B" w14:paraId="1217C2C7" w14:textId="77777777">
            <w:pPr>
              <w:spacing w:after="80"/>
              <w:jc w:val="center"/>
              <w:rPr>
                <w:color w:val="000000"/>
                <w:sz w:val="16"/>
                <w:szCs w:val="16"/>
              </w:rPr>
            </w:pPr>
            <w:r>
              <w:rPr>
                <w:color w:val="000000"/>
                <w:sz w:val="16"/>
                <w:szCs w:val="16"/>
              </w:rPr>
              <w:t>-0.101</w:t>
            </w:r>
          </w:p>
        </w:tc>
        <w:tc>
          <w:tcPr>
            <w:tcW w:w="700" w:type="dxa"/>
            <w:tcBorders>
              <w:top w:val="nil"/>
              <w:left w:val="nil"/>
              <w:bottom w:val="nil"/>
              <w:right w:val="nil"/>
            </w:tcBorders>
            <w:shd w:val="clear" w:color="000000" w:fill="FFFFFF"/>
            <w:noWrap/>
            <w:hideMark/>
          </w:tcPr>
          <w:p w:rsidR="00F2512B" w:rsidP="00F2512B" w14:paraId="3498150D" w14:textId="77777777">
            <w:pPr>
              <w:spacing w:after="80"/>
              <w:jc w:val="center"/>
              <w:rPr>
                <w:color w:val="000000"/>
                <w:sz w:val="16"/>
                <w:szCs w:val="16"/>
              </w:rPr>
            </w:pPr>
            <w:r>
              <w:rPr>
                <w:color w:val="000000"/>
                <w:sz w:val="16"/>
                <w:szCs w:val="16"/>
              </w:rPr>
              <w:t>-0.079</w:t>
            </w:r>
          </w:p>
        </w:tc>
        <w:tc>
          <w:tcPr>
            <w:tcW w:w="700" w:type="dxa"/>
            <w:tcBorders>
              <w:top w:val="nil"/>
              <w:left w:val="nil"/>
              <w:bottom w:val="nil"/>
              <w:right w:val="nil"/>
            </w:tcBorders>
            <w:shd w:val="clear" w:color="000000" w:fill="FFFFFF"/>
            <w:noWrap/>
            <w:hideMark/>
          </w:tcPr>
          <w:p w:rsidR="00F2512B" w:rsidP="00F2512B" w14:paraId="496C5582" w14:textId="77777777">
            <w:pPr>
              <w:spacing w:after="80"/>
              <w:jc w:val="center"/>
              <w:rPr>
                <w:color w:val="000000"/>
                <w:sz w:val="16"/>
                <w:szCs w:val="16"/>
              </w:rPr>
            </w:pPr>
            <w:r>
              <w:rPr>
                <w:color w:val="000000"/>
                <w:sz w:val="16"/>
                <w:szCs w:val="16"/>
              </w:rPr>
              <w:t>-0.066</w:t>
            </w:r>
          </w:p>
        </w:tc>
        <w:tc>
          <w:tcPr>
            <w:tcW w:w="700" w:type="dxa"/>
            <w:tcBorders>
              <w:top w:val="nil"/>
              <w:left w:val="nil"/>
              <w:bottom w:val="nil"/>
              <w:right w:val="nil"/>
            </w:tcBorders>
            <w:shd w:val="clear" w:color="000000" w:fill="FFFFFF"/>
            <w:noWrap/>
            <w:hideMark/>
          </w:tcPr>
          <w:p w:rsidR="00F2512B" w:rsidP="00F2512B" w14:paraId="5C19487F" w14:textId="77777777">
            <w:pPr>
              <w:spacing w:after="80"/>
              <w:jc w:val="center"/>
              <w:rPr>
                <w:color w:val="000000"/>
                <w:sz w:val="16"/>
                <w:szCs w:val="16"/>
              </w:rPr>
            </w:pPr>
            <w:r>
              <w:rPr>
                <w:color w:val="000000"/>
                <w:sz w:val="16"/>
                <w:szCs w:val="16"/>
              </w:rPr>
              <w:t>-0.072</w:t>
            </w:r>
          </w:p>
        </w:tc>
      </w:tr>
      <w:tr w14:paraId="357D7ADB"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65E34E53"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5C40A3D0" w14:textId="77777777">
            <w:pPr>
              <w:spacing w:after="80"/>
              <w:jc w:val="center"/>
              <w:rPr>
                <w:color w:val="000000"/>
                <w:sz w:val="16"/>
                <w:szCs w:val="16"/>
              </w:rPr>
            </w:pPr>
            <w:r>
              <w:rPr>
                <w:color w:val="000000"/>
                <w:sz w:val="16"/>
                <w:szCs w:val="16"/>
              </w:rPr>
              <w:t>(.012)</w:t>
            </w:r>
          </w:p>
        </w:tc>
        <w:tc>
          <w:tcPr>
            <w:tcW w:w="700" w:type="dxa"/>
            <w:tcBorders>
              <w:top w:val="nil"/>
              <w:left w:val="nil"/>
              <w:bottom w:val="nil"/>
              <w:right w:val="nil"/>
            </w:tcBorders>
            <w:shd w:val="clear" w:color="000000" w:fill="FFFFFF"/>
            <w:noWrap/>
            <w:hideMark/>
          </w:tcPr>
          <w:p w:rsidR="00F2512B" w:rsidP="00F2512B" w14:paraId="36D93E5A" w14:textId="77777777">
            <w:pPr>
              <w:spacing w:after="80"/>
              <w:jc w:val="center"/>
              <w:rPr>
                <w:color w:val="000000"/>
                <w:sz w:val="16"/>
                <w:szCs w:val="16"/>
              </w:rPr>
            </w:pPr>
            <w:r>
              <w:rPr>
                <w:color w:val="000000"/>
                <w:sz w:val="16"/>
                <w:szCs w:val="16"/>
              </w:rPr>
              <w:t>(.013)</w:t>
            </w:r>
          </w:p>
        </w:tc>
        <w:tc>
          <w:tcPr>
            <w:tcW w:w="700" w:type="dxa"/>
            <w:tcBorders>
              <w:top w:val="nil"/>
              <w:left w:val="nil"/>
              <w:bottom w:val="nil"/>
              <w:right w:val="nil"/>
            </w:tcBorders>
            <w:shd w:val="clear" w:color="000000" w:fill="FFFFFF"/>
            <w:noWrap/>
            <w:hideMark/>
          </w:tcPr>
          <w:p w:rsidR="00F2512B" w:rsidP="00F2512B" w14:paraId="4739C9BA" w14:textId="77777777">
            <w:pPr>
              <w:spacing w:after="80"/>
              <w:jc w:val="center"/>
              <w:rPr>
                <w:color w:val="000000"/>
                <w:sz w:val="16"/>
                <w:szCs w:val="16"/>
              </w:rPr>
            </w:pPr>
            <w:r>
              <w:rPr>
                <w:color w:val="000000"/>
                <w:sz w:val="16"/>
                <w:szCs w:val="16"/>
              </w:rPr>
              <w:t>(.017)</w:t>
            </w:r>
          </w:p>
        </w:tc>
        <w:tc>
          <w:tcPr>
            <w:tcW w:w="700" w:type="dxa"/>
            <w:tcBorders>
              <w:top w:val="nil"/>
              <w:left w:val="nil"/>
              <w:bottom w:val="nil"/>
              <w:right w:val="nil"/>
            </w:tcBorders>
            <w:shd w:val="clear" w:color="000000" w:fill="FFFFFF"/>
            <w:noWrap/>
            <w:hideMark/>
          </w:tcPr>
          <w:p w:rsidR="00F2512B" w:rsidP="00F2512B" w14:paraId="0EFCC5E8" w14:textId="77777777">
            <w:pPr>
              <w:spacing w:after="80"/>
              <w:jc w:val="center"/>
              <w:rPr>
                <w:color w:val="000000"/>
                <w:sz w:val="16"/>
                <w:szCs w:val="16"/>
              </w:rPr>
            </w:pPr>
            <w:r>
              <w:rPr>
                <w:color w:val="000000"/>
                <w:sz w:val="16"/>
                <w:szCs w:val="16"/>
              </w:rPr>
              <w:t>(.025)</w:t>
            </w:r>
          </w:p>
        </w:tc>
        <w:tc>
          <w:tcPr>
            <w:tcW w:w="700" w:type="dxa"/>
            <w:tcBorders>
              <w:top w:val="nil"/>
              <w:left w:val="nil"/>
              <w:bottom w:val="nil"/>
              <w:right w:val="nil"/>
            </w:tcBorders>
            <w:shd w:val="clear" w:color="000000" w:fill="FFFFFF"/>
            <w:noWrap/>
            <w:hideMark/>
          </w:tcPr>
          <w:p w:rsidR="00F2512B" w:rsidP="00F2512B" w14:paraId="124106E3" w14:textId="77777777">
            <w:pPr>
              <w:spacing w:after="80"/>
              <w:jc w:val="center"/>
              <w:rPr>
                <w:color w:val="000000"/>
                <w:sz w:val="16"/>
                <w:szCs w:val="16"/>
              </w:rPr>
            </w:pPr>
            <w:r>
              <w:rPr>
                <w:color w:val="000000"/>
                <w:sz w:val="16"/>
                <w:szCs w:val="16"/>
              </w:rPr>
              <w:t>(.010)</w:t>
            </w:r>
          </w:p>
        </w:tc>
        <w:tc>
          <w:tcPr>
            <w:tcW w:w="700" w:type="dxa"/>
            <w:tcBorders>
              <w:top w:val="nil"/>
              <w:left w:val="nil"/>
              <w:bottom w:val="nil"/>
              <w:right w:val="nil"/>
            </w:tcBorders>
            <w:shd w:val="clear" w:color="000000" w:fill="FFFFFF"/>
            <w:noWrap/>
            <w:hideMark/>
          </w:tcPr>
          <w:p w:rsidR="00F2512B" w:rsidP="00F2512B" w14:paraId="63B1EF61" w14:textId="77777777">
            <w:pPr>
              <w:spacing w:after="80"/>
              <w:jc w:val="center"/>
              <w:rPr>
                <w:color w:val="000000"/>
                <w:sz w:val="16"/>
                <w:szCs w:val="16"/>
              </w:rPr>
            </w:pPr>
            <w:r>
              <w:rPr>
                <w:color w:val="000000"/>
                <w:sz w:val="16"/>
                <w:szCs w:val="16"/>
              </w:rPr>
              <w:t>(.012)</w:t>
            </w:r>
          </w:p>
        </w:tc>
        <w:tc>
          <w:tcPr>
            <w:tcW w:w="700" w:type="dxa"/>
            <w:tcBorders>
              <w:top w:val="nil"/>
              <w:left w:val="nil"/>
              <w:bottom w:val="nil"/>
              <w:right w:val="nil"/>
            </w:tcBorders>
            <w:shd w:val="clear" w:color="000000" w:fill="FFFFFF"/>
            <w:noWrap/>
            <w:hideMark/>
          </w:tcPr>
          <w:p w:rsidR="00F2512B" w:rsidP="00F2512B" w14:paraId="3C394FEE" w14:textId="77777777">
            <w:pPr>
              <w:spacing w:after="80"/>
              <w:jc w:val="center"/>
              <w:rPr>
                <w:color w:val="000000"/>
                <w:sz w:val="16"/>
                <w:szCs w:val="16"/>
              </w:rPr>
            </w:pPr>
            <w:r>
              <w:rPr>
                <w:color w:val="000000"/>
                <w:sz w:val="16"/>
                <w:szCs w:val="16"/>
              </w:rPr>
              <w:t>(.016)</w:t>
            </w:r>
          </w:p>
        </w:tc>
        <w:tc>
          <w:tcPr>
            <w:tcW w:w="700" w:type="dxa"/>
            <w:tcBorders>
              <w:top w:val="nil"/>
              <w:left w:val="nil"/>
              <w:bottom w:val="nil"/>
              <w:right w:val="nil"/>
            </w:tcBorders>
            <w:shd w:val="clear" w:color="000000" w:fill="FFFFFF"/>
            <w:noWrap/>
            <w:hideMark/>
          </w:tcPr>
          <w:p w:rsidR="00F2512B" w:rsidP="00F2512B" w14:paraId="7DBC2251" w14:textId="77777777">
            <w:pPr>
              <w:spacing w:after="80"/>
              <w:jc w:val="center"/>
              <w:rPr>
                <w:color w:val="000000"/>
                <w:sz w:val="16"/>
                <w:szCs w:val="16"/>
              </w:rPr>
            </w:pPr>
            <w:r>
              <w:rPr>
                <w:color w:val="000000"/>
                <w:sz w:val="16"/>
                <w:szCs w:val="16"/>
              </w:rPr>
              <w:t>(.023)</w:t>
            </w:r>
          </w:p>
        </w:tc>
      </w:tr>
      <w:tr w14:paraId="325420C0"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29DF0019"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6B137F12"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65FEB406"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774D25F7"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65B66220"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20DF46F6"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30B1FCF9"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37429960"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1102C534" w14:textId="77777777">
            <w:pPr>
              <w:jc w:val="center"/>
              <w:rPr>
                <w:color w:val="000000"/>
                <w:sz w:val="16"/>
                <w:szCs w:val="16"/>
              </w:rPr>
            </w:pPr>
            <w:r>
              <w:rPr>
                <w:color w:val="000000"/>
                <w:sz w:val="16"/>
                <w:szCs w:val="16"/>
              </w:rPr>
              <w:t>***</w:t>
            </w:r>
          </w:p>
        </w:tc>
      </w:tr>
      <w:tr w14:paraId="314E2A8E" w14:textId="77777777" w:rsidTr="00F2512B">
        <w:tblPrEx>
          <w:tblW w:w="9360" w:type="dxa"/>
          <w:tblLook w:val="04A0"/>
        </w:tblPrEx>
        <w:trPr>
          <w:cantSplit/>
        </w:trPr>
        <w:tc>
          <w:tcPr>
            <w:tcW w:w="2580" w:type="dxa"/>
            <w:vMerge w:val="restart"/>
            <w:tcBorders>
              <w:top w:val="nil"/>
              <w:left w:val="nil"/>
              <w:bottom w:val="nil"/>
              <w:right w:val="nil"/>
            </w:tcBorders>
            <w:shd w:val="clear" w:color="000000" w:fill="FFFFFF"/>
            <w:hideMark/>
          </w:tcPr>
          <w:p w:rsidR="00F2512B" w:rsidP="00F2512B" w14:paraId="60793CD1" w14:textId="4B490AA4">
            <w:pPr>
              <w:spacing w:after="80"/>
              <w:rPr>
                <w:color w:val="000000"/>
                <w:sz w:val="16"/>
                <w:szCs w:val="16"/>
              </w:rPr>
            </w:pPr>
            <w:r>
              <w:rPr>
                <w:color w:val="000000"/>
                <w:sz w:val="16"/>
                <w:szCs w:val="16"/>
              </w:rPr>
              <w:t>Terrain*Log(Subscribers per Deployed MHz) (CMA Level)</w:t>
            </w:r>
          </w:p>
        </w:tc>
        <w:tc>
          <w:tcPr>
            <w:tcW w:w="700" w:type="dxa"/>
            <w:tcBorders>
              <w:top w:val="nil"/>
              <w:left w:val="nil"/>
              <w:bottom w:val="nil"/>
              <w:right w:val="nil"/>
            </w:tcBorders>
            <w:shd w:val="clear" w:color="000000" w:fill="FFFFFF"/>
            <w:noWrap/>
            <w:hideMark/>
          </w:tcPr>
          <w:p w:rsidR="00F2512B" w:rsidP="00F2512B" w14:paraId="261EFA50" w14:textId="77777777">
            <w:pPr>
              <w:spacing w:after="80"/>
              <w:jc w:val="center"/>
              <w:rPr>
                <w:color w:val="000000"/>
                <w:sz w:val="16"/>
                <w:szCs w:val="16"/>
              </w:rPr>
            </w:pPr>
            <w:r>
              <w:rPr>
                <w:color w:val="000000"/>
                <w:sz w:val="16"/>
                <w:szCs w:val="16"/>
              </w:rPr>
              <w:t>0.001</w:t>
            </w:r>
          </w:p>
        </w:tc>
        <w:tc>
          <w:tcPr>
            <w:tcW w:w="700" w:type="dxa"/>
            <w:tcBorders>
              <w:top w:val="nil"/>
              <w:left w:val="nil"/>
              <w:bottom w:val="nil"/>
              <w:right w:val="nil"/>
            </w:tcBorders>
            <w:shd w:val="clear" w:color="000000" w:fill="FFFFFF"/>
            <w:noWrap/>
            <w:hideMark/>
          </w:tcPr>
          <w:p w:rsidR="00F2512B" w:rsidP="00F2512B" w14:paraId="0D75A77B" w14:textId="77777777">
            <w:pPr>
              <w:spacing w:after="80"/>
              <w:jc w:val="center"/>
              <w:rPr>
                <w:color w:val="000000"/>
                <w:sz w:val="16"/>
                <w:szCs w:val="16"/>
              </w:rPr>
            </w:pPr>
            <w:r>
              <w:rPr>
                <w:color w:val="000000"/>
                <w:sz w:val="16"/>
                <w:szCs w:val="16"/>
              </w:rPr>
              <w:t>0.002</w:t>
            </w:r>
          </w:p>
        </w:tc>
        <w:tc>
          <w:tcPr>
            <w:tcW w:w="700" w:type="dxa"/>
            <w:tcBorders>
              <w:top w:val="nil"/>
              <w:left w:val="nil"/>
              <w:bottom w:val="nil"/>
              <w:right w:val="nil"/>
            </w:tcBorders>
            <w:shd w:val="clear" w:color="000000" w:fill="FFFFFF"/>
            <w:noWrap/>
            <w:hideMark/>
          </w:tcPr>
          <w:p w:rsidR="00F2512B" w:rsidP="00F2512B" w14:paraId="75A6DA0B" w14:textId="77777777">
            <w:pPr>
              <w:spacing w:after="80"/>
              <w:jc w:val="center"/>
              <w:rPr>
                <w:color w:val="000000"/>
                <w:sz w:val="16"/>
                <w:szCs w:val="16"/>
              </w:rPr>
            </w:pPr>
            <w:r>
              <w:rPr>
                <w:color w:val="000000"/>
                <w:sz w:val="16"/>
                <w:szCs w:val="16"/>
              </w:rPr>
              <w:t>0.001</w:t>
            </w:r>
          </w:p>
        </w:tc>
        <w:tc>
          <w:tcPr>
            <w:tcW w:w="700" w:type="dxa"/>
            <w:tcBorders>
              <w:top w:val="nil"/>
              <w:left w:val="nil"/>
              <w:bottom w:val="nil"/>
              <w:right w:val="nil"/>
            </w:tcBorders>
            <w:shd w:val="clear" w:color="000000" w:fill="FFFFFF"/>
            <w:noWrap/>
            <w:hideMark/>
          </w:tcPr>
          <w:p w:rsidR="00F2512B" w:rsidP="00F2512B" w14:paraId="1D07D953" w14:textId="77777777">
            <w:pPr>
              <w:spacing w:after="80"/>
              <w:jc w:val="center"/>
              <w:rPr>
                <w:color w:val="000000"/>
                <w:sz w:val="16"/>
                <w:szCs w:val="16"/>
              </w:rPr>
            </w:pPr>
            <w:r>
              <w:rPr>
                <w:color w:val="000000"/>
                <w:sz w:val="16"/>
                <w:szCs w:val="16"/>
              </w:rPr>
              <w:t>0.001</w:t>
            </w:r>
          </w:p>
        </w:tc>
        <w:tc>
          <w:tcPr>
            <w:tcW w:w="700" w:type="dxa"/>
            <w:tcBorders>
              <w:top w:val="nil"/>
              <w:left w:val="nil"/>
              <w:bottom w:val="nil"/>
              <w:right w:val="nil"/>
            </w:tcBorders>
            <w:shd w:val="clear" w:color="000000" w:fill="FFFFFF"/>
            <w:noWrap/>
            <w:hideMark/>
          </w:tcPr>
          <w:p w:rsidR="00F2512B" w:rsidP="00F2512B" w14:paraId="51290C69" w14:textId="77777777">
            <w:pPr>
              <w:spacing w:after="80"/>
              <w:jc w:val="center"/>
              <w:rPr>
                <w:color w:val="000000"/>
                <w:sz w:val="16"/>
                <w:szCs w:val="16"/>
              </w:rPr>
            </w:pPr>
            <w:r>
              <w:rPr>
                <w:color w:val="000000"/>
                <w:sz w:val="16"/>
                <w:szCs w:val="16"/>
              </w:rPr>
              <w:t>0.001</w:t>
            </w:r>
          </w:p>
        </w:tc>
        <w:tc>
          <w:tcPr>
            <w:tcW w:w="700" w:type="dxa"/>
            <w:tcBorders>
              <w:top w:val="nil"/>
              <w:left w:val="nil"/>
              <w:bottom w:val="nil"/>
              <w:right w:val="nil"/>
            </w:tcBorders>
            <w:shd w:val="clear" w:color="000000" w:fill="FFFFFF"/>
            <w:noWrap/>
            <w:hideMark/>
          </w:tcPr>
          <w:p w:rsidR="00F2512B" w:rsidP="00F2512B" w14:paraId="2ECDE805" w14:textId="77777777">
            <w:pPr>
              <w:spacing w:after="80"/>
              <w:jc w:val="center"/>
              <w:rPr>
                <w:color w:val="000000"/>
                <w:sz w:val="16"/>
                <w:szCs w:val="16"/>
              </w:rPr>
            </w:pPr>
            <w:r>
              <w:rPr>
                <w:color w:val="000000"/>
                <w:sz w:val="16"/>
                <w:szCs w:val="16"/>
              </w:rPr>
              <w:t>0.002</w:t>
            </w:r>
          </w:p>
        </w:tc>
        <w:tc>
          <w:tcPr>
            <w:tcW w:w="700" w:type="dxa"/>
            <w:tcBorders>
              <w:top w:val="nil"/>
              <w:left w:val="nil"/>
              <w:bottom w:val="nil"/>
              <w:right w:val="nil"/>
            </w:tcBorders>
            <w:shd w:val="clear" w:color="000000" w:fill="FFFFFF"/>
            <w:noWrap/>
            <w:hideMark/>
          </w:tcPr>
          <w:p w:rsidR="00F2512B" w:rsidP="00F2512B" w14:paraId="2C4AD36C" w14:textId="77777777">
            <w:pPr>
              <w:spacing w:after="80"/>
              <w:jc w:val="center"/>
              <w:rPr>
                <w:color w:val="000000"/>
                <w:sz w:val="16"/>
                <w:szCs w:val="16"/>
              </w:rPr>
            </w:pPr>
            <w:r>
              <w:rPr>
                <w:color w:val="000000"/>
                <w:sz w:val="16"/>
                <w:szCs w:val="16"/>
              </w:rPr>
              <w:t>0.001</w:t>
            </w:r>
          </w:p>
        </w:tc>
        <w:tc>
          <w:tcPr>
            <w:tcW w:w="700" w:type="dxa"/>
            <w:tcBorders>
              <w:top w:val="nil"/>
              <w:left w:val="nil"/>
              <w:bottom w:val="nil"/>
              <w:right w:val="nil"/>
            </w:tcBorders>
            <w:shd w:val="clear" w:color="000000" w:fill="FFFFFF"/>
            <w:noWrap/>
            <w:hideMark/>
          </w:tcPr>
          <w:p w:rsidR="00F2512B" w:rsidP="00F2512B" w14:paraId="4D9D9446" w14:textId="77777777">
            <w:pPr>
              <w:spacing w:after="80"/>
              <w:jc w:val="center"/>
              <w:rPr>
                <w:color w:val="000000"/>
                <w:sz w:val="16"/>
                <w:szCs w:val="16"/>
              </w:rPr>
            </w:pPr>
            <w:r>
              <w:rPr>
                <w:color w:val="000000"/>
                <w:sz w:val="16"/>
                <w:szCs w:val="16"/>
              </w:rPr>
              <w:t>0.001</w:t>
            </w:r>
          </w:p>
        </w:tc>
      </w:tr>
      <w:tr w14:paraId="7A74C642"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1EC35D5C"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47E148BF" w14:textId="77777777">
            <w:pPr>
              <w:spacing w:after="80"/>
              <w:jc w:val="center"/>
              <w:rPr>
                <w:color w:val="000000"/>
                <w:sz w:val="16"/>
                <w:szCs w:val="16"/>
              </w:rPr>
            </w:pPr>
            <w:r>
              <w:rPr>
                <w:color w:val="000000"/>
                <w:sz w:val="16"/>
                <w:szCs w:val="16"/>
              </w:rPr>
              <w:t>(.000)</w:t>
            </w:r>
          </w:p>
        </w:tc>
        <w:tc>
          <w:tcPr>
            <w:tcW w:w="700" w:type="dxa"/>
            <w:tcBorders>
              <w:top w:val="nil"/>
              <w:left w:val="nil"/>
              <w:bottom w:val="nil"/>
              <w:right w:val="nil"/>
            </w:tcBorders>
            <w:shd w:val="clear" w:color="000000" w:fill="FFFFFF"/>
            <w:noWrap/>
            <w:hideMark/>
          </w:tcPr>
          <w:p w:rsidR="00F2512B" w:rsidP="00F2512B" w14:paraId="28B09550" w14:textId="77777777">
            <w:pPr>
              <w:spacing w:after="80"/>
              <w:jc w:val="center"/>
              <w:rPr>
                <w:color w:val="000000"/>
                <w:sz w:val="16"/>
                <w:szCs w:val="16"/>
              </w:rPr>
            </w:pPr>
            <w:r>
              <w:rPr>
                <w:color w:val="000000"/>
                <w:sz w:val="16"/>
                <w:szCs w:val="16"/>
              </w:rPr>
              <w:t>(.000)</w:t>
            </w:r>
          </w:p>
        </w:tc>
        <w:tc>
          <w:tcPr>
            <w:tcW w:w="700" w:type="dxa"/>
            <w:tcBorders>
              <w:top w:val="nil"/>
              <w:left w:val="nil"/>
              <w:bottom w:val="nil"/>
              <w:right w:val="nil"/>
            </w:tcBorders>
            <w:shd w:val="clear" w:color="000000" w:fill="FFFFFF"/>
            <w:noWrap/>
            <w:hideMark/>
          </w:tcPr>
          <w:p w:rsidR="00F2512B" w:rsidP="00F2512B" w14:paraId="195CF44F" w14:textId="77777777">
            <w:pPr>
              <w:spacing w:after="80"/>
              <w:jc w:val="center"/>
              <w:rPr>
                <w:color w:val="000000"/>
                <w:sz w:val="16"/>
                <w:szCs w:val="16"/>
              </w:rPr>
            </w:pPr>
            <w:r>
              <w:rPr>
                <w:color w:val="000000"/>
                <w:sz w:val="16"/>
                <w:szCs w:val="16"/>
              </w:rPr>
              <w:t>(.000)</w:t>
            </w:r>
          </w:p>
        </w:tc>
        <w:tc>
          <w:tcPr>
            <w:tcW w:w="700" w:type="dxa"/>
            <w:tcBorders>
              <w:top w:val="nil"/>
              <w:left w:val="nil"/>
              <w:bottom w:val="nil"/>
              <w:right w:val="nil"/>
            </w:tcBorders>
            <w:shd w:val="clear" w:color="000000" w:fill="FFFFFF"/>
            <w:noWrap/>
            <w:hideMark/>
          </w:tcPr>
          <w:p w:rsidR="00F2512B" w:rsidP="00F2512B" w14:paraId="1E1530CD" w14:textId="77777777">
            <w:pPr>
              <w:spacing w:after="80"/>
              <w:jc w:val="center"/>
              <w:rPr>
                <w:color w:val="000000"/>
                <w:sz w:val="16"/>
                <w:szCs w:val="16"/>
              </w:rPr>
            </w:pPr>
            <w:r>
              <w:rPr>
                <w:color w:val="000000"/>
                <w:sz w:val="16"/>
                <w:szCs w:val="16"/>
              </w:rPr>
              <w:t>(.000)</w:t>
            </w:r>
          </w:p>
        </w:tc>
        <w:tc>
          <w:tcPr>
            <w:tcW w:w="700" w:type="dxa"/>
            <w:tcBorders>
              <w:top w:val="nil"/>
              <w:left w:val="nil"/>
              <w:bottom w:val="nil"/>
              <w:right w:val="nil"/>
            </w:tcBorders>
            <w:shd w:val="clear" w:color="000000" w:fill="FFFFFF"/>
            <w:noWrap/>
            <w:hideMark/>
          </w:tcPr>
          <w:p w:rsidR="00F2512B" w:rsidP="00F2512B" w14:paraId="2DFDE17F" w14:textId="77777777">
            <w:pPr>
              <w:spacing w:after="80"/>
              <w:jc w:val="center"/>
              <w:rPr>
                <w:color w:val="000000"/>
                <w:sz w:val="16"/>
                <w:szCs w:val="16"/>
              </w:rPr>
            </w:pPr>
            <w:r>
              <w:rPr>
                <w:color w:val="000000"/>
                <w:sz w:val="16"/>
                <w:szCs w:val="16"/>
              </w:rPr>
              <w:t>(.000)</w:t>
            </w:r>
          </w:p>
        </w:tc>
        <w:tc>
          <w:tcPr>
            <w:tcW w:w="700" w:type="dxa"/>
            <w:tcBorders>
              <w:top w:val="nil"/>
              <w:left w:val="nil"/>
              <w:bottom w:val="nil"/>
              <w:right w:val="nil"/>
            </w:tcBorders>
            <w:shd w:val="clear" w:color="000000" w:fill="FFFFFF"/>
            <w:noWrap/>
            <w:hideMark/>
          </w:tcPr>
          <w:p w:rsidR="00F2512B" w:rsidP="00F2512B" w14:paraId="7FC08160" w14:textId="77777777">
            <w:pPr>
              <w:spacing w:after="80"/>
              <w:jc w:val="center"/>
              <w:rPr>
                <w:color w:val="000000"/>
                <w:sz w:val="16"/>
                <w:szCs w:val="16"/>
              </w:rPr>
            </w:pPr>
            <w:r>
              <w:rPr>
                <w:color w:val="000000"/>
                <w:sz w:val="16"/>
                <w:szCs w:val="16"/>
              </w:rPr>
              <w:t>(.000)</w:t>
            </w:r>
          </w:p>
        </w:tc>
        <w:tc>
          <w:tcPr>
            <w:tcW w:w="700" w:type="dxa"/>
            <w:tcBorders>
              <w:top w:val="nil"/>
              <w:left w:val="nil"/>
              <w:bottom w:val="nil"/>
              <w:right w:val="nil"/>
            </w:tcBorders>
            <w:shd w:val="clear" w:color="000000" w:fill="FFFFFF"/>
            <w:noWrap/>
            <w:hideMark/>
          </w:tcPr>
          <w:p w:rsidR="00F2512B" w:rsidP="00F2512B" w14:paraId="17304194" w14:textId="77777777">
            <w:pPr>
              <w:spacing w:after="80"/>
              <w:jc w:val="center"/>
              <w:rPr>
                <w:color w:val="000000"/>
                <w:sz w:val="16"/>
                <w:szCs w:val="16"/>
              </w:rPr>
            </w:pPr>
            <w:r>
              <w:rPr>
                <w:color w:val="000000"/>
                <w:sz w:val="16"/>
                <w:szCs w:val="16"/>
              </w:rPr>
              <w:t>(.000)</w:t>
            </w:r>
          </w:p>
        </w:tc>
        <w:tc>
          <w:tcPr>
            <w:tcW w:w="700" w:type="dxa"/>
            <w:tcBorders>
              <w:top w:val="nil"/>
              <w:left w:val="nil"/>
              <w:bottom w:val="nil"/>
              <w:right w:val="nil"/>
            </w:tcBorders>
            <w:shd w:val="clear" w:color="000000" w:fill="FFFFFF"/>
            <w:noWrap/>
            <w:hideMark/>
          </w:tcPr>
          <w:p w:rsidR="00F2512B" w:rsidP="00F2512B" w14:paraId="31508E6D" w14:textId="77777777">
            <w:pPr>
              <w:spacing w:after="80"/>
              <w:jc w:val="center"/>
              <w:rPr>
                <w:color w:val="000000"/>
                <w:sz w:val="16"/>
                <w:szCs w:val="16"/>
              </w:rPr>
            </w:pPr>
            <w:r>
              <w:rPr>
                <w:color w:val="000000"/>
                <w:sz w:val="16"/>
                <w:szCs w:val="16"/>
              </w:rPr>
              <w:t>(.000)</w:t>
            </w:r>
          </w:p>
        </w:tc>
      </w:tr>
      <w:tr w14:paraId="4627BBB8"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6CE6C9EF"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6CDDCEAE"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144EE8F7"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324C1A08"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2C8F77A1"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16ED2359"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2271C83A"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021B2A12"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6729B593" w14:textId="77777777">
            <w:pPr>
              <w:jc w:val="center"/>
              <w:rPr>
                <w:color w:val="000000"/>
                <w:sz w:val="16"/>
                <w:szCs w:val="16"/>
              </w:rPr>
            </w:pPr>
            <w:r>
              <w:rPr>
                <w:color w:val="000000"/>
                <w:sz w:val="16"/>
                <w:szCs w:val="16"/>
              </w:rPr>
              <w:t>**</w:t>
            </w:r>
          </w:p>
        </w:tc>
      </w:tr>
      <w:tr w14:paraId="0A4AA21F" w14:textId="77777777" w:rsidTr="00F2512B">
        <w:tblPrEx>
          <w:tblW w:w="9360" w:type="dxa"/>
          <w:tblLook w:val="04A0"/>
        </w:tblPrEx>
        <w:trPr>
          <w:cantSplit/>
        </w:trPr>
        <w:tc>
          <w:tcPr>
            <w:tcW w:w="2580" w:type="dxa"/>
            <w:vMerge w:val="restart"/>
            <w:tcBorders>
              <w:top w:val="nil"/>
              <w:left w:val="nil"/>
              <w:bottom w:val="nil"/>
              <w:right w:val="nil"/>
            </w:tcBorders>
            <w:shd w:val="clear" w:color="000000" w:fill="FFFFFF"/>
            <w:hideMark/>
          </w:tcPr>
          <w:p w:rsidR="00F2512B" w:rsidP="00F2512B" w14:paraId="7D596139" w14:textId="77777777">
            <w:pPr>
              <w:spacing w:after="80"/>
              <w:rPr>
                <w:color w:val="000000"/>
                <w:sz w:val="16"/>
                <w:szCs w:val="16"/>
              </w:rPr>
            </w:pPr>
            <w:r>
              <w:rPr>
                <w:color w:val="000000"/>
                <w:sz w:val="16"/>
                <w:szCs w:val="16"/>
              </w:rPr>
              <w:t>Percentage of Area Covered by 4G-LTE</w:t>
            </w:r>
          </w:p>
        </w:tc>
        <w:tc>
          <w:tcPr>
            <w:tcW w:w="700" w:type="dxa"/>
            <w:tcBorders>
              <w:top w:val="nil"/>
              <w:left w:val="nil"/>
              <w:bottom w:val="nil"/>
              <w:right w:val="nil"/>
            </w:tcBorders>
            <w:shd w:val="clear" w:color="000000" w:fill="FFFFFF"/>
            <w:noWrap/>
            <w:hideMark/>
          </w:tcPr>
          <w:p w:rsidR="00F2512B" w:rsidP="00F2512B" w14:paraId="68F3D0AC" w14:textId="77777777">
            <w:pPr>
              <w:spacing w:after="80"/>
              <w:jc w:val="center"/>
              <w:rPr>
                <w:color w:val="000000"/>
                <w:sz w:val="16"/>
                <w:szCs w:val="16"/>
              </w:rPr>
            </w:pPr>
            <w:r>
              <w:rPr>
                <w:color w:val="000000"/>
                <w:sz w:val="16"/>
                <w:szCs w:val="16"/>
              </w:rPr>
              <w:t>0.035</w:t>
            </w:r>
          </w:p>
        </w:tc>
        <w:tc>
          <w:tcPr>
            <w:tcW w:w="700" w:type="dxa"/>
            <w:tcBorders>
              <w:top w:val="nil"/>
              <w:left w:val="nil"/>
              <w:bottom w:val="nil"/>
              <w:right w:val="nil"/>
            </w:tcBorders>
            <w:shd w:val="clear" w:color="000000" w:fill="FFFFFF"/>
            <w:noWrap/>
            <w:hideMark/>
          </w:tcPr>
          <w:p w:rsidR="00F2512B" w:rsidP="00F2512B" w14:paraId="6C99582F" w14:textId="77777777">
            <w:pPr>
              <w:spacing w:after="80"/>
              <w:jc w:val="center"/>
              <w:rPr>
                <w:color w:val="000000"/>
                <w:sz w:val="16"/>
                <w:szCs w:val="16"/>
              </w:rPr>
            </w:pPr>
            <w:r>
              <w:rPr>
                <w:color w:val="000000"/>
                <w:sz w:val="16"/>
                <w:szCs w:val="16"/>
              </w:rPr>
              <w:t>0.051</w:t>
            </w:r>
          </w:p>
        </w:tc>
        <w:tc>
          <w:tcPr>
            <w:tcW w:w="700" w:type="dxa"/>
            <w:tcBorders>
              <w:top w:val="nil"/>
              <w:left w:val="nil"/>
              <w:bottom w:val="nil"/>
              <w:right w:val="nil"/>
            </w:tcBorders>
            <w:shd w:val="clear" w:color="000000" w:fill="FFFFFF"/>
            <w:noWrap/>
            <w:hideMark/>
          </w:tcPr>
          <w:p w:rsidR="00F2512B" w:rsidP="00F2512B" w14:paraId="51D8ED06" w14:textId="77777777">
            <w:pPr>
              <w:spacing w:after="80"/>
              <w:jc w:val="center"/>
              <w:rPr>
                <w:color w:val="000000"/>
                <w:sz w:val="16"/>
                <w:szCs w:val="16"/>
              </w:rPr>
            </w:pPr>
            <w:r>
              <w:rPr>
                <w:color w:val="000000"/>
                <w:sz w:val="16"/>
                <w:szCs w:val="16"/>
              </w:rPr>
              <w:t>-0.026</w:t>
            </w:r>
          </w:p>
        </w:tc>
        <w:tc>
          <w:tcPr>
            <w:tcW w:w="700" w:type="dxa"/>
            <w:tcBorders>
              <w:top w:val="nil"/>
              <w:left w:val="nil"/>
              <w:bottom w:val="nil"/>
              <w:right w:val="nil"/>
            </w:tcBorders>
            <w:shd w:val="clear" w:color="000000" w:fill="FFFFFF"/>
            <w:noWrap/>
            <w:hideMark/>
          </w:tcPr>
          <w:p w:rsidR="00F2512B" w:rsidP="00F2512B" w14:paraId="0A09D307" w14:textId="77777777">
            <w:pPr>
              <w:spacing w:after="80"/>
              <w:jc w:val="center"/>
              <w:rPr>
                <w:color w:val="000000"/>
                <w:sz w:val="16"/>
                <w:szCs w:val="16"/>
              </w:rPr>
            </w:pPr>
            <w:r>
              <w:rPr>
                <w:color w:val="000000"/>
                <w:sz w:val="16"/>
                <w:szCs w:val="16"/>
              </w:rPr>
              <w:t>-0.162</w:t>
            </w:r>
          </w:p>
        </w:tc>
        <w:tc>
          <w:tcPr>
            <w:tcW w:w="700" w:type="dxa"/>
            <w:tcBorders>
              <w:top w:val="nil"/>
              <w:left w:val="nil"/>
              <w:bottom w:val="nil"/>
              <w:right w:val="nil"/>
            </w:tcBorders>
            <w:shd w:val="clear" w:color="000000" w:fill="FFFFFF"/>
            <w:noWrap/>
            <w:hideMark/>
          </w:tcPr>
          <w:p w:rsidR="00F2512B" w:rsidP="00F2512B" w14:paraId="35F170D6" w14:textId="77777777">
            <w:pPr>
              <w:spacing w:after="80"/>
              <w:jc w:val="center"/>
              <w:rPr>
                <w:color w:val="000000"/>
                <w:sz w:val="16"/>
                <w:szCs w:val="16"/>
              </w:rPr>
            </w:pPr>
            <w:r>
              <w:rPr>
                <w:color w:val="000000"/>
                <w:sz w:val="16"/>
                <w:szCs w:val="16"/>
              </w:rPr>
              <w:t>0.015</w:t>
            </w:r>
          </w:p>
        </w:tc>
        <w:tc>
          <w:tcPr>
            <w:tcW w:w="700" w:type="dxa"/>
            <w:tcBorders>
              <w:top w:val="nil"/>
              <w:left w:val="nil"/>
              <w:bottom w:val="nil"/>
              <w:right w:val="nil"/>
            </w:tcBorders>
            <w:shd w:val="clear" w:color="000000" w:fill="FFFFFF"/>
            <w:noWrap/>
            <w:hideMark/>
          </w:tcPr>
          <w:p w:rsidR="00F2512B" w:rsidP="00F2512B" w14:paraId="0A828B8D" w14:textId="77777777">
            <w:pPr>
              <w:spacing w:after="80"/>
              <w:jc w:val="center"/>
              <w:rPr>
                <w:color w:val="000000"/>
                <w:sz w:val="16"/>
                <w:szCs w:val="16"/>
              </w:rPr>
            </w:pPr>
            <w:r>
              <w:rPr>
                <w:color w:val="000000"/>
                <w:sz w:val="16"/>
                <w:szCs w:val="16"/>
              </w:rPr>
              <w:t>0.049</w:t>
            </w:r>
          </w:p>
        </w:tc>
        <w:tc>
          <w:tcPr>
            <w:tcW w:w="700" w:type="dxa"/>
            <w:tcBorders>
              <w:top w:val="nil"/>
              <w:left w:val="nil"/>
              <w:bottom w:val="nil"/>
              <w:right w:val="nil"/>
            </w:tcBorders>
            <w:shd w:val="clear" w:color="000000" w:fill="FFFFFF"/>
            <w:noWrap/>
            <w:hideMark/>
          </w:tcPr>
          <w:p w:rsidR="00F2512B" w:rsidP="00F2512B" w14:paraId="4D30507A" w14:textId="77777777">
            <w:pPr>
              <w:spacing w:after="80"/>
              <w:jc w:val="center"/>
              <w:rPr>
                <w:color w:val="000000"/>
                <w:sz w:val="16"/>
                <w:szCs w:val="16"/>
              </w:rPr>
            </w:pPr>
            <w:r>
              <w:rPr>
                <w:color w:val="000000"/>
                <w:sz w:val="16"/>
                <w:szCs w:val="16"/>
              </w:rPr>
              <w:t>-0.027</w:t>
            </w:r>
          </w:p>
        </w:tc>
        <w:tc>
          <w:tcPr>
            <w:tcW w:w="700" w:type="dxa"/>
            <w:tcBorders>
              <w:top w:val="nil"/>
              <w:left w:val="nil"/>
              <w:bottom w:val="nil"/>
              <w:right w:val="nil"/>
            </w:tcBorders>
            <w:shd w:val="clear" w:color="000000" w:fill="FFFFFF"/>
            <w:noWrap/>
            <w:hideMark/>
          </w:tcPr>
          <w:p w:rsidR="00F2512B" w:rsidP="00F2512B" w14:paraId="518C3142" w14:textId="77777777">
            <w:pPr>
              <w:spacing w:after="80"/>
              <w:jc w:val="center"/>
              <w:rPr>
                <w:color w:val="000000"/>
                <w:sz w:val="16"/>
                <w:szCs w:val="16"/>
              </w:rPr>
            </w:pPr>
            <w:r>
              <w:rPr>
                <w:color w:val="000000"/>
                <w:sz w:val="16"/>
                <w:szCs w:val="16"/>
              </w:rPr>
              <w:t>-0.113</w:t>
            </w:r>
          </w:p>
        </w:tc>
      </w:tr>
      <w:tr w14:paraId="373CCEF7"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6C3A3D60"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11517BF9" w14:textId="77777777">
            <w:pPr>
              <w:spacing w:after="80"/>
              <w:jc w:val="center"/>
              <w:rPr>
                <w:color w:val="000000"/>
                <w:sz w:val="16"/>
                <w:szCs w:val="16"/>
              </w:rPr>
            </w:pPr>
            <w:r>
              <w:rPr>
                <w:color w:val="000000"/>
                <w:sz w:val="16"/>
                <w:szCs w:val="16"/>
              </w:rPr>
              <w:t>(.051)</w:t>
            </w:r>
          </w:p>
        </w:tc>
        <w:tc>
          <w:tcPr>
            <w:tcW w:w="700" w:type="dxa"/>
            <w:tcBorders>
              <w:top w:val="nil"/>
              <w:left w:val="nil"/>
              <w:bottom w:val="nil"/>
              <w:right w:val="nil"/>
            </w:tcBorders>
            <w:shd w:val="clear" w:color="000000" w:fill="FFFFFF"/>
            <w:noWrap/>
            <w:hideMark/>
          </w:tcPr>
          <w:p w:rsidR="00F2512B" w:rsidP="00F2512B" w14:paraId="7E0DA8BD" w14:textId="77777777">
            <w:pPr>
              <w:spacing w:after="80"/>
              <w:jc w:val="center"/>
              <w:rPr>
                <w:color w:val="000000"/>
                <w:sz w:val="16"/>
                <w:szCs w:val="16"/>
              </w:rPr>
            </w:pPr>
            <w:r>
              <w:rPr>
                <w:color w:val="000000"/>
                <w:sz w:val="16"/>
                <w:szCs w:val="16"/>
              </w:rPr>
              <w:t>(.058)</w:t>
            </w:r>
          </w:p>
        </w:tc>
        <w:tc>
          <w:tcPr>
            <w:tcW w:w="700" w:type="dxa"/>
            <w:tcBorders>
              <w:top w:val="nil"/>
              <w:left w:val="nil"/>
              <w:bottom w:val="nil"/>
              <w:right w:val="nil"/>
            </w:tcBorders>
            <w:shd w:val="clear" w:color="000000" w:fill="FFFFFF"/>
            <w:noWrap/>
            <w:hideMark/>
          </w:tcPr>
          <w:p w:rsidR="00F2512B" w:rsidP="00F2512B" w14:paraId="6D0F5E15" w14:textId="77777777">
            <w:pPr>
              <w:spacing w:after="80"/>
              <w:jc w:val="center"/>
              <w:rPr>
                <w:color w:val="000000"/>
                <w:sz w:val="16"/>
                <w:szCs w:val="16"/>
              </w:rPr>
            </w:pPr>
            <w:r>
              <w:rPr>
                <w:color w:val="000000"/>
                <w:sz w:val="16"/>
                <w:szCs w:val="16"/>
              </w:rPr>
              <w:t>(.062)</w:t>
            </w:r>
          </w:p>
        </w:tc>
        <w:tc>
          <w:tcPr>
            <w:tcW w:w="700" w:type="dxa"/>
            <w:tcBorders>
              <w:top w:val="nil"/>
              <w:left w:val="nil"/>
              <w:bottom w:val="nil"/>
              <w:right w:val="nil"/>
            </w:tcBorders>
            <w:shd w:val="clear" w:color="000000" w:fill="FFFFFF"/>
            <w:noWrap/>
            <w:hideMark/>
          </w:tcPr>
          <w:p w:rsidR="00F2512B" w:rsidP="00F2512B" w14:paraId="01993C8D" w14:textId="77777777">
            <w:pPr>
              <w:spacing w:after="80"/>
              <w:jc w:val="center"/>
              <w:rPr>
                <w:color w:val="000000"/>
                <w:sz w:val="16"/>
                <w:szCs w:val="16"/>
              </w:rPr>
            </w:pPr>
            <w:r>
              <w:rPr>
                <w:color w:val="000000"/>
                <w:sz w:val="16"/>
                <w:szCs w:val="16"/>
              </w:rPr>
              <w:t>(.116)</w:t>
            </w:r>
          </w:p>
        </w:tc>
        <w:tc>
          <w:tcPr>
            <w:tcW w:w="700" w:type="dxa"/>
            <w:tcBorders>
              <w:top w:val="nil"/>
              <w:left w:val="nil"/>
              <w:bottom w:val="nil"/>
              <w:right w:val="nil"/>
            </w:tcBorders>
            <w:shd w:val="clear" w:color="000000" w:fill="FFFFFF"/>
            <w:noWrap/>
            <w:hideMark/>
          </w:tcPr>
          <w:p w:rsidR="00F2512B" w:rsidP="00F2512B" w14:paraId="6EB49681" w14:textId="77777777">
            <w:pPr>
              <w:spacing w:after="80"/>
              <w:jc w:val="center"/>
              <w:rPr>
                <w:color w:val="000000"/>
                <w:sz w:val="16"/>
                <w:szCs w:val="16"/>
              </w:rPr>
            </w:pPr>
            <w:r>
              <w:rPr>
                <w:color w:val="000000"/>
                <w:sz w:val="16"/>
                <w:szCs w:val="16"/>
              </w:rPr>
              <w:t>(.047)</w:t>
            </w:r>
          </w:p>
        </w:tc>
        <w:tc>
          <w:tcPr>
            <w:tcW w:w="700" w:type="dxa"/>
            <w:tcBorders>
              <w:top w:val="nil"/>
              <w:left w:val="nil"/>
              <w:bottom w:val="nil"/>
              <w:right w:val="nil"/>
            </w:tcBorders>
            <w:shd w:val="clear" w:color="000000" w:fill="FFFFFF"/>
            <w:noWrap/>
            <w:hideMark/>
          </w:tcPr>
          <w:p w:rsidR="00F2512B" w:rsidP="00F2512B" w14:paraId="20FED64A" w14:textId="77777777">
            <w:pPr>
              <w:spacing w:after="80"/>
              <w:jc w:val="center"/>
              <w:rPr>
                <w:color w:val="000000"/>
                <w:sz w:val="16"/>
                <w:szCs w:val="16"/>
              </w:rPr>
            </w:pPr>
            <w:r>
              <w:rPr>
                <w:color w:val="000000"/>
                <w:sz w:val="16"/>
                <w:szCs w:val="16"/>
              </w:rPr>
              <w:t>(.057)</w:t>
            </w:r>
          </w:p>
        </w:tc>
        <w:tc>
          <w:tcPr>
            <w:tcW w:w="700" w:type="dxa"/>
            <w:tcBorders>
              <w:top w:val="nil"/>
              <w:left w:val="nil"/>
              <w:bottom w:val="nil"/>
              <w:right w:val="nil"/>
            </w:tcBorders>
            <w:shd w:val="clear" w:color="000000" w:fill="FFFFFF"/>
            <w:noWrap/>
            <w:hideMark/>
          </w:tcPr>
          <w:p w:rsidR="00F2512B" w:rsidP="00F2512B" w14:paraId="6B6FAAD3" w14:textId="77777777">
            <w:pPr>
              <w:spacing w:after="80"/>
              <w:jc w:val="center"/>
              <w:rPr>
                <w:color w:val="000000"/>
                <w:sz w:val="16"/>
                <w:szCs w:val="16"/>
              </w:rPr>
            </w:pPr>
            <w:r>
              <w:rPr>
                <w:color w:val="000000"/>
                <w:sz w:val="16"/>
                <w:szCs w:val="16"/>
              </w:rPr>
              <w:t>(.063)</w:t>
            </w:r>
          </w:p>
        </w:tc>
        <w:tc>
          <w:tcPr>
            <w:tcW w:w="700" w:type="dxa"/>
            <w:tcBorders>
              <w:top w:val="nil"/>
              <w:left w:val="nil"/>
              <w:bottom w:val="nil"/>
              <w:right w:val="nil"/>
            </w:tcBorders>
            <w:shd w:val="clear" w:color="000000" w:fill="FFFFFF"/>
            <w:noWrap/>
            <w:hideMark/>
          </w:tcPr>
          <w:p w:rsidR="00F2512B" w:rsidP="00F2512B" w14:paraId="35F9479B" w14:textId="77777777">
            <w:pPr>
              <w:spacing w:after="80"/>
              <w:jc w:val="center"/>
              <w:rPr>
                <w:color w:val="000000"/>
                <w:sz w:val="16"/>
                <w:szCs w:val="16"/>
              </w:rPr>
            </w:pPr>
            <w:r>
              <w:rPr>
                <w:color w:val="000000"/>
                <w:sz w:val="16"/>
                <w:szCs w:val="16"/>
              </w:rPr>
              <w:t>(.117)</w:t>
            </w:r>
          </w:p>
        </w:tc>
      </w:tr>
      <w:tr w14:paraId="64F51A4C"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32DCA269"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554F7753"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64A19B8B"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26D90F05"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7021FF64"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634F9198"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7E914E34"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277226DD"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6149BD6E" w14:textId="77777777">
            <w:pPr>
              <w:jc w:val="center"/>
              <w:rPr>
                <w:color w:val="000000"/>
                <w:sz w:val="16"/>
                <w:szCs w:val="16"/>
              </w:rPr>
            </w:pPr>
            <w:r>
              <w:rPr>
                <w:color w:val="000000"/>
                <w:sz w:val="16"/>
                <w:szCs w:val="16"/>
              </w:rPr>
              <w:t> </w:t>
            </w:r>
          </w:p>
        </w:tc>
      </w:tr>
      <w:tr w14:paraId="5A50FD3F" w14:textId="77777777" w:rsidTr="00F2512B">
        <w:tblPrEx>
          <w:tblW w:w="9360" w:type="dxa"/>
          <w:tblLook w:val="04A0"/>
        </w:tblPrEx>
        <w:trPr>
          <w:cantSplit/>
        </w:trPr>
        <w:tc>
          <w:tcPr>
            <w:tcW w:w="2580" w:type="dxa"/>
            <w:vMerge w:val="restart"/>
            <w:tcBorders>
              <w:top w:val="nil"/>
              <w:left w:val="nil"/>
              <w:bottom w:val="nil"/>
              <w:right w:val="nil"/>
            </w:tcBorders>
            <w:shd w:val="clear" w:color="000000" w:fill="FFFFFF"/>
            <w:hideMark/>
          </w:tcPr>
          <w:p w:rsidR="00F2512B" w:rsidP="00F2512B" w14:paraId="29FEC0AF" w14:textId="77777777">
            <w:pPr>
              <w:spacing w:after="80"/>
              <w:rPr>
                <w:color w:val="000000"/>
                <w:sz w:val="16"/>
                <w:szCs w:val="16"/>
              </w:rPr>
            </w:pPr>
            <w:r>
              <w:rPr>
                <w:color w:val="000000"/>
                <w:sz w:val="16"/>
                <w:szCs w:val="16"/>
              </w:rPr>
              <w:t>Percentage of Area Forested</w:t>
            </w:r>
          </w:p>
        </w:tc>
        <w:tc>
          <w:tcPr>
            <w:tcW w:w="700" w:type="dxa"/>
            <w:tcBorders>
              <w:top w:val="nil"/>
              <w:left w:val="nil"/>
              <w:bottom w:val="nil"/>
              <w:right w:val="nil"/>
            </w:tcBorders>
            <w:shd w:val="clear" w:color="000000" w:fill="FFFFFF"/>
            <w:noWrap/>
            <w:hideMark/>
          </w:tcPr>
          <w:p w:rsidR="00F2512B" w:rsidP="00F2512B" w14:paraId="2D32C2B5" w14:textId="77777777">
            <w:pPr>
              <w:spacing w:after="80"/>
              <w:jc w:val="center"/>
              <w:rPr>
                <w:color w:val="000000"/>
                <w:sz w:val="16"/>
                <w:szCs w:val="16"/>
              </w:rPr>
            </w:pPr>
            <w:r>
              <w:rPr>
                <w:color w:val="000000"/>
                <w:sz w:val="16"/>
                <w:szCs w:val="16"/>
              </w:rPr>
              <w:t>-0.979</w:t>
            </w:r>
          </w:p>
        </w:tc>
        <w:tc>
          <w:tcPr>
            <w:tcW w:w="700" w:type="dxa"/>
            <w:tcBorders>
              <w:top w:val="nil"/>
              <w:left w:val="nil"/>
              <w:bottom w:val="nil"/>
              <w:right w:val="nil"/>
            </w:tcBorders>
            <w:shd w:val="clear" w:color="000000" w:fill="FFFFFF"/>
            <w:noWrap/>
            <w:hideMark/>
          </w:tcPr>
          <w:p w:rsidR="00F2512B" w:rsidP="00F2512B" w14:paraId="0F645806" w14:textId="77777777">
            <w:pPr>
              <w:spacing w:after="80"/>
              <w:jc w:val="center"/>
              <w:rPr>
                <w:color w:val="000000"/>
                <w:sz w:val="16"/>
                <w:szCs w:val="16"/>
              </w:rPr>
            </w:pPr>
            <w:r>
              <w:rPr>
                <w:color w:val="000000"/>
                <w:sz w:val="16"/>
                <w:szCs w:val="16"/>
              </w:rPr>
              <w:t>-1.309</w:t>
            </w:r>
          </w:p>
        </w:tc>
        <w:tc>
          <w:tcPr>
            <w:tcW w:w="700" w:type="dxa"/>
            <w:tcBorders>
              <w:top w:val="nil"/>
              <w:left w:val="nil"/>
              <w:bottom w:val="nil"/>
              <w:right w:val="nil"/>
            </w:tcBorders>
            <w:shd w:val="clear" w:color="000000" w:fill="FFFFFF"/>
            <w:noWrap/>
            <w:hideMark/>
          </w:tcPr>
          <w:p w:rsidR="00F2512B" w:rsidP="00F2512B" w14:paraId="17918F7C" w14:textId="77777777">
            <w:pPr>
              <w:spacing w:after="80"/>
              <w:jc w:val="center"/>
              <w:rPr>
                <w:color w:val="000000"/>
                <w:sz w:val="16"/>
                <w:szCs w:val="16"/>
              </w:rPr>
            </w:pPr>
            <w:r>
              <w:rPr>
                <w:color w:val="000000"/>
                <w:sz w:val="16"/>
                <w:szCs w:val="16"/>
              </w:rPr>
              <w:t>-1.387</w:t>
            </w:r>
          </w:p>
        </w:tc>
        <w:tc>
          <w:tcPr>
            <w:tcW w:w="700" w:type="dxa"/>
            <w:tcBorders>
              <w:top w:val="nil"/>
              <w:left w:val="nil"/>
              <w:bottom w:val="nil"/>
              <w:right w:val="nil"/>
            </w:tcBorders>
            <w:shd w:val="clear" w:color="000000" w:fill="FFFFFF"/>
            <w:noWrap/>
            <w:hideMark/>
          </w:tcPr>
          <w:p w:rsidR="00F2512B" w:rsidP="00F2512B" w14:paraId="463A4F74" w14:textId="77777777">
            <w:pPr>
              <w:spacing w:after="80"/>
              <w:jc w:val="center"/>
              <w:rPr>
                <w:color w:val="000000"/>
                <w:sz w:val="16"/>
                <w:szCs w:val="16"/>
              </w:rPr>
            </w:pPr>
            <w:r>
              <w:rPr>
                <w:color w:val="000000"/>
                <w:sz w:val="16"/>
                <w:szCs w:val="16"/>
              </w:rPr>
              <w:t>-1.489</w:t>
            </w:r>
          </w:p>
        </w:tc>
        <w:tc>
          <w:tcPr>
            <w:tcW w:w="700" w:type="dxa"/>
            <w:tcBorders>
              <w:top w:val="nil"/>
              <w:left w:val="nil"/>
              <w:bottom w:val="nil"/>
              <w:right w:val="nil"/>
            </w:tcBorders>
            <w:shd w:val="clear" w:color="000000" w:fill="FFFFFF"/>
            <w:noWrap/>
            <w:hideMark/>
          </w:tcPr>
          <w:p w:rsidR="00F2512B" w:rsidP="00F2512B" w14:paraId="4606F2F3" w14:textId="77777777">
            <w:pPr>
              <w:spacing w:after="80"/>
              <w:jc w:val="center"/>
              <w:rPr>
                <w:color w:val="000000"/>
                <w:sz w:val="16"/>
                <w:szCs w:val="16"/>
              </w:rPr>
            </w:pPr>
            <w:r>
              <w:rPr>
                <w:color w:val="000000"/>
                <w:sz w:val="16"/>
                <w:szCs w:val="16"/>
              </w:rPr>
              <w:t>-0.862</w:t>
            </w:r>
          </w:p>
        </w:tc>
        <w:tc>
          <w:tcPr>
            <w:tcW w:w="700" w:type="dxa"/>
            <w:tcBorders>
              <w:top w:val="nil"/>
              <w:left w:val="nil"/>
              <w:bottom w:val="nil"/>
              <w:right w:val="nil"/>
            </w:tcBorders>
            <w:shd w:val="clear" w:color="000000" w:fill="FFFFFF"/>
            <w:noWrap/>
            <w:hideMark/>
          </w:tcPr>
          <w:p w:rsidR="00F2512B" w:rsidP="00F2512B" w14:paraId="13A33E01" w14:textId="77777777">
            <w:pPr>
              <w:spacing w:after="80"/>
              <w:jc w:val="center"/>
              <w:rPr>
                <w:color w:val="000000"/>
                <w:sz w:val="16"/>
                <w:szCs w:val="16"/>
              </w:rPr>
            </w:pPr>
            <w:r>
              <w:rPr>
                <w:color w:val="000000"/>
                <w:sz w:val="16"/>
                <w:szCs w:val="16"/>
              </w:rPr>
              <w:t>-1.139</w:t>
            </w:r>
          </w:p>
        </w:tc>
        <w:tc>
          <w:tcPr>
            <w:tcW w:w="700" w:type="dxa"/>
            <w:tcBorders>
              <w:top w:val="nil"/>
              <w:left w:val="nil"/>
              <w:bottom w:val="nil"/>
              <w:right w:val="nil"/>
            </w:tcBorders>
            <w:shd w:val="clear" w:color="000000" w:fill="FFFFFF"/>
            <w:noWrap/>
            <w:hideMark/>
          </w:tcPr>
          <w:p w:rsidR="00F2512B" w:rsidP="00F2512B" w14:paraId="788E6B26" w14:textId="77777777">
            <w:pPr>
              <w:spacing w:after="80"/>
              <w:jc w:val="center"/>
              <w:rPr>
                <w:color w:val="000000"/>
                <w:sz w:val="16"/>
                <w:szCs w:val="16"/>
              </w:rPr>
            </w:pPr>
            <w:r>
              <w:rPr>
                <w:color w:val="000000"/>
                <w:sz w:val="16"/>
                <w:szCs w:val="16"/>
              </w:rPr>
              <w:t>-1.176</w:t>
            </w:r>
          </w:p>
        </w:tc>
        <w:tc>
          <w:tcPr>
            <w:tcW w:w="700" w:type="dxa"/>
            <w:tcBorders>
              <w:top w:val="nil"/>
              <w:left w:val="nil"/>
              <w:bottom w:val="nil"/>
              <w:right w:val="nil"/>
            </w:tcBorders>
            <w:shd w:val="clear" w:color="000000" w:fill="FFFFFF"/>
            <w:noWrap/>
            <w:hideMark/>
          </w:tcPr>
          <w:p w:rsidR="00F2512B" w:rsidP="00F2512B" w14:paraId="0AB19941" w14:textId="77777777">
            <w:pPr>
              <w:spacing w:after="80"/>
              <w:jc w:val="center"/>
              <w:rPr>
                <w:color w:val="000000"/>
                <w:sz w:val="16"/>
                <w:szCs w:val="16"/>
              </w:rPr>
            </w:pPr>
            <w:r>
              <w:rPr>
                <w:color w:val="000000"/>
                <w:sz w:val="16"/>
                <w:szCs w:val="16"/>
              </w:rPr>
              <w:t>-1.086</w:t>
            </w:r>
          </w:p>
        </w:tc>
      </w:tr>
      <w:tr w14:paraId="297FCB48"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70104149"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3AA580D6" w14:textId="77777777">
            <w:pPr>
              <w:spacing w:after="80"/>
              <w:jc w:val="center"/>
              <w:rPr>
                <w:color w:val="000000"/>
                <w:sz w:val="16"/>
                <w:szCs w:val="16"/>
              </w:rPr>
            </w:pPr>
            <w:r>
              <w:rPr>
                <w:color w:val="000000"/>
                <w:sz w:val="16"/>
                <w:szCs w:val="16"/>
              </w:rPr>
              <w:t>(.166)</w:t>
            </w:r>
          </w:p>
        </w:tc>
        <w:tc>
          <w:tcPr>
            <w:tcW w:w="700" w:type="dxa"/>
            <w:tcBorders>
              <w:top w:val="nil"/>
              <w:left w:val="nil"/>
              <w:bottom w:val="nil"/>
              <w:right w:val="nil"/>
            </w:tcBorders>
            <w:shd w:val="clear" w:color="000000" w:fill="FFFFFF"/>
            <w:noWrap/>
            <w:hideMark/>
          </w:tcPr>
          <w:p w:rsidR="00F2512B" w:rsidP="00F2512B" w14:paraId="7A4C5A32" w14:textId="77777777">
            <w:pPr>
              <w:spacing w:after="80"/>
              <w:jc w:val="center"/>
              <w:rPr>
                <w:color w:val="000000"/>
                <w:sz w:val="16"/>
                <w:szCs w:val="16"/>
              </w:rPr>
            </w:pPr>
            <w:r>
              <w:rPr>
                <w:color w:val="000000"/>
                <w:sz w:val="16"/>
                <w:szCs w:val="16"/>
              </w:rPr>
              <w:t>(.126)</w:t>
            </w:r>
          </w:p>
        </w:tc>
        <w:tc>
          <w:tcPr>
            <w:tcW w:w="700" w:type="dxa"/>
            <w:tcBorders>
              <w:top w:val="nil"/>
              <w:left w:val="nil"/>
              <w:bottom w:val="nil"/>
              <w:right w:val="nil"/>
            </w:tcBorders>
            <w:shd w:val="clear" w:color="000000" w:fill="FFFFFF"/>
            <w:noWrap/>
            <w:hideMark/>
          </w:tcPr>
          <w:p w:rsidR="00F2512B" w:rsidP="00F2512B" w14:paraId="5E2D22CE" w14:textId="77777777">
            <w:pPr>
              <w:spacing w:after="80"/>
              <w:jc w:val="center"/>
              <w:rPr>
                <w:color w:val="000000"/>
                <w:sz w:val="16"/>
                <w:szCs w:val="16"/>
              </w:rPr>
            </w:pPr>
            <w:r>
              <w:rPr>
                <w:color w:val="000000"/>
                <w:sz w:val="16"/>
                <w:szCs w:val="16"/>
              </w:rPr>
              <w:t>(.124)</w:t>
            </w:r>
          </w:p>
        </w:tc>
        <w:tc>
          <w:tcPr>
            <w:tcW w:w="700" w:type="dxa"/>
            <w:tcBorders>
              <w:top w:val="nil"/>
              <w:left w:val="nil"/>
              <w:bottom w:val="nil"/>
              <w:right w:val="nil"/>
            </w:tcBorders>
            <w:shd w:val="clear" w:color="000000" w:fill="FFFFFF"/>
            <w:noWrap/>
            <w:hideMark/>
          </w:tcPr>
          <w:p w:rsidR="00F2512B" w:rsidP="00F2512B" w14:paraId="049D0F62" w14:textId="77777777">
            <w:pPr>
              <w:spacing w:after="80"/>
              <w:jc w:val="center"/>
              <w:rPr>
                <w:color w:val="000000"/>
                <w:sz w:val="16"/>
                <w:szCs w:val="16"/>
              </w:rPr>
            </w:pPr>
            <w:r>
              <w:rPr>
                <w:color w:val="000000"/>
                <w:sz w:val="16"/>
                <w:szCs w:val="16"/>
              </w:rPr>
              <w:t>(.284)</w:t>
            </w:r>
          </w:p>
        </w:tc>
        <w:tc>
          <w:tcPr>
            <w:tcW w:w="700" w:type="dxa"/>
            <w:tcBorders>
              <w:top w:val="nil"/>
              <w:left w:val="nil"/>
              <w:bottom w:val="nil"/>
              <w:right w:val="nil"/>
            </w:tcBorders>
            <w:shd w:val="clear" w:color="000000" w:fill="FFFFFF"/>
            <w:noWrap/>
            <w:hideMark/>
          </w:tcPr>
          <w:p w:rsidR="00F2512B" w:rsidP="00F2512B" w14:paraId="1863CE36" w14:textId="77777777">
            <w:pPr>
              <w:spacing w:after="80"/>
              <w:jc w:val="center"/>
              <w:rPr>
                <w:color w:val="000000"/>
                <w:sz w:val="16"/>
                <w:szCs w:val="16"/>
              </w:rPr>
            </w:pPr>
            <w:r>
              <w:rPr>
                <w:color w:val="000000"/>
                <w:sz w:val="16"/>
                <w:szCs w:val="16"/>
              </w:rPr>
              <w:t>(.143)</w:t>
            </w:r>
          </w:p>
        </w:tc>
        <w:tc>
          <w:tcPr>
            <w:tcW w:w="700" w:type="dxa"/>
            <w:tcBorders>
              <w:top w:val="nil"/>
              <w:left w:val="nil"/>
              <w:bottom w:val="nil"/>
              <w:right w:val="nil"/>
            </w:tcBorders>
            <w:shd w:val="clear" w:color="000000" w:fill="FFFFFF"/>
            <w:noWrap/>
            <w:hideMark/>
          </w:tcPr>
          <w:p w:rsidR="00F2512B" w:rsidP="00F2512B" w14:paraId="47EABC84" w14:textId="77777777">
            <w:pPr>
              <w:spacing w:after="80"/>
              <w:jc w:val="center"/>
              <w:rPr>
                <w:color w:val="000000"/>
                <w:sz w:val="16"/>
                <w:szCs w:val="16"/>
              </w:rPr>
            </w:pPr>
            <w:r>
              <w:rPr>
                <w:color w:val="000000"/>
                <w:sz w:val="16"/>
                <w:szCs w:val="16"/>
              </w:rPr>
              <w:t>(.120)</w:t>
            </w:r>
          </w:p>
        </w:tc>
        <w:tc>
          <w:tcPr>
            <w:tcW w:w="700" w:type="dxa"/>
            <w:tcBorders>
              <w:top w:val="nil"/>
              <w:left w:val="nil"/>
              <w:bottom w:val="nil"/>
              <w:right w:val="nil"/>
            </w:tcBorders>
            <w:shd w:val="clear" w:color="000000" w:fill="FFFFFF"/>
            <w:noWrap/>
            <w:hideMark/>
          </w:tcPr>
          <w:p w:rsidR="00F2512B" w:rsidP="00F2512B" w14:paraId="134EF80F" w14:textId="77777777">
            <w:pPr>
              <w:spacing w:after="80"/>
              <w:jc w:val="center"/>
              <w:rPr>
                <w:color w:val="000000"/>
                <w:sz w:val="16"/>
                <w:szCs w:val="16"/>
              </w:rPr>
            </w:pPr>
            <w:r>
              <w:rPr>
                <w:color w:val="000000"/>
                <w:sz w:val="16"/>
                <w:szCs w:val="16"/>
              </w:rPr>
              <w:t>(.127)</w:t>
            </w:r>
          </w:p>
        </w:tc>
        <w:tc>
          <w:tcPr>
            <w:tcW w:w="700" w:type="dxa"/>
            <w:tcBorders>
              <w:top w:val="nil"/>
              <w:left w:val="nil"/>
              <w:bottom w:val="nil"/>
              <w:right w:val="nil"/>
            </w:tcBorders>
            <w:shd w:val="clear" w:color="000000" w:fill="FFFFFF"/>
            <w:noWrap/>
            <w:hideMark/>
          </w:tcPr>
          <w:p w:rsidR="00F2512B" w:rsidP="00F2512B" w14:paraId="578F24B3" w14:textId="77777777">
            <w:pPr>
              <w:spacing w:after="80"/>
              <w:jc w:val="center"/>
              <w:rPr>
                <w:color w:val="000000"/>
                <w:sz w:val="16"/>
                <w:szCs w:val="16"/>
              </w:rPr>
            </w:pPr>
            <w:r>
              <w:rPr>
                <w:color w:val="000000"/>
                <w:sz w:val="16"/>
                <w:szCs w:val="16"/>
              </w:rPr>
              <w:t>(.307)</w:t>
            </w:r>
          </w:p>
        </w:tc>
      </w:tr>
      <w:tr w14:paraId="1316BD96"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26A66459"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58645FFB"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1DC2FC1F"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5C4F063B"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5EAEDE86"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759B9364"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6C7265ED"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7BBD2603"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2268371B" w14:textId="77777777">
            <w:pPr>
              <w:jc w:val="center"/>
              <w:rPr>
                <w:color w:val="000000"/>
                <w:sz w:val="16"/>
                <w:szCs w:val="16"/>
              </w:rPr>
            </w:pPr>
            <w:r>
              <w:rPr>
                <w:color w:val="000000"/>
                <w:sz w:val="16"/>
                <w:szCs w:val="16"/>
              </w:rPr>
              <w:t>***</w:t>
            </w:r>
          </w:p>
        </w:tc>
      </w:tr>
      <w:tr w14:paraId="135A8CF5" w14:textId="77777777" w:rsidTr="00F2512B">
        <w:tblPrEx>
          <w:tblW w:w="9360" w:type="dxa"/>
          <w:tblLook w:val="04A0"/>
        </w:tblPrEx>
        <w:trPr>
          <w:cantSplit/>
        </w:trPr>
        <w:tc>
          <w:tcPr>
            <w:tcW w:w="2580" w:type="dxa"/>
            <w:vMerge w:val="restart"/>
            <w:tcBorders>
              <w:top w:val="nil"/>
              <w:left w:val="nil"/>
              <w:bottom w:val="nil"/>
              <w:right w:val="nil"/>
            </w:tcBorders>
            <w:shd w:val="clear" w:color="000000" w:fill="FFFFFF"/>
            <w:hideMark/>
          </w:tcPr>
          <w:p w:rsidR="00F2512B" w:rsidP="00F2512B" w14:paraId="6A73CE80" w14:textId="77777777">
            <w:pPr>
              <w:spacing w:after="80"/>
              <w:rPr>
                <w:color w:val="000000"/>
                <w:sz w:val="16"/>
                <w:szCs w:val="16"/>
              </w:rPr>
            </w:pPr>
            <w:r>
              <w:rPr>
                <w:color w:val="000000"/>
                <w:sz w:val="16"/>
                <w:szCs w:val="16"/>
              </w:rPr>
              <w:t>Low Band Spectrum Deployed Flag</w:t>
            </w:r>
          </w:p>
        </w:tc>
        <w:tc>
          <w:tcPr>
            <w:tcW w:w="700" w:type="dxa"/>
            <w:tcBorders>
              <w:top w:val="nil"/>
              <w:left w:val="nil"/>
              <w:bottom w:val="nil"/>
              <w:right w:val="nil"/>
            </w:tcBorders>
            <w:shd w:val="clear" w:color="000000" w:fill="FFFFFF"/>
            <w:noWrap/>
            <w:hideMark/>
          </w:tcPr>
          <w:p w:rsidR="00F2512B" w:rsidP="00F2512B" w14:paraId="77C5E860" w14:textId="77777777">
            <w:pPr>
              <w:spacing w:after="80"/>
              <w:jc w:val="center"/>
              <w:rPr>
                <w:color w:val="000000"/>
                <w:sz w:val="16"/>
                <w:szCs w:val="16"/>
              </w:rPr>
            </w:pPr>
            <w:r>
              <w:rPr>
                <w:color w:val="000000"/>
                <w:sz w:val="16"/>
                <w:szCs w:val="16"/>
              </w:rPr>
              <w:t>-0.029</w:t>
            </w:r>
          </w:p>
        </w:tc>
        <w:tc>
          <w:tcPr>
            <w:tcW w:w="700" w:type="dxa"/>
            <w:tcBorders>
              <w:top w:val="nil"/>
              <w:left w:val="nil"/>
              <w:bottom w:val="nil"/>
              <w:right w:val="nil"/>
            </w:tcBorders>
            <w:shd w:val="clear" w:color="000000" w:fill="FFFFFF"/>
            <w:noWrap/>
            <w:hideMark/>
          </w:tcPr>
          <w:p w:rsidR="00F2512B" w:rsidP="00F2512B" w14:paraId="7E70AFF2" w14:textId="77777777">
            <w:pPr>
              <w:spacing w:after="80"/>
              <w:jc w:val="center"/>
              <w:rPr>
                <w:color w:val="000000"/>
                <w:sz w:val="16"/>
                <w:szCs w:val="16"/>
              </w:rPr>
            </w:pPr>
            <w:r>
              <w:rPr>
                <w:color w:val="000000"/>
                <w:sz w:val="16"/>
                <w:szCs w:val="16"/>
              </w:rPr>
              <w:t>0.105</w:t>
            </w:r>
          </w:p>
        </w:tc>
        <w:tc>
          <w:tcPr>
            <w:tcW w:w="700" w:type="dxa"/>
            <w:tcBorders>
              <w:top w:val="nil"/>
              <w:left w:val="nil"/>
              <w:bottom w:val="nil"/>
              <w:right w:val="nil"/>
            </w:tcBorders>
            <w:shd w:val="clear" w:color="000000" w:fill="FFFFFF"/>
            <w:noWrap/>
            <w:hideMark/>
          </w:tcPr>
          <w:p w:rsidR="00F2512B" w:rsidP="00F2512B" w14:paraId="441AC788" w14:textId="77777777">
            <w:pPr>
              <w:spacing w:after="80"/>
              <w:jc w:val="center"/>
              <w:rPr>
                <w:color w:val="000000"/>
                <w:sz w:val="16"/>
                <w:szCs w:val="16"/>
              </w:rPr>
            </w:pPr>
            <w:r>
              <w:rPr>
                <w:color w:val="000000"/>
                <w:sz w:val="16"/>
                <w:szCs w:val="16"/>
              </w:rPr>
              <w:t>0.101</w:t>
            </w:r>
          </w:p>
        </w:tc>
        <w:tc>
          <w:tcPr>
            <w:tcW w:w="700" w:type="dxa"/>
            <w:tcBorders>
              <w:top w:val="nil"/>
              <w:left w:val="nil"/>
              <w:bottom w:val="nil"/>
              <w:right w:val="nil"/>
            </w:tcBorders>
            <w:shd w:val="clear" w:color="000000" w:fill="FFFFFF"/>
            <w:noWrap/>
            <w:hideMark/>
          </w:tcPr>
          <w:p w:rsidR="00F2512B" w:rsidP="00F2512B" w14:paraId="5265868B" w14:textId="77777777">
            <w:pPr>
              <w:spacing w:after="80"/>
              <w:jc w:val="center"/>
              <w:rPr>
                <w:color w:val="000000"/>
                <w:sz w:val="16"/>
                <w:szCs w:val="16"/>
              </w:rPr>
            </w:pPr>
            <w:r>
              <w:rPr>
                <w:color w:val="000000"/>
                <w:sz w:val="16"/>
                <w:szCs w:val="16"/>
              </w:rPr>
              <w:t>0.073</w:t>
            </w:r>
          </w:p>
        </w:tc>
        <w:tc>
          <w:tcPr>
            <w:tcW w:w="700" w:type="dxa"/>
            <w:tcBorders>
              <w:top w:val="nil"/>
              <w:left w:val="nil"/>
              <w:bottom w:val="nil"/>
              <w:right w:val="nil"/>
            </w:tcBorders>
            <w:shd w:val="clear" w:color="000000" w:fill="FFFFFF"/>
            <w:noWrap/>
            <w:hideMark/>
          </w:tcPr>
          <w:p w:rsidR="00F2512B" w:rsidP="00F2512B" w14:paraId="1BE7700B" w14:textId="77777777">
            <w:pPr>
              <w:spacing w:after="80"/>
              <w:jc w:val="center"/>
              <w:rPr>
                <w:color w:val="000000"/>
                <w:sz w:val="16"/>
                <w:szCs w:val="16"/>
              </w:rPr>
            </w:pPr>
            <w:r>
              <w:rPr>
                <w:color w:val="000000"/>
                <w:sz w:val="16"/>
                <w:szCs w:val="16"/>
              </w:rPr>
              <w:t>-0.054</w:t>
            </w:r>
          </w:p>
        </w:tc>
        <w:tc>
          <w:tcPr>
            <w:tcW w:w="700" w:type="dxa"/>
            <w:tcBorders>
              <w:top w:val="nil"/>
              <w:left w:val="nil"/>
              <w:bottom w:val="nil"/>
              <w:right w:val="nil"/>
            </w:tcBorders>
            <w:shd w:val="clear" w:color="000000" w:fill="FFFFFF"/>
            <w:noWrap/>
            <w:hideMark/>
          </w:tcPr>
          <w:p w:rsidR="00F2512B" w:rsidP="00F2512B" w14:paraId="18C21EE7" w14:textId="77777777">
            <w:pPr>
              <w:spacing w:after="80"/>
              <w:jc w:val="center"/>
              <w:rPr>
                <w:color w:val="000000"/>
                <w:sz w:val="16"/>
                <w:szCs w:val="16"/>
              </w:rPr>
            </w:pPr>
            <w:r>
              <w:rPr>
                <w:color w:val="000000"/>
                <w:sz w:val="16"/>
                <w:szCs w:val="16"/>
              </w:rPr>
              <w:t>0.063</w:t>
            </w:r>
          </w:p>
        </w:tc>
        <w:tc>
          <w:tcPr>
            <w:tcW w:w="700" w:type="dxa"/>
            <w:tcBorders>
              <w:top w:val="nil"/>
              <w:left w:val="nil"/>
              <w:bottom w:val="nil"/>
              <w:right w:val="nil"/>
            </w:tcBorders>
            <w:shd w:val="clear" w:color="000000" w:fill="FFFFFF"/>
            <w:noWrap/>
            <w:hideMark/>
          </w:tcPr>
          <w:p w:rsidR="00F2512B" w:rsidP="00F2512B" w14:paraId="6A2853A4" w14:textId="77777777">
            <w:pPr>
              <w:spacing w:after="80"/>
              <w:jc w:val="center"/>
              <w:rPr>
                <w:color w:val="000000"/>
                <w:sz w:val="16"/>
                <w:szCs w:val="16"/>
              </w:rPr>
            </w:pPr>
            <w:r>
              <w:rPr>
                <w:color w:val="000000"/>
                <w:sz w:val="16"/>
                <w:szCs w:val="16"/>
              </w:rPr>
              <w:t>0.050</w:t>
            </w:r>
          </w:p>
        </w:tc>
        <w:tc>
          <w:tcPr>
            <w:tcW w:w="700" w:type="dxa"/>
            <w:tcBorders>
              <w:top w:val="nil"/>
              <w:left w:val="nil"/>
              <w:bottom w:val="nil"/>
              <w:right w:val="nil"/>
            </w:tcBorders>
            <w:shd w:val="clear" w:color="000000" w:fill="FFFFFF"/>
            <w:noWrap/>
            <w:hideMark/>
          </w:tcPr>
          <w:p w:rsidR="00F2512B" w:rsidP="00F2512B" w14:paraId="281D9E9C" w14:textId="77777777">
            <w:pPr>
              <w:spacing w:after="80"/>
              <w:jc w:val="center"/>
              <w:rPr>
                <w:color w:val="000000"/>
                <w:sz w:val="16"/>
                <w:szCs w:val="16"/>
              </w:rPr>
            </w:pPr>
            <w:r>
              <w:rPr>
                <w:color w:val="000000"/>
                <w:sz w:val="16"/>
                <w:szCs w:val="16"/>
              </w:rPr>
              <w:t>0.069</w:t>
            </w:r>
          </w:p>
        </w:tc>
      </w:tr>
      <w:tr w14:paraId="3CE024DB"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13DE5505"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53705544" w14:textId="77777777">
            <w:pPr>
              <w:spacing w:after="80"/>
              <w:jc w:val="center"/>
              <w:rPr>
                <w:color w:val="000000"/>
                <w:sz w:val="16"/>
                <w:szCs w:val="16"/>
              </w:rPr>
            </w:pPr>
            <w:r>
              <w:rPr>
                <w:color w:val="000000"/>
                <w:sz w:val="16"/>
                <w:szCs w:val="16"/>
              </w:rPr>
              <w:t>(.079)</w:t>
            </w:r>
          </w:p>
        </w:tc>
        <w:tc>
          <w:tcPr>
            <w:tcW w:w="700" w:type="dxa"/>
            <w:tcBorders>
              <w:top w:val="nil"/>
              <w:left w:val="nil"/>
              <w:bottom w:val="nil"/>
              <w:right w:val="nil"/>
            </w:tcBorders>
            <w:shd w:val="clear" w:color="000000" w:fill="FFFFFF"/>
            <w:noWrap/>
            <w:hideMark/>
          </w:tcPr>
          <w:p w:rsidR="00F2512B" w:rsidP="00F2512B" w14:paraId="1783F13D" w14:textId="77777777">
            <w:pPr>
              <w:spacing w:after="80"/>
              <w:jc w:val="center"/>
              <w:rPr>
                <w:color w:val="000000"/>
                <w:sz w:val="16"/>
                <w:szCs w:val="16"/>
              </w:rPr>
            </w:pPr>
            <w:r>
              <w:rPr>
                <w:color w:val="000000"/>
                <w:sz w:val="16"/>
                <w:szCs w:val="16"/>
              </w:rPr>
              <w:t>(.084)</w:t>
            </w:r>
          </w:p>
        </w:tc>
        <w:tc>
          <w:tcPr>
            <w:tcW w:w="700" w:type="dxa"/>
            <w:tcBorders>
              <w:top w:val="nil"/>
              <w:left w:val="nil"/>
              <w:bottom w:val="nil"/>
              <w:right w:val="nil"/>
            </w:tcBorders>
            <w:shd w:val="clear" w:color="000000" w:fill="FFFFFF"/>
            <w:noWrap/>
            <w:hideMark/>
          </w:tcPr>
          <w:p w:rsidR="00F2512B" w:rsidP="00F2512B" w14:paraId="3BCA7B57" w14:textId="77777777">
            <w:pPr>
              <w:spacing w:after="80"/>
              <w:jc w:val="center"/>
              <w:rPr>
                <w:color w:val="000000"/>
                <w:sz w:val="16"/>
                <w:szCs w:val="16"/>
              </w:rPr>
            </w:pPr>
            <w:r>
              <w:rPr>
                <w:color w:val="000000"/>
                <w:sz w:val="16"/>
                <w:szCs w:val="16"/>
              </w:rPr>
              <w:t>(.090)</w:t>
            </w:r>
          </w:p>
        </w:tc>
        <w:tc>
          <w:tcPr>
            <w:tcW w:w="700" w:type="dxa"/>
            <w:tcBorders>
              <w:top w:val="nil"/>
              <w:left w:val="nil"/>
              <w:bottom w:val="nil"/>
              <w:right w:val="nil"/>
            </w:tcBorders>
            <w:shd w:val="clear" w:color="000000" w:fill="FFFFFF"/>
            <w:noWrap/>
            <w:hideMark/>
          </w:tcPr>
          <w:p w:rsidR="00F2512B" w:rsidP="00F2512B" w14:paraId="61EA8BB3" w14:textId="77777777">
            <w:pPr>
              <w:spacing w:after="80"/>
              <w:jc w:val="center"/>
              <w:rPr>
                <w:color w:val="000000"/>
                <w:sz w:val="16"/>
                <w:szCs w:val="16"/>
              </w:rPr>
            </w:pPr>
            <w:r>
              <w:rPr>
                <w:color w:val="000000"/>
                <w:sz w:val="16"/>
                <w:szCs w:val="16"/>
              </w:rPr>
              <w:t>(.127)</w:t>
            </w:r>
          </w:p>
        </w:tc>
        <w:tc>
          <w:tcPr>
            <w:tcW w:w="700" w:type="dxa"/>
            <w:tcBorders>
              <w:top w:val="nil"/>
              <w:left w:val="nil"/>
              <w:bottom w:val="nil"/>
              <w:right w:val="nil"/>
            </w:tcBorders>
            <w:shd w:val="clear" w:color="000000" w:fill="FFFFFF"/>
            <w:noWrap/>
            <w:hideMark/>
          </w:tcPr>
          <w:p w:rsidR="00F2512B" w:rsidP="00F2512B" w14:paraId="7DFE3CB9" w14:textId="77777777">
            <w:pPr>
              <w:spacing w:after="80"/>
              <w:jc w:val="center"/>
              <w:rPr>
                <w:color w:val="000000"/>
                <w:sz w:val="16"/>
                <w:szCs w:val="16"/>
              </w:rPr>
            </w:pPr>
            <w:r>
              <w:rPr>
                <w:color w:val="000000"/>
                <w:sz w:val="16"/>
                <w:szCs w:val="16"/>
              </w:rPr>
              <w:t>(.075)</w:t>
            </w:r>
          </w:p>
        </w:tc>
        <w:tc>
          <w:tcPr>
            <w:tcW w:w="700" w:type="dxa"/>
            <w:tcBorders>
              <w:top w:val="nil"/>
              <w:left w:val="nil"/>
              <w:bottom w:val="nil"/>
              <w:right w:val="nil"/>
            </w:tcBorders>
            <w:shd w:val="clear" w:color="000000" w:fill="FFFFFF"/>
            <w:noWrap/>
            <w:hideMark/>
          </w:tcPr>
          <w:p w:rsidR="00F2512B" w:rsidP="00F2512B" w14:paraId="1D6C7839" w14:textId="77777777">
            <w:pPr>
              <w:spacing w:after="80"/>
              <w:jc w:val="center"/>
              <w:rPr>
                <w:color w:val="000000"/>
                <w:sz w:val="16"/>
                <w:szCs w:val="16"/>
              </w:rPr>
            </w:pPr>
            <w:r>
              <w:rPr>
                <w:color w:val="000000"/>
                <w:sz w:val="16"/>
                <w:szCs w:val="16"/>
              </w:rPr>
              <w:t>(.095)</w:t>
            </w:r>
          </w:p>
        </w:tc>
        <w:tc>
          <w:tcPr>
            <w:tcW w:w="700" w:type="dxa"/>
            <w:tcBorders>
              <w:top w:val="nil"/>
              <w:left w:val="nil"/>
              <w:bottom w:val="nil"/>
              <w:right w:val="nil"/>
            </w:tcBorders>
            <w:shd w:val="clear" w:color="000000" w:fill="FFFFFF"/>
            <w:noWrap/>
            <w:hideMark/>
          </w:tcPr>
          <w:p w:rsidR="00F2512B" w:rsidP="00F2512B" w14:paraId="654CF5A7" w14:textId="77777777">
            <w:pPr>
              <w:spacing w:after="80"/>
              <w:jc w:val="center"/>
              <w:rPr>
                <w:color w:val="000000"/>
                <w:sz w:val="16"/>
                <w:szCs w:val="16"/>
              </w:rPr>
            </w:pPr>
            <w:r>
              <w:rPr>
                <w:color w:val="000000"/>
                <w:sz w:val="16"/>
                <w:szCs w:val="16"/>
              </w:rPr>
              <w:t>(.099)</w:t>
            </w:r>
          </w:p>
        </w:tc>
        <w:tc>
          <w:tcPr>
            <w:tcW w:w="700" w:type="dxa"/>
            <w:tcBorders>
              <w:top w:val="nil"/>
              <w:left w:val="nil"/>
              <w:bottom w:val="nil"/>
              <w:right w:val="nil"/>
            </w:tcBorders>
            <w:shd w:val="clear" w:color="000000" w:fill="FFFFFF"/>
            <w:noWrap/>
            <w:hideMark/>
          </w:tcPr>
          <w:p w:rsidR="00F2512B" w:rsidP="00F2512B" w14:paraId="5478E46E" w14:textId="77777777">
            <w:pPr>
              <w:spacing w:after="80"/>
              <w:jc w:val="center"/>
              <w:rPr>
                <w:color w:val="000000"/>
                <w:sz w:val="16"/>
                <w:szCs w:val="16"/>
              </w:rPr>
            </w:pPr>
            <w:r>
              <w:rPr>
                <w:color w:val="000000"/>
                <w:sz w:val="16"/>
                <w:szCs w:val="16"/>
              </w:rPr>
              <w:t>(.137)</w:t>
            </w:r>
          </w:p>
        </w:tc>
      </w:tr>
      <w:tr w14:paraId="28D2812E"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7DF2B7AD"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637D6B0C"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5D80874B"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26D34394"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11D45DDC"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1B217347"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6D5020AA"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36020A9A"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075D7EB4" w14:textId="77777777">
            <w:pPr>
              <w:jc w:val="center"/>
              <w:rPr>
                <w:color w:val="000000"/>
                <w:sz w:val="16"/>
                <w:szCs w:val="16"/>
              </w:rPr>
            </w:pPr>
            <w:r>
              <w:rPr>
                <w:color w:val="000000"/>
                <w:sz w:val="16"/>
                <w:szCs w:val="16"/>
              </w:rPr>
              <w:t> </w:t>
            </w:r>
          </w:p>
        </w:tc>
      </w:tr>
      <w:tr w14:paraId="031C8A11" w14:textId="77777777" w:rsidTr="00F2512B">
        <w:tblPrEx>
          <w:tblW w:w="9360" w:type="dxa"/>
          <w:tblLook w:val="04A0"/>
        </w:tblPrEx>
        <w:trPr>
          <w:cantSplit/>
        </w:trPr>
        <w:tc>
          <w:tcPr>
            <w:tcW w:w="2580" w:type="dxa"/>
            <w:vMerge w:val="restart"/>
            <w:tcBorders>
              <w:top w:val="nil"/>
              <w:left w:val="nil"/>
              <w:bottom w:val="nil"/>
              <w:right w:val="nil"/>
            </w:tcBorders>
            <w:shd w:val="clear" w:color="000000" w:fill="FFFFFF"/>
            <w:hideMark/>
          </w:tcPr>
          <w:p w:rsidR="00F2512B" w:rsidP="00F2512B" w14:paraId="2EB2879F" w14:textId="77777777">
            <w:pPr>
              <w:spacing w:after="80"/>
              <w:rPr>
                <w:color w:val="000000"/>
                <w:sz w:val="16"/>
                <w:szCs w:val="16"/>
              </w:rPr>
            </w:pPr>
            <w:r>
              <w:rPr>
                <w:color w:val="000000"/>
                <w:sz w:val="16"/>
                <w:szCs w:val="16"/>
              </w:rPr>
              <w:t>Low Band Spectrum Deployed Flag*Percentage of Area Forested</w:t>
            </w:r>
          </w:p>
        </w:tc>
        <w:tc>
          <w:tcPr>
            <w:tcW w:w="700" w:type="dxa"/>
            <w:tcBorders>
              <w:top w:val="nil"/>
              <w:left w:val="nil"/>
              <w:bottom w:val="nil"/>
              <w:right w:val="nil"/>
            </w:tcBorders>
            <w:shd w:val="clear" w:color="000000" w:fill="FFFFFF"/>
            <w:noWrap/>
            <w:hideMark/>
          </w:tcPr>
          <w:p w:rsidR="00F2512B" w:rsidP="00F2512B" w14:paraId="1209A44C" w14:textId="77777777">
            <w:pPr>
              <w:spacing w:after="80"/>
              <w:jc w:val="center"/>
              <w:rPr>
                <w:color w:val="000000"/>
                <w:sz w:val="16"/>
                <w:szCs w:val="16"/>
              </w:rPr>
            </w:pPr>
            <w:r>
              <w:rPr>
                <w:color w:val="000000"/>
                <w:sz w:val="16"/>
                <w:szCs w:val="16"/>
              </w:rPr>
              <w:t>0.155</w:t>
            </w:r>
          </w:p>
        </w:tc>
        <w:tc>
          <w:tcPr>
            <w:tcW w:w="700" w:type="dxa"/>
            <w:tcBorders>
              <w:top w:val="nil"/>
              <w:left w:val="nil"/>
              <w:bottom w:val="nil"/>
              <w:right w:val="nil"/>
            </w:tcBorders>
            <w:shd w:val="clear" w:color="000000" w:fill="FFFFFF"/>
            <w:noWrap/>
            <w:hideMark/>
          </w:tcPr>
          <w:p w:rsidR="00F2512B" w:rsidP="00F2512B" w14:paraId="16F0C0AB" w14:textId="77777777">
            <w:pPr>
              <w:spacing w:after="80"/>
              <w:jc w:val="center"/>
              <w:rPr>
                <w:color w:val="000000"/>
                <w:sz w:val="16"/>
                <w:szCs w:val="16"/>
              </w:rPr>
            </w:pPr>
            <w:r>
              <w:rPr>
                <w:color w:val="000000"/>
                <w:sz w:val="16"/>
                <w:szCs w:val="16"/>
              </w:rPr>
              <w:t>0.300</w:t>
            </w:r>
          </w:p>
        </w:tc>
        <w:tc>
          <w:tcPr>
            <w:tcW w:w="700" w:type="dxa"/>
            <w:tcBorders>
              <w:top w:val="nil"/>
              <w:left w:val="nil"/>
              <w:bottom w:val="nil"/>
              <w:right w:val="nil"/>
            </w:tcBorders>
            <w:shd w:val="clear" w:color="000000" w:fill="FFFFFF"/>
            <w:noWrap/>
            <w:hideMark/>
          </w:tcPr>
          <w:p w:rsidR="00F2512B" w:rsidP="00F2512B" w14:paraId="2D1C176B" w14:textId="77777777">
            <w:pPr>
              <w:spacing w:after="80"/>
              <w:jc w:val="center"/>
              <w:rPr>
                <w:color w:val="000000"/>
                <w:sz w:val="16"/>
                <w:szCs w:val="16"/>
              </w:rPr>
            </w:pPr>
            <w:r>
              <w:rPr>
                <w:color w:val="000000"/>
                <w:sz w:val="16"/>
                <w:szCs w:val="16"/>
              </w:rPr>
              <w:t>0.403</w:t>
            </w:r>
          </w:p>
        </w:tc>
        <w:tc>
          <w:tcPr>
            <w:tcW w:w="700" w:type="dxa"/>
            <w:tcBorders>
              <w:top w:val="nil"/>
              <w:left w:val="nil"/>
              <w:bottom w:val="nil"/>
              <w:right w:val="nil"/>
            </w:tcBorders>
            <w:shd w:val="clear" w:color="000000" w:fill="FFFFFF"/>
            <w:noWrap/>
            <w:hideMark/>
          </w:tcPr>
          <w:p w:rsidR="00F2512B" w:rsidP="00F2512B" w14:paraId="29BB3FA9" w14:textId="77777777">
            <w:pPr>
              <w:spacing w:after="80"/>
              <w:jc w:val="center"/>
              <w:rPr>
                <w:color w:val="000000"/>
                <w:sz w:val="16"/>
                <w:szCs w:val="16"/>
              </w:rPr>
            </w:pPr>
            <w:r>
              <w:rPr>
                <w:color w:val="000000"/>
                <w:sz w:val="16"/>
                <w:szCs w:val="16"/>
              </w:rPr>
              <w:t>0.541</w:t>
            </w:r>
          </w:p>
        </w:tc>
        <w:tc>
          <w:tcPr>
            <w:tcW w:w="700" w:type="dxa"/>
            <w:tcBorders>
              <w:top w:val="nil"/>
              <w:left w:val="nil"/>
              <w:bottom w:val="nil"/>
              <w:right w:val="nil"/>
            </w:tcBorders>
            <w:shd w:val="clear" w:color="000000" w:fill="FFFFFF"/>
            <w:noWrap/>
            <w:hideMark/>
          </w:tcPr>
          <w:p w:rsidR="00F2512B" w:rsidP="00F2512B" w14:paraId="0F85FD6E" w14:textId="77777777">
            <w:pPr>
              <w:spacing w:after="80"/>
              <w:jc w:val="center"/>
              <w:rPr>
                <w:color w:val="000000"/>
                <w:sz w:val="16"/>
                <w:szCs w:val="16"/>
              </w:rPr>
            </w:pPr>
            <w:r>
              <w:rPr>
                <w:color w:val="000000"/>
                <w:sz w:val="16"/>
                <w:szCs w:val="16"/>
              </w:rPr>
              <w:t>0.190</w:t>
            </w:r>
          </w:p>
        </w:tc>
        <w:tc>
          <w:tcPr>
            <w:tcW w:w="700" w:type="dxa"/>
            <w:tcBorders>
              <w:top w:val="nil"/>
              <w:left w:val="nil"/>
              <w:bottom w:val="nil"/>
              <w:right w:val="nil"/>
            </w:tcBorders>
            <w:shd w:val="clear" w:color="000000" w:fill="FFFFFF"/>
            <w:noWrap/>
            <w:hideMark/>
          </w:tcPr>
          <w:p w:rsidR="00F2512B" w:rsidP="00F2512B" w14:paraId="22581FEF" w14:textId="77777777">
            <w:pPr>
              <w:spacing w:after="80"/>
              <w:jc w:val="center"/>
              <w:rPr>
                <w:color w:val="000000"/>
                <w:sz w:val="16"/>
                <w:szCs w:val="16"/>
              </w:rPr>
            </w:pPr>
            <w:r>
              <w:rPr>
                <w:color w:val="000000"/>
                <w:sz w:val="16"/>
                <w:szCs w:val="16"/>
              </w:rPr>
              <w:t>0.328</w:t>
            </w:r>
          </w:p>
        </w:tc>
        <w:tc>
          <w:tcPr>
            <w:tcW w:w="700" w:type="dxa"/>
            <w:tcBorders>
              <w:top w:val="nil"/>
              <w:left w:val="nil"/>
              <w:bottom w:val="nil"/>
              <w:right w:val="nil"/>
            </w:tcBorders>
            <w:shd w:val="clear" w:color="000000" w:fill="FFFFFF"/>
            <w:noWrap/>
            <w:hideMark/>
          </w:tcPr>
          <w:p w:rsidR="00F2512B" w:rsidP="00F2512B" w14:paraId="29CDC56E" w14:textId="77777777">
            <w:pPr>
              <w:spacing w:after="80"/>
              <w:jc w:val="center"/>
              <w:rPr>
                <w:color w:val="000000"/>
                <w:sz w:val="16"/>
                <w:szCs w:val="16"/>
              </w:rPr>
            </w:pPr>
            <w:r>
              <w:rPr>
                <w:color w:val="000000"/>
                <w:sz w:val="16"/>
                <w:szCs w:val="16"/>
              </w:rPr>
              <w:t>0.415</w:t>
            </w:r>
          </w:p>
        </w:tc>
        <w:tc>
          <w:tcPr>
            <w:tcW w:w="700" w:type="dxa"/>
            <w:tcBorders>
              <w:top w:val="nil"/>
              <w:left w:val="nil"/>
              <w:bottom w:val="nil"/>
              <w:right w:val="nil"/>
            </w:tcBorders>
            <w:shd w:val="clear" w:color="000000" w:fill="FFFFFF"/>
            <w:noWrap/>
            <w:hideMark/>
          </w:tcPr>
          <w:p w:rsidR="00F2512B" w:rsidP="00F2512B" w14:paraId="561BC9E0" w14:textId="77777777">
            <w:pPr>
              <w:spacing w:after="80"/>
              <w:jc w:val="center"/>
              <w:rPr>
                <w:color w:val="000000"/>
                <w:sz w:val="16"/>
                <w:szCs w:val="16"/>
              </w:rPr>
            </w:pPr>
            <w:r>
              <w:rPr>
                <w:color w:val="000000"/>
                <w:sz w:val="16"/>
                <w:szCs w:val="16"/>
              </w:rPr>
              <w:t>0.439</w:t>
            </w:r>
          </w:p>
        </w:tc>
      </w:tr>
      <w:tr w14:paraId="368885E8"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78E97308"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2EEEF757" w14:textId="77777777">
            <w:pPr>
              <w:spacing w:after="80"/>
              <w:jc w:val="center"/>
              <w:rPr>
                <w:color w:val="000000"/>
                <w:sz w:val="16"/>
                <w:szCs w:val="16"/>
              </w:rPr>
            </w:pPr>
            <w:r>
              <w:rPr>
                <w:color w:val="000000"/>
                <w:sz w:val="16"/>
                <w:szCs w:val="16"/>
              </w:rPr>
              <w:t>(.178)</w:t>
            </w:r>
          </w:p>
        </w:tc>
        <w:tc>
          <w:tcPr>
            <w:tcW w:w="700" w:type="dxa"/>
            <w:tcBorders>
              <w:top w:val="nil"/>
              <w:left w:val="nil"/>
              <w:bottom w:val="nil"/>
              <w:right w:val="nil"/>
            </w:tcBorders>
            <w:shd w:val="clear" w:color="000000" w:fill="FFFFFF"/>
            <w:noWrap/>
            <w:hideMark/>
          </w:tcPr>
          <w:p w:rsidR="00F2512B" w:rsidP="00F2512B" w14:paraId="209391B5" w14:textId="77777777">
            <w:pPr>
              <w:spacing w:after="80"/>
              <w:jc w:val="center"/>
              <w:rPr>
                <w:color w:val="000000"/>
                <w:sz w:val="16"/>
                <w:szCs w:val="16"/>
              </w:rPr>
            </w:pPr>
            <w:r>
              <w:rPr>
                <w:color w:val="000000"/>
                <w:sz w:val="16"/>
                <w:szCs w:val="16"/>
              </w:rPr>
              <w:t>(.148)</w:t>
            </w:r>
          </w:p>
        </w:tc>
        <w:tc>
          <w:tcPr>
            <w:tcW w:w="700" w:type="dxa"/>
            <w:tcBorders>
              <w:top w:val="nil"/>
              <w:left w:val="nil"/>
              <w:bottom w:val="nil"/>
              <w:right w:val="nil"/>
            </w:tcBorders>
            <w:shd w:val="clear" w:color="000000" w:fill="FFFFFF"/>
            <w:noWrap/>
            <w:hideMark/>
          </w:tcPr>
          <w:p w:rsidR="00F2512B" w:rsidP="00F2512B" w14:paraId="5849A312" w14:textId="77777777">
            <w:pPr>
              <w:spacing w:after="80"/>
              <w:jc w:val="center"/>
              <w:rPr>
                <w:color w:val="000000"/>
                <w:sz w:val="16"/>
                <w:szCs w:val="16"/>
              </w:rPr>
            </w:pPr>
            <w:r>
              <w:rPr>
                <w:color w:val="000000"/>
                <w:sz w:val="16"/>
                <w:szCs w:val="16"/>
              </w:rPr>
              <w:t>(.151)</w:t>
            </w:r>
          </w:p>
        </w:tc>
        <w:tc>
          <w:tcPr>
            <w:tcW w:w="700" w:type="dxa"/>
            <w:tcBorders>
              <w:top w:val="nil"/>
              <w:left w:val="nil"/>
              <w:bottom w:val="nil"/>
              <w:right w:val="nil"/>
            </w:tcBorders>
            <w:shd w:val="clear" w:color="000000" w:fill="FFFFFF"/>
            <w:noWrap/>
            <w:hideMark/>
          </w:tcPr>
          <w:p w:rsidR="00F2512B" w:rsidP="00F2512B" w14:paraId="1C01CCF9" w14:textId="77777777">
            <w:pPr>
              <w:spacing w:after="80"/>
              <w:jc w:val="center"/>
              <w:rPr>
                <w:color w:val="000000"/>
                <w:sz w:val="16"/>
                <w:szCs w:val="16"/>
              </w:rPr>
            </w:pPr>
            <w:r>
              <w:rPr>
                <w:color w:val="000000"/>
                <w:sz w:val="16"/>
                <w:szCs w:val="16"/>
              </w:rPr>
              <w:t>(.288)</w:t>
            </w:r>
          </w:p>
        </w:tc>
        <w:tc>
          <w:tcPr>
            <w:tcW w:w="700" w:type="dxa"/>
            <w:tcBorders>
              <w:top w:val="nil"/>
              <w:left w:val="nil"/>
              <w:bottom w:val="nil"/>
              <w:right w:val="nil"/>
            </w:tcBorders>
            <w:shd w:val="clear" w:color="000000" w:fill="FFFFFF"/>
            <w:noWrap/>
            <w:hideMark/>
          </w:tcPr>
          <w:p w:rsidR="00F2512B" w:rsidP="00F2512B" w14:paraId="0C21215C" w14:textId="77777777">
            <w:pPr>
              <w:spacing w:after="80"/>
              <w:jc w:val="center"/>
              <w:rPr>
                <w:color w:val="000000"/>
                <w:sz w:val="16"/>
                <w:szCs w:val="16"/>
              </w:rPr>
            </w:pPr>
            <w:r>
              <w:rPr>
                <w:color w:val="000000"/>
                <w:sz w:val="16"/>
                <w:szCs w:val="16"/>
              </w:rPr>
              <w:t>(.147)</w:t>
            </w:r>
          </w:p>
        </w:tc>
        <w:tc>
          <w:tcPr>
            <w:tcW w:w="700" w:type="dxa"/>
            <w:tcBorders>
              <w:top w:val="nil"/>
              <w:left w:val="nil"/>
              <w:bottom w:val="nil"/>
              <w:right w:val="nil"/>
            </w:tcBorders>
            <w:shd w:val="clear" w:color="000000" w:fill="FFFFFF"/>
            <w:noWrap/>
            <w:hideMark/>
          </w:tcPr>
          <w:p w:rsidR="00F2512B" w:rsidP="00F2512B" w14:paraId="6E098309" w14:textId="77777777">
            <w:pPr>
              <w:spacing w:after="80"/>
              <w:jc w:val="center"/>
              <w:rPr>
                <w:color w:val="000000"/>
                <w:sz w:val="16"/>
                <w:szCs w:val="16"/>
              </w:rPr>
            </w:pPr>
            <w:r>
              <w:rPr>
                <w:color w:val="000000"/>
                <w:sz w:val="16"/>
                <w:szCs w:val="16"/>
              </w:rPr>
              <w:t>(.132)</w:t>
            </w:r>
          </w:p>
        </w:tc>
        <w:tc>
          <w:tcPr>
            <w:tcW w:w="700" w:type="dxa"/>
            <w:tcBorders>
              <w:top w:val="nil"/>
              <w:left w:val="nil"/>
              <w:bottom w:val="nil"/>
              <w:right w:val="nil"/>
            </w:tcBorders>
            <w:shd w:val="clear" w:color="000000" w:fill="FFFFFF"/>
            <w:noWrap/>
            <w:hideMark/>
          </w:tcPr>
          <w:p w:rsidR="00F2512B" w:rsidP="00F2512B" w14:paraId="7DF4EE72" w14:textId="77777777">
            <w:pPr>
              <w:spacing w:after="80"/>
              <w:jc w:val="center"/>
              <w:rPr>
                <w:color w:val="000000"/>
                <w:sz w:val="16"/>
                <w:szCs w:val="16"/>
              </w:rPr>
            </w:pPr>
            <w:r>
              <w:rPr>
                <w:color w:val="000000"/>
                <w:sz w:val="16"/>
                <w:szCs w:val="16"/>
              </w:rPr>
              <w:t>(.141)</w:t>
            </w:r>
          </w:p>
        </w:tc>
        <w:tc>
          <w:tcPr>
            <w:tcW w:w="700" w:type="dxa"/>
            <w:tcBorders>
              <w:top w:val="nil"/>
              <w:left w:val="nil"/>
              <w:bottom w:val="nil"/>
              <w:right w:val="nil"/>
            </w:tcBorders>
            <w:shd w:val="clear" w:color="000000" w:fill="FFFFFF"/>
            <w:noWrap/>
            <w:hideMark/>
          </w:tcPr>
          <w:p w:rsidR="00F2512B" w:rsidP="00F2512B" w14:paraId="386C871F" w14:textId="77777777">
            <w:pPr>
              <w:spacing w:after="80"/>
              <w:jc w:val="center"/>
              <w:rPr>
                <w:color w:val="000000"/>
                <w:sz w:val="16"/>
                <w:szCs w:val="16"/>
              </w:rPr>
            </w:pPr>
            <w:r>
              <w:rPr>
                <w:color w:val="000000"/>
                <w:sz w:val="16"/>
                <w:szCs w:val="16"/>
              </w:rPr>
              <w:t>(.287)</w:t>
            </w:r>
          </w:p>
        </w:tc>
      </w:tr>
      <w:tr w14:paraId="57EF2528"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2E85E05C"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60FD0369"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6578B2C0"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626E6742"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407C4451"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7A559C22"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4153B3D8"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43274A19"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555278BF" w14:textId="77777777">
            <w:pPr>
              <w:jc w:val="center"/>
              <w:rPr>
                <w:color w:val="000000"/>
                <w:sz w:val="16"/>
                <w:szCs w:val="16"/>
              </w:rPr>
            </w:pPr>
            <w:r>
              <w:rPr>
                <w:color w:val="000000"/>
                <w:sz w:val="16"/>
                <w:szCs w:val="16"/>
              </w:rPr>
              <w:t> </w:t>
            </w:r>
          </w:p>
        </w:tc>
      </w:tr>
      <w:tr w14:paraId="7F9B8172" w14:textId="77777777" w:rsidTr="00F2512B">
        <w:tblPrEx>
          <w:tblW w:w="9360" w:type="dxa"/>
          <w:tblLook w:val="04A0"/>
        </w:tblPrEx>
        <w:trPr>
          <w:cantSplit/>
        </w:trPr>
        <w:tc>
          <w:tcPr>
            <w:tcW w:w="2580" w:type="dxa"/>
            <w:vMerge w:val="restart"/>
            <w:tcBorders>
              <w:top w:val="nil"/>
              <w:left w:val="nil"/>
              <w:bottom w:val="nil"/>
              <w:right w:val="nil"/>
            </w:tcBorders>
            <w:shd w:val="clear" w:color="000000" w:fill="FFFFFF"/>
            <w:hideMark/>
          </w:tcPr>
          <w:p w:rsidR="00F2512B" w:rsidP="00F2512B" w14:paraId="0C714D58" w14:textId="77777777">
            <w:pPr>
              <w:spacing w:after="80"/>
              <w:rPr>
                <w:color w:val="000000"/>
                <w:sz w:val="16"/>
                <w:szCs w:val="16"/>
              </w:rPr>
            </w:pPr>
            <w:r>
              <w:rPr>
                <w:color w:val="000000"/>
                <w:sz w:val="16"/>
                <w:szCs w:val="16"/>
              </w:rPr>
              <w:t>Low Band Spectrum Deployed Flag*Terrain</w:t>
            </w:r>
          </w:p>
        </w:tc>
        <w:tc>
          <w:tcPr>
            <w:tcW w:w="700" w:type="dxa"/>
            <w:tcBorders>
              <w:top w:val="nil"/>
              <w:left w:val="nil"/>
              <w:bottom w:val="nil"/>
              <w:right w:val="nil"/>
            </w:tcBorders>
            <w:shd w:val="clear" w:color="000000" w:fill="FFFFFF"/>
            <w:noWrap/>
            <w:hideMark/>
          </w:tcPr>
          <w:p w:rsidR="00F2512B" w:rsidP="00F2512B" w14:paraId="71B0EC54" w14:textId="77777777">
            <w:pPr>
              <w:spacing w:after="80"/>
              <w:jc w:val="center"/>
              <w:rPr>
                <w:color w:val="000000"/>
                <w:sz w:val="16"/>
                <w:szCs w:val="16"/>
              </w:rPr>
            </w:pPr>
            <w:r>
              <w:rPr>
                <w:color w:val="000000"/>
                <w:sz w:val="16"/>
                <w:szCs w:val="16"/>
              </w:rPr>
              <w:t>0.002</w:t>
            </w:r>
          </w:p>
        </w:tc>
        <w:tc>
          <w:tcPr>
            <w:tcW w:w="700" w:type="dxa"/>
            <w:tcBorders>
              <w:top w:val="nil"/>
              <w:left w:val="nil"/>
              <w:bottom w:val="nil"/>
              <w:right w:val="nil"/>
            </w:tcBorders>
            <w:shd w:val="clear" w:color="000000" w:fill="FFFFFF"/>
            <w:noWrap/>
            <w:hideMark/>
          </w:tcPr>
          <w:p w:rsidR="00F2512B" w:rsidP="00F2512B" w14:paraId="2B6737AC" w14:textId="77777777">
            <w:pPr>
              <w:spacing w:after="80"/>
              <w:jc w:val="center"/>
              <w:rPr>
                <w:color w:val="000000"/>
                <w:sz w:val="16"/>
                <w:szCs w:val="16"/>
              </w:rPr>
            </w:pPr>
            <w:r>
              <w:rPr>
                <w:color w:val="000000"/>
                <w:sz w:val="16"/>
                <w:szCs w:val="16"/>
              </w:rPr>
              <w:t>0.001</w:t>
            </w:r>
          </w:p>
        </w:tc>
        <w:tc>
          <w:tcPr>
            <w:tcW w:w="700" w:type="dxa"/>
            <w:tcBorders>
              <w:top w:val="nil"/>
              <w:left w:val="nil"/>
              <w:bottom w:val="nil"/>
              <w:right w:val="nil"/>
            </w:tcBorders>
            <w:shd w:val="clear" w:color="000000" w:fill="FFFFFF"/>
            <w:noWrap/>
            <w:hideMark/>
          </w:tcPr>
          <w:p w:rsidR="00F2512B" w:rsidP="00F2512B" w14:paraId="31CF7D5A" w14:textId="77777777">
            <w:pPr>
              <w:spacing w:after="80"/>
              <w:jc w:val="center"/>
              <w:rPr>
                <w:color w:val="000000"/>
                <w:sz w:val="16"/>
                <w:szCs w:val="16"/>
              </w:rPr>
            </w:pPr>
            <w:r>
              <w:rPr>
                <w:color w:val="000000"/>
                <w:sz w:val="16"/>
                <w:szCs w:val="16"/>
              </w:rPr>
              <w:t>0.001</w:t>
            </w:r>
          </w:p>
        </w:tc>
        <w:tc>
          <w:tcPr>
            <w:tcW w:w="700" w:type="dxa"/>
            <w:tcBorders>
              <w:top w:val="nil"/>
              <w:left w:val="nil"/>
              <w:bottom w:val="nil"/>
              <w:right w:val="nil"/>
            </w:tcBorders>
            <w:shd w:val="clear" w:color="000000" w:fill="FFFFFF"/>
            <w:noWrap/>
            <w:hideMark/>
          </w:tcPr>
          <w:p w:rsidR="00F2512B" w:rsidP="00F2512B" w14:paraId="0008C48F" w14:textId="77777777">
            <w:pPr>
              <w:spacing w:after="80"/>
              <w:jc w:val="center"/>
              <w:rPr>
                <w:color w:val="000000"/>
                <w:sz w:val="16"/>
                <w:szCs w:val="16"/>
              </w:rPr>
            </w:pPr>
            <w:r>
              <w:rPr>
                <w:color w:val="000000"/>
                <w:sz w:val="16"/>
                <w:szCs w:val="16"/>
              </w:rPr>
              <w:t>0.000</w:t>
            </w:r>
          </w:p>
        </w:tc>
        <w:tc>
          <w:tcPr>
            <w:tcW w:w="700" w:type="dxa"/>
            <w:tcBorders>
              <w:top w:val="nil"/>
              <w:left w:val="nil"/>
              <w:bottom w:val="nil"/>
              <w:right w:val="nil"/>
            </w:tcBorders>
            <w:shd w:val="clear" w:color="000000" w:fill="FFFFFF"/>
            <w:noWrap/>
            <w:hideMark/>
          </w:tcPr>
          <w:p w:rsidR="00F2512B" w:rsidP="00F2512B" w14:paraId="6B6953C6" w14:textId="77777777">
            <w:pPr>
              <w:spacing w:after="80"/>
              <w:jc w:val="center"/>
              <w:rPr>
                <w:color w:val="000000"/>
                <w:sz w:val="16"/>
                <w:szCs w:val="16"/>
              </w:rPr>
            </w:pPr>
            <w:r>
              <w:rPr>
                <w:color w:val="000000"/>
                <w:sz w:val="16"/>
                <w:szCs w:val="16"/>
              </w:rPr>
              <w:t>0.001</w:t>
            </w:r>
          </w:p>
        </w:tc>
        <w:tc>
          <w:tcPr>
            <w:tcW w:w="700" w:type="dxa"/>
            <w:tcBorders>
              <w:top w:val="nil"/>
              <w:left w:val="nil"/>
              <w:bottom w:val="nil"/>
              <w:right w:val="nil"/>
            </w:tcBorders>
            <w:shd w:val="clear" w:color="000000" w:fill="FFFFFF"/>
            <w:noWrap/>
            <w:hideMark/>
          </w:tcPr>
          <w:p w:rsidR="00F2512B" w:rsidP="00F2512B" w14:paraId="42BFCB1E" w14:textId="77777777">
            <w:pPr>
              <w:spacing w:after="80"/>
              <w:jc w:val="center"/>
              <w:rPr>
                <w:color w:val="000000"/>
                <w:sz w:val="16"/>
                <w:szCs w:val="16"/>
              </w:rPr>
            </w:pPr>
            <w:r>
              <w:rPr>
                <w:color w:val="000000"/>
                <w:sz w:val="16"/>
                <w:szCs w:val="16"/>
              </w:rPr>
              <w:t>0.001</w:t>
            </w:r>
          </w:p>
        </w:tc>
        <w:tc>
          <w:tcPr>
            <w:tcW w:w="700" w:type="dxa"/>
            <w:tcBorders>
              <w:top w:val="nil"/>
              <w:left w:val="nil"/>
              <w:bottom w:val="nil"/>
              <w:right w:val="nil"/>
            </w:tcBorders>
            <w:shd w:val="clear" w:color="000000" w:fill="FFFFFF"/>
            <w:noWrap/>
            <w:hideMark/>
          </w:tcPr>
          <w:p w:rsidR="00F2512B" w:rsidP="00F2512B" w14:paraId="52E00CA6" w14:textId="77777777">
            <w:pPr>
              <w:spacing w:after="80"/>
              <w:jc w:val="center"/>
              <w:rPr>
                <w:color w:val="000000"/>
                <w:sz w:val="16"/>
                <w:szCs w:val="16"/>
              </w:rPr>
            </w:pPr>
            <w:r>
              <w:rPr>
                <w:color w:val="000000"/>
                <w:sz w:val="16"/>
                <w:szCs w:val="16"/>
              </w:rPr>
              <w:t>0.001</w:t>
            </w:r>
          </w:p>
        </w:tc>
        <w:tc>
          <w:tcPr>
            <w:tcW w:w="700" w:type="dxa"/>
            <w:tcBorders>
              <w:top w:val="nil"/>
              <w:left w:val="nil"/>
              <w:bottom w:val="nil"/>
              <w:right w:val="nil"/>
            </w:tcBorders>
            <w:shd w:val="clear" w:color="000000" w:fill="FFFFFF"/>
            <w:noWrap/>
            <w:hideMark/>
          </w:tcPr>
          <w:p w:rsidR="00F2512B" w:rsidP="00F2512B" w14:paraId="78521278" w14:textId="77777777">
            <w:pPr>
              <w:spacing w:after="80"/>
              <w:jc w:val="center"/>
              <w:rPr>
                <w:color w:val="000000"/>
                <w:sz w:val="16"/>
                <w:szCs w:val="16"/>
              </w:rPr>
            </w:pPr>
            <w:r>
              <w:rPr>
                <w:color w:val="000000"/>
                <w:sz w:val="16"/>
                <w:szCs w:val="16"/>
              </w:rPr>
              <w:t>0.000</w:t>
            </w:r>
          </w:p>
        </w:tc>
      </w:tr>
      <w:tr w14:paraId="7324576C"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0BC1FC5C"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2BFB1856" w14:textId="77777777">
            <w:pPr>
              <w:spacing w:after="80"/>
              <w:jc w:val="center"/>
              <w:rPr>
                <w:color w:val="000000"/>
                <w:sz w:val="16"/>
                <w:szCs w:val="16"/>
              </w:rPr>
            </w:pPr>
            <w:r>
              <w:rPr>
                <w:color w:val="000000"/>
                <w:sz w:val="16"/>
                <w:szCs w:val="16"/>
              </w:rPr>
              <w:t>(.002)</w:t>
            </w:r>
          </w:p>
        </w:tc>
        <w:tc>
          <w:tcPr>
            <w:tcW w:w="700" w:type="dxa"/>
            <w:tcBorders>
              <w:top w:val="nil"/>
              <w:left w:val="nil"/>
              <w:bottom w:val="nil"/>
              <w:right w:val="nil"/>
            </w:tcBorders>
            <w:shd w:val="clear" w:color="000000" w:fill="FFFFFF"/>
            <w:noWrap/>
            <w:hideMark/>
          </w:tcPr>
          <w:p w:rsidR="00F2512B" w:rsidP="00F2512B" w14:paraId="5AE15696" w14:textId="77777777">
            <w:pPr>
              <w:spacing w:after="80"/>
              <w:jc w:val="center"/>
              <w:rPr>
                <w:color w:val="000000"/>
                <w:sz w:val="16"/>
                <w:szCs w:val="16"/>
              </w:rPr>
            </w:pPr>
            <w:r>
              <w:rPr>
                <w:color w:val="000000"/>
                <w:sz w:val="16"/>
                <w:szCs w:val="16"/>
              </w:rPr>
              <w:t>(.001)</w:t>
            </w:r>
          </w:p>
        </w:tc>
        <w:tc>
          <w:tcPr>
            <w:tcW w:w="700" w:type="dxa"/>
            <w:tcBorders>
              <w:top w:val="nil"/>
              <w:left w:val="nil"/>
              <w:bottom w:val="nil"/>
              <w:right w:val="nil"/>
            </w:tcBorders>
            <w:shd w:val="clear" w:color="000000" w:fill="FFFFFF"/>
            <w:noWrap/>
            <w:hideMark/>
          </w:tcPr>
          <w:p w:rsidR="00F2512B" w:rsidP="00F2512B" w14:paraId="11C38CF1" w14:textId="77777777">
            <w:pPr>
              <w:spacing w:after="80"/>
              <w:jc w:val="center"/>
              <w:rPr>
                <w:color w:val="000000"/>
                <w:sz w:val="16"/>
                <w:szCs w:val="16"/>
              </w:rPr>
            </w:pPr>
            <w:r>
              <w:rPr>
                <w:color w:val="000000"/>
                <w:sz w:val="16"/>
                <w:szCs w:val="16"/>
              </w:rPr>
              <w:t>(.001)</w:t>
            </w:r>
          </w:p>
        </w:tc>
        <w:tc>
          <w:tcPr>
            <w:tcW w:w="700" w:type="dxa"/>
            <w:tcBorders>
              <w:top w:val="nil"/>
              <w:left w:val="nil"/>
              <w:bottom w:val="nil"/>
              <w:right w:val="nil"/>
            </w:tcBorders>
            <w:shd w:val="clear" w:color="000000" w:fill="FFFFFF"/>
            <w:noWrap/>
            <w:hideMark/>
          </w:tcPr>
          <w:p w:rsidR="00F2512B" w:rsidP="00F2512B" w14:paraId="1602A1DD" w14:textId="77777777">
            <w:pPr>
              <w:spacing w:after="80"/>
              <w:jc w:val="center"/>
              <w:rPr>
                <w:color w:val="000000"/>
                <w:sz w:val="16"/>
                <w:szCs w:val="16"/>
              </w:rPr>
            </w:pPr>
            <w:r>
              <w:rPr>
                <w:color w:val="000000"/>
                <w:sz w:val="16"/>
                <w:szCs w:val="16"/>
              </w:rPr>
              <w:t>(.002)</w:t>
            </w:r>
          </w:p>
        </w:tc>
        <w:tc>
          <w:tcPr>
            <w:tcW w:w="700" w:type="dxa"/>
            <w:tcBorders>
              <w:top w:val="nil"/>
              <w:left w:val="nil"/>
              <w:bottom w:val="nil"/>
              <w:right w:val="nil"/>
            </w:tcBorders>
            <w:shd w:val="clear" w:color="000000" w:fill="FFFFFF"/>
            <w:noWrap/>
            <w:hideMark/>
          </w:tcPr>
          <w:p w:rsidR="00F2512B" w:rsidP="00F2512B" w14:paraId="7E086A7B" w14:textId="77777777">
            <w:pPr>
              <w:spacing w:after="80"/>
              <w:jc w:val="center"/>
              <w:rPr>
                <w:color w:val="000000"/>
                <w:sz w:val="16"/>
                <w:szCs w:val="16"/>
              </w:rPr>
            </w:pPr>
            <w:r>
              <w:rPr>
                <w:color w:val="000000"/>
                <w:sz w:val="16"/>
                <w:szCs w:val="16"/>
              </w:rPr>
              <w:t>(.001)</w:t>
            </w:r>
          </w:p>
        </w:tc>
        <w:tc>
          <w:tcPr>
            <w:tcW w:w="700" w:type="dxa"/>
            <w:tcBorders>
              <w:top w:val="nil"/>
              <w:left w:val="nil"/>
              <w:bottom w:val="nil"/>
              <w:right w:val="nil"/>
            </w:tcBorders>
            <w:shd w:val="clear" w:color="000000" w:fill="FFFFFF"/>
            <w:noWrap/>
            <w:hideMark/>
          </w:tcPr>
          <w:p w:rsidR="00F2512B" w:rsidP="00F2512B" w14:paraId="23E9F0AA" w14:textId="77777777">
            <w:pPr>
              <w:spacing w:after="80"/>
              <w:jc w:val="center"/>
              <w:rPr>
                <w:color w:val="000000"/>
                <w:sz w:val="16"/>
                <w:szCs w:val="16"/>
              </w:rPr>
            </w:pPr>
            <w:r>
              <w:rPr>
                <w:color w:val="000000"/>
                <w:sz w:val="16"/>
                <w:szCs w:val="16"/>
              </w:rPr>
              <w:t>(.001)</w:t>
            </w:r>
          </w:p>
        </w:tc>
        <w:tc>
          <w:tcPr>
            <w:tcW w:w="700" w:type="dxa"/>
            <w:tcBorders>
              <w:top w:val="nil"/>
              <w:left w:val="nil"/>
              <w:bottom w:val="nil"/>
              <w:right w:val="nil"/>
            </w:tcBorders>
            <w:shd w:val="clear" w:color="000000" w:fill="FFFFFF"/>
            <w:noWrap/>
            <w:hideMark/>
          </w:tcPr>
          <w:p w:rsidR="00F2512B" w:rsidP="00F2512B" w14:paraId="60C26686" w14:textId="77777777">
            <w:pPr>
              <w:spacing w:after="80"/>
              <w:jc w:val="center"/>
              <w:rPr>
                <w:color w:val="000000"/>
                <w:sz w:val="16"/>
                <w:szCs w:val="16"/>
              </w:rPr>
            </w:pPr>
            <w:r>
              <w:rPr>
                <w:color w:val="000000"/>
                <w:sz w:val="16"/>
                <w:szCs w:val="16"/>
              </w:rPr>
              <w:t>(.001)</w:t>
            </w:r>
          </w:p>
        </w:tc>
        <w:tc>
          <w:tcPr>
            <w:tcW w:w="700" w:type="dxa"/>
            <w:tcBorders>
              <w:top w:val="nil"/>
              <w:left w:val="nil"/>
              <w:bottom w:val="nil"/>
              <w:right w:val="nil"/>
            </w:tcBorders>
            <w:shd w:val="clear" w:color="000000" w:fill="FFFFFF"/>
            <w:noWrap/>
            <w:hideMark/>
          </w:tcPr>
          <w:p w:rsidR="00F2512B" w:rsidP="00F2512B" w14:paraId="1CE4086F" w14:textId="77777777">
            <w:pPr>
              <w:spacing w:after="80"/>
              <w:jc w:val="center"/>
              <w:rPr>
                <w:color w:val="000000"/>
                <w:sz w:val="16"/>
                <w:szCs w:val="16"/>
              </w:rPr>
            </w:pPr>
            <w:r>
              <w:rPr>
                <w:color w:val="000000"/>
                <w:sz w:val="16"/>
                <w:szCs w:val="16"/>
              </w:rPr>
              <w:t>(.002)</w:t>
            </w:r>
          </w:p>
        </w:tc>
      </w:tr>
      <w:tr w14:paraId="0EA4A355"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543AC6EA"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6DEDE26F"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5A14BDF3"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68C7F668"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5A44D988"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1E5A29E0"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04052655"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549C47F2"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0A80EA2E" w14:textId="77777777">
            <w:pPr>
              <w:jc w:val="center"/>
              <w:rPr>
                <w:color w:val="000000"/>
                <w:sz w:val="16"/>
                <w:szCs w:val="16"/>
              </w:rPr>
            </w:pPr>
            <w:r>
              <w:rPr>
                <w:color w:val="000000"/>
                <w:sz w:val="16"/>
                <w:szCs w:val="16"/>
              </w:rPr>
              <w:t> </w:t>
            </w:r>
          </w:p>
        </w:tc>
      </w:tr>
      <w:tr w14:paraId="277A8346" w14:textId="77777777" w:rsidTr="00F2512B">
        <w:tblPrEx>
          <w:tblW w:w="9360" w:type="dxa"/>
          <w:tblLook w:val="04A0"/>
        </w:tblPrEx>
        <w:trPr>
          <w:cantSplit/>
        </w:trPr>
        <w:tc>
          <w:tcPr>
            <w:tcW w:w="2580" w:type="dxa"/>
            <w:vMerge w:val="restart"/>
            <w:tcBorders>
              <w:top w:val="nil"/>
              <w:left w:val="nil"/>
              <w:bottom w:val="nil"/>
              <w:right w:val="nil"/>
            </w:tcBorders>
            <w:shd w:val="clear" w:color="000000" w:fill="FFFFFF"/>
            <w:hideMark/>
          </w:tcPr>
          <w:p w:rsidR="00F2512B" w:rsidP="00F2512B" w14:paraId="5D1AA555" w14:textId="77777777">
            <w:pPr>
              <w:spacing w:after="80"/>
              <w:rPr>
                <w:color w:val="000000"/>
                <w:sz w:val="16"/>
                <w:szCs w:val="16"/>
              </w:rPr>
            </w:pPr>
            <w:r>
              <w:rPr>
                <w:color w:val="000000"/>
                <w:sz w:val="16"/>
                <w:szCs w:val="16"/>
              </w:rPr>
              <w:t>Log(Download Speed)</w:t>
            </w:r>
          </w:p>
        </w:tc>
        <w:tc>
          <w:tcPr>
            <w:tcW w:w="700" w:type="dxa"/>
            <w:tcBorders>
              <w:top w:val="nil"/>
              <w:left w:val="nil"/>
              <w:bottom w:val="nil"/>
              <w:right w:val="nil"/>
            </w:tcBorders>
            <w:shd w:val="clear" w:color="000000" w:fill="FFFFFF"/>
            <w:noWrap/>
            <w:hideMark/>
          </w:tcPr>
          <w:p w:rsidR="00F2512B" w:rsidP="00F2512B" w14:paraId="62458338" w14:textId="77777777">
            <w:pPr>
              <w:spacing w:after="80"/>
              <w:jc w:val="center"/>
              <w:rPr>
                <w:color w:val="000000"/>
                <w:sz w:val="16"/>
                <w:szCs w:val="16"/>
              </w:rPr>
            </w:pPr>
            <w:r>
              <w:rPr>
                <w:color w:val="000000"/>
                <w:sz w:val="16"/>
                <w:szCs w:val="16"/>
              </w:rPr>
              <w:t>-0.061</w:t>
            </w:r>
          </w:p>
        </w:tc>
        <w:tc>
          <w:tcPr>
            <w:tcW w:w="700" w:type="dxa"/>
            <w:tcBorders>
              <w:top w:val="nil"/>
              <w:left w:val="nil"/>
              <w:bottom w:val="nil"/>
              <w:right w:val="nil"/>
            </w:tcBorders>
            <w:shd w:val="clear" w:color="000000" w:fill="FFFFFF"/>
            <w:noWrap/>
            <w:hideMark/>
          </w:tcPr>
          <w:p w:rsidR="00F2512B" w:rsidP="00F2512B" w14:paraId="1FC7F747" w14:textId="77777777">
            <w:pPr>
              <w:spacing w:after="80"/>
              <w:jc w:val="center"/>
              <w:rPr>
                <w:color w:val="000000"/>
                <w:sz w:val="16"/>
                <w:szCs w:val="16"/>
              </w:rPr>
            </w:pPr>
            <w:r>
              <w:rPr>
                <w:color w:val="000000"/>
                <w:sz w:val="16"/>
                <w:szCs w:val="16"/>
              </w:rPr>
              <w:t>-0.048</w:t>
            </w:r>
          </w:p>
        </w:tc>
        <w:tc>
          <w:tcPr>
            <w:tcW w:w="700" w:type="dxa"/>
            <w:tcBorders>
              <w:top w:val="nil"/>
              <w:left w:val="nil"/>
              <w:bottom w:val="nil"/>
              <w:right w:val="nil"/>
            </w:tcBorders>
            <w:shd w:val="clear" w:color="000000" w:fill="FFFFFF"/>
            <w:noWrap/>
            <w:hideMark/>
          </w:tcPr>
          <w:p w:rsidR="00F2512B" w:rsidP="00F2512B" w14:paraId="556622E7" w14:textId="77777777">
            <w:pPr>
              <w:spacing w:after="80"/>
              <w:jc w:val="center"/>
              <w:rPr>
                <w:color w:val="000000"/>
                <w:sz w:val="16"/>
                <w:szCs w:val="16"/>
              </w:rPr>
            </w:pPr>
            <w:r>
              <w:rPr>
                <w:color w:val="000000"/>
                <w:sz w:val="16"/>
                <w:szCs w:val="16"/>
              </w:rPr>
              <w:t>-0.060</w:t>
            </w:r>
          </w:p>
        </w:tc>
        <w:tc>
          <w:tcPr>
            <w:tcW w:w="700" w:type="dxa"/>
            <w:tcBorders>
              <w:top w:val="nil"/>
              <w:left w:val="nil"/>
              <w:bottom w:val="nil"/>
              <w:right w:val="nil"/>
            </w:tcBorders>
            <w:shd w:val="clear" w:color="000000" w:fill="FFFFFF"/>
            <w:noWrap/>
            <w:hideMark/>
          </w:tcPr>
          <w:p w:rsidR="00F2512B" w:rsidP="00F2512B" w14:paraId="4A55D607" w14:textId="77777777">
            <w:pPr>
              <w:spacing w:after="80"/>
              <w:jc w:val="center"/>
              <w:rPr>
                <w:color w:val="000000"/>
                <w:sz w:val="16"/>
                <w:szCs w:val="16"/>
              </w:rPr>
            </w:pPr>
            <w:r>
              <w:rPr>
                <w:color w:val="000000"/>
                <w:sz w:val="16"/>
                <w:szCs w:val="16"/>
              </w:rPr>
              <w:t>-0.093</w:t>
            </w:r>
          </w:p>
        </w:tc>
        <w:tc>
          <w:tcPr>
            <w:tcW w:w="700" w:type="dxa"/>
            <w:tcBorders>
              <w:top w:val="nil"/>
              <w:left w:val="nil"/>
              <w:bottom w:val="nil"/>
              <w:right w:val="nil"/>
            </w:tcBorders>
            <w:shd w:val="clear" w:color="000000" w:fill="FFFFFF"/>
            <w:noWrap/>
            <w:hideMark/>
          </w:tcPr>
          <w:p w:rsidR="00F2512B" w:rsidP="00F2512B" w14:paraId="5A00A9C7" w14:textId="77777777">
            <w:pPr>
              <w:spacing w:after="80"/>
              <w:jc w:val="center"/>
              <w:rPr>
                <w:color w:val="000000"/>
                <w:sz w:val="16"/>
                <w:szCs w:val="16"/>
              </w:rPr>
            </w:pPr>
            <w:r>
              <w:rPr>
                <w:color w:val="000000"/>
                <w:sz w:val="16"/>
                <w:szCs w:val="16"/>
              </w:rPr>
              <w:t>-0.055</w:t>
            </w:r>
          </w:p>
        </w:tc>
        <w:tc>
          <w:tcPr>
            <w:tcW w:w="700" w:type="dxa"/>
            <w:tcBorders>
              <w:top w:val="nil"/>
              <w:left w:val="nil"/>
              <w:bottom w:val="nil"/>
              <w:right w:val="nil"/>
            </w:tcBorders>
            <w:shd w:val="clear" w:color="000000" w:fill="FFFFFF"/>
            <w:noWrap/>
            <w:hideMark/>
          </w:tcPr>
          <w:p w:rsidR="00F2512B" w:rsidP="00F2512B" w14:paraId="667E0BF6" w14:textId="77777777">
            <w:pPr>
              <w:spacing w:after="80"/>
              <w:jc w:val="center"/>
              <w:rPr>
                <w:color w:val="000000"/>
                <w:sz w:val="16"/>
                <w:szCs w:val="16"/>
              </w:rPr>
            </w:pPr>
            <w:r>
              <w:rPr>
                <w:color w:val="000000"/>
                <w:sz w:val="16"/>
                <w:szCs w:val="16"/>
              </w:rPr>
              <w:t>-0.038</w:t>
            </w:r>
          </w:p>
        </w:tc>
        <w:tc>
          <w:tcPr>
            <w:tcW w:w="700" w:type="dxa"/>
            <w:tcBorders>
              <w:top w:val="nil"/>
              <w:left w:val="nil"/>
              <w:bottom w:val="nil"/>
              <w:right w:val="nil"/>
            </w:tcBorders>
            <w:shd w:val="clear" w:color="000000" w:fill="FFFFFF"/>
            <w:noWrap/>
            <w:hideMark/>
          </w:tcPr>
          <w:p w:rsidR="00F2512B" w:rsidP="00F2512B" w14:paraId="0C9DBFF3" w14:textId="77777777">
            <w:pPr>
              <w:spacing w:after="80"/>
              <w:jc w:val="center"/>
              <w:rPr>
                <w:color w:val="000000"/>
                <w:sz w:val="16"/>
                <w:szCs w:val="16"/>
              </w:rPr>
            </w:pPr>
            <w:r>
              <w:rPr>
                <w:color w:val="000000"/>
                <w:sz w:val="16"/>
                <w:szCs w:val="16"/>
              </w:rPr>
              <w:t>-0.045</w:t>
            </w:r>
          </w:p>
        </w:tc>
        <w:tc>
          <w:tcPr>
            <w:tcW w:w="700" w:type="dxa"/>
            <w:tcBorders>
              <w:top w:val="nil"/>
              <w:left w:val="nil"/>
              <w:bottom w:val="nil"/>
              <w:right w:val="nil"/>
            </w:tcBorders>
            <w:shd w:val="clear" w:color="000000" w:fill="FFFFFF"/>
            <w:noWrap/>
            <w:hideMark/>
          </w:tcPr>
          <w:p w:rsidR="00F2512B" w:rsidP="00F2512B" w14:paraId="1AD9901E" w14:textId="77777777">
            <w:pPr>
              <w:spacing w:after="80"/>
              <w:jc w:val="center"/>
              <w:rPr>
                <w:color w:val="000000"/>
                <w:sz w:val="16"/>
                <w:szCs w:val="16"/>
              </w:rPr>
            </w:pPr>
            <w:r>
              <w:rPr>
                <w:color w:val="000000"/>
                <w:sz w:val="16"/>
                <w:szCs w:val="16"/>
              </w:rPr>
              <w:t>-0.061</w:t>
            </w:r>
          </w:p>
        </w:tc>
      </w:tr>
      <w:tr w14:paraId="06132A91"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220AECFF"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1832C0F1" w14:textId="77777777">
            <w:pPr>
              <w:spacing w:after="80"/>
              <w:jc w:val="center"/>
              <w:rPr>
                <w:color w:val="000000"/>
                <w:sz w:val="16"/>
                <w:szCs w:val="16"/>
              </w:rPr>
            </w:pPr>
            <w:r>
              <w:rPr>
                <w:color w:val="000000"/>
                <w:sz w:val="16"/>
                <w:szCs w:val="16"/>
              </w:rPr>
              <w:t>(.014)</w:t>
            </w:r>
          </w:p>
        </w:tc>
        <w:tc>
          <w:tcPr>
            <w:tcW w:w="700" w:type="dxa"/>
            <w:tcBorders>
              <w:top w:val="nil"/>
              <w:left w:val="nil"/>
              <w:bottom w:val="nil"/>
              <w:right w:val="nil"/>
            </w:tcBorders>
            <w:shd w:val="clear" w:color="000000" w:fill="FFFFFF"/>
            <w:noWrap/>
            <w:hideMark/>
          </w:tcPr>
          <w:p w:rsidR="00F2512B" w:rsidP="00F2512B" w14:paraId="6E2089E8" w14:textId="77777777">
            <w:pPr>
              <w:spacing w:after="80"/>
              <w:jc w:val="center"/>
              <w:rPr>
                <w:color w:val="000000"/>
                <w:sz w:val="16"/>
                <w:szCs w:val="16"/>
              </w:rPr>
            </w:pPr>
            <w:r>
              <w:rPr>
                <w:color w:val="000000"/>
                <w:sz w:val="16"/>
                <w:szCs w:val="16"/>
              </w:rPr>
              <w:t>(.013)</w:t>
            </w:r>
          </w:p>
        </w:tc>
        <w:tc>
          <w:tcPr>
            <w:tcW w:w="700" w:type="dxa"/>
            <w:tcBorders>
              <w:top w:val="nil"/>
              <w:left w:val="nil"/>
              <w:bottom w:val="nil"/>
              <w:right w:val="nil"/>
            </w:tcBorders>
            <w:shd w:val="clear" w:color="000000" w:fill="FFFFFF"/>
            <w:noWrap/>
            <w:hideMark/>
          </w:tcPr>
          <w:p w:rsidR="00F2512B" w:rsidP="00F2512B" w14:paraId="71577780" w14:textId="77777777">
            <w:pPr>
              <w:spacing w:after="80"/>
              <w:jc w:val="center"/>
              <w:rPr>
                <w:color w:val="000000"/>
                <w:sz w:val="16"/>
                <w:szCs w:val="16"/>
              </w:rPr>
            </w:pPr>
            <w:r>
              <w:rPr>
                <w:color w:val="000000"/>
                <w:sz w:val="16"/>
                <w:szCs w:val="16"/>
              </w:rPr>
              <w:t>(.015)</w:t>
            </w:r>
          </w:p>
        </w:tc>
        <w:tc>
          <w:tcPr>
            <w:tcW w:w="700" w:type="dxa"/>
            <w:tcBorders>
              <w:top w:val="nil"/>
              <w:left w:val="nil"/>
              <w:bottom w:val="nil"/>
              <w:right w:val="nil"/>
            </w:tcBorders>
            <w:shd w:val="clear" w:color="000000" w:fill="FFFFFF"/>
            <w:noWrap/>
            <w:hideMark/>
          </w:tcPr>
          <w:p w:rsidR="00F2512B" w:rsidP="00F2512B" w14:paraId="43904AD5" w14:textId="77777777">
            <w:pPr>
              <w:spacing w:after="80"/>
              <w:jc w:val="center"/>
              <w:rPr>
                <w:color w:val="000000"/>
                <w:sz w:val="16"/>
                <w:szCs w:val="16"/>
              </w:rPr>
            </w:pPr>
            <w:r>
              <w:rPr>
                <w:color w:val="000000"/>
                <w:sz w:val="16"/>
                <w:szCs w:val="16"/>
              </w:rPr>
              <w:t>(.023)</w:t>
            </w:r>
          </w:p>
        </w:tc>
        <w:tc>
          <w:tcPr>
            <w:tcW w:w="700" w:type="dxa"/>
            <w:tcBorders>
              <w:top w:val="nil"/>
              <w:left w:val="nil"/>
              <w:bottom w:val="nil"/>
              <w:right w:val="nil"/>
            </w:tcBorders>
            <w:shd w:val="clear" w:color="000000" w:fill="FFFFFF"/>
            <w:noWrap/>
            <w:hideMark/>
          </w:tcPr>
          <w:p w:rsidR="00F2512B" w:rsidP="00F2512B" w14:paraId="1193A56C" w14:textId="77777777">
            <w:pPr>
              <w:spacing w:after="80"/>
              <w:jc w:val="center"/>
              <w:rPr>
                <w:color w:val="000000"/>
                <w:sz w:val="16"/>
                <w:szCs w:val="16"/>
              </w:rPr>
            </w:pPr>
            <w:r>
              <w:rPr>
                <w:color w:val="000000"/>
                <w:sz w:val="16"/>
                <w:szCs w:val="16"/>
              </w:rPr>
              <w:t>(.012)</w:t>
            </w:r>
          </w:p>
        </w:tc>
        <w:tc>
          <w:tcPr>
            <w:tcW w:w="700" w:type="dxa"/>
            <w:tcBorders>
              <w:top w:val="nil"/>
              <w:left w:val="nil"/>
              <w:bottom w:val="nil"/>
              <w:right w:val="nil"/>
            </w:tcBorders>
            <w:shd w:val="clear" w:color="000000" w:fill="FFFFFF"/>
            <w:noWrap/>
            <w:hideMark/>
          </w:tcPr>
          <w:p w:rsidR="00F2512B" w:rsidP="00F2512B" w14:paraId="683DE41E" w14:textId="77777777">
            <w:pPr>
              <w:spacing w:after="80"/>
              <w:jc w:val="center"/>
              <w:rPr>
                <w:color w:val="000000"/>
                <w:sz w:val="16"/>
                <w:szCs w:val="16"/>
              </w:rPr>
            </w:pPr>
            <w:r>
              <w:rPr>
                <w:color w:val="000000"/>
                <w:sz w:val="16"/>
                <w:szCs w:val="16"/>
              </w:rPr>
              <w:t>(.012)</w:t>
            </w:r>
          </w:p>
        </w:tc>
        <w:tc>
          <w:tcPr>
            <w:tcW w:w="700" w:type="dxa"/>
            <w:tcBorders>
              <w:top w:val="nil"/>
              <w:left w:val="nil"/>
              <w:bottom w:val="nil"/>
              <w:right w:val="nil"/>
            </w:tcBorders>
            <w:shd w:val="clear" w:color="000000" w:fill="FFFFFF"/>
            <w:noWrap/>
            <w:hideMark/>
          </w:tcPr>
          <w:p w:rsidR="00F2512B" w:rsidP="00F2512B" w14:paraId="29654278" w14:textId="77777777">
            <w:pPr>
              <w:spacing w:after="80"/>
              <w:jc w:val="center"/>
              <w:rPr>
                <w:color w:val="000000"/>
                <w:sz w:val="16"/>
                <w:szCs w:val="16"/>
              </w:rPr>
            </w:pPr>
            <w:r>
              <w:rPr>
                <w:color w:val="000000"/>
                <w:sz w:val="16"/>
                <w:szCs w:val="16"/>
              </w:rPr>
              <w:t>(.014)</w:t>
            </w:r>
          </w:p>
        </w:tc>
        <w:tc>
          <w:tcPr>
            <w:tcW w:w="700" w:type="dxa"/>
            <w:tcBorders>
              <w:top w:val="nil"/>
              <w:left w:val="nil"/>
              <w:bottom w:val="nil"/>
              <w:right w:val="nil"/>
            </w:tcBorders>
            <w:shd w:val="clear" w:color="000000" w:fill="FFFFFF"/>
            <w:noWrap/>
            <w:hideMark/>
          </w:tcPr>
          <w:p w:rsidR="00F2512B" w:rsidP="00F2512B" w14:paraId="2CB3BAD4" w14:textId="77777777">
            <w:pPr>
              <w:spacing w:after="80"/>
              <w:jc w:val="center"/>
              <w:rPr>
                <w:color w:val="000000"/>
                <w:sz w:val="16"/>
                <w:szCs w:val="16"/>
              </w:rPr>
            </w:pPr>
            <w:r>
              <w:rPr>
                <w:color w:val="000000"/>
                <w:sz w:val="16"/>
                <w:szCs w:val="16"/>
              </w:rPr>
              <w:t>(.023)</w:t>
            </w:r>
          </w:p>
        </w:tc>
      </w:tr>
      <w:tr w14:paraId="4411014B"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28549E18"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5141D902"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662EF6D8"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32C0A37F"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234D0F9D"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5E5CB0A8"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24F206D5"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73FCDF22"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47091FAD" w14:textId="77777777">
            <w:pPr>
              <w:jc w:val="center"/>
              <w:rPr>
                <w:color w:val="000000"/>
                <w:sz w:val="16"/>
                <w:szCs w:val="16"/>
              </w:rPr>
            </w:pPr>
            <w:r>
              <w:rPr>
                <w:color w:val="000000"/>
                <w:sz w:val="16"/>
                <w:szCs w:val="16"/>
              </w:rPr>
              <w:t>***</w:t>
            </w:r>
          </w:p>
        </w:tc>
      </w:tr>
      <w:tr w14:paraId="6127B38A" w14:textId="77777777" w:rsidTr="00F2512B">
        <w:tblPrEx>
          <w:tblW w:w="9360" w:type="dxa"/>
          <w:tblLook w:val="04A0"/>
        </w:tblPrEx>
        <w:trPr>
          <w:cantSplit/>
        </w:trPr>
        <w:tc>
          <w:tcPr>
            <w:tcW w:w="2580" w:type="dxa"/>
            <w:vMerge w:val="restart"/>
            <w:tcBorders>
              <w:top w:val="nil"/>
              <w:left w:val="nil"/>
              <w:bottom w:val="nil"/>
              <w:right w:val="nil"/>
            </w:tcBorders>
            <w:shd w:val="clear" w:color="000000" w:fill="FFFFFF"/>
            <w:hideMark/>
          </w:tcPr>
          <w:p w:rsidR="00F2512B" w:rsidP="00F2512B" w14:paraId="5B6B8518" w14:textId="77777777">
            <w:pPr>
              <w:spacing w:after="80"/>
              <w:rPr>
                <w:color w:val="000000"/>
                <w:sz w:val="16"/>
                <w:szCs w:val="16"/>
              </w:rPr>
            </w:pPr>
            <w:r>
              <w:rPr>
                <w:color w:val="000000"/>
                <w:sz w:val="16"/>
                <w:szCs w:val="16"/>
              </w:rPr>
              <w:t>Average Tower Height</w:t>
            </w:r>
          </w:p>
        </w:tc>
        <w:tc>
          <w:tcPr>
            <w:tcW w:w="700" w:type="dxa"/>
            <w:tcBorders>
              <w:top w:val="nil"/>
              <w:left w:val="nil"/>
              <w:bottom w:val="nil"/>
              <w:right w:val="nil"/>
            </w:tcBorders>
            <w:shd w:val="clear" w:color="000000" w:fill="FFFFFF"/>
            <w:noWrap/>
            <w:hideMark/>
          </w:tcPr>
          <w:p w:rsidR="00F2512B" w:rsidP="00F2512B" w14:paraId="46DDC44F" w14:textId="77777777">
            <w:pPr>
              <w:spacing w:after="80"/>
              <w:jc w:val="center"/>
              <w:rPr>
                <w:color w:val="000000"/>
                <w:sz w:val="16"/>
                <w:szCs w:val="16"/>
              </w:rPr>
            </w:pPr>
            <w:r>
              <w:rPr>
                <w:color w:val="000000"/>
                <w:sz w:val="16"/>
                <w:szCs w:val="16"/>
              </w:rPr>
              <w:t>0.004</w:t>
            </w:r>
          </w:p>
        </w:tc>
        <w:tc>
          <w:tcPr>
            <w:tcW w:w="700" w:type="dxa"/>
            <w:tcBorders>
              <w:top w:val="nil"/>
              <w:left w:val="nil"/>
              <w:bottom w:val="nil"/>
              <w:right w:val="nil"/>
            </w:tcBorders>
            <w:shd w:val="clear" w:color="000000" w:fill="FFFFFF"/>
            <w:noWrap/>
            <w:hideMark/>
          </w:tcPr>
          <w:p w:rsidR="00F2512B" w:rsidP="00F2512B" w14:paraId="44C0D554" w14:textId="77777777">
            <w:pPr>
              <w:spacing w:after="80"/>
              <w:jc w:val="center"/>
              <w:rPr>
                <w:color w:val="000000"/>
                <w:sz w:val="16"/>
                <w:szCs w:val="16"/>
              </w:rPr>
            </w:pPr>
            <w:r>
              <w:rPr>
                <w:color w:val="000000"/>
                <w:sz w:val="16"/>
                <w:szCs w:val="16"/>
              </w:rPr>
              <w:t>0.002</w:t>
            </w:r>
          </w:p>
        </w:tc>
        <w:tc>
          <w:tcPr>
            <w:tcW w:w="700" w:type="dxa"/>
            <w:tcBorders>
              <w:top w:val="nil"/>
              <w:left w:val="nil"/>
              <w:bottom w:val="nil"/>
              <w:right w:val="nil"/>
            </w:tcBorders>
            <w:shd w:val="clear" w:color="000000" w:fill="FFFFFF"/>
            <w:noWrap/>
            <w:hideMark/>
          </w:tcPr>
          <w:p w:rsidR="00F2512B" w:rsidP="00F2512B" w14:paraId="34C4CE0F" w14:textId="77777777">
            <w:pPr>
              <w:spacing w:after="80"/>
              <w:jc w:val="center"/>
              <w:rPr>
                <w:color w:val="000000"/>
                <w:sz w:val="16"/>
                <w:szCs w:val="16"/>
              </w:rPr>
            </w:pPr>
            <w:r>
              <w:rPr>
                <w:color w:val="000000"/>
                <w:sz w:val="16"/>
                <w:szCs w:val="16"/>
              </w:rPr>
              <w:t>0.002</w:t>
            </w:r>
          </w:p>
        </w:tc>
        <w:tc>
          <w:tcPr>
            <w:tcW w:w="700" w:type="dxa"/>
            <w:tcBorders>
              <w:top w:val="nil"/>
              <w:left w:val="nil"/>
              <w:bottom w:val="nil"/>
              <w:right w:val="nil"/>
            </w:tcBorders>
            <w:shd w:val="clear" w:color="000000" w:fill="FFFFFF"/>
            <w:noWrap/>
            <w:hideMark/>
          </w:tcPr>
          <w:p w:rsidR="00F2512B" w:rsidP="00F2512B" w14:paraId="7D21E76B" w14:textId="77777777">
            <w:pPr>
              <w:spacing w:after="80"/>
              <w:jc w:val="center"/>
              <w:rPr>
                <w:color w:val="000000"/>
                <w:sz w:val="16"/>
                <w:szCs w:val="16"/>
              </w:rPr>
            </w:pPr>
            <w:r>
              <w:rPr>
                <w:color w:val="000000"/>
                <w:sz w:val="16"/>
                <w:szCs w:val="16"/>
              </w:rPr>
              <w:t>0.000</w:t>
            </w:r>
          </w:p>
        </w:tc>
        <w:tc>
          <w:tcPr>
            <w:tcW w:w="700" w:type="dxa"/>
            <w:tcBorders>
              <w:top w:val="nil"/>
              <w:left w:val="nil"/>
              <w:bottom w:val="nil"/>
              <w:right w:val="nil"/>
            </w:tcBorders>
            <w:shd w:val="clear" w:color="000000" w:fill="FFFFFF"/>
            <w:noWrap/>
            <w:hideMark/>
          </w:tcPr>
          <w:p w:rsidR="00F2512B" w:rsidP="00F2512B" w14:paraId="18B7E923" w14:textId="77777777">
            <w:pPr>
              <w:spacing w:after="80"/>
              <w:jc w:val="center"/>
              <w:rPr>
                <w:color w:val="000000"/>
                <w:sz w:val="16"/>
                <w:szCs w:val="16"/>
              </w:rPr>
            </w:pPr>
            <w:r>
              <w:rPr>
                <w:color w:val="000000"/>
                <w:sz w:val="16"/>
                <w:szCs w:val="16"/>
              </w:rPr>
              <w:t>0.003</w:t>
            </w:r>
          </w:p>
        </w:tc>
        <w:tc>
          <w:tcPr>
            <w:tcW w:w="700" w:type="dxa"/>
            <w:tcBorders>
              <w:top w:val="nil"/>
              <w:left w:val="nil"/>
              <w:bottom w:val="nil"/>
              <w:right w:val="nil"/>
            </w:tcBorders>
            <w:shd w:val="clear" w:color="000000" w:fill="FFFFFF"/>
            <w:noWrap/>
            <w:hideMark/>
          </w:tcPr>
          <w:p w:rsidR="00F2512B" w:rsidP="00F2512B" w14:paraId="6277A187" w14:textId="77777777">
            <w:pPr>
              <w:spacing w:after="80"/>
              <w:jc w:val="center"/>
              <w:rPr>
                <w:color w:val="000000"/>
                <w:sz w:val="16"/>
                <w:szCs w:val="16"/>
              </w:rPr>
            </w:pPr>
            <w:r>
              <w:rPr>
                <w:color w:val="000000"/>
                <w:sz w:val="16"/>
                <w:szCs w:val="16"/>
              </w:rPr>
              <w:t>0.003</w:t>
            </w:r>
          </w:p>
        </w:tc>
        <w:tc>
          <w:tcPr>
            <w:tcW w:w="700" w:type="dxa"/>
            <w:tcBorders>
              <w:top w:val="nil"/>
              <w:left w:val="nil"/>
              <w:bottom w:val="nil"/>
              <w:right w:val="nil"/>
            </w:tcBorders>
            <w:shd w:val="clear" w:color="000000" w:fill="FFFFFF"/>
            <w:noWrap/>
            <w:hideMark/>
          </w:tcPr>
          <w:p w:rsidR="00F2512B" w:rsidP="00F2512B" w14:paraId="227CB2A1" w14:textId="77777777">
            <w:pPr>
              <w:spacing w:after="80"/>
              <w:jc w:val="center"/>
              <w:rPr>
                <w:color w:val="000000"/>
                <w:sz w:val="16"/>
                <w:szCs w:val="16"/>
              </w:rPr>
            </w:pPr>
            <w:r>
              <w:rPr>
                <w:color w:val="000000"/>
                <w:sz w:val="16"/>
                <w:szCs w:val="16"/>
              </w:rPr>
              <w:t>0.002</w:t>
            </w:r>
          </w:p>
        </w:tc>
        <w:tc>
          <w:tcPr>
            <w:tcW w:w="700" w:type="dxa"/>
            <w:tcBorders>
              <w:top w:val="nil"/>
              <w:left w:val="nil"/>
              <w:bottom w:val="nil"/>
              <w:right w:val="nil"/>
            </w:tcBorders>
            <w:shd w:val="clear" w:color="000000" w:fill="FFFFFF"/>
            <w:noWrap/>
            <w:hideMark/>
          </w:tcPr>
          <w:p w:rsidR="00F2512B" w:rsidP="00F2512B" w14:paraId="24DD8443" w14:textId="77777777">
            <w:pPr>
              <w:spacing w:after="80"/>
              <w:jc w:val="center"/>
              <w:rPr>
                <w:color w:val="000000"/>
                <w:sz w:val="16"/>
                <w:szCs w:val="16"/>
              </w:rPr>
            </w:pPr>
            <w:r>
              <w:rPr>
                <w:color w:val="000000"/>
                <w:sz w:val="16"/>
                <w:szCs w:val="16"/>
              </w:rPr>
              <w:t>0.001</w:t>
            </w:r>
          </w:p>
        </w:tc>
      </w:tr>
      <w:tr w14:paraId="64699BB3"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4B1F8D9F"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1488FA76" w14:textId="77777777">
            <w:pPr>
              <w:spacing w:after="80"/>
              <w:jc w:val="center"/>
              <w:rPr>
                <w:color w:val="000000"/>
                <w:sz w:val="16"/>
                <w:szCs w:val="16"/>
              </w:rPr>
            </w:pPr>
            <w:r>
              <w:rPr>
                <w:color w:val="000000"/>
                <w:sz w:val="16"/>
                <w:szCs w:val="16"/>
              </w:rPr>
              <w:t>(.001)</w:t>
            </w:r>
          </w:p>
        </w:tc>
        <w:tc>
          <w:tcPr>
            <w:tcW w:w="700" w:type="dxa"/>
            <w:tcBorders>
              <w:top w:val="nil"/>
              <w:left w:val="nil"/>
              <w:bottom w:val="nil"/>
              <w:right w:val="nil"/>
            </w:tcBorders>
            <w:shd w:val="clear" w:color="000000" w:fill="FFFFFF"/>
            <w:noWrap/>
            <w:hideMark/>
          </w:tcPr>
          <w:p w:rsidR="00F2512B" w:rsidP="00F2512B" w14:paraId="65FD3158" w14:textId="77777777">
            <w:pPr>
              <w:spacing w:after="80"/>
              <w:jc w:val="center"/>
              <w:rPr>
                <w:color w:val="000000"/>
                <w:sz w:val="16"/>
                <w:szCs w:val="16"/>
              </w:rPr>
            </w:pPr>
            <w:r>
              <w:rPr>
                <w:color w:val="000000"/>
                <w:sz w:val="16"/>
                <w:szCs w:val="16"/>
              </w:rPr>
              <w:t>(.001)</w:t>
            </w:r>
          </w:p>
        </w:tc>
        <w:tc>
          <w:tcPr>
            <w:tcW w:w="700" w:type="dxa"/>
            <w:tcBorders>
              <w:top w:val="nil"/>
              <w:left w:val="nil"/>
              <w:bottom w:val="nil"/>
              <w:right w:val="nil"/>
            </w:tcBorders>
            <w:shd w:val="clear" w:color="000000" w:fill="FFFFFF"/>
            <w:noWrap/>
            <w:hideMark/>
          </w:tcPr>
          <w:p w:rsidR="00F2512B" w:rsidP="00F2512B" w14:paraId="3D5AEAD0" w14:textId="77777777">
            <w:pPr>
              <w:spacing w:after="80"/>
              <w:jc w:val="center"/>
              <w:rPr>
                <w:color w:val="000000"/>
                <w:sz w:val="16"/>
                <w:szCs w:val="16"/>
              </w:rPr>
            </w:pPr>
            <w:r>
              <w:rPr>
                <w:color w:val="000000"/>
                <w:sz w:val="16"/>
                <w:szCs w:val="16"/>
              </w:rPr>
              <w:t>(.001)</w:t>
            </w:r>
          </w:p>
        </w:tc>
        <w:tc>
          <w:tcPr>
            <w:tcW w:w="700" w:type="dxa"/>
            <w:tcBorders>
              <w:top w:val="nil"/>
              <w:left w:val="nil"/>
              <w:bottom w:val="nil"/>
              <w:right w:val="nil"/>
            </w:tcBorders>
            <w:shd w:val="clear" w:color="000000" w:fill="FFFFFF"/>
            <w:noWrap/>
            <w:hideMark/>
          </w:tcPr>
          <w:p w:rsidR="00F2512B" w:rsidP="00F2512B" w14:paraId="63EF1257" w14:textId="77777777">
            <w:pPr>
              <w:spacing w:after="80"/>
              <w:jc w:val="center"/>
              <w:rPr>
                <w:color w:val="000000"/>
                <w:sz w:val="16"/>
                <w:szCs w:val="16"/>
              </w:rPr>
            </w:pPr>
            <w:r>
              <w:rPr>
                <w:color w:val="000000"/>
                <w:sz w:val="16"/>
                <w:szCs w:val="16"/>
              </w:rPr>
              <w:t>(.001)</w:t>
            </w:r>
          </w:p>
        </w:tc>
        <w:tc>
          <w:tcPr>
            <w:tcW w:w="700" w:type="dxa"/>
            <w:tcBorders>
              <w:top w:val="nil"/>
              <w:left w:val="nil"/>
              <w:bottom w:val="nil"/>
              <w:right w:val="nil"/>
            </w:tcBorders>
            <w:shd w:val="clear" w:color="000000" w:fill="FFFFFF"/>
            <w:noWrap/>
            <w:hideMark/>
          </w:tcPr>
          <w:p w:rsidR="00F2512B" w:rsidP="00F2512B" w14:paraId="659F7935" w14:textId="77777777">
            <w:pPr>
              <w:spacing w:after="80"/>
              <w:jc w:val="center"/>
              <w:rPr>
                <w:color w:val="000000"/>
                <w:sz w:val="16"/>
                <w:szCs w:val="16"/>
              </w:rPr>
            </w:pPr>
            <w:r>
              <w:rPr>
                <w:color w:val="000000"/>
                <w:sz w:val="16"/>
                <w:szCs w:val="16"/>
              </w:rPr>
              <w:t>(.001)</w:t>
            </w:r>
          </w:p>
        </w:tc>
        <w:tc>
          <w:tcPr>
            <w:tcW w:w="700" w:type="dxa"/>
            <w:tcBorders>
              <w:top w:val="nil"/>
              <w:left w:val="nil"/>
              <w:bottom w:val="nil"/>
              <w:right w:val="nil"/>
            </w:tcBorders>
            <w:shd w:val="clear" w:color="000000" w:fill="FFFFFF"/>
            <w:noWrap/>
            <w:hideMark/>
          </w:tcPr>
          <w:p w:rsidR="00F2512B" w:rsidP="00F2512B" w14:paraId="31F9CBC8" w14:textId="77777777">
            <w:pPr>
              <w:spacing w:after="80"/>
              <w:jc w:val="center"/>
              <w:rPr>
                <w:color w:val="000000"/>
                <w:sz w:val="16"/>
                <w:szCs w:val="16"/>
              </w:rPr>
            </w:pPr>
            <w:r>
              <w:rPr>
                <w:color w:val="000000"/>
                <w:sz w:val="16"/>
                <w:szCs w:val="16"/>
              </w:rPr>
              <w:t>(.001)</w:t>
            </w:r>
          </w:p>
        </w:tc>
        <w:tc>
          <w:tcPr>
            <w:tcW w:w="700" w:type="dxa"/>
            <w:tcBorders>
              <w:top w:val="nil"/>
              <w:left w:val="nil"/>
              <w:bottom w:val="nil"/>
              <w:right w:val="nil"/>
            </w:tcBorders>
            <w:shd w:val="clear" w:color="000000" w:fill="FFFFFF"/>
            <w:noWrap/>
            <w:hideMark/>
          </w:tcPr>
          <w:p w:rsidR="00F2512B" w:rsidP="00F2512B" w14:paraId="570B9637" w14:textId="77777777">
            <w:pPr>
              <w:spacing w:after="80"/>
              <w:jc w:val="center"/>
              <w:rPr>
                <w:color w:val="000000"/>
                <w:sz w:val="16"/>
                <w:szCs w:val="16"/>
              </w:rPr>
            </w:pPr>
            <w:r>
              <w:rPr>
                <w:color w:val="000000"/>
                <w:sz w:val="16"/>
                <w:szCs w:val="16"/>
              </w:rPr>
              <w:t>(.001)</w:t>
            </w:r>
          </w:p>
        </w:tc>
        <w:tc>
          <w:tcPr>
            <w:tcW w:w="700" w:type="dxa"/>
            <w:tcBorders>
              <w:top w:val="nil"/>
              <w:left w:val="nil"/>
              <w:bottom w:val="nil"/>
              <w:right w:val="nil"/>
            </w:tcBorders>
            <w:shd w:val="clear" w:color="000000" w:fill="FFFFFF"/>
            <w:noWrap/>
            <w:hideMark/>
          </w:tcPr>
          <w:p w:rsidR="00F2512B" w:rsidP="00F2512B" w14:paraId="728E9EA9" w14:textId="77777777">
            <w:pPr>
              <w:spacing w:after="80"/>
              <w:jc w:val="center"/>
              <w:rPr>
                <w:color w:val="000000"/>
                <w:sz w:val="16"/>
                <w:szCs w:val="16"/>
              </w:rPr>
            </w:pPr>
            <w:r>
              <w:rPr>
                <w:color w:val="000000"/>
                <w:sz w:val="16"/>
                <w:szCs w:val="16"/>
              </w:rPr>
              <w:t>(.001)</w:t>
            </w:r>
          </w:p>
        </w:tc>
      </w:tr>
      <w:tr w14:paraId="5FFCEC23" w14:textId="77777777" w:rsidTr="00F2512B">
        <w:tblPrEx>
          <w:tblW w:w="9360" w:type="dxa"/>
          <w:tblLook w:val="04A0"/>
        </w:tblPrEx>
        <w:trPr>
          <w:cantSplit/>
        </w:trPr>
        <w:tc>
          <w:tcPr>
            <w:tcW w:w="2580" w:type="dxa"/>
            <w:vMerge/>
            <w:tcBorders>
              <w:top w:val="nil"/>
              <w:left w:val="nil"/>
              <w:bottom w:val="nil"/>
              <w:right w:val="nil"/>
            </w:tcBorders>
            <w:hideMark/>
          </w:tcPr>
          <w:p w:rsidR="00F2512B" w:rsidP="00F2512B" w14:paraId="428707DB" w14:textId="77777777">
            <w:pPr>
              <w:spacing w:after="80"/>
              <w:rPr>
                <w:color w:val="000000"/>
                <w:sz w:val="16"/>
                <w:szCs w:val="16"/>
              </w:rPr>
            </w:pPr>
          </w:p>
        </w:tc>
        <w:tc>
          <w:tcPr>
            <w:tcW w:w="700" w:type="dxa"/>
            <w:tcBorders>
              <w:top w:val="nil"/>
              <w:left w:val="nil"/>
              <w:bottom w:val="nil"/>
              <w:right w:val="nil"/>
            </w:tcBorders>
            <w:shd w:val="clear" w:color="000000" w:fill="FFFFFF"/>
            <w:noWrap/>
            <w:hideMark/>
          </w:tcPr>
          <w:p w:rsidR="00F2512B" w:rsidP="00F2512B" w14:paraId="514530A1"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666762AF"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2741B761"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1F24DBFB" w14:textId="77777777">
            <w:pPr>
              <w:jc w:val="cente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rsidP="00F2512B" w14:paraId="6417FA8F"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06F419A4"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5D886C50" w14:textId="77777777">
            <w:pPr>
              <w:jc w:val="center"/>
              <w:rPr>
                <w:color w:val="000000"/>
                <w:sz w:val="16"/>
                <w:szCs w:val="16"/>
              </w:rPr>
            </w:pPr>
            <w:r>
              <w:rPr>
                <w:color w:val="000000"/>
                <w:sz w:val="16"/>
                <w:szCs w:val="16"/>
              </w:rPr>
              <w:t>***</w:t>
            </w:r>
          </w:p>
        </w:tc>
        <w:tc>
          <w:tcPr>
            <w:tcW w:w="700" w:type="dxa"/>
            <w:tcBorders>
              <w:top w:val="nil"/>
              <w:left w:val="nil"/>
              <w:bottom w:val="nil"/>
              <w:right w:val="nil"/>
            </w:tcBorders>
            <w:shd w:val="clear" w:color="000000" w:fill="FFFFFF"/>
            <w:noWrap/>
            <w:hideMark/>
          </w:tcPr>
          <w:p w:rsidR="00F2512B" w:rsidP="00F2512B" w14:paraId="55B01AB1" w14:textId="77777777">
            <w:pPr>
              <w:jc w:val="center"/>
              <w:rPr>
                <w:color w:val="000000"/>
                <w:sz w:val="16"/>
                <w:szCs w:val="16"/>
              </w:rPr>
            </w:pPr>
            <w:r>
              <w:rPr>
                <w:color w:val="000000"/>
                <w:sz w:val="16"/>
                <w:szCs w:val="16"/>
              </w:rPr>
              <w:t> </w:t>
            </w:r>
          </w:p>
        </w:tc>
      </w:tr>
      <w:tr w14:paraId="5AC74CBB" w14:textId="77777777" w:rsidTr="00F2512B">
        <w:tblPrEx>
          <w:tblW w:w="9360" w:type="dxa"/>
          <w:tblLook w:val="04A0"/>
        </w:tblPrEx>
        <w:trPr>
          <w:cantSplit/>
        </w:trPr>
        <w:tc>
          <w:tcPr>
            <w:tcW w:w="2580" w:type="dxa"/>
            <w:tcBorders>
              <w:top w:val="single" w:sz="4" w:space="0" w:color="auto"/>
              <w:left w:val="nil"/>
              <w:bottom w:val="nil"/>
              <w:right w:val="nil"/>
            </w:tcBorders>
            <w:shd w:val="clear" w:color="000000" w:fill="FFFFFF"/>
            <w:hideMark/>
          </w:tcPr>
          <w:p w:rsidR="00F2512B" w:rsidP="00F2512B" w14:paraId="04FBF3E1" w14:textId="77777777">
            <w:pPr>
              <w:spacing w:after="80"/>
              <w:rPr>
                <w:color w:val="000000"/>
                <w:sz w:val="16"/>
                <w:szCs w:val="16"/>
              </w:rPr>
            </w:pPr>
            <w:r>
              <w:rPr>
                <w:color w:val="000000"/>
                <w:sz w:val="16"/>
                <w:szCs w:val="16"/>
              </w:rPr>
              <w:t>Sample Size</w:t>
            </w:r>
          </w:p>
        </w:tc>
        <w:tc>
          <w:tcPr>
            <w:tcW w:w="700" w:type="dxa"/>
            <w:tcBorders>
              <w:top w:val="single" w:sz="4" w:space="0" w:color="auto"/>
              <w:left w:val="nil"/>
              <w:bottom w:val="nil"/>
              <w:right w:val="nil"/>
            </w:tcBorders>
            <w:shd w:val="clear" w:color="000000" w:fill="FFFFFF"/>
            <w:noWrap/>
            <w:hideMark/>
          </w:tcPr>
          <w:p w:rsidR="00F2512B" w:rsidP="00F2512B" w14:paraId="50C7A733" w14:textId="77777777">
            <w:pPr>
              <w:spacing w:after="80"/>
              <w:jc w:val="center"/>
              <w:rPr>
                <w:color w:val="000000"/>
                <w:sz w:val="16"/>
                <w:szCs w:val="16"/>
              </w:rPr>
            </w:pPr>
            <w:r>
              <w:rPr>
                <w:color w:val="000000"/>
                <w:sz w:val="16"/>
                <w:szCs w:val="16"/>
              </w:rPr>
              <w:t>9,190</w:t>
            </w:r>
          </w:p>
        </w:tc>
        <w:tc>
          <w:tcPr>
            <w:tcW w:w="700" w:type="dxa"/>
            <w:tcBorders>
              <w:top w:val="single" w:sz="4" w:space="0" w:color="auto"/>
              <w:left w:val="nil"/>
              <w:bottom w:val="nil"/>
              <w:right w:val="nil"/>
            </w:tcBorders>
            <w:shd w:val="clear" w:color="000000" w:fill="FFFFFF"/>
            <w:noWrap/>
            <w:hideMark/>
          </w:tcPr>
          <w:p w:rsidR="00F2512B" w:rsidP="00F2512B" w14:paraId="16662CAB" w14:textId="77777777">
            <w:pPr>
              <w:spacing w:after="80"/>
              <w:jc w:val="center"/>
              <w:rPr>
                <w:color w:val="000000"/>
                <w:sz w:val="16"/>
                <w:szCs w:val="16"/>
              </w:rPr>
            </w:pPr>
            <w:r>
              <w:rPr>
                <w:color w:val="000000"/>
                <w:sz w:val="16"/>
                <w:szCs w:val="16"/>
              </w:rPr>
              <w:t>5,836</w:t>
            </w:r>
          </w:p>
        </w:tc>
        <w:tc>
          <w:tcPr>
            <w:tcW w:w="700" w:type="dxa"/>
            <w:tcBorders>
              <w:top w:val="single" w:sz="4" w:space="0" w:color="auto"/>
              <w:left w:val="nil"/>
              <w:bottom w:val="nil"/>
              <w:right w:val="nil"/>
            </w:tcBorders>
            <w:shd w:val="clear" w:color="000000" w:fill="FFFFFF"/>
            <w:noWrap/>
            <w:hideMark/>
          </w:tcPr>
          <w:p w:rsidR="00F2512B" w:rsidP="00F2512B" w14:paraId="68CC4721" w14:textId="77777777">
            <w:pPr>
              <w:spacing w:after="80"/>
              <w:jc w:val="center"/>
              <w:rPr>
                <w:color w:val="000000"/>
                <w:sz w:val="16"/>
                <w:szCs w:val="16"/>
              </w:rPr>
            </w:pPr>
            <w:r>
              <w:rPr>
                <w:color w:val="000000"/>
                <w:sz w:val="16"/>
                <w:szCs w:val="16"/>
              </w:rPr>
              <w:t>3,929</w:t>
            </w:r>
          </w:p>
        </w:tc>
        <w:tc>
          <w:tcPr>
            <w:tcW w:w="700" w:type="dxa"/>
            <w:tcBorders>
              <w:top w:val="single" w:sz="4" w:space="0" w:color="auto"/>
              <w:left w:val="nil"/>
              <w:bottom w:val="nil"/>
              <w:right w:val="nil"/>
            </w:tcBorders>
            <w:shd w:val="clear" w:color="000000" w:fill="FFFFFF"/>
            <w:noWrap/>
            <w:hideMark/>
          </w:tcPr>
          <w:p w:rsidR="00F2512B" w:rsidP="00F2512B" w14:paraId="7FD1A0DD" w14:textId="77777777">
            <w:pPr>
              <w:spacing w:after="80"/>
              <w:jc w:val="center"/>
              <w:rPr>
                <w:color w:val="000000"/>
                <w:sz w:val="16"/>
                <w:szCs w:val="16"/>
              </w:rPr>
            </w:pPr>
            <w:r>
              <w:rPr>
                <w:color w:val="000000"/>
                <w:sz w:val="16"/>
                <w:szCs w:val="16"/>
              </w:rPr>
              <w:t>1,720</w:t>
            </w:r>
          </w:p>
        </w:tc>
        <w:tc>
          <w:tcPr>
            <w:tcW w:w="700" w:type="dxa"/>
            <w:tcBorders>
              <w:top w:val="single" w:sz="4" w:space="0" w:color="auto"/>
              <w:left w:val="nil"/>
              <w:bottom w:val="nil"/>
              <w:right w:val="nil"/>
            </w:tcBorders>
            <w:shd w:val="clear" w:color="000000" w:fill="FFFFFF"/>
            <w:noWrap/>
            <w:hideMark/>
          </w:tcPr>
          <w:p w:rsidR="00F2512B" w:rsidP="00F2512B" w14:paraId="2815435C" w14:textId="77777777">
            <w:pPr>
              <w:spacing w:after="80"/>
              <w:jc w:val="center"/>
              <w:rPr>
                <w:color w:val="000000"/>
                <w:sz w:val="16"/>
                <w:szCs w:val="16"/>
              </w:rPr>
            </w:pPr>
            <w:r>
              <w:rPr>
                <w:color w:val="000000"/>
                <w:sz w:val="16"/>
                <w:szCs w:val="16"/>
              </w:rPr>
              <w:t>9,190</w:t>
            </w:r>
          </w:p>
        </w:tc>
        <w:tc>
          <w:tcPr>
            <w:tcW w:w="700" w:type="dxa"/>
            <w:tcBorders>
              <w:top w:val="single" w:sz="4" w:space="0" w:color="auto"/>
              <w:left w:val="nil"/>
              <w:bottom w:val="nil"/>
              <w:right w:val="nil"/>
            </w:tcBorders>
            <w:shd w:val="clear" w:color="000000" w:fill="FFFFFF"/>
            <w:noWrap/>
            <w:hideMark/>
          </w:tcPr>
          <w:p w:rsidR="00F2512B" w:rsidP="00F2512B" w14:paraId="52C5EAAD" w14:textId="77777777">
            <w:pPr>
              <w:spacing w:after="80"/>
              <w:jc w:val="center"/>
              <w:rPr>
                <w:color w:val="000000"/>
                <w:sz w:val="16"/>
                <w:szCs w:val="16"/>
              </w:rPr>
            </w:pPr>
            <w:r>
              <w:rPr>
                <w:color w:val="000000"/>
                <w:sz w:val="16"/>
                <w:szCs w:val="16"/>
              </w:rPr>
              <w:t>5,836</w:t>
            </w:r>
          </w:p>
        </w:tc>
        <w:tc>
          <w:tcPr>
            <w:tcW w:w="700" w:type="dxa"/>
            <w:tcBorders>
              <w:top w:val="single" w:sz="4" w:space="0" w:color="auto"/>
              <w:left w:val="nil"/>
              <w:bottom w:val="nil"/>
              <w:right w:val="nil"/>
            </w:tcBorders>
            <w:shd w:val="clear" w:color="000000" w:fill="FFFFFF"/>
            <w:noWrap/>
            <w:hideMark/>
          </w:tcPr>
          <w:p w:rsidR="00F2512B" w:rsidP="00F2512B" w14:paraId="0DC8C8EA" w14:textId="77777777">
            <w:pPr>
              <w:spacing w:after="80"/>
              <w:jc w:val="center"/>
              <w:rPr>
                <w:color w:val="000000"/>
                <w:sz w:val="16"/>
                <w:szCs w:val="16"/>
              </w:rPr>
            </w:pPr>
            <w:r>
              <w:rPr>
                <w:color w:val="000000"/>
                <w:sz w:val="16"/>
                <w:szCs w:val="16"/>
              </w:rPr>
              <w:t>3,929</w:t>
            </w:r>
          </w:p>
        </w:tc>
        <w:tc>
          <w:tcPr>
            <w:tcW w:w="700" w:type="dxa"/>
            <w:tcBorders>
              <w:top w:val="single" w:sz="4" w:space="0" w:color="auto"/>
              <w:left w:val="nil"/>
              <w:bottom w:val="nil"/>
              <w:right w:val="nil"/>
            </w:tcBorders>
            <w:shd w:val="clear" w:color="000000" w:fill="FFFFFF"/>
            <w:noWrap/>
            <w:hideMark/>
          </w:tcPr>
          <w:p w:rsidR="00F2512B" w:rsidP="00F2512B" w14:paraId="6AD07938" w14:textId="77777777">
            <w:pPr>
              <w:spacing w:after="80"/>
              <w:jc w:val="center"/>
              <w:rPr>
                <w:color w:val="000000"/>
                <w:sz w:val="16"/>
                <w:szCs w:val="16"/>
              </w:rPr>
            </w:pPr>
            <w:r>
              <w:rPr>
                <w:color w:val="000000"/>
                <w:sz w:val="16"/>
                <w:szCs w:val="16"/>
              </w:rPr>
              <w:t>1,720</w:t>
            </w:r>
          </w:p>
        </w:tc>
      </w:tr>
      <w:tr w14:paraId="623A7535" w14:textId="77777777" w:rsidTr="00F2512B">
        <w:tblPrEx>
          <w:tblW w:w="9360" w:type="dxa"/>
          <w:tblLook w:val="04A0"/>
        </w:tblPrEx>
        <w:trPr>
          <w:cantSplit/>
        </w:trPr>
        <w:tc>
          <w:tcPr>
            <w:tcW w:w="2580" w:type="dxa"/>
            <w:tcBorders>
              <w:top w:val="nil"/>
              <w:left w:val="nil"/>
              <w:bottom w:val="double" w:sz="6" w:space="0" w:color="auto"/>
              <w:right w:val="nil"/>
            </w:tcBorders>
            <w:shd w:val="clear" w:color="000000" w:fill="FFFFFF"/>
            <w:hideMark/>
          </w:tcPr>
          <w:p w:rsidR="00F2512B" w:rsidP="00F2512B" w14:paraId="2AD797A6" w14:textId="77777777">
            <w:pPr>
              <w:spacing w:after="80"/>
              <w:rPr>
                <w:color w:val="000000"/>
                <w:sz w:val="16"/>
                <w:szCs w:val="16"/>
              </w:rPr>
            </w:pPr>
            <w:r>
              <w:rPr>
                <w:color w:val="000000"/>
                <w:sz w:val="16"/>
                <w:szCs w:val="16"/>
              </w:rPr>
              <w:t>R-Squared</w:t>
            </w:r>
          </w:p>
        </w:tc>
        <w:tc>
          <w:tcPr>
            <w:tcW w:w="700" w:type="dxa"/>
            <w:tcBorders>
              <w:top w:val="nil"/>
              <w:left w:val="nil"/>
              <w:bottom w:val="double" w:sz="6" w:space="0" w:color="auto"/>
              <w:right w:val="nil"/>
            </w:tcBorders>
            <w:shd w:val="clear" w:color="000000" w:fill="FFFFFF"/>
            <w:noWrap/>
            <w:hideMark/>
          </w:tcPr>
          <w:p w:rsidR="00F2512B" w:rsidP="00F2512B" w14:paraId="2BE17C7E" w14:textId="77777777">
            <w:pPr>
              <w:spacing w:after="80"/>
              <w:jc w:val="center"/>
              <w:rPr>
                <w:color w:val="000000"/>
                <w:sz w:val="16"/>
                <w:szCs w:val="16"/>
              </w:rPr>
            </w:pPr>
            <w:r>
              <w:rPr>
                <w:color w:val="000000"/>
                <w:sz w:val="16"/>
                <w:szCs w:val="16"/>
              </w:rPr>
              <w:t>0.85</w:t>
            </w:r>
          </w:p>
        </w:tc>
        <w:tc>
          <w:tcPr>
            <w:tcW w:w="700" w:type="dxa"/>
            <w:tcBorders>
              <w:top w:val="nil"/>
              <w:left w:val="nil"/>
              <w:bottom w:val="double" w:sz="6" w:space="0" w:color="auto"/>
              <w:right w:val="nil"/>
            </w:tcBorders>
            <w:shd w:val="clear" w:color="000000" w:fill="FFFFFF"/>
            <w:noWrap/>
            <w:hideMark/>
          </w:tcPr>
          <w:p w:rsidR="00F2512B" w:rsidP="00F2512B" w14:paraId="0471C8AA" w14:textId="77777777">
            <w:pPr>
              <w:spacing w:after="80"/>
              <w:jc w:val="center"/>
              <w:rPr>
                <w:color w:val="000000"/>
                <w:sz w:val="16"/>
                <w:szCs w:val="16"/>
              </w:rPr>
            </w:pPr>
            <w:r>
              <w:rPr>
                <w:color w:val="000000"/>
                <w:sz w:val="16"/>
                <w:szCs w:val="16"/>
              </w:rPr>
              <w:t>0.64</w:t>
            </w:r>
          </w:p>
        </w:tc>
        <w:tc>
          <w:tcPr>
            <w:tcW w:w="700" w:type="dxa"/>
            <w:tcBorders>
              <w:top w:val="nil"/>
              <w:left w:val="nil"/>
              <w:bottom w:val="double" w:sz="6" w:space="0" w:color="auto"/>
              <w:right w:val="nil"/>
            </w:tcBorders>
            <w:shd w:val="clear" w:color="000000" w:fill="FFFFFF"/>
            <w:noWrap/>
            <w:hideMark/>
          </w:tcPr>
          <w:p w:rsidR="00F2512B" w:rsidP="00F2512B" w14:paraId="1C2BE1E6" w14:textId="77777777">
            <w:pPr>
              <w:spacing w:after="80"/>
              <w:jc w:val="center"/>
              <w:rPr>
                <w:color w:val="000000"/>
                <w:sz w:val="16"/>
                <w:szCs w:val="16"/>
              </w:rPr>
            </w:pPr>
            <w:r>
              <w:rPr>
                <w:color w:val="000000"/>
                <w:sz w:val="16"/>
                <w:szCs w:val="16"/>
              </w:rPr>
              <w:t>0.59</w:t>
            </w:r>
          </w:p>
        </w:tc>
        <w:tc>
          <w:tcPr>
            <w:tcW w:w="700" w:type="dxa"/>
            <w:tcBorders>
              <w:top w:val="nil"/>
              <w:left w:val="nil"/>
              <w:bottom w:val="double" w:sz="6" w:space="0" w:color="auto"/>
              <w:right w:val="nil"/>
            </w:tcBorders>
            <w:shd w:val="clear" w:color="000000" w:fill="FFFFFF"/>
            <w:noWrap/>
            <w:hideMark/>
          </w:tcPr>
          <w:p w:rsidR="00F2512B" w:rsidP="00F2512B" w14:paraId="5A85FA9D" w14:textId="77777777">
            <w:pPr>
              <w:spacing w:after="80"/>
              <w:jc w:val="center"/>
              <w:rPr>
                <w:color w:val="000000"/>
                <w:sz w:val="16"/>
                <w:szCs w:val="16"/>
              </w:rPr>
            </w:pPr>
            <w:r>
              <w:rPr>
                <w:color w:val="000000"/>
                <w:sz w:val="16"/>
                <w:szCs w:val="16"/>
              </w:rPr>
              <w:t>0.47</w:t>
            </w:r>
          </w:p>
        </w:tc>
        <w:tc>
          <w:tcPr>
            <w:tcW w:w="700" w:type="dxa"/>
            <w:tcBorders>
              <w:top w:val="nil"/>
              <w:left w:val="nil"/>
              <w:bottom w:val="double" w:sz="6" w:space="0" w:color="auto"/>
              <w:right w:val="nil"/>
            </w:tcBorders>
            <w:shd w:val="clear" w:color="000000" w:fill="FFFFFF"/>
            <w:noWrap/>
            <w:hideMark/>
          </w:tcPr>
          <w:p w:rsidR="00F2512B" w:rsidP="00F2512B" w14:paraId="60EC2C81" w14:textId="77777777">
            <w:pPr>
              <w:spacing w:after="80"/>
              <w:jc w:val="center"/>
              <w:rPr>
                <w:color w:val="000000"/>
                <w:sz w:val="16"/>
                <w:szCs w:val="16"/>
              </w:rPr>
            </w:pPr>
            <w:r>
              <w:rPr>
                <w:color w:val="000000"/>
                <w:sz w:val="16"/>
                <w:szCs w:val="16"/>
              </w:rPr>
              <w:t>0.86</w:t>
            </w:r>
          </w:p>
        </w:tc>
        <w:tc>
          <w:tcPr>
            <w:tcW w:w="700" w:type="dxa"/>
            <w:tcBorders>
              <w:top w:val="nil"/>
              <w:left w:val="nil"/>
              <w:bottom w:val="double" w:sz="6" w:space="0" w:color="auto"/>
              <w:right w:val="nil"/>
            </w:tcBorders>
            <w:shd w:val="clear" w:color="000000" w:fill="FFFFFF"/>
            <w:noWrap/>
            <w:hideMark/>
          </w:tcPr>
          <w:p w:rsidR="00F2512B" w:rsidP="00F2512B" w14:paraId="5F74380A" w14:textId="77777777">
            <w:pPr>
              <w:spacing w:after="80"/>
              <w:jc w:val="center"/>
              <w:rPr>
                <w:color w:val="000000"/>
                <w:sz w:val="16"/>
                <w:szCs w:val="16"/>
              </w:rPr>
            </w:pPr>
            <w:r>
              <w:rPr>
                <w:color w:val="000000"/>
                <w:sz w:val="16"/>
                <w:szCs w:val="16"/>
              </w:rPr>
              <w:t>0.66</w:t>
            </w:r>
          </w:p>
        </w:tc>
        <w:tc>
          <w:tcPr>
            <w:tcW w:w="700" w:type="dxa"/>
            <w:tcBorders>
              <w:top w:val="nil"/>
              <w:left w:val="nil"/>
              <w:bottom w:val="double" w:sz="6" w:space="0" w:color="auto"/>
              <w:right w:val="nil"/>
            </w:tcBorders>
            <w:shd w:val="clear" w:color="000000" w:fill="FFFFFF"/>
            <w:noWrap/>
            <w:hideMark/>
          </w:tcPr>
          <w:p w:rsidR="00F2512B" w:rsidP="00F2512B" w14:paraId="0896B60C" w14:textId="77777777">
            <w:pPr>
              <w:spacing w:after="80"/>
              <w:jc w:val="center"/>
              <w:rPr>
                <w:color w:val="000000"/>
                <w:sz w:val="16"/>
                <w:szCs w:val="16"/>
              </w:rPr>
            </w:pPr>
            <w:r>
              <w:rPr>
                <w:color w:val="000000"/>
                <w:sz w:val="16"/>
                <w:szCs w:val="16"/>
              </w:rPr>
              <w:t>0.62</w:t>
            </w:r>
          </w:p>
        </w:tc>
        <w:tc>
          <w:tcPr>
            <w:tcW w:w="700" w:type="dxa"/>
            <w:tcBorders>
              <w:top w:val="nil"/>
              <w:left w:val="nil"/>
              <w:bottom w:val="double" w:sz="6" w:space="0" w:color="auto"/>
              <w:right w:val="nil"/>
            </w:tcBorders>
            <w:shd w:val="clear" w:color="000000" w:fill="FFFFFF"/>
            <w:noWrap/>
            <w:hideMark/>
          </w:tcPr>
          <w:p w:rsidR="00F2512B" w:rsidP="00F2512B" w14:paraId="18D298BE" w14:textId="77777777">
            <w:pPr>
              <w:spacing w:after="80"/>
              <w:jc w:val="center"/>
              <w:rPr>
                <w:color w:val="000000"/>
                <w:sz w:val="16"/>
                <w:szCs w:val="16"/>
              </w:rPr>
            </w:pPr>
            <w:r>
              <w:rPr>
                <w:color w:val="000000"/>
                <w:sz w:val="16"/>
                <w:szCs w:val="16"/>
              </w:rPr>
              <w:t>0.52</w:t>
            </w:r>
          </w:p>
        </w:tc>
      </w:tr>
      <w:tr w14:paraId="1CB632FF" w14:textId="77777777" w:rsidTr="00F2512B">
        <w:tblPrEx>
          <w:tblW w:w="9360" w:type="dxa"/>
          <w:tblLook w:val="04A0"/>
        </w:tblPrEx>
        <w:trPr>
          <w:cantSplit/>
        </w:trPr>
        <w:tc>
          <w:tcPr>
            <w:tcW w:w="8180" w:type="dxa"/>
            <w:gridSpan w:val="9"/>
            <w:tcBorders>
              <w:top w:val="double" w:sz="6" w:space="0" w:color="auto"/>
              <w:left w:val="nil"/>
              <w:bottom w:val="nil"/>
              <w:right w:val="nil"/>
            </w:tcBorders>
            <w:shd w:val="clear" w:color="000000" w:fill="FFFFFF"/>
            <w:noWrap/>
            <w:hideMark/>
          </w:tcPr>
          <w:p w:rsidR="00F2512B" w:rsidP="00F2512B" w14:paraId="77AF5754" w14:textId="77777777">
            <w:pPr>
              <w:spacing w:after="80"/>
              <w:rPr>
                <w:color w:val="000000"/>
                <w:sz w:val="16"/>
                <w:szCs w:val="16"/>
              </w:rPr>
            </w:pPr>
            <w:r>
              <w:rPr>
                <w:color w:val="000000"/>
                <w:sz w:val="16"/>
                <w:szCs w:val="16"/>
              </w:rPr>
              <w:t>Robust standard errors in parentheses are clustered at the state-provider level.</w:t>
            </w:r>
          </w:p>
        </w:tc>
      </w:tr>
      <w:tr w14:paraId="65B68BB4" w14:textId="77777777" w:rsidTr="00F2512B">
        <w:tblPrEx>
          <w:tblW w:w="9360" w:type="dxa"/>
          <w:tblLook w:val="04A0"/>
        </w:tblPrEx>
        <w:trPr>
          <w:cantSplit/>
        </w:trPr>
        <w:tc>
          <w:tcPr>
            <w:tcW w:w="3980" w:type="dxa"/>
            <w:gridSpan w:val="3"/>
            <w:tcBorders>
              <w:top w:val="nil"/>
              <w:left w:val="nil"/>
              <w:bottom w:val="nil"/>
              <w:right w:val="nil"/>
            </w:tcBorders>
            <w:shd w:val="clear" w:color="000000" w:fill="FFFFFF"/>
            <w:noWrap/>
            <w:hideMark/>
          </w:tcPr>
          <w:p w:rsidR="00F2512B" w14:paraId="14CF0F52" w14:textId="77777777">
            <w:pPr>
              <w:rPr>
                <w:color w:val="000000"/>
                <w:sz w:val="16"/>
                <w:szCs w:val="16"/>
              </w:rPr>
            </w:pPr>
            <w:r>
              <w:rPr>
                <w:color w:val="000000"/>
                <w:sz w:val="16"/>
                <w:szCs w:val="16"/>
              </w:rPr>
              <w:t>***p&lt;0.01, **p&lt;0.05, *&lt;0.1</w:t>
            </w:r>
          </w:p>
        </w:tc>
        <w:tc>
          <w:tcPr>
            <w:tcW w:w="700" w:type="dxa"/>
            <w:tcBorders>
              <w:top w:val="nil"/>
              <w:left w:val="nil"/>
              <w:bottom w:val="nil"/>
              <w:right w:val="nil"/>
            </w:tcBorders>
            <w:shd w:val="clear" w:color="000000" w:fill="FFFFFF"/>
            <w:noWrap/>
            <w:hideMark/>
          </w:tcPr>
          <w:p w:rsidR="00F2512B" w14:paraId="668B767B" w14:textId="77777777">
            <w:pP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14:paraId="0F4D47A5" w14:textId="77777777">
            <w:pP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14:paraId="22C23B31" w14:textId="77777777">
            <w:pP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14:paraId="10658DC3" w14:textId="77777777">
            <w:pP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14:paraId="22FC25D8" w14:textId="77777777">
            <w:pPr>
              <w:rPr>
                <w:color w:val="000000"/>
                <w:sz w:val="16"/>
                <w:szCs w:val="16"/>
              </w:rPr>
            </w:pPr>
            <w:r>
              <w:rPr>
                <w:color w:val="000000"/>
                <w:sz w:val="16"/>
                <w:szCs w:val="16"/>
              </w:rPr>
              <w:t> </w:t>
            </w:r>
          </w:p>
        </w:tc>
        <w:tc>
          <w:tcPr>
            <w:tcW w:w="700" w:type="dxa"/>
            <w:tcBorders>
              <w:top w:val="nil"/>
              <w:left w:val="nil"/>
              <w:bottom w:val="nil"/>
              <w:right w:val="nil"/>
            </w:tcBorders>
            <w:shd w:val="clear" w:color="000000" w:fill="FFFFFF"/>
            <w:noWrap/>
            <w:hideMark/>
          </w:tcPr>
          <w:p w:rsidR="00F2512B" w14:paraId="3E448531" w14:textId="77777777">
            <w:pPr>
              <w:rPr>
                <w:color w:val="000000"/>
                <w:sz w:val="16"/>
                <w:szCs w:val="16"/>
              </w:rPr>
            </w:pPr>
            <w:r>
              <w:rPr>
                <w:color w:val="000000"/>
                <w:sz w:val="16"/>
                <w:szCs w:val="16"/>
              </w:rPr>
              <w:t> </w:t>
            </w:r>
          </w:p>
        </w:tc>
      </w:tr>
    </w:tbl>
    <w:p w:rsidR="002A34EE" w:rsidRPr="00F7245F" w:rsidP="006747B8" w14:paraId="1A089286" w14:textId="71DE668A"/>
    <w:p w:rsidR="006747B8" w:rsidRPr="002A34EE" w:rsidP="002A34EE" w14:paraId="7DA4A672" w14:textId="440B281C">
      <w:pPr>
        <w:keepNext/>
        <w:keepLines/>
        <w:spacing w:before="120" w:after="120"/>
        <w:jc w:val="center"/>
        <w:rPr>
          <w:b/>
          <w:bCs/>
          <w:sz w:val="22"/>
          <w:szCs w:val="22"/>
        </w:rPr>
      </w:pPr>
      <w:r w:rsidRPr="002A34EE">
        <w:rPr>
          <w:b/>
          <w:bCs/>
          <w:sz w:val="22"/>
          <w:szCs w:val="22"/>
        </w:rPr>
        <w:t>Fig. B-9: Regression Model Predictions of Average Coverage Areas, Average Radius,</w:t>
      </w:r>
      <w:r w:rsidRPr="002A34EE" w:rsidR="00CD44FB">
        <w:rPr>
          <w:b/>
          <w:bCs/>
          <w:sz w:val="22"/>
          <w:szCs w:val="22"/>
        </w:rPr>
        <w:br/>
      </w:r>
      <w:r w:rsidRPr="002A34EE">
        <w:rPr>
          <w:b/>
          <w:bCs/>
          <w:sz w:val="22"/>
          <w:szCs w:val="22"/>
        </w:rPr>
        <w:t>and Terrain Factors</w:t>
      </w:r>
    </w:p>
    <w:p w:rsidR="002A34EE" w:rsidP="002A34EE" w14:paraId="0379E509" w14:textId="7096706D">
      <w:pPr>
        <w:pStyle w:val="ParaNum"/>
        <w:numPr>
          <w:ilvl w:val="0"/>
          <w:numId w:val="0"/>
        </w:numPr>
        <w:ind w:left="-144"/>
      </w:pPr>
      <w:r>
        <w:rPr>
          <w:noProof/>
          <w:snapToGrid/>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35pt;height:204pt;mso-height-percent:0;mso-width-percent:0" o:oleicon="f" o:ole="">
            <v:imagedata r:id="rId10" o:title=""/>
          </v:shape>
          <o:OLEObject Type="Embed" ProgID="Excel.Sheet.12" ShapeID="_x0000_i1025" DrawAspect="Content" ObjectID="_1652865133" r:id="rId11"/>
        </w:object>
      </w:r>
    </w:p>
    <w:p w:rsidR="002A34EE" w:rsidP="006747B8" w14:paraId="18FCB81F" w14:textId="77777777">
      <w:pPr>
        <w:pStyle w:val="ParaNum"/>
        <w:numPr>
          <w:ilvl w:val="0"/>
          <w:numId w:val="0"/>
        </w:numPr>
        <w:ind w:left="720"/>
      </w:pPr>
    </w:p>
    <w:p w:rsidR="008638EC" w:rsidP="008638EC" w14:paraId="34C2B025" w14:textId="15A96971">
      <w:pPr>
        <w:pStyle w:val="Heading1"/>
        <w:numPr>
          <w:ilvl w:val="0"/>
          <w:numId w:val="19"/>
        </w:numPr>
      </w:pPr>
      <w:r>
        <w:t xml:space="preserve">Auction </w:t>
      </w:r>
      <w:r w:rsidR="00CE189B">
        <w:t>B</w:t>
      </w:r>
      <w:r>
        <w:t xml:space="preserve">idding Model </w:t>
      </w:r>
      <w:r w:rsidR="00CE189B">
        <w:t>A</w:t>
      </w:r>
      <w:r>
        <w:t xml:space="preserve">djustment </w:t>
      </w:r>
      <w:r w:rsidR="00CE189B">
        <w:t>F</w:t>
      </w:r>
      <w:r>
        <w:t>actor</w:t>
      </w:r>
    </w:p>
    <w:p w:rsidR="0016531D" w:rsidRPr="004D1CA3" w:rsidP="00865174" w14:paraId="73681C8F" w14:textId="77777777">
      <w:pPr>
        <w:pStyle w:val="ParaNum"/>
        <w:tabs>
          <w:tab w:val="clear" w:pos="1080"/>
        </w:tabs>
      </w:pPr>
      <w:r w:rsidRPr="0016531D">
        <w:rPr>
          <w:rFonts w:eastAsiaTheme="minorEastAsia"/>
        </w:rPr>
        <w:t>This section uses Mobility Fund Phase I auction data to estimate the effects of terrain and other factors on the requested subsidy amounts for carriers to deploy mobile wireless infrastructure in previously unserved areas.  The Mobility Fund Phase I auction was a reverse auction in which firms bid for subsidies to provide mobile service to all road miles in an unserved geographic area.</w:t>
      </w:r>
      <w:r>
        <w:rPr>
          <w:rStyle w:val="FootnoteReference"/>
          <w:rFonts w:eastAsiaTheme="minorEastAsia"/>
        </w:rPr>
        <w:footnoteReference w:id="55"/>
      </w:r>
      <w:r w:rsidRPr="0016531D">
        <w:rPr>
          <w:rFonts w:eastAsiaTheme="minorEastAsia"/>
        </w:rPr>
        <w:t xml:space="preserve">  A higher bid means a higher subsidy is required for a firm to want to serve the area, which either means the cost to serve the area is high, the expected revenue is low, or the bidder expects less competition from other bidders.  In this section, we regress the observed bids on area-specific variables that account for differences in expected costs and revenues to serve the area and competition in the auction. We find that terrain has a substantial and statistically significant effect on the requested subsidy amount requested by carriers.</w:t>
      </w:r>
      <w:r>
        <w:rPr>
          <w:rStyle w:val="FootnoteReference"/>
          <w:rFonts w:eastAsiaTheme="minorEastAsia"/>
        </w:rPr>
        <w:footnoteReference w:id="56"/>
      </w:r>
      <w:r w:rsidRPr="0016531D">
        <w:rPr>
          <w:rFonts w:eastAsiaTheme="minorEastAsia"/>
        </w:rPr>
        <w:t xml:space="preserve">  </w:t>
      </w:r>
    </w:p>
    <w:p w:rsidR="0016531D" w:rsidP="00865174" w14:paraId="7C1CA0AB" w14:textId="77777777">
      <w:pPr>
        <w:pStyle w:val="ParaNum"/>
        <w:tabs>
          <w:tab w:val="clear" w:pos="1080"/>
        </w:tabs>
        <w:rPr>
          <w:rFonts w:eastAsiaTheme="minorEastAsia"/>
        </w:rPr>
      </w:pPr>
      <w:r w:rsidRPr="7EBF36DC">
        <w:rPr>
          <w:rFonts w:eastAsiaTheme="minorEastAsia"/>
          <w:i/>
          <w:iCs/>
        </w:rPr>
        <w:t xml:space="preserve">Background.  </w:t>
      </w:r>
      <w:r w:rsidRPr="7EBF36DC">
        <w:rPr>
          <w:rFonts w:eastAsiaTheme="minorEastAsia"/>
        </w:rPr>
        <w:t xml:space="preserve">In the Mobility Fund I proceeding, the Commission established Auctions 901 and 902 to distribute universal service funds </w:t>
      </w:r>
      <w:r>
        <w:rPr>
          <w:rFonts w:eastAsiaTheme="minorEastAsia"/>
        </w:rPr>
        <w:t>to areas that lacked sufficient</w:t>
      </w:r>
      <w:r w:rsidRPr="7EBF36DC">
        <w:rPr>
          <w:rFonts w:eastAsiaTheme="minorEastAsia"/>
        </w:rPr>
        <w:t xml:space="preserve"> mobile service.</w:t>
      </w:r>
      <w:r>
        <w:rPr>
          <w:rStyle w:val="FootnoteReference"/>
          <w:rFonts w:eastAsiaTheme="minorEastAsia"/>
        </w:rPr>
        <w:footnoteReference w:id="57"/>
      </w:r>
      <w:r w:rsidRPr="7EBF36DC">
        <w:rPr>
          <w:rFonts w:eastAsiaTheme="minorEastAsia"/>
        </w:rPr>
        <w:t xml:space="preserve">  </w:t>
      </w:r>
      <w:r>
        <w:rPr>
          <w:rFonts w:eastAsiaTheme="minorEastAsia"/>
        </w:rPr>
        <w:t>The analysis uses</w:t>
      </w:r>
      <w:r w:rsidRPr="7EBF36DC">
        <w:rPr>
          <w:rFonts w:eastAsiaTheme="minorEastAsia"/>
        </w:rPr>
        <w:t xml:space="preserve"> </w:t>
      </w:r>
      <w:r>
        <w:rPr>
          <w:rFonts w:eastAsiaTheme="minorEastAsia"/>
        </w:rPr>
        <w:t xml:space="preserve">September 2012 </w:t>
      </w:r>
      <w:r w:rsidRPr="7EBF36DC">
        <w:rPr>
          <w:rFonts w:eastAsiaTheme="minorEastAsia"/>
        </w:rPr>
        <w:t>bidding data from Auction 901</w:t>
      </w:r>
      <w:r>
        <w:rPr>
          <w:rFonts w:eastAsiaTheme="minorEastAsia"/>
        </w:rPr>
        <w:t>.</w:t>
      </w:r>
      <w:r w:rsidRPr="7EBF36DC">
        <w:rPr>
          <w:rFonts w:eastAsiaTheme="minorEastAsia"/>
        </w:rPr>
        <w:t xml:space="preserve"> </w:t>
      </w:r>
      <w:r>
        <w:rPr>
          <w:rFonts w:eastAsiaTheme="minorEastAsia"/>
        </w:rPr>
        <w:t xml:space="preserve"> B</w:t>
      </w:r>
      <w:r w:rsidRPr="7EBF36DC">
        <w:rPr>
          <w:rFonts w:eastAsiaTheme="minorEastAsia"/>
        </w:rPr>
        <w:t xml:space="preserve">idders </w:t>
      </w:r>
      <w:r>
        <w:rPr>
          <w:rFonts w:eastAsiaTheme="minorEastAsia"/>
        </w:rPr>
        <w:t>in the auction</w:t>
      </w:r>
      <w:r w:rsidRPr="7EBF36DC">
        <w:rPr>
          <w:rFonts w:eastAsiaTheme="minorEastAsia"/>
        </w:rPr>
        <w:t xml:space="preserve"> submitted sealed bid</w:t>
      </w:r>
      <w:r>
        <w:rPr>
          <w:rFonts w:eastAsiaTheme="minorEastAsia"/>
        </w:rPr>
        <w:t>s</w:t>
      </w:r>
      <w:r w:rsidRPr="7EBF36DC">
        <w:rPr>
          <w:rFonts w:eastAsiaTheme="minorEastAsia"/>
        </w:rPr>
        <w:t xml:space="preserve"> indicating the subsidy they would accept </w:t>
      </w:r>
      <w:r>
        <w:rPr>
          <w:rFonts w:eastAsiaTheme="minorEastAsia"/>
        </w:rPr>
        <w:t xml:space="preserve">to serve all </w:t>
      </w:r>
      <w:r w:rsidRPr="7EBF36DC">
        <w:rPr>
          <w:rFonts w:eastAsiaTheme="minorEastAsia"/>
        </w:rPr>
        <w:t xml:space="preserve">unserved </w:t>
      </w:r>
      <w:r>
        <w:rPr>
          <w:rFonts w:eastAsiaTheme="minorEastAsia"/>
        </w:rPr>
        <w:t xml:space="preserve">road miles in a given </w:t>
      </w:r>
      <w:r w:rsidRPr="7EBF36DC">
        <w:rPr>
          <w:rFonts w:eastAsiaTheme="minorEastAsia"/>
        </w:rPr>
        <w:t xml:space="preserve">geographic </w:t>
      </w:r>
      <w:r w:rsidRPr="7EBF36DC">
        <w:rPr>
          <w:rFonts w:eastAsiaTheme="minorEastAsia"/>
        </w:rPr>
        <w:t>area</w:t>
      </w:r>
      <w:r>
        <w:rPr>
          <w:rFonts w:eastAsiaTheme="minorEastAsia"/>
        </w:rPr>
        <w:t>.</w:t>
      </w:r>
      <w:r>
        <w:rPr>
          <w:rStyle w:val="FootnoteReference"/>
          <w:rFonts w:eastAsiaTheme="minorEastAsia"/>
        </w:rPr>
        <w:footnoteReference w:id="58"/>
      </w:r>
      <w:r w:rsidRPr="7EBF36DC">
        <w:rPr>
          <w:rFonts w:eastAsiaTheme="minorEastAsia"/>
        </w:rPr>
        <w:t xml:space="preserve">  </w:t>
      </w:r>
      <w:r>
        <w:rPr>
          <w:rFonts w:eastAsiaTheme="minorEastAsia"/>
        </w:rPr>
        <w:t>In our estimation sample, the geographic areas</w:t>
      </w:r>
      <w:r w:rsidRPr="7EBF36DC">
        <w:rPr>
          <w:rFonts w:eastAsiaTheme="minorEastAsia"/>
        </w:rPr>
        <w:t xml:space="preserve"> were </w:t>
      </w:r>
      <w:r>
        <w:rPr>
          <w:rFonts w:eastAsiaTheme="minorEastAsia"/>
        </w:rPr>
        <w:t xml:space="preserve">all Census tract </w:t>
      </w:r>
      <w:r w:rsidRPr="7EBF36DC">
        <w:rPr>
          <w:rFonts w:eastAsiaTheme="minorEastAsia"/>
        </w:rPr>
        <w:t xml:space="preserve">aggregations of unserved </w:t>
      </w:r>
      <w:r>
        <w:rPr>
          <w:rFonts w:eastAsiaTheme="minorEastAsia"/>
        </w:rPr>
        <w:t>road miles</w:t>
      </w:r>
      <w:r w:rsidRPr="7EBF36DC">
        <w:rPr>
          <w:rFonts w:eastAsiaTheme="minorEastAsia"/>
        </w:rPr>
        <w:t>.</w:t>
      </w:r>
      <w:r>
        <w:rPr>
          <w:rStyle w:val="FootnoteReference"/>
          <w:rFonts w:eastAsiaTheme="minorEastAsia"/>
        </w:rPr>
        <w:footnoteReference w:id="59"/>
      </w:r>
      <w:r w:rsidRPr="7EBF36DC">
        <w:rPr>
          <w:rFonts w:eastAsiaTheme="minorEastAsia"/>
        </w:rPr>
        <w:t xml:space="preserve">  </w:t>
      </w:r>
      <w:r>
        <w:rPr>
          <w:rFonts w:eastAsiaTheme="minorEastAsia"/>
        </w:rPr>
        <w:t>The auction was conducted in a single round with b</w:t>
      </w:r>
      <w:r w:rsidRPr="7EBF36DC">
        <w:rPr>
          <w:rFonts w:eastAsiaTheme="minorEastAsia"/>
        </w:rPr>
        <w:t xml:space="preserve">ids simultaneously accepted for all </w:t>
      </w:r>
      <w:r>
        <w:rPr>
          <w:rFonts w:eastAsiaTheme="minorEastAsia"/>
        </w:rPr>
        <w:t>areas</w:t>
      </w:r>
      <w:r w:rsidRPr="7EBF36DC">
        <w:rPr>
          <w:rFonts w:eastAsiaTheme="minorEastAsia"/>
        </w:rPr>
        <w:t xml:space="preserve"> and winning bids were determined by an algorithm that favored lower bids on a per road mile basis, but also kept total awarded bids within a budget.</w:t>
      </w:r>
      <w:r>
        <w:rPr>
          <w:rStyle w:val="FootnoteReference"/>
          <w:rFonts w:eastAsiaTheme="minorEastAsia"/>
        </w:rPr>
        <w:footnoteReference w:id="60"/>
      </w:r>
    </w:p>
    <w:p w:rsidR="0016531D" w:rsidRPr="00130AFC" w:rsidP="00865174" w14:paraId="714CB0BC" w14:textId="77777777">
      <w:pPr>
        <w:pStyle w:val="ParaNum"/>
        <w:tabs>
          <w:tab w:val="clear" w:pos="1080"/>
        </w:tabs>
        <w:rPr>
          <w:rFonts w:eastAsiaTheme="minorEastAsia"/>
        </w:rPr>
      </w:pPr>
      <w:r w:rsidRPr="7EBF36DC">
        <w:rPr>
          <w:rFonts w:eastAsiaTheme="minorEastAsia"/>
          <w:i/>
          <w:iCs/>
        </w:rPr>
        <w:t xml:space="preserve">Regression Specification.  </w:t>
      </w:r>
      <w:r w:rsidRPr="7EBF36DC">
        <w:rPr>
          <w:rFonts w:eastAsiaTheme="minorEastAsia"/>
        </w:rPr>
        <w:t>Bids in a</w:t>
      </w:r>
      <w:r>
        <w:rPr>
          <w:rFonts w:eastAsiaTheme="minorEastAsia"/>
        </w:rPr>
        <w:t>n</w:t>
      </w:r>
      <w:r w:rsidRPr="7EBF36DC">
        <w:rPr>
          <w:rFonts w:eastAsiaTheme="minorEastAsia"/>
        </w:rPr>
        <w:t xml:space="preserve"> auction </w:t>
      </w:r>
      <w:r>
        <w:rPr>
          <w:rFonts w:eastAsiaTheme="minorEastAsia"/>
        </w:rPr>
        <w:t xml:space="preserve">for </w:t>
      </w:r>
      <w:r w:rsidRPr="7EBF36DC">
        <w:rPr>
          <w:rFonts w:eastAsiaTheme="minorEastAsia"/>
        </w:rPr>
        <w:t>subsid</w:t>
      </w:r>
      <w:r>
        <w:rPr>
          <w:rFonts w:eastAsiaTheme="minorEastAsia"/>
        </w:rPr>
        <w:t>ies s</w:t>
      </w:r>
      <w:r w:rsidRPr="7EBF36DC">
        <w:rPr>
          <w:rFonts w:eastAsiaTheme="minorEastAsia"/>
        </w:rPr>
        <w:t xml:space="preserve">hould reflect the relative profitability of the </w:t>
      </w:r>
      <w:r>
        <w:rPr>
          <w:rFonts w:eastAsiaTheme="minorEastAsia"/>
        </w:rPr>
        <w:t>geographic areas</w:t>
      </w:r>
      <w:r w:rsidRPr="7EBF36DC">
        <w:rPr>
          <w:rFonts w:eastAsiaTheme="minorEastAsia"/>
        </w:rPr>
        <w:t xml:space="preserve"> for auction.  </w:t>
      </w:r>
      <w:r>
        <w:rPr>
          <w:rFonts w:eastAsiaTheme="minorEastAsia"/>
        </w:rPr>
        <w:t>Those geographic areas</w:t>
      </w:r>
      <w:r w:rsidRPr="7EBF36DC">
        <w:rPr>
          <w:rFonts w:eastAsiaTheme="minorEastAsia"/>
        </w:rPr>
        <w:t xml:space="preserve"> that bring in more revenue and cost less </w:t>
      </w:r>
      <w:r>
        <w:rPr>
          <w:rFonts w:eastAsiaTheme="minorEastAsia"/>
        </w:rPr>
        <w:t xml:space="preserve">to serve </w:t>
      </w:r>
      <w:r w:rsidRPr="7EBF36DC">
        <w:rPr>
          <w:rFonts w:eastAsiaTheme="minorEastAsia"/>
        </w:rPr>
        <w:t>should require a lower subsidy to in</w:t>
      </w:r>
      <w:r>
        <w:rPr>
          <w:rFonts w:eastAsiaTheme="minorEastAsia"/>
        </w:rPr>
        <w:t>duce the bidder to serve</w:t>
      </w:r>
      <w:r w:rsidRPr="7EBF36DC">
        <w:rPr>
          <w:rFonts w:eastAsiaTheme="minorEastAsia"/>
        </w:rPr>
        <w:t>, and</w:t>
      </w:r>
      <w:r>
        <w:rPr>
          <w:rFonts w:eastAsiaTheme="minorEastAsia"/>
        </w:rPr>
        <w:t>, accordingly,</w:t>
      </w:r>
      <w:r w:rsidRPr="7EBF36DC">
        <w:rPr>
          <w:rFonts w:eastAsiaTheme="minorEastAsia"/>
        </w:rPr>
        <w:t xml:space="preserve"> such </w:t>
      </w:r>
      <w:r>
        <w:rPr>
          <w:rFonts w:eastAsiaTheme="minorEastAsia"/>
        </w:rPr>
        <w:t>areas</w:t>
      </w:r>
      <w:r w:rsidRPr="7EBF36DC">
        <w:rPr>
          <w:rFonts w:eastAsiaTheme="minorEastAsia"/>
        </w:rPr>
        <w:t xml:space="preserve"> should receive lower bids</w:t>
      </w:r>
      <w:r>
        <w:rPr>
          <w:rFonts w:eastAsiaTheme="minorEastAsia"/>
        </w:rPr>
        <w:t>, all else equal</w:t>
      </w:r>
      <w:r w:rsidRPr="7EBF36DC">
        <w:rPr>
          <w:rFonts w:eastAsiaTheme="minorEastAsia"/>
        </w:rPr>
        <w:t xml:space="preserve">.  We use linear regression to estimate the following specification of the effect of various revenue and cost </w:t>
      </w:r>
      <w:r>
        <w:rPr>
          <w:rFonts w:eastAsiaTheme="minorEastAsia"/>
        </w:rPr>
        <w:t>factors</w:t>
      </w:r>
      <w:r w:rsidRPr="7EBF36DC">
        <w:rPr>
          <w:rFonts w:eastAsiaTheme="minorEastAsia"/>
        </w:rPr>
        <w:t xml:space="preserve"> on bids:</w:t>
      </w:r>
    </w:p>
    <w:p w:rsidR="0016531D" w:rsidRPr="00352573" w:rsidP="0016531D" w14:paraId="26251CCD" w14:textId="77777777">
      <w:pPr>
        <w:spacing w:after="120"/>
        <w:rPr>
          <w:rFonts w:eastAsiaTheme="minorEastAsia"/>
        </w:rPr>
      </w:pPr>
      <m:oMathPara>
        <m:oMath>
          <m:func>
            <m:funcPr>
              <m:ctrlPr>
                <w:rPr>
                  <w:rFonts w:ascii="Cambria Math" w:hAnsi="Cambria Math" w:eastAsiaTheme="minorEastAsia"/>
                </w:rPr>
              </m:ctrlPr>
            </m:funcPr>
            <m:fName>
              <m:r>
                <m:rPr>
                  <m:sty m:val="p"/>
                </m:rPr>
                <w:rPr>
                  <w:rFonts w:ascii="Cambria Math" w:hAnsi="Cambria Math" w:eastAsiaTheme="minorEastAsia"/>
                </w:rPr>
                <m:t>ln</m:t>
              </m:r>
            </m:fName>
            <m:e>
              <m:d>
                <m:dPr>
                  <m:ctrlPr>
                    <w:rPr>
                      <w:rFonts w:ascii="Cambria Math" w:hAnsi="Cambria Math" w:eastAsiaTheme="minorEastAsia"/>
                      <w:i/>
                    </w:rPr>
                  </m:ctrlPr>
                </m:dPr>
                <m:e>
                  <m:r>
                    <w:rPr>
                      <w:rFonts w:ascii="Cambria Math" w:hAnsi="Cambria Math" w:eastAsiaTheme="minorEastAsia"/>
                    </w:rPr>
                    <m:t>Bi</m:t>
                  </m:r>
                  <m:sSub>
                    <m:sSubPr>
                      <m:ctrlPr>
                        <w:rPr>
                          <w:rFonts w:ascii="Cambria Math" w:hAnsi="Cambria Math" w:eastAsiaTheme="minorEastAsia"/>
                          <w:i/>
                        </w:rPr>
                      </m:ctrlPr>
                    </m:sSubPr>
                    <m:e>
                      <m:r>
                        <w:rPr>
                          <w:rFonts w:ascii="Cambria Math" w:hAnsi="Cambria Math" w:eastAsiaTheme="minorEastAsia"/>
                        </w:rPr>
                        <m:t>d</m:t>
                      </m:r>
                    </m:e>
                    <m:sub>
                      <m:r>
                        <w:rPr>
                          <w:rFonts w:ascii="Cambria Math" w:hAnsi="Cambria Math" w:eastAsiaTheme="minorEastAsia"/>
                        </w:rPr>
                        <m:t>ij</m:t>
                      </m:r>
                    </m:sub>
                  </m:sSub>
                </m:e>
              </m:d>
            </m:e>
          </m:func>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X</m:t>
              </m:r>
            </m:e>
            <m:sub>
              <m:r>
                <w:rPr>
                  <w:rFonts w:ascii="Cambria Math" w:hAnsi="Cambria Math" w:eastAsiaTheme="minorEastAsia"/>
                </w:rPr>
                <m:t>ij</m:t>
              </m:r>
            </m:sub>
          </m:sSub>
          <m:r>
            <w:rPr>
              <w:rFonts w:ascii="Cambria Math" w:hAnsi="Cambria Math" w:eastAsiaTheme="minorEastAsia"/>
            </w:rPr>
            <m:t>β+</m:t>
          </m:r>
          <m:sSub>
            <m:sSubPr>
              <m:ctrlPr>
                <w:rPr>
                  <w:rFonts w:ascii="Cambria Math" w:hAnsi="Cambria Math" w:eastAsiaTheme="minorEastAsia"/>
                  <w:i/>
                </w:rPr>
              </m:ctrlPr>
            </m:sSubPr>
            <m:e>
              <m:r>
                <w:rPr>
                  <w:rFonts w:ascii="Cambria Math" w:hAnsi="Cambria Math" w:eastAsiaTheme="minorEastAsia"/>
                </w:rPr>
                <m:t>ϕ</m:t>
              </m:r>
            </m:e>
            <m:sub>
              <m:r>
                <w:rPr>
                  <w:rFonts w:ascii="Cambria Math" w:hAnsi="Cambria Math" w:eastAsiaTheme="minorEastAsia"/>
                </w:rPr>
                <m:t>j</m:t>
              </m:r>
            </m:sub>
          </m:sSub>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ϵ</m:t>
              </m:r>
            </m:e>
            <m:sub>
              <m:r>
                <w:rPr>
                  <w:rFonts w:ascii="Cambria Math" w:hAnsi="Cambria Math" w:eastAsiaTheme="minorEastAsia"/>
                </w:rPr>
                <m:t>ij</m:t>
              </m:r>
            </m:sub>
          </m:sSub>
        </m:oMath>
      </m:oMathPara>
    </w:p>
    <w:p w:rsidR="0016531D" w:rsidRPr="00352573" w:rsidP="00865174" w14:paraId="78CEABBA" w14:textId="77777777">
      <w:pPr>
        <w:pStyle w:val="ParaNum"/>
        <w:tabs>
          <w:tab w:val="clear" w:pos="1080"/>
        </w:tabs>
        <w:rPr>
          <w:rFonts w:eastAsiaTheme="minorEastAsia"/>
        </w:rPr>
      </w:pPr>
      <w:r w:rsidRPr="7EBF36DC">
        <w:rPr>
          <w:rFonts w:eastAsiaTheme="minorEastAsia"/>
        </w:rPr>
        <w:t xml:space="preserve">We assume the natural logarithm of the </w:t>
      </w:r>
      <w:r>
        <w:rPr>
          <w:rFonts w:eastAsiaTheme="minorEastAsia"/>
        </w:rPr>
        <w:t xml:space="preserve">dollar per road mile </w:t>
      </w:r>
      <w:r w:rsidRPr="7EBF36DC">
        <w:rPr>
          <w:rFonts w:eastAsiaTheme="minorEastAsia"/>
        </w:rPr>
        <w:t xml:space="preserve">bid (log bids) is a function of expected revenue and cost </w:t>
      </w:r>
      <w:r>
        <w:rPr>
          <w:rFonts w:eastAsiaTheme="minorEastAsia"/>
        </w:rPr>
        <w:t>factors</w:t>
      </w:r>
      <w:r w:rsidRPr="7EBF36DC">
        <w:rPr>
          <w:rFonts w:eastAsiaTheme="minorEastAsia"/>
        </w:rPr>
        <w:t xml:space="preserve">, </w:t>
      </w:r>
      <m:oMath>
        <m:sSub>
          <m:sSubPr>
            <m:ctrlPr>
              <w:rPr>
                <w:rFonts w:ascii="Cambria Math" w:hAnsi="Cambria Math" w:eastAsiaTheme="minorEastAsia"/>
                <w:i/>
              </w:rPr>
            </m:ctrlPr>
          </m:sSubPr>
          <m:e>
            <m:r>
              <w:rPr>
                <w:rFonts w:ascii="Cambria Math" w:hAnsi="Cambria Math" w:eastAsiaTheme="minorEastAsia"/>
              </w:rPr>
              <m:t>X</m:t>
            </m:r>
          </m:e>
          <m:sub>
            <m:r>
              <w:rPr>
                <w:rFonts w:ascii="Cambria Math" w:hAnsi="Cambria Math" w:eastAsiaTheme="minorEastAsia"/>
              </w:rPr>
              <m:t>ij</m:t>
            </m:r>
          </m:sub>
        </m:sSub>
      </m:oMath>
      <w:r w:rsidRPr="7EBF36DC">
        <w:rPr>
          <w:rFonts w:eastAsiaTheme="minorEastAsia"/>
        </w:rPr>
        <w:t xml:space="preserve">, plus bidder level fixed effects, </w:t>
      </w:r>
      <m:oMath>
        <m:sSub>
          <m:sSubPr>
            <m:ctrlPr>
              <w:rPr>
                <w:rFonts w:ascii="Cambria Math" w:hAnsi="Cambria Math" w:eastAsiaTheme="minorEastAsia"/>
                <w:i/>
              </w:rPr>
            </m:ctrlPr>
          </m:sSubPr>
          <m:e>
            <m:r>
              <w:rPr>
                <w:rFonts w:ascii="Cambria Math" w:hAnsi="Cambria Math" w:eastAsiaTheme="minorEastAsia"/>
              </w:rPr>
              <m:t>ϕ</m:t>
            </m:r>
          </m:e>
          <m:sub>
            <m:r>
              <w:rPr>
                <w:rFonts w:ascii="Cambria Math" w:hAnsi="Cambria Math" w:eastAsiaTheme="minorEastAsia"/>
              </w:rPr>
              <m:t>j</m:t>
            </m:r>
          </m:sub>
        </m:sSub>
      </m:oMath>
      <w:r w:rsidRPr="7EBF36DC">
        <w:rPr>
          <w:rFonts w:eastAsiaTheme="minorEastAsia"/>
        </w:rPr>
        <w:t xml:space="preserve">, where </w:t>
      </w:r>
      <w:r w:rsidRPr="7EBF36DC">
        <w:rPr>
          <w:rFonts w:eastAsiaTheme="minorEastAsia"/>
          <w:i/>
          <w:iCs/>
        </w:rPr>
        <w:t>i</w:t>
      </w:r>
      <w:r w:rsidRPr="7EBF36DC">
        <w:rPr>
          <w:rFonts w:eastAsiaTheme="minorEastAsia"/>
        </w:rPr>
        <w:t xml:space="preserve"> indicates a specific </w:t>
      </w:r>
      <w:r>
        <w:rPr>
          <w:rFonts w:eastAsiaTheme="minorEastAsia"/>
        </w:rPr>
        <w:t xml:space="preserve">geographic area </w:t>
      </w:r>
      <w:r w:rsidRPr="7EBF36DC">
        <w:rPr>
          <w:rFonts w:eastAsiaTheme="minorEastAsia"/>
        </w:rPr>
        <w:t>and</w:t>
      </w:r>
      <w:r w:rsidRPr="7EBF36DC">
        <w:rPr>
          <w:rFonts w:eastAsiaTheme="minorEastAsia"/>
          <w:i/>
          <w:iCs/>
        </w:rPr>
        <w:t xml:space="preserve"> j</w:t>
      </w:r>
      <w:r w:rsidRPr="7EBF36DC">
        <w:rPr>
          <w:rFonts w:eastAsiaTheme="minorEastAsia"/>
        </w:rPr>
        <w:t xml:space="preserve"> indicates the bidder.  These </w:t>
      </w:r>
      <w:r>
        <w:rPr>
          <w:rFonts w:eastAsiaTheme="minorEastAsia"/>
        </w:rPr>
        <w:t>factors</w:t>
      </w:r>
      <w:r w:rsidRPr="7EBF36DC">
        <w:rPr>
          <w:rFonts w:eastAsiaTheme="minorEastAsia"/>
        </w:rPr>
        <w:t xml:space="preserve"> include our measure of terrain roughness, </w:t>
      </w:r>
      <w:r>
        <w:rPr>
          <w:rFonts w:eastAsiaTheme="minorEastAsia"/>
        </w:rPr>
        <w:t>area</w:t>
      </w:r>
      <w:r w:rsidRPr="7EBF36DC">
        <w:rPr>
          <w:rFonts w:eastAsiaTheme="minorEastAsia"/>
        </w:rPr>
        <w:t xml:space="preserve"> demographics and variables designed to capture competitive aspects of bidding and competition in the service market.  The vector </w:t>
      </w:r>
      <m:oMath>
        <m:r>
          <w:rPr>
            <w:rFonts w:ascii="Cambria Math" w:hAnsi="Cambria Math" w:eastAsiaTheme="minorEastAsia"/>
          </w:rPr>
          <m:t>β</m:t>
        </m:r>
      </m:oMath>
      <w:r w:rsidRPr="7EBF36DC">
        <w:rPr>
          <w:rFonts w:eastAsiaTheme="minorEastAsia"/>
        </w:rPr>
        <w:t xml:space="preserve"> represents the </w:t>
      </w:r>
      <w:r>
        <w:rPr>
          <w:rFonts w:eastAsiaTheme="minorEastAsia"/>
        </w:rPr>
        <w:t>collective effects</w:t>
      </w:r>
      <w:r w:rsidRPr="7EBF36DC">
        <w:rPr>
          <w:rFonts w:eastAsiaTheme="minorEastAsia"/>
        </w:rPr>
        <w:t xml:space="preserve"> of the individual </w:t>
      </w:r>
      <w:r>
        <w:rPr>
          <w:rFonts w:eastAsiaTheme="minorEastAsia"/>
        </w:rPr>
        <w:t>factor</w:t>
      </w:r>
      <w:r w:rsidRPr="7EBF36DC">
        <w:rPr>
          <w:rFonts w:eastAsiaTheme="minorEastAsia"/>
        </w:rPr>
        <w:t>s.  We use log bids because the distribution of bids is highly skewed</w:t>
      </w:r>
      <w:r>
        <w:rPr>
          <w:rFonts w:eastAsiaTheme="minorEastAsia"/>
        </w:rPr>
        <w:t>, and t</w:t>
      </w:r>
      <w:r w:rsidRPr="7EBF36DC">
        <w:rPr>
          <w:rFonts w:eastAsiaTheme="minorEastAsia"/>
        </w:rPr>
        <w:t xml:space="preserve">he log transformation makes the resulting data </w:t>
      </w:r>
      <w:r>
        <w:rPr>
          <w:rFonts w:eastAsiaTheme="minorEastAsia"/>
        </w:rPr>
        <w:t xml:space="preserve">fit a normal distribution more </w:t>
      </w:r>
      <w:r w:rsidRPr="7EBF36DC">
        <w:rPr>
          <w:rFonts w:eastAsiaTheme="minorEastAsia"/>
        </w:rPr>
        <w:t>clos</w:t>
      </w:r>
      <w:r>
        <w:rPr>
          <w:rFonts w:eastAsiaTheme="minorEastAsia"/>
        </w:rPr>
        <w:t xml:space="preserve">ely, </w:t>
      </w:r>
      <w:r w:rsidRPr="7EBF36DC">
        <w:rPr>
          <w:rFonts w:eastAsiaTheme="minorEastAsia"/>
        </w:rPr>
        <w:t xml:space="preserve">and thus better </w:t>
      </w:r>
      <w:r>
        <w:rPr>
          <w:rFonts w:eastAsiaTheme="minorEastAsia"/>
        </w:rPr>
        <w:t>meets</w:t>
      </w:r>
      <w:r w:rsidRPr="7EBF36DC">
        <w:rPr>
          <w:rFonts w:eastAsiaTheme="minorEastAsia"/>
        </w:rPr>
        <w:t xml:space="preserve"> the classical assumptions for linear regression.  In addition, because many skewed </w:t>
      </w:r>
      <w:r>
        <w:rPr>
          <w:rFonts w:eastAsiaTheme="minorEastAsia"/>
        </w:rPr>
        <w:t>factor</w:t>
      </w:r>
      <w:r w:rsidRPr="7EBF36DC">
        <w:rPr>
          <w:rFonts w:eastAsiaTheme="minorEastAsia"/>
        </w:rPr>
        <w:t xml:space="preserve">s in </w:t>
      </w:r>
      <m:oMath>
        <m:sSub>
          <m:sSubPr>
            <m:ctrlPr>
              <w:rPr>
                <w:rFonts w:ascii="Cambria Math" w:hAnsi="Cambria Math" w:eastAsiaTheme="minorEastAsia"/>
                <w:i/>
              </w:rPr>
            </m:ctrlPr>
          </m:sSubPr>
          <m:e>
            <m:r>
              <w:rPr>
                <w:rFonts w:ascii="Cambria Math" w:hAnsi="Cambria Math" w:eastAsiaTheme="minorEastAsia"/>
              </w:rPr>
              <m:t>X</m:t>
            </m:r>
          </m:e>
          <m:sub>
            <m:r>
              <w:rPr>
                <w:rFonts w:ascii="Cambria Math" w:hAnsi="Cambria Math" w:eastAsiaTheme="minorEastAsia"/>
              </w:rPr>
              <m:t>ij</m:t>
            </m:r>
          </m:sub>
        </m:sSub>
      </m:oMath>
      <w:r w:rsidRPr="7EBF36DC">
        <w:rPr>
          <w:rFonts w:eastAsiaTheme="minorEastAsia"/>
        </w:rPr>
        <w:t xml:space="preserve"> are also log-transformed, most of the coefficients in </w:t>
      </w:r>
      <m:oMath>
        <m:r>
          <w:rPr>
            <w:rFonts w:ascii="Cambria Math" w:hAnsi="Cambria Math" w:eastAsiaTheme="minorEastAsia"/>
          </w:rPr>
          <m:t>β</m:t>
        </m:r>
      </m:oMath>
      <w:r w:rsidRPr="7EBF36DC">
        <w:rPr>
          <w:rFonts w:eastAsiaTheme="minorEastAsia"/>
        </w:rPr>
        <w:t xml:space="preserve"> can be interpreted as elasticities; i.e. a coefficient </w:t>
      </w:r>
      <m:oMath>
        <m:sSub>
          <m:sSubPr>
            <m:ctrlPr>
              <w:rPr>
                <w:rFonts w:ascii="Cambria Math" w:hAnsi="Cambria Math" w:eastAsiaTheme="minorEastAsia"/>
                <w:i/>
              </w:rPr>
            </m:ctrlPr>
          </m:sSubPr>
          <m:e>
            <m:r>
              <w:rPr>
                <w:rFonts w:ascii="Cambria Math" w:hAnsi="Cambria Math" w:eastAsiaTheme="minorEastAsia"/>
              </w:rPr>
              <m:t>β</m:t>
            </m:r>
          </m:e>
          <m:sub>
            <m:r>
              <w:rPr>
                <w:rFonts w:ascii="Cambria Math" w:hAnsi="Cambria Math" w:eastAsiaTheme="minorEastAsia"/>
              </w:rPr>
              <m:t>k</m:t>
            </m:r>
          </m:sub>
        </m:sSub>
      </m:oMath>
      <w:r w:rsidRPr="7EBF36DC">
        <w:rPr>
          <w:rFonts w:eastAsiaTheme="minorEastAsia"/>
        </w:rPr>
        <w:t xml:space="preserve"> of a </w:t>
      </w:r>
      <w:r>
        <w:rPr>
          <w:rFonts w:eastAsiaTheme="minorEastAsia"/>
        </w:rPr>
        <w:t xml:space="preserve">factor </w:t>
      </w:r>
      <m:oMath>
        <m:sSubSup>
          <m:sSubSupPr>
            <m:ctrlPr>
              <w:rPr>
                <w:rFonts w:ascii="Cambria Math" w:hAnsi="Cambria Math" w:eastAsiaTheme="minorEastAsia"/>
                <w:i/>
              </w:rPr>
            </m:ctrlPr>
          </m:sSubSupPr>
          <m:e>
            <m:r>
              <w:rPr>
                <w:rFonts w:ascii="Cambria Math" w:hAnsi="Cambria Math" w:eastAsiaTheme="minorEastAsia"/>
              </w:rPr>
              <m:t>X</m:t>
            </m:r>
          </m:e>
          <m:sub>
            <m:r>
              <w:rPr>
                <w:rFonts w:ascii="Cambria Math" w:hAnsi="Cambria Math" w:eastAsiaTheme="minorEastAsia"/>
              </w:rPr>
              <m:t>ij</m:t>
            </m:r>
          </m:sub>
          <m:sup>
            <m:r>
              <w:rPr>
                <w:rFonts w:ascii="Cambria Math" w:hAnsi="Cambria Math" w:eastAsiaTheme="minorEastAsia"/>
              </w:rPr>
              <m:t>k</m:t>
            </m:r>
          </m:sup>
        </m:sSubSup>
      </m:oMath>
      <w:r w:rsidRPr="7EBF36DC">
        <w:rPr>
          <w:rFonts w:eastAsiaTheme="minorEastAsia"/>
        </w:rPr>
        <w:t xml:space="preserve"> implies a </w:t>
      </w:r>
      <m:oMath>
        <m:sSub>
          <m:sSubPr>
            <m:ctrlPr>
              <w:rPr>
                <w:rFonts w:ascii="Cambria Math" w:hAnsi="Cambria Math" w:eastAsiaTheme="minorEastAsia"/>
                <w:i/>
              </w:rPr>
            </m:ctrlPr>
          </m:sSubPr>
          <m:e>
            <m:r>
              <w:rPr>
                <w:rFonts w:ascii="Cambria Math" w:hAnsi="Cambria Math" w:eastAsiaTheme="minorEastAsia"/>
              </w:rPr>
              <m:t>β</m:t>
            </m:r>
          </m:e>
          <m:sub>
            <m:r>
              <w:rPr>
                <w:rFonts w:ascii="Cambria Math" w:hAnsi="Cambria Math" w:eastAsiaTheme="minorEastAsia"/>
              </w:rPr>
              <m:t>k</m:t>
            </m:r>
          </m:sub>
        </m:sSub>
      </m:oMath>
      <w:r w:rsidRPr="7EBF36DC">
        <w:rPr>
          <w:rFonts w:eastAsiaTheme="minorEastAsia"/>
        </w:rPr>
        <w:t xml:space="preserve"> percent change of the dollars per road mile bid with a 1 percent change in that untransformed </w:t>
      </w:r>
      <w:r>
        <w:rPr>
          <w:rFonts w:eastAsiaTheme="minorEastAsia"/>
        </w:rPr>
        <w:t>factor</w:t>
      </w:r>
      <w:r w:rsidRPr="7EBF36DC">
        <w:rPr>
          <w:rFonts w:eastAsiaTheme="minorEastAsia"/>
        </w:rPr>
        <w:t>.  The bidder</w:t>
      </w:r>
      <w:r>
        <w:rPr>
          <w:rFonts w:eastAsiaTheme="minorEastAsia"/>
        </w:rPr>
        <w:t>-</w:t>
      </w:r>
      <w:r w:rsidRPr="7EBF36DC">
        <w:rPr>
          <w:rFonts w:eastAsiaTheme="minorEastAsia"/>
        </w:rPr>
        <w:t xml:space="preserve">level fixed effects, </w:t>
      </w:r>
      <m:oMath>
        <m:sSub>
          <m:sSubPr>
            <m:ctrlPr>
              <w:rPr>
                <w:rFonts w:ascii="Cambria Math" w:hAnsi="Cambria Math" w:eastAsiaTheme="minorEastAsia"/>
                <w:i/>
              </w:rPr>
            </m:ctrlPr>
          </m:sSubPr>
          <m:e>
            <m:r>
              <w:rPr>
                <w:rFonts w:ascii="Cambria Math" w:hAnsi="Cambria Math" w:eastAsiaTheme="minorEastAsia"/>
              </w:rPr>
              <m:t>ϕ</m:t>
            </m:r>
          </m:e>
          <m:sub>
            <m:r>
              <w:rPr>
                <w:rFonts w:ascii="Cambria Math" w:hAnsi="Cambria Math" w:eastAsiaTheme="minorEastAsia"/>
              </w:rPr>
              <m:t>j</m:t>
            </m:r>
          </m:sub>
        </m:sSub>
      </m:oMath>
      <w:r w:rsidRPr="7EBF36DC">
        <w:rPr>
          <w:rFonts w:eastAsiaTheme="minorEastAsia"/>
        </w:rPr>
        <w:t xml:space="preserve">, represent differences in costs and productivity that are entirely specific to the bidders themselves, and are not reducible to the observable characteristics of the </w:t>
      </w:r>
      <w:r>
        <w:rPr>
          <w:rFonts w:eastAsiaTheme="minorEastAsia"/>
        </w:rPr>
        <w:t xml:space="preserve">geographic area </w:t>
      </w:r>
      <w:r w:rsidRPr="7EBF36DC">
        <w:rPr>
          <w:rFonts w:eastAsiaTheme="minorEastAsia"/>
        </w:rPr>
        <w:t xml:space="preserve">or bidders.  Finally, </w:t>
      </w:r>
      <m:oMath>
        <m:sSub>
          <m:sSubPr>
            <m:ctrlPr>
              <w:rPr>
                <w:rFonts w:ascii="Cambria Math" w:hAnsi="Cambria Math" w:eastAsiaTheme="minorEastAsia"/>
                <w:i/>
              </w:rPr>
            </m:ctrlPr>
          </m:sSubPr>
          <m:e>
            <m:r>
              <w:rPr>
                <w:rFonts w:ascii="Cambria Math" w:hAnsi="Cambria Math" w:eastAsiaTheme="minorEastAsia"/>
              </w:rPr>
              <m:t>ϵ</m:t>
            </m:r>
          </m:e>
          <m:sub>
            <m:r>
              <w:rPr>
                <w:rFonts w:ascii="Cambria Math" w:hAnsi="Cambria Math" w:eastAsiaTheme="minorEastAsia"/>
              </w:rPr>
              <m:t>ij</m:t>
            </m:r>
          </m:sub>
        </m:sSub>
      </m:oMath>
      <w:r w:rsidRPr="7EBF36DC">
        <w:rPr>
          <w:rFonts w:eastAsiaTheme="minorEastAsia"/>
        </w:rPr>
        <w:t xml:space="preserve"> represents the impact of </w:t>
      </w:r>
      <w:r>
        <w:rPr>
          <w:rFonts w:eastAsiaTheme="minorEastAsia"/>
        </w:rPr>
        <w:t>any other</w:t>
      </w:r>
      <w:r w:rsidRPr="7EBF36DC">
        <w:rPr>
          <w:rFonts w:eastAsiaTheme="minorEastAsia"/>
        </w:rPr>
        <w:t xml:space="preserve"> determinants of bid level, such as cost or revenue </w:t>
      </w:r>
      <w:r>
        <w:rPr>
          <w:rFonts w:eastAsiaTheme="minorEastAsia"/>
        </w:rPr>
        <w:t>factor</w:t>
      </w:r>
      <w:r w:rsidRPr="7EBF36DC">
        <w:rPr>
          <w:rFonts w:eastAsiaTheme="minorEastAsia"/>
        </w:rPr>
        <w:t xml:space="preserve">s specific to the </w:t>
      </w:r>
      <w:r>
        <w:rPr>
          <w:rFonts w:eastAsiaTheme="minorEastAsia"/>
        </w:rPr>
        <w:t>area</w:t>
      </w:r>
      <w:r w:rsidRPr="7EBF36DC">
        <w:rPr>
          <w:rFonts w:eastAsiaTheme="minorEastAsia"/>
        </w:rPr>
        <w:t>, that are not observed in any dataset to which we have access.</w:t>
      </w:r>
    </w:p>
    <w:p w:rsidR="0016531D" w:rsidRPr="00130AFC" w:rsidP="00865174" w14:paraId="2B9EF4CF" w14:textId="77777777">
      <w:pPr>
        <w:pStyle w:val="ParaNum"/>
        <w:tabs>
          <w:tab w:val="clear" w:pos="1080"/>
        </w:tabs>
        <w:rPr>
          <w:rFonts w:eastAsiaTheme="minorEastAsia"/>
        </w:rPr>
      </w:pPr>
      <w:r w:rsidRPr="7EBF36DC">
        <w:rPr>
          <w:rFonts w:eastAsiaTheme="minorEastAsia"/>
          <w:i/>
          <w:iCs/>
        </w:rPr>
        <w:t xml:space="preserve">Sample.  </w:t>
      </w:r>
      <w:r w:rsidRPr="7EBF36DC">
        <w:rPr>
          <w:rFonts w:eastAsiaTheme="minorEastAsia"/>
        </w:rPr>
        <w:t xml:space="preserve">Our estimating equation is </w:t>
      </w:r>
      <w:r>
        <w:rPr>
          <w:rFonts w:eastAsiaTheme="minorEastAsia"/>
        </w:rPr>
        <w:t>more</w:t>
      </w:r>
      <w:r w:rsidRPr="7EBF36DC">
        <w:rPr>
          <w:rFonts w:eastAsiaTheme="minorEastAsia"/>
        </w:rPr>
        <w:t xml:space="preserve"> likely to be appropriate when </w:t>
      </w:r>
      <w:r>
        <w:rPr>
          <w:rFonts w:eastAsiaTheme="minorEastAsia"/>
        </w:rPr>
        <w:t xml:space="preserve">areas included in the </w:t>
      </w:r>
      <w:r w:rsidRPr="7EBF36DC">
        <w:rPr>
          <w:rFonts w:eastAsiaTheme="minorEastAsia"/>
        </w:rPr>
        <w:t xml:space="preserve">data </w:t>
      </w:r>
      <w:r>
        <w:rPr>
          <w:rFonts w:eastAsiaTheme="minorEastAsia"/>
        </w:rPr>
        <w:t>set are generally more comparable</w:t>
      </w:r>
      <w:r w:rsidRPr="7EBF36DC">
        <w:rPr>
          <w:rFonts w:eastAsiaTheme="minorEastAsia"/>
        </w:rPr>
        <w:t xml:space="preserve">, so </w:t>
      </w:r>
      <w:r>
        <w:rPr>
          <w:rFonts w:eastAsiaTheme="minorEastAsia"/>
        </w:rPr>
        <w:t>we</w:t>
      </w:r>
      <w:r w:rsidRPr="7EBF36DC">
        <w:rPr>
          <w:rFonts w:eastAsiaTheme="minorEastAsia"/>
        </w:rPr>
        <w:t xml:space="preserve"> exclude a variety of </w:t>
      </w:r>
      <w:r>
        <w:rPr>
          <w:rFonts w:eastAsiaTheme="minorEastAsia"/>
        </w:rPr>
        <w:t>area</w:t>
      </w:r>
      <w:r w:rsidRPr="7EBF36DC">
        <w:rPr>
          <w:rFonts w:eastAsiaTheme="minorEastAsia"/>
        </w:rPr>
        <w:t xml:space="preserve">s </w:t>
      </w:r>
      <w:r>
        <w:rPr>
          <w:rFonts w:eastAsiaTheme="minorEastAsia"/>
        </w:rPr>
        <w:t xml:space="preserve">from the sample </w:t>
      </w:r>
      <w:r w:rsidRPr="7EBF36DC">
        <w:rPr>
          <w:rFonts w:eastAsiaTheme="minorEastAsia"/>
        </w:rPr>
        <w:t xml:space="preserve">to maximize the comparability of </w:t>
      </w:r>
      <w:r>
        <w:rPr>
          <w:rFonts w:eastAsiaTheme="minorEastAsia"/>
        </w:rPr>
        <w:t>geographic areas</w:t>
      </w:r>
      <w:r w:rsidRPr="7EBF36DC">
        <w:rPr>
          <w:rFonts w:eastAsiaTheme="minorEastAsia"/>
        </w:rPr>
        <w:t xml:space="preserve"> and bids</w:t>
      </w:r>
      <w:r>
        <w:rPr>
          <w:rFonts w:eastAsiaTheme="minorEastAsia"/>
        </w:rPr>
        <w:t>.</w:t>
      </w:r>
      <w:r>
        <w:rPr>
          <w:rStyle w:val="FootnoteReference"/>
          <w:rFonts w:eastAsiaTheme="minorEastAsia"/>
        </w:rPr>
        <w:footnoteReference w:id="61"/>
      </w:r>
      <w:r w:rsidRPr="7EBF36DC">
        <w:rPr>
          <w:rFonts w:eastAsiaTheme="minorEastAsia"/>
        </w:rPr>
        <w:t xml:space="preserve">  The 5,</w:t>
      </w:r>
      <w:r>
        <w:rPr>
          <w:rFonts w:eastAsiaTheme="minorEastAsia"/>
        </w:rPr>
        <w:t>695</w:t>
      </w:r>
      <w:r w:rsidRPr="7EBF36DC">
        <w:rPr>
          <w:rFonts w:eastAsiaTheme="minorEastAsia"/>
        </w:rPr>
        <w:t xml:space="preserve"> potential </w:t>
      </w:r>
      <w:r>
        <w:rPr>
          <w:rFonts w:eastAsiaTheme="minorEastAsia"/>
        </w:rPr>
        <w:t>areas</w:t>
      </w:r>
      <w:r w:rsidRPr="7EBF36DC">
        <w:rPr>
          <w:rFonts w:eastAsiaTheme="minorEastAsia"/>
        </w:rPr>
        <w:t xml:space="preserve"> generated 51</w:t>
      </w:r>
      <w:r>
        <w:rPr>
          <w:rFonts w:eastAsiaTheme="minorEastAsia"/>
        </w:rPr>
        <w:t>7</w:t>
      </w:r>
      <w:r w:rsidRPr="7EBF36DC">
        <w:rPr>
          <w:rFonts w:eastAsiaTheme="minorEastAsia"/>
        </w:rPr>
        <w:t xml:space="preserve"> bids, with only 24 </w:t>
      </w:r>
      <w:r>
        <w:rPr>
          <w:rFonts w:eastAsiaTheme="minorEastAsia"/>
        </w:rPr>
        <w:t>areas</w:t>
      </w:r>
      <w:r w:rsidRPr="7EBF36DC">
        <w:rPr>
          <w:rFonts w:eastAsiaTheme="minorEastAsia"/>
        </w:rPr>
        <w:t xml:space="preserve"> attracting more than 1 bid.  Fifty-</w:t>
      </w:r>
      <w:r>
        <w:rPr>
          <w:rFonts w:eastAsiaTheme="minorEastAsia"/>
        </w:rPr>
        <w:t>two</w:t>
      </w:r>
      <w:r w:rsidRPr="7EBF36DC">
        <w:rPr>
          <w:rFonts w:eastAsiaTheme="minorEastAsia"/>
        </w:rPr>
        <w:t xml:space="preserve"> </w:t>
      </w:r>
      <w:r>
        <w:rPr>
          <w:rFonts w:eastAsiaTheme="minorEastAsia"/>
        </w:rPr>
        <w:t>areas with bids</w:t>
      </w:r>
      <w:r w:rsidRPr="7EBF36DC">
        <w:rPr>
          <w:rFonts w:eastAsiaTheme="minorEastAsia"/>
        </w:rPr>
        <w:t xml:space="preserve"> </w:t>
      </w:r>
      <w:r>
        <w:rPr>
          <w:rFonts w:eastAsiaTheme="minorEastAsia"/>
        </w:rPr>
        <w:t xml:space="preserve">were not assigned any subsidy because the bids were so high the assignment algorithm could not grant them without exceeding the budget. </w:t>
      </w:r>
      <w:r w:rsidRPr="7EBF36DC">
        <w:rPr>
          <w:rFonts w:eastAsiaTheme="minorEastAsia"/>
        </w:rPr>
        <w:t xml:space="preserve"> </w:t>
      </w:r>
    </w:p>
    <w:p w:rsidR="0016531D" w:rsidRPr="00A12DF0" w:rsidP="002A34EE" w14:paraId="0C2274F5" w14:textId="2E2CEF5D">
      <w:pPr>
        <w:pStyle w:val="ParaNum"/>
        <w:widowControl/>
        <w:tabs>
          <w:tab w:val="clear" w:pos="1080"/>
        </w:tabs>
        <w:rPr>
          <w:rFonts w:eastAsiaTheme="minorEastAsia"/>
        </w:rPr>
      </w:pPr>
      <w:r w:rsidRPr="7EBF36DC">
        <w:rPr>
          <w:rFonts w:eastAsiaTheme="minorEastAsia"/>
        </w:rPr>
        <w:t>Out of 51</w:t>
      </w:r>
      <w:r>
        <w:rPr>
          <w:rFonts w:eastAsiaTheme="minorEastAsia"/>
        </w:rPr>
        <w:t>7</w:t>
      </w:r>
      <w:r w:rsidRPr="7EBF36DC">
        <w:rPr>
          <w:rFonts w:eastAsiaTheme="minorEastAsia"/>
        </w:rPr>
        <w:t xml:space="preserve"> bids, 22</w:t>
      </w:r>
      <w:r>
        <w:rPr>
          <w:rFonts w:eastAsiaTheme="minorEastAsia"/>
        </w:rPr>
        <w:t>5</w:t>
      </w:r>
      <w:r w:rsidRPr="7EBF36DC">
        <w:rPr>
          <w:rFonts w:eastAsiaTheme="minorEastAsia"/>
        </w:rPr>
        <w:t xml:space="preserve"> led to eventual defaults</w:t>
      </w:r>
      <w:r>
        <w:rPr>
          <w:rFonts w:eastAsiaTheme="minorEastAsia"/>
        </w:rPr>
        <w:t>.</w:t>
      </w:r>
      <w:r w:rsidRPr="00AA60E8">
        <w:rPr>
          <w:rStyle w:val="CommentReference"/>
          <w:rFonts w:eastAsiaTheme="minorEastAsia"/>
        </w:rPr>
        <w:t xml:space="preserve"> </w:t>
      </w:r>
      <w:r w:rsidRPr="7EBF36DC">
        <w:rPr>
          <w:rFonts w:eastAsiaTheme="minorEastAsia"/>
        </w:rPr>
        <w:t xml:space="preserve"> It is unclear whether defaulted bids accurately reflect the true effect of </w:t>
      </w:r>
      <w:r>
        <w:rPr>
          <w:rFonts w:eastAsiaTheme="minorEastAsia"/>
        </w:rPr>
        <w:t>cost and demand factors</w:t>
      </w:r>
      <w:r w:rsidRPr="7EBF36DC">
        <w:rPr>
          <w:rFonts w:eastAsiaTheme="minorEastAsia"/>
        </w:rPr>
        <w:t xml:space="preserve"> on bid</w:t>
      </w:r>
      <w:r>
        <w:rPr>
          <w:rFonts w:eastAsiaTheme="minorEastAsia"/>
        </w:rPr>
        <w:t xml:space="preserve"> amounts</w:t>
      </w:r>
      <w:r w:rsidRPr="7EBF36DC">
        <w:rPr>
          <w:rFonts w:eastAsiaTheme="minorEastAsia"/>
        </w:rPr>
        <w:t xml:space="preserve">, as these bids </w:t>
      </w:r>
      <w:r>
        <w:rPr>
          <w:rFonts w:eastAsiaTheme="minorEastAsia"/>
        </w:rPr>
        <w:t>may</w:t>
      </w:r>
      <w:r w:rsidRPr="7EBF36DC">
        <w:rPr>
          <w:rFonts w:eastAsiaTheme="minorEastAsia"/>
        </w:rPr>
        <w:t xml:space="preserve"> have greatly underestimated the required subsidy to make service of the </w:t>
      </w:r>
      <w:r>
        <w:rPr>
          <w:rFonts w:eastAsiaTheme="minorEastAsia"/>
        </w:rPr>
        <w:t>given area</w:t>
      </w:r>
      <w:r w:rsidRPr="7EBF36DC">
        <w:rPr>
          <w:rFonts w:eastAsiaTheme="minorEastAsia"/>
        </w:rPr>
        <w:t xml:space="preserve"> viable.  </w:t>
      </w:r>
      <w:r>
        <w:rPr>
          <w:rFonts w:eastAsiaTheme="minorEastAsia"/>
        </w:rPr>
        <w:t>Similarly</w:t>
      </w:r>
      <w:r w:rsidRPr="7EBF36DC">
        <w:rPr>
          <w:rFonts w:eastAsiaTheme="minorEastAsia"/>
        </w:rPr>
        <w:t>, bids</w:t>
      </w:r>
      <w:r>
        <w:rPr>
          <w:rFonts w:eastAsiaTheme="minorEastAsia"/>
        </w:rPr>
        <w:t xml:space="preserve"> that failed to receive subsidies</w:t>
      </w:r>
      <w:r w:rsidRPr="7EBF36DC">
        <w:rPr>
          <w:rFonts w:eastAsiaTheme="minorEastAsia"/>
        </w:rPr>
        <w:t xml:space="preserve"> may be systematically biased upwards given they</w:t>
      </w:r>
      <w:r>
        <w:rPr>
          <w:rFonts w:eastAsiaTheme="minorEastAsia"/>
        </w:rPr>
        <w:t xml:space="preserve"> may</w:t>
      </w:r>
      <w:r w:rsidRPr="7EBF36DC">
        <w:rPr>
          <w:rFonts w:eastAsiaTheme="minorEastAsia"/>
        </w:rPr>
        <w:t xml:space="preserve"> imply a higher estimate of costs or lower estimates of revenues than the </w:t>
      </w:r>
      <w:r>
        <w:rPr>
          <w:rFonts w:eastAsiaTheme="minorEastAsia"/>
        </w:rPr>
        <w:t>bids that won subsidies</w:t>
      </w:r>
      <w:r w:rsidRPr="7EBF36DC">
        <w:rPr>
          <w:rFonts w:eastAsiaTheme="minorEastAsia"/>
        </w:rPr>
        <w:t xml:space="preserve">.  Given the difficulties in knowing whether to remove “potentially unreasonable” bids systematically, in addition to reporting results for the full sample, we will also report results for 1) the sample of bids with no defaults and 2) the sample of bids without defaults </w:t>
      </w:r>
      <w:r>
        <w:rPr>
          <w:rFonts w:eastAsiaTheme="minorEastAsia"/>
        </w:rPr>
        <w:t>or</w:t>
      </w:r>
      <w:r w:rsidRPr="7EBF36DC">
        <w:rPr>
          <w:rFonts w:eastAsiaTheme="minorEastAsia"/>
        </w:rPr>
        <w:t xml:space="preserve"> losing bids. </w:t>
      </w:r>
    </w:p>
    <w:p w:rsidR="0016531D" w:rsidRPr="00130AFC" w:rsidP="00865174" w14:paraId="20ED809F" w14:textId="77777777">
      <w:pPr>
        <w:pStyle w:val="ParaNum"/>
        <w:tabs>
          <w:tab w:val="clear" w:pos="1080"/>
        </w:tabs>
        <w:rPr>
          <w:rFonts w:eastAsiaTheme="minorEastAsia"/>
        </w:rPr>
      </w:pPr>
      <w:r>
        <w:rPr>
          <w:rFonts w:eastAsiaTheme="minorEastAsia"/>
        </w:rPr>
        <w:t>Since</w:t>
      </w:r>
      <w:r w:rsidRPr="7EBF36DC">
        <w:rPr>
          <w:rFonts w:eastAsiaTheme="minorEastAsia"/>
        </w:rPr>
        <w:t xml:space="preserve"> they likely acted as a single strategic entity, we </w:t>
      </w:r>
      <w:r>
        <w:rPr>
          <w:rFonts w:eastAsiaTheme="minorEastAsia"/>
        </w:rPr>
        <w:t xml:space="preserve">group </w:t>
      </w:r>
      <w:r w:rsidRPr="7EBF36DC">
        <w:rPr>
          <w:rFonts w:eastAsiaTheme="minorEastAsia"/>
        </w:rPr>
        <w:t xml:space="preserve">subsidiaries </w:t>
      </w:r>
      <w:r>
        <w:rPr>
          <w:rFonts w:eastAsiaTheme="minorEastAsia"/>
        </w:rPr>
        <w:t>into a single</w:t>
      </w:r>
      <w:r w:rsidRPr="7EBF36DC">
        <w:rPr>
          <w:rFonts w:eastAsiaTheme="minorEastAsia"/>
        </w:rPr>
        <w:t xml:space="preserve"> firm.  This results in 19 active bidders for our subsample, 8 active bidders who bid outside of our subsample, and 9 bidders who applied but did not ultimately bid.  Finally, we note that this sample of bids is a selected sample of only the </w:t>
      </w:r>
      <w:r>
        <w:rPr>
          <w:rFonts w:eastAsiaTheme="minorEastAsia"/>
        </w:rPr>
        <w:t>area</w:t>
      </w:r>
      <w:r w:rsidRPr="7EBF36DC">
        <w:rPr>
          <w:rFonts w:eastAsiaTheme="minorEastAsia"/>
        </w:rPr>
        <w:t xml:space="preserve">s that received at least one bid.  </w:t>
      </w:r>
      <w:r>
        <w:rPr>
          <w:rFonts w:eastAsiaTheme="minorEastAsia"/>
        </w:rPr>
        <w:t>If o</w:t>
      </w:r>
      <w:r w:rsidRPr="7EBF36DC">
        <w:rPr>
          <w:rFonts w:eastAsiaTheme="minorEastAsia"/>
        </w:rPr>
        <w:t xml:space="preserve">ur </w:t>
      </w:r>
      <w:r>
        <w:rPr>
          <w:rFonts w:eastAsiaTheme="minorEastAsia"/>
        </w:rPr>
        <w:t>cost and demand</w:t>
      </w:r>
      <w:r w:rsidRPr="7EBF36DC">
        <w:rPr>
          <w:rFonts w:eastAsiaTheme="minorEastAsia"/>
        </w:rPr>
        <w:t xml:space="preserve"> </w:t>
      </w:r>
      <w:r>
        <w:rPr>
          <w:rFonts w:eastAsiaTheme="minorEastAsia"/>
        </w:rPr>
        <w:t>factor</w:t>
      </w:r>
      <w:r w:rsidRPr="7EBF36DC">
        <w:rPr>
          <w:rFonts w:eastAsiaTheme="minorEastAsia"/>
        </w:rPr>
        <w:t xml:space="preserve">s are correlated with the unobserved shock, </w:t>
      </w:r>
      <m:oMath>
        <m:sSub>
          <m:sSubPr>
            <m:ctrlPr>
              <w:rPr>
                <w:rFonts w:ascii="Cambria Math" w:hAnsi="Cambria Math" w:eastAsiaTheme="minorEastAsia"/>
                <w:i/>
              </w:rPr>
            </m:ctrlPr>
          </m:sSubPr>
          <m:e>
            <m:r>
              <w:rPr>
                <w:rFonts w:ascii="Cambria Math" w:hAnsi="Cambria Math" w:eastAsiaTheme="minorEastAsia"/>
              </w:rPr>
              <m:t>ϵ</m:t>
            </m:r>
          </m:e>
          <m:sub>
            <m:r>
              <w:rPr>
                <w:rFonts w:ascii="Cambria Math" w:hAnsi="Cambria Math" w:eastAsiaTheme="minorEastAsia"/>
              </w:rPr>
              <m:t>ij</m:t>
            </m:r>
          </m:sub>
        </m:sSub>
      </m:oMath>
      <w:r>
        <w:rPr>
          <w:rFonts w:eastAsiaTheme="minorEastAsia"/>
        </w:rPr>
        <w:t xml:space="preserve"> then our linear regression estimates will be biased</w:t>
      </w:r>
      <w:r w:rsidRPr="7EBF36DC">
        <w:rPr>
          <w:rFonts w:eastAsiaTheme="minorEastAsia"/>
        </w:rPr>
        <w:t>.  Th</w:t>
      </w:r>
      <w:r>
        <w:rPr>
          <w:rFonts w:eastAsiaTheme="minorEastAsia"/>
        </w:rPr>
        <w:t>e decisions of bidders on where to bid could</w:t>
      </w:r>
      <w:r w:rsidRPr="7EBF36DC">
        <w:rPr>
          <w:rFonts w:eastAsiaTheme="minorEastAsia"/>
        </w:rPr>
        <w:t xml:space="preserve"> induce such correlation because observable </w:t>
      </w:r>
      <w:r>
        <w:rPr>
          <w:rFonts w:eastAsiaTheme="minorEastAsia"/>
        </w:rPr>
        <w:t>factor</w:t>
      </w:r>
      <w:r w:rsidRPr="7EBF36DC">
        <w:rPr>
          <w:rFonts w:eastAsiaTheme="minorEastAsia"/>
        </w:rPr>
        <w:t xml:space="preserve"> combinations that would otherwise predict negative bids (low </w:t>
      </w:r>
      <m:oMath>
        <m:sSub>
          <m:sSubPr>
            <m:ctrlPr>
              <w:rPr>
                <w:rFonts w:ascii="Cambria Math" w:hAnsi="Cambria Math" w:eastAsiaTheme="minorEastAsia"/>
                <w:i/>
              </w:rPr>
            </m:ctrlPr>
          </m:sSubPr>
          <m:e>
            <m:r>
              <w:rPr>
                <w:rFonts w:ascii="Cambria Math" w:hAnsi="Cambria Math" w:eastAsiaTheme="minorEastAsia"/>
              </w:rPr>
              <m:t>X</m:t>
            </m:r>
          </m:e>
          <m:sub>
            <m:r>
              <w:rPr>
                <w:rFonts w:ascii="Cambria Math" w:hAnsi="Cambria Math" w:eastAsiaTheme="minorEastAsia"/>
              </w:rPr>
              <m:t>ij</m:t>
            </m:r>
          </m:sub>
        </m:sSub>
        <m:r>
          <w:rPr>
            <w:rFonts w:ascii="Cambria Math" w:hAnsi="Cambria Math" w:eastAsiaTheme="minorEastAsia"/>
          </w:rPr>
          <m:t>β)</m:t>
        </m:r>
      </m:oMath>
      <w:r w:rsidRPr="7EBF36DC">
        <w:rPr>
          <w:rFonts w:eastAsiaTheme="minorEastAsia"/>
        </w:rPr>
        <w:t xml:space="preserve"> are included only if they have a high and positive, unobservable shock.</w:t>
      </w:r>
      <w:r>
        <w:rPr>
          <w:rStyle w:val="FootnoteReference"/>
          <w:rFonts w:eastAsiaTheme="minorEastAsia"/>
        </w:rPr>
        <w:footnoteReference w:id="62"/>
      </w:r>
      <w:r w:rsidRPr="7EBF36DC">
        <w:rPr>
          <w:rFonts w:eastAsiaTheme="minorEastAsia"/>
        </w:rPr>
        <w:t xml:space="preserve">  Therefore, our results should be interpreted with caution.</w:t>
      </w:r>
    </w:p>
    <w:p w:rsidR="0016531D" w:rsidRPr="00352573" w:rsidP="00865174" w14:paraId="526C0E48" w14:textId="77777777">
      <w:pPr>
        <w:pStyle w:val="ParaNum"/>
        <w:tabs>
          <w:tab w:val="clear" w:pos="1080"/>
        </w:tabs>
        <w:rPr>
          <w:rFonts w:eastAsiaTheme="minorEastAsia"/>
        </w:rPr>
      </w:pPr>
      <w:r w:rsidRPr="7EBF36DC">
        <w:rPr>
          <w:rFonts w:eastAsiaTheme="minorEastAsia"/>
          <w:i/>
          <w:iCs/>
        </w:rPr>
        <w:t xml:space="preserve">Data.  </w:t>
      </w:r>
      <w:r w:rsidRPr="7EBF36DC">
        <w:rPr>
          <w:rFonts w:eastAsiaTheme="minorEastAsia"/>
        </w:rPr>
        <w:t>The summary statistics are presented in Fig. B-</w:t>
      </w:r>
      <w:r>
        <w:rPr>
          <w:rFonts w:eastAsiaTheme="minorEastAsia"/>
        </w:rPr>
        <w:t>10</w:t>
      </w:r>
      <w:r w:rsidRPr="7EBF36DC">
        <w:rPr>
          <w:rFonts w:eastAsiaTheme="minorEastAsia"/>
        </w:rPr>
        <w:t xml:space="preserve">.  The dependent variable is </w:t>
      </w:r>
      <w:r>
        <w:rPr>
          <w:rFonts w:eastAsiaTheme="minorEastAsia"/>
        </w:rPr>
        <w:t>the</w:t>
      </w:r>
      <w:r w:rsidRPr="7EBF36DC">
        <w:rPr>
          <w:rFonts w:eastAsiaTheme="minorEastAsia"/>
        </w:rPr>
        <w:t xml:space="preserve"> dollar per road mile</w:t>
      </w:r>
      <w:r>
        <w:rPr>
          <w:rFonts w:eastAsiaTheme="minorEastAsia"/>
        </w:rPr>
        <w:t xml:space="preserve"> bid amount, which is how the bids were submitted</w:t>
      </w:r>
      <w:r w:rsidRPr="7EBF36DC">
        <w:rPr>
          <w:rFonts w:eastAsiaTheme="minorEastAsia"/>
        </w:rPr>
        <w:t>.</w:t>
      </w:r>
      <w:r>
        <w:rPr>
          <w:rStyle w:val="FootnoteReference"/>
          <w:rFonts w:eastAsiaTheme="minorEastAsia"/>
        </w:rPr>
        <w:footnoteReference w:id="63"/>
      </w:r>
      <w:r w:rsidRPr="7EBF36DC">
        <w:rPr>
          <w:rFonts w:eastAsiaTheme="minorEastAsia"/>
        </w:rPr>
        <w:t xml:space="preserve">  Bids are right skewed, with winning bids having a mean of $8,1</w:t>
      </w:r>
      <w:r>
        <w:rPr>
          <w:rFonts w:eastAsiaTheme="minorEastAsia"/>
        </w:rPr>
        <w:t>35</w:t>
      </w:r>
      <w:r w:rsidRPr="7EBF36DC">
        <w:rPr>
          <w:rFonts w:eastAsiaTheme="minorEastAsia"/>
        </w:rPr>
        <w:t xml:space="preserve"> per road mile and a median of $5,8</w:t>
      </w:r>
      <w:r>
        <w:rPr>
          <w:rFonts w:eastAsiaTheme="minorEastAsia"/>
        </w:rPr>
        <w:t>15</w:t>
      </w:r>
      <w:r w:rsidRPr="7EBF36DC">
        <w:rPr>
          <w:rFonts w:eastAsiaTheme="minorEastAsia"/>
        </w:rPr>
        <w:t xml:space="preserve"> per road mile, while losing bids have </w:t>
      </w:r>
      <w:r>
        <w:rPr>
          <w:rFonts w:eastAsiaTheme="minorEastAsia"/>
        </w:rPr>
        <w:t xml:space="preserve">a </w:t>
      </w:r>
      <w:r w:rsidRPr="7EBF36DC">
        <w:rPr>
          <w:rFonts w:eastAsiaTheme="minorEastAsia"/>
        </w:rPr>
        <w:t>mean</w:t>
      </w:r>
      <w:r>
        <w:rPr>
          <w:rFonts w:eastAsiaTheme="minorEastAsia"/>
        </w:rPr>
        <w:t xml:space="preserve"> and median bid amount</w:t>
      </w:r>
      <w:r w:rsidRPr="7EBF36DC">
        <w:rPr>
          <w:rFonts w:eastAsiaTheme="minorEastAsia"/>
        </w:rPr>
        <w:t xml:space="preserve"> of $7</w:t>
      </w:r>
      <w:r>
        <w:rPr>
          <w:rFonts w:eastAsiaTheme="minorEastAsia"/>
        </w:rPr>
        <w:t>4</w:t>
      </w:r>
      <w:r w:rsidRPr="7EBF36DC">
        <w:rPr>
          <w:rFonts w:eastAsiaTheme="minorEastAsia"/>
        </w:rPr>
        <w:t>,</w:t>
      </w:r>
      <w:r>
        <w:rPr>
          <w:rFonts w:eastAsiaTheme="minorEastAsia"/>
        </w:rPr>
        <w:t>816 per road mile</w:t>
      </w:r>
      <w:r w:rsidRPr="7EBF36DC">
        <w:rPr>
          <w:rFonts w:eastAsiaTheme="minorEastAsia"/>
        </w:rPr>
        <w:t xml:space="preserve"> and </w:t>
      </w:r>
      <w:r>
        <w:rPr>
          <w:rFonts w:eastAsiaTheme="minorEastAsia"/>
        </w:rPr>
        <w:t xml:space="preserve">a median of </w:t>
      </w:r>
      <w:r w:rsidRPr="7EBF36DC">
        <w:rPr>
          <w:rFonts w:eastAsiaTheme="minorEastAsia"/>
        </w:rPr>
        <w:t>$</w:t>
      </w:r>
      <w:r>
        <w:rPr>
          <w:rFonts w:eastAsiaTheme="minorEastAsia"/>
        </w:rPr>
        <w:t>49,312 per road mile</w:t>
      </w:r>
      <w:r w:rsidRPr="7EBF36DC">
        <w:rPr>
          <w:rFonts w:eastAsiaTheme="minorEastAsia"/>
        </w:rPr>
        <w:t xml:space="preserve">, </w:t>
      </w:r>
      <w:r>
        <w:rPr>
          <w:rFonts w:eastAsiaTheme="minorEastAsia"/>
        </w:rPr>
        <w:t>respectively</w:t>
      </w:r>
      <w:r w:rsidRPr="7EBF36DC">
        <w:rPr>
          <w:rFonts w:eastAsiaTheme="minorEastAsia"/>
        </w:rPr>
        <w:t xml:space="preserve">.  </w:t>
      </w:r>
      <w:r>
        <w:rPr>
          <w:rFonts w:eastAsiaTheme="minorEastAsia"/>
        </w:rPr>
        <w:t>There was also substantial variation in bid amount</w:t>
      </w:r>
      <w:r w:rsidRPr="7EBF36DC">
        <w:rPr>
          <w:rFonts w:eastAsiaTheme="minorEastAsia"/>
        </w:rPr>
        <w:t xml:space="preserve">.  </w:t>
      </w:r>
      <w:r>
        <w:rPr>
          <w:rFonts w:eastAsiaTheme="minorEastAsia"/>
        </w:rPr>
        <w:t xml:space="preserve">On a per road mile basis, the upper limit for winning bids was </w:t>
      </w:r>
      <w:r w:rsidRPr="7EBF36DC">
        <w:rPr>
          <w:rFonts w:eastAsiaTheme="minorEastAsia"/>
        </w:rPr>
        <w:t>$41,523, but bids were as high as $429,695 and as low as $130.</w:t>
      </w:r>
    </w:p>
    <w:p w:rsidR="0016531D" w:rsidRPr="00312681" w:rsidP="00865174" w14:paraId="166CB4AE" w14:textId="77777777">
      <w:pPr>
        <w:pStyle w:val="ParaNum"/>
        <w:tabs>
          <w:tab w:val="clear" w:pos="1080"/>
        </w:tabs>
        <w:rPr>
          <w:rFonts w:eastAsiaTheme="minorEastAsia"/>
        </w:rPr>
      </w:pPr>
      <w:r w:rsidRPr="7EBF36DC">
        <w:rPr>
          <w:rFonts w:eastAsiaTheme="minorEastAsia"/>
        </w:rPr>
        <w:t xml:space="preserve">We use many of the independent variables that were used in the </w:t>
      </w:r>
      <w:r>
        <w:rPr>
          <w:rFonts w:eastAsiaTheme="minorEastAsia"/>
        </w:rPr>
        <w:t>E</w:t>
      </w:r>
      <w:r w:rsidRPr="7EBF36DC">
        <w:rPr>
          <w:rFonts w:eastAsiaTheme="minorEastAsia"/>
        </w:rPr>
        <w:t xml:space="preserve">ntry </w:t>
      </w:r>
      <w:r>
        <w:rPr>
          <w:rFonts w:eastAsiaTheme="minorEastAsia"/>
        </w:rPr>
        <w:t>Model</w:t>
      </w:r>
      <w:r w:rsidRPr="7EBF36DC">
        <w:rPr>
          <w:rFonts w:eastAsiaTheme="minorEastAsia"/>
        </w:rPr>
        <w:t xml:space="preserve"> as described above as cost/revenue </w:t>
      </w:r>
      <w:r>
        <w:rPr>
          <w:rFonts w:eastAsiaTheme="minorEastAsia"/>
        </w:rPr>
        <w:t>factor</w:t>
      </w:r>
      <w:r w:rsidRPr="7EBF36DC">
        <w:rPr>
          <w:rFonts w:eastAsiaTheme="minorEastAsia"/>
        </w:rPr>
        <w:t>s.  These include logs of our measure of terrain roughness, population density, tract median household income, road miles</w:t>
      </w:r>
      <w:r>
        <w:rPr>
          <w:rFonts w:eastAsiaTheme="minorEastAsia"/>
        </w:rPr>
        <w:t>,</w:t>
      </w:r>
      <w:r w:rsidRPr="7EBF36DC">
        <w:rPr>
          <w:rFonts w:eastAsiaTheme="minorEastAsia"/>
        </w:rPr>
        <w:t xml:space="preserve"> </w:t>
      </w:r>
      <w:r>
        <w:rPr>
          <w:rFonts w:eastAsiaTheme="minorEastAsia"/>
        </w:rPr>
        <w:t>and percent forested land.</w:t>
      </w:r>
      <w:r>
        <w:rPr>
          <w:rStyle w:val="FootnoteReference"/>
          <w:rFonts w:eastAsiaTheme="minorEastAsia"/>
        </w:rPr>
        <w:footnoteReference w:id="64"/>
      </w:r>
      <w:r>
        <w:rPr>
          <w:rFonts w:eastAsiaTheme="minorEastAsia"/>
        </w:rPr>
        <w:t xml:space="preserve"> </w:t>
      </w:r>
      <w:r w:rsidRPr="7EBF36DC">
        <w:rPr>
          <w:rFonts w:eastAsiaTheme="minorEastAsia"/>
        </w:rPr>
        <w:t xml:space="preserve"> Terrain roughness will capture </w:t>
      </w:r>
      <w:r>
        <w:rPr>
          <w:rFonts w:eastAsiaTheme="minorEastAsia"/>
        </w:rPr>
        <w:t xml:space="preserve">the effect of terrain on </w:t>
      </w:r>
      <w:r w:rsidRPr="7EBF36DC">
        <w:rPr>
          <w:rFonts w:eastAsiaTheme="minorEastAsia"/>
        </w:rPr>
        <w:t xml:space="preserve">increased construction costs and reduced </w:t>
      </w:r>
      <w:r>
        <w:rPr>
          <w:rFonts w:eastAsiaTheme="minorEastAsia"/>
        </w:rPr>
        <w:t xml:space="preserve">signal </w:t>
      </w:r>
      <w:r w:rsidRPr="7EBF36DC">
        <w:rPr>
          <w:rFonts w:eastAsiaTheme="minorEastAsia"/>
        </w:rPr>
        <w:t xml:space="preserve">propagation </w:t>
      </w:r>
      <w:r>
        <w:rPr>
          <w:rFonts w:eastAsiaTheme="minorEastAsia"/>
        </w:rPr>
        <w:t>distances</w:t>
      </w:r>
      <w:r w:rsidRPr="7EBF36DC">
        <w:rPr>
          <w:rFonts w:eastAsiaTheme="minorEastAsia"/>
        </w:rPr>
        <w:t xml:space="preserve">.  The other demographic and economic variables proxy for </w:t>
      </w:r>
      <w:r>
        <w:rPr>
          <w:rFonts w:eastAsiaTheme="minorEastAsia"/>
        </w:rPr>
        <w:t xml:space="preserve">wireless </w:t>
      </w:r>
      <w:r w:rsidRPr="7EBF36DC">
        <w:rPr>
          <w:rFonts w:eastAsiaTheme="minorEastAsia"/>
        </w:rPr>
        <w:t xml:space="preserve">demand for and cost variation caused by differences in economic development.  </w:t>
      </w:r>
      <w:r>
        <w:rPr>
          <w:rFonts w:eastAsiaTheme="minorEastAsia"/>
        </w:rPr>
        <w:t>Total r</w:t>
      </w:r>
      <w:r w:rsidRPr="7EBF36DC">
        <w:rPr>
          <w:rFonts w:eastAsiaTheme="minorEastAsia"/>
        </w:rPr>
        <w:t xml:space="preserve">oad miles </w:t>
      </w:r>
      <w:r>
        <w:rPr>
          <w:rFonts w:eastAsiaTheme="minorEastAsia"/>
        </w:rPr>
        <w:t>is also included to capture potential</w:t>
      </w:r>
      <w:r w:rsidRPr="7EBF36DC">
        <w:rPr>
          <w:rFonts w:eastAsiaTheme="minorEastAsia"/>
        </w:rPr>
        <w:t xml:space="preserve"> economies and diseconomies of scale in network infrastructure construction.</w:t>
      </w:r>
    </w:p>
    <w:p w:rsidR="0016531D" w:rsidP="00865174" w14:paraId="635C267D" w14:textId="77777777">
      <w:pPr>
        <w:pStyle w:val="ParaNum"/>
        <w:widowControl/>
        <w:tabs>
          <w:tab w:val="clear" w:pos="1080"/>
        </w:tabs>
        <w:rPr>
          <w:rFonts w:eastAsiaTheme="minorEastAsia"/>
        </w:rPr>
      </w:pPr>
      <w:r w:rsidRPr="7EBF36DC">
        <w:rPr>
          <w:rFonts w:eastAsiaTheme="minorEastAsia"/>
        </w:rPr>
        <w:t xml:space="preserve">Our independent variables also include the fraction of a tract that is forested </w:t>
      </w:r>
      <w:r>
        <w:rPr>
          <w:rFonts w:eastAsiaTheme="minorEastAsia"/>
        </w:rPr>
        <w:t xml:space="preserve">since forests would tend to reduce signal </w:t>
      </w:r>
      <w:r w:rsidRPr="7EBF36DC">
        <w:rPr>
          <w:rFonts w:eastAsiaTheme="minorEastAsia"/>
        </w:rPr>
        <w:t xml:space="preserve">propagation and </w:t>
      </w:r>
      <w:r>
        <w:rPr>
          <w:rFonts w:eastAsiaTheme="minorEastAsia"/>
        </w:rPr>
        <w:t>increase</w:t>
      </w:r>
      <w:r w:rsidRPr="7EBF36DC">
        <w:rPr>
          <w:rFonts w:eastAsiaTheme="minorEastAsia"/>
        </w:rPr>
        <w:t xml:space="preserve"> construction</w:t>
      </w:r>
      <w:r>
        <w:rPr>
          <w:rFonts w:eastAsiaTheme="minorEastAsia"/>
        </w:rPr>
        <w:t xml:space="preserve"> costs</w:t>
      </w:r>
      <w:r w:rsidRPr="7EBF36DC">
        <w:rPr>
          <w:rFonts w:eastAsiaTheme="minorEastAsia"/>
        </w:rPr>
        <w:t>.</w:t>
      </w:r>
      <w:r>
        <w:rPr>
          <w:rStyle w:val="FootnoteReference"/>
          <w:rFonts w:eastAsiaTheme="minorEastAsia"/>
        </w:rPr>
        <w:footnoteReference w:id="65"/>
      </w:r>
      <w:r w:rsidRPr="7EBF36DC">
        <w:rPr>
          <w:rFonts w:eastAsiaTheme="minorEastAsia"/>
        </w:rPr>
        <w:t xml:space="preserve">  We </w:t>
      </w:r>
      <w:r>
        <w:rPr>
          <w:rFonts w:eastAsiaTheme="minorEastAsia"/>
        </w:rPr>
        <w:t>also include</w:t>
      </w:r>
      <w:r w:rsidRPr="7EBF36DC">
        <w:rPr>
          <w:rFonts w:eastAsiaTheme="minorEastAsia"/>
        </w:rPr>
        <w:t xml:space="preserve"> </w:t>
      </w:r>
      <w:r>
        <w:rPr>
          <w:rFonts w:eastAsiaTheme="minorEastAsia"/>
        </w:rPr>
        <w:t>separate variables for</w:t>
      </w:r>
      <w:r w:rsidRPr="7EBF36DC">
        <w:rPr>
          <w:rFonts w:eastAsiaTheme="minorEastAsia"/>
        </w:rPr>
        <w:t xml:space="preserve"> the fraction of the tract for which any service carrier and the bidder already provide</w:t>
      </w:r>
      <w:r>
        <w:rPr>
          <w:rFonts w:eastAsiaTheme="minorEastAsia"/>
        </w:rPr>
        <w:t xml:space="preserve"> some</w:t>
      </w:r>
      <w:r w:rsidRPr="7EBF36DC">
        <w:rPr>
          <w:rFonts w:eastAsiaTheme="minorEastAsia"/>
        </w:rPr>
        <w:t xml:space="preserve"> </w:t>
      </w:r>
      <w:r>
        <w:rPr>
          <w:rFonts w:eastAsiaTheme="minorEastAsia"/>
        </w:rPr>
        <w:t>level of</w:t>
      </w:r>
      <w:r w:rsidRPr="7EBF36DC">
        <w:rPr>
          <w:rFonts w:eastAsiaTheme="minorEastAsia"/>
        </w:rPr>
        <w:t xml:space="preserve"> service, as measured by January 2012 coverage</w:t>
      </w:r>
      <w:r>
        <w:rPr>
          <w:rFonts w:eastAsiaTheme="minorEastAsia"/>
        </w:rPr>
        <w:t xml:space="preserve"> data</w:t>
      </w:r>
      <w:r w:rsidRPr="7EBF36DC">
        <w:rPr>
          <w:rFonts w:eastAsiaTheme="minorEastAsia"/>
        </w:rPr>
        <w:t>.</w:t>
      </w:r>
      <w:r w:rsidRPr="000523E9">
        <w:rPr>
          <w:rStyle w:val="FootnoteReference"/>
          <w:rFonts w:eastAsiaTheme="minorEastAsia"/>
        </w:rPr>
        <w:t xml:space="preserve"> </w:t>
      </w:r>
      <w:r>
        <w:rPr>
          <w:rStyle w:val="FootnoteReference"/>
          <w:rFonts w:eastAsiaTheme="minorEastAsia"/>
        </w:rPr>
        <w:footnoteReference w:id="66"/>
      </w:r>
      <w:r w:rsidRPr="7EBF36DC">
        <w:rPr>
          <w:rFonts w:eastAsiaTheme="minorEastAsia"/>
        </w:rPr>
        <w:t xml:space="preserve">  </w:t>
      </w:r>
      <w:r>
        <w:rPr>
          <w:rFonts w:eastAsiaTheme="minorEastAsia"/>
        </w:rPr>
        <w:t>If</w:t>
      </w:r>
      <w:r w:rsidRPr="7EBF36DC">
        <w:rPr>
          <w:rFonts w:eastAsiaTheme="minorEastAsia"/>
        </w:rPr>
        <w:t xml:space="preserve"> the surrounding area is well served by the bidder, </w:t>
      </w:r>
      <w:r>
        <w:rPr>
          <w:rFonts w:eastAsiaTheme="minorEastAsia"/>
        </w:rPr>
        <w:t xml:space="preserve">we would expect </w:t>
      </w:r>
      <w:r w:rsidRPr="7EBF36DC">
        <w:rPr>
          <w:rFonts w:eastAsiaTheme="minorEastAsia"/>
        </w:rPr>
        <w:t xml:space="preserve">they </w:t>
      </w:r>
      <w:r>
        <w:rPr>
          <w:rFonts w:eastAsiaTheme="minorEastAsia"/>
        </w:rPr>
        <w:t>would</w:t>
      </w:r>
      <w:r w:rsidRPr="7EBF36DC">
        <w:rPr>
          <w:rFonts w:eastAsiaTheme="minorEastAsia"/>
        </w:rPr>
        <w:t xml:space="preserve"> have lower costs of ex</w:t>
      </w:r>
      <w:r>
        <w:rPr>
          <w:rFonts w:eastAsiaTheme="minorEastAsia"/>
        </w:rPr>
        <w:t>pand</w:t>
      </w:r>
      <w:r w:rsidRPr="7EBF36DC">
        <w:rPr>
          <w:rFonts w:eastAsiaTheme="minorEastAsia"/>
        </w:rPr>
        <w:t xml:space="preserve">ing coverage.  </w:t>
      </w:r>
      <w:r>
        <w:rPr>
          <w:rFonts w:eastAsiaTheme="minorEastAsia"/>
        </w:rPr>
        <w:t>W</w:t>
      </w:r>
      <w:r w:rsidRPr="7EBF36DC">
        <w:rPr>
          <w:rFonts w:eastAsiaTheme="minorEastAsia"/>
        </w:rPr>
        <w:t>hen the area is already well covered by other firms, represented by overall coverage, then rival firms are likely to be strong future competitors in the area to be served</w:t>
      </w:r>
      <w:r>
        <w:rPr>
          <w:rFonts w:eastAsiaTheme="minorEastAsia"/>
        </w:rPr>
        <w:t xml:space="preserve"> which may raise the required subsidy</w:t>
      </w:r>
      <w:r w:rsidRPr="7EBF36DC">
        <w:rPr>
          <w:rFonts w:eastAsiaTheme="minorEastAsia"/>
        </w:rPr>
        <w:t>.  We also include the number of carriers in the tract to measure local competition in the downstream market that would reduce revenues.</w:t>
      </w:r>
      <w:r>
        <w:rPr>
          <w:rStyle w:val="FootnoteReference"/>
          <w:rFonts w:eastAsiaTheme="minorEastAsia"/>
        </w:rPr>
        <w:footnoteReference w:id="67"/>
      </w:r>
      <w:r w:rsidRPr="7EBF36DC">
        <w:rPr>
          <w:rFonts w:eastAsiaTheme="minorEastAsia"/>
        </w:rPr>
        <w:t xml:space="preserve">  Similarly, we include the potential number of bidders as a covariate.  While multiple </w:t>
      </w:r>
      <w:r w:rsidRPr="7EBF36DC">
        <w:rPr>
          <w:rFonts w:eastAsiaTheme="minorEastAsia"/>
        </w:rPr>
        <w:t xml:space="preserve">bids for </w:t>
      </w:r>
      <w:r>
        <w:rPr>
          <w:rFonts w:eastAsiaTheme="minorEastAsia"/>
        </w:rPr>
        <w:t>the</w:t>
      </w:r>
      <w:r w:rsidRPr="7EBF36DC">
        <w:rPr>
          <w:rFonts w:eastAsiaTheme="minorEastAsia"/>
        </w:rPr>
        <w:t xml:space="preserve"> same </w:t>
      </w:r>
      <w:r>
        <w:rPr>
          <w:rFonts w:eastAsiaTheme="minorEastAsia"/>
        </w:rPr>
        <w:t>area</w:t>
      </w:r>
      <w:r w:rsidRPr="7EBF36DC">
        <w:rPr>
          <w:rFonts w:eastAsiaTheme="minorEastAsia"/>
        </w:rPr>
        <w:t xml:space="preserve"> were rare, the mere threat of a bid by a competitor may be enough to </w:t>
      </w:r>
      <w:r>
        <w:rPr>
          <w:rFonts w:eastAsiaTheme="minorEastAsia"/>
        </w:rPr>
        <w:t>lower</w:t>
      </w:r>
      <w:r w:rsidRPr="7EBF36DC">
        <w:rPr>
          <w:rFonts w:eastAsiaTheme="minorEastAsia"/>
        </w:rPr>
        <w:t xml:space="preserve"> the bids that do occur.  To calculate the number of potential bidders, we use bidder applications submitted to the Commission before the auction.</w:t>
      </w:r>
      <w:r>
        <w:rPr>
          <w:rStyle w:val="FootnoteReference"/>
          <w:rFonts w:eastAsiaTheme="minorEastAsia"/>
        </w:rPr>
        <w:footnoteReference w:id="68"/>
      </w:r>
    </w:p>
    <w:p w:rsidR="0016531D" w:rsidP="00371778" w14:paraId="613D7ADA" w14:textId="77777777">
      <w:pPr>
        <w:pStyle w:val="ParaNum"/>
        <w:tabs>
          <w:tab w:val="clear" w:pos="1080"/>
        </w:tabs>
        <w:rPr>
          <w:rFonts w:eastAsiaTheme="minorEastAsia"/>
        </w:rPr>
      </w:pPr>
      <w:r w:rsidRPr="7EBF36DC">
        <w:rPr>
          <w:rFonts w:eastAsiaTheme="minorEastAsia"/>
        </w:rPr>
        <w:t>Some of the</w:t>
      </w:r>
      <w:r>
        <w:rPr>
          <w:rFonts w:eastAsiaTheme="minorEastAsia"/>
        </w:rPr>
        <w:t xml:space="preserve"> independent</w:t>
      </w:r>
      <w:r w:rsidRPr="7EBF36DC">
        <w:rPr>
          <w:rFonts w:eastAsiaTheme="minorEastAsia"/>
        </w:rPr>
        <w:t xml:space="preserve"> variables, the average number of carriers, the number of carrier</w:t>
      </w:r>
      <w:r>
        <w:rPr>
          <w:rFonts w:eastAsiaTheme="minorEastAsia"/>
        </w:rPr>
        <w:t>s</w:t>
      </w:r>
      <w:r w:rsidRPr="7EBF36DC">
        <w:rPr>
          <w:rFonts w:eastAsiaTheme="minorEastAsia"/>
        </w:rPr>
        <w:t xml:space="preserve"> and the preexisting coverage variables, </w:t>
      </w:r>
      <w:r>
        <w:rPr>
          <w:rFonts w:eastAsiaTheme="minorEastAsia"/>
        </w:rPr>
        <w:t>are</w:t>
      </w:r>
      <w:r w:rsidRPr="7EBF36DC">
        <w:rPr>
          <w:rFonts w:eastAsiaTheme="minorEastAsia"/>
        </w:rPr>
        <w:t xml:space="preserve"> calculated</w:t>
      </w:r>
      <w:r>
        <w:rPr>
          <w:rFonts w:eastAsiaTheme="minorEastAsia"/>
        </w:rPr>
        <w:t xml:space="preserve"> on a geographic basis</w:t>
      </w:r>
      <w:r w:rsidRPr="7EBF36DC">
        <w:rPr>
          <w:rFonts w:eastAsiaTheme="minorEastAsia"/>
        </w:rPr>
        <w:t>.</w:t>
      </w:r>
      <w:r>
        <w:rPr>
          <w:rStyle w:val="FootnoteReference"/>
          <w:rFonts w:eastAsiaTheme="minorEastAsia"/>
        </w:rPr>
        <w:footnoteReference w:id="69"/>
      </w:r>
      <w:r w:rsidRPr="7EBF36DC">
        <w:rPr>
          <w:rFonts w:eastAsiaTheme="minorEastAsia"/>
        </w:rPr>
        <w:t xml:space="preserve">  Land area is the most common basis on which to calculate these variables, but since bidding was done on a road miles basis</w:t>
      </w:r>
      <w:r>
        <w:rPr>
          <w:rFonts w:eastAsiaTheme="minorEastAsia"/>
        </w:rPr>
        <w:t>,</w:t>
      </w:r>
      <w:r w:rsidRPr="7EBF36DC">
        <w:rPr>
          <w:rFonts w:eastAsiaTheme="minorEastAsia"/>
        </w:rPr>
        <w:t xml:space="preserve"> the </w:t>
      </w:r>
      <w:r>
        <w:rPr>
          <w:rFonts w:eastAsiaTheme="minorEastAsia"/>
        </w:rPr>
        <w:t xml:space="preserve">number of </w:t>
      </w:r>
      <w:r w:rsidRPr="7EBF36DC">
        <w:rPr>
          <w:rFonts w:eastAsiaTheme="minorEastAsia"/>
        </w:rPr>
        <w:t xml:space="preserve">road miles basis may be the most relevant.  We produce estimates using both approaches and find little difference between the results.  </w:t>
      </w:r>
    </w:p>
    <w:p w:rsidR="0016531D" w:rsidRPr="00130AFC" w:rsidP="00371778" w14:paraId="0E9ED730" w14:textId="77777777">
      <w:pPr>
        <w:pStyle w:val="ParaNum"/>
        <w:tabs>
          <w:tab w:val="clear" w:pos="1080"/>
        </w:tabs>
        <w:rPr>
          <w:rFonts w:eastAsiaTheme="minorEastAsia"/>
        </w:rPr>
      </w:pPr>
      <w:r w:rsidRPr="7EBF36DC">
        <w:rPr>
          <w:rFonts w:eastAsiaTheme="minorEastAsia"/>
          <w:i/>
          <w:iCs/>
        </w:rPr>
        <w:t xml:space="preserve">Results.  </w:t>
      </w:r>
      <w:r w:rsidRPr="7EBF36DC">
        <w:rPr>
          <w:rFonts w:eastAsiaTheme="minorEastAsia"/>
        </w:rPr>
        <w:t>We estimate six specifications, and our results are presented in Fig. B-1</w:t>
      </w:r>
      <w:r>
        <w:rPr>
          <w:rFonts w:eastAsiaTheme="minorEastAsia"/>
        </w:rPr>
        <w:t>1</w:t>
      </w:r>
      <w:r w:rsidRPr="7EBF36DC">
        <w:rPr>
          <w:rFonts w:eastAsiaTheme="minorEastAsia"/>
        </w:rPr>
        <w:t xml:space="preserve"> below.  Specifications (1)-(3) use the land area basis for some variables and (4)-(6) use the road miles basis.  Specifications (1) and (4) include all observations, (2) and (4) exclude defaults, and (3) and (6) additionally exclude losing bids.  Across all specifications, our terrain measure has between a 0.</w:t>
      </w:r>
      <w:r>
        <w:rPr>
          <w:rFonts w:eastAsiaTheme="minorEastAsia"/>
        </w:rPr>
        <w:t>16</w:t>
      </w:r>
      <w:r w:rsidRPr="7EBF36DC">
        <w:rPr>
          <w:rFonts w:eastAsiaTheme="minorEastAsia"/>
        </w:rPr>
        <w:t xml:space="preserve"> to 0.</w:t>
      </w:r>
      <w:r>
        <w:rPr>
          <w:rFonts w:eastAsiaTheme="minorEastAsia"/>
        </w:rPr>
        <w:t>23</w:t>
      </w:r>
      <w:r w:rsidRPr="7EBF36DC">
        <w:rPr>
          <w:rFonts w:eastAsiaTheme="minorEastAsia"/>
        </w:rPr>
        <w:t xml:space="preserve"> elasticity with respect to bids that is statistically significant across all specifications.  That is, for every 1% increase in terrain roughness</w:t>
      </w:r>
      <w:r>
        <w:rPr>
          <w:rFonts w:eastAsiaTheme="minorEastAsia"/>
        </w:rPr>
        <w:t>,</w:t>
      </w:r>
      <w:r w:rsidRPr="7EBF36DC">
        <w:rPr>
          <w:rFonts w:eastAsiaTheme="minorEastAsia"/>
        </w:rPr>
        <w:t xml:space="preserve"> we have </w:t>
      </w:r>
      <w:r>
        <w:rPr>
          <w:rFonts w:eastAsiaTheme="minorEastAsia"/>
        </w:rPr>
        <w:t>a 0.16% to 0.23%</w:t>
      </w:r>
      <w:r w:rsidRPr="7EBF36DC">
        <w:rPr>
          <w:rFonts w:eastAsiaTheme="minorEastAsia"/>
        </w:rPr>
        <w:t xml:space="preserve"> increase in the dollar per road mile bid.  Dividing terrain roughness into three</w:t>
      </w:r>
      <w:r>
        <w:rPr>
          <w:rFonts w:eastAsiaTheme="minorEastAsia"/>
        </w:rPr>
        <w:t xml:space="preserve"> categories</w:t>
      </w:r>
      <w:r w:rsidRPr="7EBF36DC">
        <w:rPr>
          <w:rFonts w:eastAsiaTheme="minorEastAsia"/>
        </w:rPr>
        <w:t xml:space="preserve"> of 0-</w:t>
      </w:r>
      <w:r>
        <w:rPr>
          <w:rFonts w:eastAsiaTheme="minorEastAsia"/>
        </w:rPr>
        <w:t>4</w:t>
      </w:r>
      <w:r w:rsidRPr="7EBF36DC">
        <w:rPr>
          <w:rFonts w:eastAsiaTheme="minorEastAsia"/>
        </w:rPr>
        <w:t>0 m</w:t>
      </w:r>
      <w:r>
        <w:rPr>
          <w:rFonts w:eastAsiaTheme="minorEastAsia"/>
        </w:rPr>
        <w:t xml:space="preserve"> (flat)</w:t>
      </w:r>
      <w:r w:rsidRPr="7EBF36DC">
        <w:rPr>
          <w:rFonts w:eastAsiaTheme="minorEastAsia"/>
        </w:rPr>
        <w:t xml:space="preserve">, </w:t>
      </w:r>
      <w:r>
        <w:rPr>
          <w:rFonts w:eastAsiaTheme="minorEastAsia"/>
        </w:rPr>
        <w:t>4</w:t>
      </w:r>
      <w:r w:rsidRPr="7EBF36DC">
        <w:rPr>
          <w:rFonts w:eastAsiaTheme="minorEastAsia"/>
        </w:rPr>
        <w:t>0-1</w:t>
      </w:r>
      <w:r>
        <w:rPr>
          <w:rFonts w:eastAsiaTheme="minorEastAsia"/>
        </w:rPr>
        <w:t>15</w:t>
      </w:r>
      <w:r w:rsidRPr="7EBF36DC">
        <w:rPr>
          <w:rFonts w:eastAsiaTheme="minorEastAsia"/>
        </w:rPr>
        <w:t xml:space="preserve"> m</w:t>
      </w:r>
      <w:r>
        <w:rPr>
          <w:rFonts w:eastAsiaTheme="minorEastAsia"/>
        </w:rPr>
        <w:t xml:space="preserve"> (hilly)</w:t>
      </w:r>
      <w:r w:rsidRPr="7EBF36DC">
        <w:rPr>
          <w:rFonts w:eastAsiaTheme="minorEastAsia"/>
        </w:rPr>
        <w:t xml:space="preserve"> and 1</w:t>
      </w:r>
      <w:r>
        <w:rPr>
          <w:rFonts w:eastAsiaTheme="minorEastAsia"/>
        </w:rPr>
        <w:t>15</w:t>
      </w:r>
      <w:r w:rsidRPr="7EBF36DC">
        <w:rPr>
          <w:rFonts w:eastAsiaTheme="minorEastAsia"/>
        </w:rPr>
        <w:t>+ m</w:t>
      </w:r>
      <w:r>
        <w:rPr>
          <w:rFonts w:eastAsiaTheme="minorEastAsia"/>
        </w:rPr>
        <w:t xml:space="preserve"> (mountainous)</w:t>
      </w:r>
      <w:r w:rsidRPr="7EBF36DC">
        <w:rPr>
          <w:rFonts w:eastAsiaTheme="minorEastAsia"/>
        </w:rPr>
        <w:t xml:space="preserve">, we estimate the </w:t>
      </w:r>
      <w:r>
        <w:rPr>
          <w:rFonts w:eastAsiaTheme="minorEastAsia"/>
        </w:rPr>
        <w:t>adjustment factor</w:t>
      </w:r>
      <w:r w:rsidRPr="7EBF36DC">
        <w:rPr>
          <w:rFonts w:eastAsiaTheme="minorEastAsia"/>
        </w:rPr>
        <w:t xml:space="preserve"> for each bin by estimating the impact of terrain roughness on </w:t>
      </w:r>
      <w:r>
        <w:rPr>
          <w:rFonts w:eastAsiaTheme="minorEastAsia"/>
        </w:rPr>
        <w:t xml:space="preserve">the per road mile </w:t>
      </w:r>
      <w:r w:rsidRPr="7EBF36DC">
        <w:rPr>
          <w:rFonts w:eastAsiaTheme="minorEastAsia"/>
        </w:rPr>
        <w:t xml:space="preserve">bids in levels at the </w:t>
      </w:r>
      <w:r>
        <w:rPr>
          <w:rFonts w:eastAsiaTheme="minorEastAsia"/>
        </w:rPr>
        <w:t xml:space="preserve">same terrain values of </w:t>
      </w:r>
      <w:r w:rsidRPr="7EBF36DC">
        <w:rPr>
          <w:rFonts w:eastAsiaTheme="minorEastAsia"/>
        </w:rPr>
        <w:t xml:space="preserve">10m, </w:t>
      </w:r>
      <w:r>
        <w:rPr>
          <w:rFonts w:eastAsiaTheme="minorEastAsia"/>
        </w:rPr>
        <w:t>7</w:t>
      </w:r>
      <w:r w:rsidRPr="7EBF36DC">
        <w:rPr>
          <w:rFonts w:eastAsiaTheme="minorEastAsia"/>
        </w:rPr>
        <w:t>0m</w:t>
      </w:r>
      <w:r>
        <w:rPr>
          <w:rFonts w:eastAsiaTheme="minorEastAsia"/>
        </w:rPr>
        <w:t>,</w:t>
      </w:r>
      <w:r w:rsidRPr="7EBF36DC">
        <w:rPr>
          <w:rFonts w:eastAsiaTheme="minorEastAsia"/>
        </w:rPr>
        <w:t xml:space="preserve"> and </w:t>
      </w:r>
      <w:r>
        <w:rPr>
          <w:rFonts w:eastAsiaTheme="minorEastAsia"/>
        </w:rPr>
        <w:t>15</w:t>
      </w:r>
      <w:r w:rsidRPr="7EBF36DC">
        <w:rPr>
          <w:rFonts w:eastAsiaTheme="minorEastAsia"/>
        </w:rPr>
        <w:t>0m</w:t>
      </w:r>
      <w:r>
        <w:rPr>
          <w:rFonts w:eastAsiaTheme="minorEastAsia"/>
        </w:rPr>
        <w:t xml:space="preserve"> </w:t>
      </w:r>
      <w:r>
        <w:rPr>
          <w:rFonts w:eastAsiaTheme="minorEastAsia"/>
        </w:rPr>
        <w:t>used in the entry and cell site density analyses</w:t>
      </w:r>
      <w:r w:rsidRPr="7EBF36DC">
        <w:rPr>
          <w:rFonts w:eastAsiaTheme="minorEastAsia"/>
        </w:rPr>
        <w:t>.</w:t>
      </w:r>
      <w:r>
        <w:rPr>
          <w:rStyle w:val="FootnoteReference"/>
          <w:rFonts w:eastAsiaTheme="minorEastAsia"/>
        </w:rPr>
        <w:footnoteReference w:id="70"/>
      </w:r>
      <w:r>
        <w:rPr>
          <w:rFonts w:eastAsiaTheme="minorEastAsia"/>
        </w:rPr>
        <w:t xml:space="preserve"> </w:t>
      </w:r>
      <w:r w:rsidRPr="7EBF36DC">
        <w:rPr>
          <w:rFonts w:eastAsiaTheme="minorEastAsia"/>
        </w:rPr>
        <w:t xml:space="preserve"> </w:t>
      </w:r>
      <w:r>
        <w:rPr>
          <w:rFonts w:eastAsiaTheme="minorEastAsia"/>
        </w:rPr>
        <w:t>That is, the adjustment factor is the model predicted per road mile bid amount at one of these terrain levels over the predicted bid amount at 10 m.  Holding all other variables fixed, this ratio will be constant for our formula across all possible areas and bidders.</w:t>
      </w:r>
      <w:r>
        <w:rPr>
          <w:rStyle w:val="FootnoteReference"/>
          <w:rFonts w:eastAsiaTheme="minorEastAsia"/>
        </w:rPr>
        <w:footnoteReference w:id="71"/>
      </w:r>
      <w:r>
        <w:rPr>
          <w:rFonts w:eastAsiaTheme="minorEastAsia"/>
        </w:rPr>
        <w:t xml:space="preserve"> </w:t>
      </w:r>
      <w:r w:rsidRPr="7EBF36DC">
        <w:rPr>
          <w:rFonts w:eastAsiaTheme="minorEastAsia"/>
        </w:rPr>
        <w:t xml:space="preserve"> Using the estimates of the full sample, the three </w:t>
      </w:r>
      <w:r>
        <w:rPr>
          <w:rFonts w:eastAsiaTheme="minorEastAsia"/>
        </w:rPr>
        <w:t xml:space="preserve">categories </w:t>
      </w:r>
      <w:r w:rsidRPr="7EBF36DC">
        <w:rPr>
          <w:rFonts w:eastAsiaTheme="minorEastAsia"/>
        </w:rPr>
        <w:t xml:space="preserve">would have </w:t>
      </w:r>
      <w:r>
        <w:rPr>
          <w:rFonts w:eastAsiaTheme="minorEastAsia"/>
        </w:rPr>
        <w:t xml:space="preserve">adjustment </w:t>
      </w:r>
      <w:r w:rsidRPr="7EBF36DC">
        <w:rPr>
          <w:rFonts w:eastAsiaTheme="minorEastAsia"/>
        </w:rPr>
        <w:t>factors of approximately 1.0 (0-</w:t>
      </w:r>
      <w:r>
        <w:rPr>
          <w:rFonts w:eastAsiaTheme="minorEastAsia"/>
        </w:rPr>
        <w:t>4</w:t>
      </w:r>
      <w:r w:rsidRPr="7EBF36DC">
        <w:rPr>
          <w:rFonts w:eastAsiaTheme="minorEastAsia"/>
        </w:rPr>
        <w:t>0 m), 1.6 (</w:t>
      </w:r>
      <w:r>
        <w:rPr>
          <w:rFonts w:eastAsiaTheme="minorEastAsia"/>
        </w:rPr>
        <w:t>4</w:t>
      </w:r>
      <w:r w:rsidRPr="7EBF36DC">
        <w:rPr>
          <w:rFonts w:eastAsiaTheme="minorEastAsia"/>
        </w:rPr>
        <w:t>0-</w:t>
      </w:r>
      <w:r>
        <w:rPr>
          <w:rFonts w:eastAsiaTheme="minorEastAsia"/>
        </w:rPr>
        <w:t>115</w:t>
      </w:r>
      <w:r w:rsidRPr="7EBF36DC">
        <w:rPr>
          <w:rFonts w:eastAsiaTheme="minorEastAsia"/>
        </w:rPr>
        <w:t xml:space="preserve"> m) and </w:t>
      </w:r>
      <w:r>
        <w:rPr>
          <w:rFonts w:eastAsiaTheme="minorEastAsia"/>
        </w:rPr>
        <w:t>1.9</w:t>
      </w:r>
      <w:r w:rsidRPr="7EBF36DC">
        <w:rPr>
          <w:rFonts w:eastAsiaTheme="minorEastAsia"/>
        </w:rPr>
        <w:t xml:space="preserve"> (1</w:t>
      </w:r>
      <w:r>
        <w:rPr>
          <w:rFonts w:eastAsiaTheme="minorEastAsia"/>
        </w:rPr>
        <w:t>15</w:t>
      </w:r>
      <w:r w:rsidRPr="7EBF36DC">
        <w:rPr>
          <w:rFonts w:eastAsiaTheme="minorEastAsia"/>
        </w:rPr>
        <w:t xml:space="preserve">+ m). </w:t>
      </w:r>
    </w:p>
    <w:p w:rsidR="0016531D" w:rsidP="00371778" w14:paraId="7EB205AE" w14:textId="77777777">
      <w:pPr>
        <w:pStyle w:val="ParaNum"/>
        <w:widowControl/>
        <w:tabs>
          <w:tab w:val="clear" w:pos="1080"/>
        </w:tabs>
        <w:rPr>
          <w:rFonts w:eastAsiaTheme="minorEastAsia"/>
        </w:rPr>
      </w:pPr>
      <w:r w:rsidRPr="7EBF36DC">
        <w:rPr>
          <w:rFonts w:eastAsiaTheme="minorEastAsia"/>
        </w:rPr>
        <w:t>Several other covariates have statistically significant results over all or most of the specifications.  Road miles has a negative impact on dollars per road mile, with an implied elasticity between -0.2</w:t>
      </w:r>
      <w:r>
        <w:rPr>
          <w:rFonts w:eastAsiaTheme="minorEastAsia"/>
        </w:rPr>
        <w:t>4</w:t>
      </w:r>
      <w:r w:rsidRPr="7EBF36DC">
        <w:rPr>
          <w:rFonts w:eastAsiaTheme="minorEastAsia"/>
        </w:rPr>
        <w:t xml:space="preserve"> to -0.</w:t>
      </w:r>
      <w:r>
        <w:rPr>
          <w:rFonts w:eastAsiaTheme="minorEastAsia"/>
        </w:rPr>
        <w:t>47</w:t>
      </w:r>
      <w:r w:rsidRPr="7EBF36DC">
        <w:rPr>
          <w:rFonts w:eastAsiaTheme="minorEastAsia"/>
        </w:rPr>
        <w:t>.  This result is consistent with economies in scale in road miles for wireless infrastructure</w:t>
      </w:r>
      <w:r>
        <w:rPr>
          <w:rFonts w:eastAsiaTheme="minorEastAsia"/>
        </w:rPr>
        <w:t>, though the effect is not statistically significant in specification (6), the subsample with variables weighted over road miles and with no defaults or losing bids</w:t>
      </w:r>
      <w:r w:rsidRPr="7EBF36DC">
        <w:rPr>
          <w:rFonts w:eastAsiaTheme="minorEastAsia"/>
        </w:rPr>
        <w:t xml:space="preserve">.  Likewise, a bidder’s current tract network coverage also seems </w:t>
      </w:r>
      <w:r w:rsidRPr="001F6FF8">
        <w:rPr>
          <w:rFonts w:eastAsiaTheme="minorEastAsia"/>
        </w:rPr>
        <w:t>to reduce costs, whereby an additional 1% network coverage is associated with between a 0.</w:t>
      </w:r>
      <w:r w:rsidRPr="001A5B25">
        <w:rPr>
          <w:rFonts w:eastAsiaTheme="minorEastAsia"/>
        </w:rPr>
        <w:t>36</w:t>
      </w:r>
      <w:r w:rsidRPr="001F6FF8">
        <w:rPr>
          <w:rFonts w:eastAsiaTheme="minorEastAsia"/>
        </w:rPr>
        <w:t>% and 0.</w:t>
      </w:r>
      <w:r w:rsidRPr="001A5B25">
        <w:rPr>
          <w:rFonts w:eastAsiaTheme="minorEastAsia"/>
        </w:rPr>
        <w:t>55</w:t>
      </w:r>
      <w:r w:rsidRPr="001F6FF8">
        <w:rPr>
          <w:rFonts w:eastAsiaTheme="minorEastAsia"/>
        </w:rPr>
        <w:t xml:space="preserve">% decrease in the bid, </w:t>
      </w:r>
      <w:r w:rsidRPr="001A5B25">
        <w:rPr>
          <w:rFonts w:eastAsiaTheme="minorEastAsia"/>
        </w:rPr>
        <w:t xml:space="preserve">though the coefficient is not statistically significant for the sample with no defaults but no losing bids and using area-based variables.  The percent coverage of the tract by forested land </w:t>
      </w:r>
      <w:r>
        <w:rPr>
          <w:rFonts w:eastAsiaTheme="minorEastAsia"/>
        </w:rPr>
        <w:t>has</w:t>
      </w:r>
      <w:r w:rsidRPr="001A5B25">
        <w:rPr>
          <w:rFonts w:eastAsiaTheme="minorEastAsia"/>
        </w:rPr>
        <w:t xml:space="preserve"> a statistically significant large positive impact on bid amount, but not for specifications using the full sample.  This </w:t>
      </w:r>
      <w:r>
        <w:rPr>
          <w:rFonts w:eastAsiaTheme="minorEastAsia"/>
        </w:rPr>
        <w:t>may</w:t>
      </w:r>
      <w:r w:rsidRPr="001A5B25">
        <w:rPr>
          <w:rFonts w:eastAsiaTheme="minorEastAsia"/>
        </w:rPr>
        <w:t xml:space="preserve"> imply that defaulting bidders underestimate</w:t>
      </w:r>
      <w:r>
        <w:rPr>
          <w:rFonts w:eastAsiaTheme="minorEastAsia"/>
        </w:rPr>
        <w:t>d</w:t>
      </w:r>
      <w:r w:rsidRPr="001A5B25">
        <w:rPr>
          <w:rFonts w:eastAsiaTheme="minorEastAsia"/>
        </w:rPr>
        <w:t xml:space="preserve"> the importance of clutter in their bid calculations.</w:t>
      </w:r>
      <w:r w:rsidRPr="001F6FF8">
        <w:rPr>
          <w:rFonts w:eastAsiaTheme="minorEastAsia"/>
        </w:rPr>
        <w:t xml:space="preserve"> </w:t>
      </w:r>
    </w:p>
    <w:p w:rsidR="0016531D" w:rsidP="00371778" w14:paraId="0E90DBBA" w14:textId="77777777">
      <w:pPr>
        <w:pStyle w:val="ParaNum"/>
        <w:tabs>
          <w:tab w:val="clear" w:pos="1080"/>
        </w:tabs>
        <w:rPr>
          <w:rFonts w:eastAsiaTheme="minorEastAsia"/>
        </w:rPr>
      </w:pPr>
      <w:r w:rsidRPr="001F6FF8">
        <w:rPr>
          <w:rFonts w:eastAsiaTheme="minorEastAsia"/>
        </w:rPr>
        <w:t xml:space="preserve">Other coefficients are too imprecisely estimated to draw further conclusions, probably due to the small sample size and limited variation of the sample.  </w:t>
      </w:r>
      <w:r w:rsidRPr="001A5B25">
        <w:rPr>
          <w:rFonts w:eastAsiaTheme="minorEastAsia"/>
        </w:rPr>
        <w:t>Population density has small implied elasticities between -0.2 and -0.7</w:t>
      </w:r>
      <w:r>
        <w:rPr>
          <w:rFonts w:eastAsiaTheme="minorEastAsia"/>
        </w:rPr>
        <w:t>,</w:t>
      </w:r>
      <w:r w:rsidRPr="001A5B25">
        <w:rPr>
          <w:rFonts w:eastAsiaTheme="minorEastAsia"/>
        </w:rPr>
        <w:t xml:space="preserve"> which are only significant using the sample without defaults but with losing bids.  </w:t>
      </w:r>
      <w:r>
        <w:rPr>
          <w:rFonts w:eastAsiaTheme="minorEastAsia"/>
        </w:rPr>
        <w:t>The l</w:t>
      </w:r>
      <w:r w:rsidRPr="001A5B25">
        <w:rPr>
          <w:rFonts w:eastAsiaTheme="minorEastAsia"/>
        </w:rPr>
        <w:t xml:space="preserve">og count of </w:t>
      </w:r>
      <w:r>
        <w:rPr>
          <w:rFonts w:eastAsiaTheme="minorEastAsia"/>
        </w:rPr>
        <w:t>carrier</w:t>
      </w:r>
      <w:r w:rsidRPr="001A5B25">
        <w:rPr>
          <w:rFonts w:eastAsiaTheme="minorEastAsia"/>
        </w:rPr>
        <w:t xml:space="preserve">s has coefficients that are mostly larger than the ones for terrain, between 0.20 and 0.38, but are only statistically significant for specifications using the sample without </w:t>
      </w:r>
      <w:r w:rsidRPr="001A5B25">
        <w:rPr>
          <w:rFonts w:eastAsiaTheme="minorEastAsia"/>
        </w:rPr>
        <w:t>defaults and losing bids, and for the specif</w:t>
      </w:r>
      <w:r>
        <w:rPr>
          <w:rFonts w:eastAsiaTheme="minorEastAsia"/>
        </w:rPr>
        <w:t>ic</w:t>
      </w:r>
      <w:r w:rsidRPr="001A5B25">
        <w:rPr>
          <w:rFonts w:eastAsiaTheme="minorEastAsia"/>
        </w:rPr>
        <w:t xml:space="preserve">ation using losing bids but no defaults and using area-based variables. </w:t>
      </w:r>
      <w:r w:rsidRPr="001F6FF8">
        <w:rPr>
          <w:rFonts w:eastAsiaTheme="minorEastAsia"/>
        </w:rPr>
        <w:t xml:space="preserve"> Coverage by any </w:t>
      </w:r>
      <w:r>
        <w:rPr>
          <w:rFonts w:eastAsiaTheme="minorEastAsia"/>
        </w:rPr>
        <w:t>carrier</w:t>
      </w:r>
      <w:r w:rsidRPr="001F6FF8">
        <w:rPr>
          <w:rFonts w:eastAsiaTheme="minorEastAsia"/>
        </w:rPr>
        <w:t xml:space="preserve"> has relatively large negative coefficients </w:t>
      </w:r>
      <w:r w:rsidRPr="001A5B25">
        <w:rPr>
          <w:rFonts w:eastAsiaTheme="minorEastAsia"/>
        </w:rPr>
        <w:t>using the full sample</w:t>
      </w:r>
      <w:r w:rsidRPr="001F6FF8">
        <w:rPr>
          <w:rFonts w:eastAsiaTheme="minorEastAsia"/>
        </w:rPr>
        <w:t xml:space="preserve"> but no </w:t>
      </w:r>
      <w:r w:rsidRPr="001A5B25">
        <w:rPr>
          <w:rFonts w:eastAsiaTheme="minorEastAsia"/>
        </w:rPr>
        <w:t>coefficient in any specification is</w:t>
      </w:r>
      <w:r w:rsidRPr="001F6FF8">
        <w:rPr>
          <w:rFonts w:eastAsiaTheme="minorEastAsia"/>
        </w:rPr>
        <w:t xml:space="preserve"> statistically significant.  </w:t>
      </w:r>
      <w:r w:rsidRPr="001A5B25">
        <w:rPr>
          <w:rFonts w:eastAsiaTheme="minorEastAsia"/>
        </w:rPr>
        <w:t>Consistent with competition reducing bids, the coefficients on potential bidders are mostly negative, though only the coefficients on “Two bidders” were statistically significant and only for the sample removing defaults and losing bidders.</w:t>
      </w:r>
      <w:r w:rsidRPr="001F6FF8">
        <w:rPr>
          <w:rFonts w:eastAsiaTheme="minorEastAsia"/>
        </w:rPr>
        <w:t xml:space="preserve">  Finally, log median household income always has a positive coefficient, which runs counter to the idea that more economic </w:t>
      </w:r>
      <w:r>
        <w:rPr>
          <w:rFonts w:eastAsiaTheme="minorEastAsia"/>
        </w:rPr>
        <w:t>activity</w:t>
      </w:r>
      <w:r w:rsidRPr="001F6FF8">
        <w:rPr>
          <w:rFonts w:eastAsiaTheme="minorEastAsia"/>
        </w:rPr>
        <w:t xml:space="preserve"> would make an area </w:t>
      </w:r>
      <w:r>
        <w:rPr>
          <w:rFonts w:eastAsiaTheme="minorEastAsia"/>
        </w:rPr>
        <w:t>more profitable to deploy</w:t>
      </w:r>
      <w:r w:rsidRPr="001F6FF8">
        <w:rPr>
          <w:rFonts w:eastAsiaTheme="minorEastAsia"/>
        </w:rPr>
        <w:t xml:space="preserve">.  </w:t>
      </w:r>
      <w:r>
        <w:rPr>
          <w:rFonts w:eastAsiaTheme="minorEastAsia"/>
        </w:rPr>
        <w:t>While there may be other unobserved factors correlated with income involved, t</w:t>
      </w:r>
      <w:r w:rsidRPr="001F6FF8">
        <w:rPr>
          <w:rFonts w:eastAsiaTheme="minorEastAsia"/>
        </w:rPr>
        <w:t>his</w:t>
      </w:r>
      <w:r>
        <w:rPr>
          <w:rFonts w:eastAsiaTheme="minorEastAsia"/>
        </w:rPr>
        <w:t xml:space="preserve"> finding</w:t>
      </w:r>
      <w:r w:rsidRPr="001F6FF8">
        <w:rPr>
          <w:rFonts w:eastAsiaTheme="minorEastAsia"/>
        </w:rPr>
        <w:t xml:space="preserve"> might reflect that in areas with low economic development</w:t>
      </w:r>
      <w:r>
        <w:rPr>
          <w:rFonts w:eastAsiaTheme="minorEastAsia"/>
        </w:rPr>
        <w:t xml:space="preserve"> for the eligible areas of MF-I,</w:t>
      </w:r>
      <w:r w:rsidRPr="001F6FF8">
        <w:rPr>
          <w:rFonts w:eastAsiaTheme="minorEastAsia"/>
        </w:rPr>
        <w:t xml:space="preserve"> the costs of setting up a network with a high enough quality level to serve a more developed area </w:t>
      </w:r>
      <w:r>
        <w:rPr>
          <w:rFonts w:eastAsiaTheme="minorEastAsia"/>
        </w:rPr>
        <w:t>exceed</w:t>
      </w:r>
      <w:r w:rsidRPr="001F6FF8">
        <w:rPr>
          <w:rFonts w:eastAsiaTheme="minorEastAsia"/>
        </w:rPr>
        <w:t xml:space="preserve"> any additional revenues.  However, these coefficients are always imprecisely estimated so we do not rely on them for constructing adjustment factors.</w:t>
      </w:r>
    </w:p>
    <w:p w:rsidR="0016531D" w:rsidP="0016531D" w14:paraId="664A1741" w14:textId="2E1139A0">
      <w:pPr>
        <w:rPr>
          <w:rFonts w:eastAsiaTheme="minorEastAsia"/>
        </w:rPr>
      </w:pPr>
    </w:p>
    <w:p w:rsidR="0016531D" w:rsidP="00733BD8" w14:paraId="436B0AA7" w14:textId="77777777">
      <w:pPr>
        <w:pStyle w:val="ParaNum"/>
        <w:keepNext/>
        <w:keepLines/>
        <w:widowControl/>
        <w:numPr>
          <w:ilvl w:val="0"/>
          <w:numId w:val="0"/>
        </w:numPr>
        <w:spacing w:before="120"/>
        <w:jc w:val="center"/>
        <w:rPr>
          <w:rFonts w:eastAsiaTheme="minorEastAsia"/>
          <w:b/>
        </w:rPr>
      </w:pPr>
      <w:r w:rsidRPr="001F6FF8">
        <w:rPr>
          <w:rFonts w:eastAsiaTheme="minorEastAsia"/>
          <w:b/>
        </w:rPr>
        <w:t>Fig. B-</w:t>
      </w:r>
      <w:r>
        <w:rPr>
          <w:rFonts w:eastAsiaTheme="minorEastAsia"/>
          <w:b/>
        </w:rPr>
        <w:t>10</w:t>
      </w:r>
      <w:r w:rsidRPr="001F6FF8">
        <w:rPr>
          <w:rFonts w:eastAsiaTheme="minorEastAsia"/>
          <w:b/>
        </w:rPr>
        <w:t>: Summary Statistics of Full Estimation Sample</w:t>
      </w:r>
      <w:r>
        <w:rPr>
          <w:rFonts w:eastAsiaTheme="minorEastAsia"/>
          <w:b/>
        </w:rPr>
        <w:t xml:space="preserve"> of Bids</w:t>
      </w:r>
    </w:p>
    <w:tbl>
      <w:tblPr>
        <w:tblW w:w="5000" w:type="pct"/>
        <w:jc w:val="center"/>
        <w:tblLayout w:type="fixed"/>
        <w:tblLook w:val="04A0"/>
      </w:tblPr>
      <w:tblGrid>
        <w:gridCol w:w="4792"/>
        <w:gridCol w:w="841"/>
        <w:gridCol w:w="758"/>
        <w:gridCol w:w="899"/>
        <w:gridCol w:w="361"/>
        <w:gridCol w:w="874"/>
        <w:gridCol w:w="835"/>
      </w:tblGrid>
      <w:tr w14:paraId="70E6E513" w14:textId="77777777" w:rsidTr="00B17053">
        <w:tblPrEx>
          <w:tblW w:w="5000" w:type="pct"/>
          <w:jc w:val="center"/>
          <w:tblLayout w:type="fixed"/>
          <w:tblLook w:val="04A0"/>
        </w:tblPrEx>
        <w:trPr>
          <w:trHeight w:val="368"/>
          <w:jc w:val="center"/>
        </w:trPr>
        <w:tc>
          <w:tcPr>
            <w:tcW w:w="2560" w:type="pct"/>
            <w:tcBorders>
              <w:top w:val="single" w:sz="4" w:space="0" w:color="auto"/>
              <w:left w:val="nil"/>
              <w:bottom w:val="single" w:sz="4" w:space="0" w:color="auto"/>
              <w:right w:val="nil"/>
            </w:tcBorders>
            <w:shd w:val="clear" w:color="auto" w:fill="auto"/>
            <w:noWrap/>
            <w:vAlign w:val="center"/>
            <w:hideMark/>
          </w:tcPr>
          <w:p w:rsidR="0016531D" w:rsidRPr="001F6FF8" w:rsidP="00733BD8" w14:paraId="053028A4" w14:textId="77777777">
            <w:pPr>
              <w:keepNext/>
              <w:keepLines/>
              <w:rPr>
                <w:color w:val="000000"/>
                <w:sz w:val="16"/>
                <w:szCs w:val="16"/>
              </w:rPr>
            </w:pPr>
            <w:r w:rsidRPr="001F6FF8">
              <w:rPr>
                <w:color w:val="000000"/>
                <w:sz w:val="16"/>
                <w:szCs w:val="16"/>
              </w:rPr>
              <w:t>VARIABLES</w:t>
            </w:r>
          </w:p>
        </w:tc>
        <w:tc>
          <w:tcPr>
            <w:tcW w:w="449" w:type="pct"/>
            <w:tcBorders>
              <w:top w:val="single" w:sz="4" w:space="0" w:color="auto"/>
              <w:left w:val="nil"/>
              <w:bottom w:val="single" w:sz="4" w:space="0" w:color="auto"/>
              <w:right w:val="nil"/>
            </w:tcBorders>
            <w:shd w:val="clear" w:color="auto" w:fill="auto"/>
            <w:noWrap/>
            <w:vAlign w:val="center"/>
            <w:hideMark/>
          </w:tcPr>
          <w:p w:rsidR="0016531D" w:rsidRPr="001F6FF8" w:rsidP="00733BD8" w14:paraId="2393C95D" w14:textId="77777777">
            <w:pPr>
              <w:keepNext/>
              <w:keepLines/>
              <w:jc w:val="center"/>
              <w:rPr>
                <w:color w:val="000000"/>
                <w:sz w:val="16"/>
                <w:szCs w:val="16"/>
              </w:rPr>
            </w:pPr>
            <w:r w:rsidRPr="001F6FF8">
              <w:rPr>
                <w:color w:val="000000"/>
                <w:sz w:val="16"/>
                <w:szCs w:val="16"/>
              </w:rPr>
              <w:t>Mean</w:t>
            </w:r>
          </w:p>
        </w:tc>
        <w:tc>
          <w:tcPr>
            <w:tcW w:w="405" w:type="pct"/>
            <w:tcBorders>
              <w:top w:val="single" w:sz="4" w:space="0" w:color="auto"/>
              <w:left w:val="nil"/>
              <w:bottom w:val="single" w:sz="4" w:space="0" w:color="auto"/>
              <w:right w:val="nil"/>
            </w:tcBorders>
            <w:shd w:val="clear" w:color="auto" w:fill="auto"/>
            <w:noWrap/>
            <w:vAlign w:val="center"/>
            <w:hideMark/>
          </w:tcPr>
          <w:p w:rsidR="0016531D" w:rsidRPr="001F6FF8" w:rsidP="00733BD8" w14:paraId="77A0A795" w14:textId="77777777">
            <w:pPr>
              <w:keepNext/>
              <w:keepLines/>
              <w:jc w:val="center"/>
              <w:rPr>
                <w:color w:val="000000"/>
                <w:sz w:val="16"/>
                <w:szCs w:val="16"/>
              </w:rPr>
            </w:pPr>
            <w:r w:rsidRPr="001F6FF8">
              <w:rPr>
                <w:color w:val="000000"/>
                <w:sz w:val="16"/>
                <w:szCs w:val="16"/>
              </w:rPr>
              <w:t>Median</w:t>
            </w:r>
          </w:p>
        </w:tc>
        <w:tc>
          <w:tcPr>
            <w:tcW w:w="480" w:type="pct"/>
            <w:tcBorders>
              <w:top w:val="single" w:sz="4" w:space="0" w:color="auto"/>
              <w:left w:val="nil"/>
              <w:bottom w:val="single" w:sz="4" w:space="0" w:color="auto"/>
              <w:right w:val="nil"/>
            </w:tcBorders>
            <w:shd w:val="clear" w:color="auto" w:fill="auto"/>
            <w:noWrap/>
            <w:vAlign w:val="center"/>
            <w:hideMark/>
          </w:tcPr>
          <w:p w:rsidR="0016531D" w:rsidRPr="001F6FF8" w:rsidP="00733BD8" w14:paraId="694A052C" w14:textId="77777777">
            <w:pPr>
              <w:keepNext/>
              <w:keepLines/>
              <w:jc w:val="center"/>
              <w:rPr>
                <w:color w:val="000000"/>
                <w:sz w:val="16"/>
                <w:szCs w:val="16"/>
              </w:rPr>
            </w:pPr>
            <w:r w:rsidRPr="001F6FF8">
              <w:rPr>
                <w:color w:val="000000"/>
                <w:sz w:val="16"/>
                <w:szCs w:val="16"/>
              </w:rPr>
              <w:t>Std. Dev.</w:t>
            </w:r>
          </w:p>
        </w:tc>
        <w:tc>
          <w:tcPr>
            <w:tcW w:w="193" w:type="pct"/>
            <w:tcBorders>
              <w:top w:val="single" w:sz="4" w:space="0" w:color="auto"/>
              <w:left w:val="nil"/>
              <w:bottom w:val="single" w:sz="4" w:space="0" w:color="auto"/>
              <w:right w:val="nil"/>
            </w:tcBorders>
            <w:vAlign w:val="center"/>
          </w:tcPr>
          <w:p w:rsidR="0016531D" w:rsidRPr="001F6FF8" w:rsidP="00733BD8" w14:paraId="57B5678A" w14:textId="77777777">
            <w:pPr>
              <w:keepNext/>
              <w:keepLines/>
              <w:jc w:val="center"/>
              <w:rPr>
                <w:color w:val="000000"/>
                <w:sz w:val="16"/>
                <w:szCs w:val="16"/>
              </w:rPr>
            </w:pPr>
          </w:p>
        </w:tc>
        <w:tc>
          <w:tcPr>
            <w:tcW w:w="467" w:type="pct"/>
            <w:tcBorders>
              <w:top w:val="single" w:sz="4" w:space="0" w:color="auto"/>
              <w:left w:val="nil"/>
              <w:bottom w:val="single" w:sz="4" w:space="0" w:color="auto"/>
              <w:right w:val="nil"/>
            </w:tcBorders>
            <w:shd w:val="clear" w:color="auto" w:fill="auto"/>
            <w:noWrap/>
            <w:vAlign w:val="center"/>
            <w:hideMark/>
          </w:tcPr>
          <w:p w:rsidR="0016531D" w:rsidRPr="001F6FF8" w:rsidP="00733BD8" w14:paraId="6551EAF4" w14:textId="77777777">
            <w:pPr>
              <w:keepNext/>
              <w:keepLines/>
              <w:jc w:val="center"/>
              <w:rPr>
                <w:color w:val="000000"/>
                <w:sz w:val="16"/>
                <w:szCs w:val="16"/>
              </w:rPr>
            </w:pPr>
            <w:r w:rsidRPr="001F6FF8">
              <w:rPr>
                <w:color w:val="000000"/>
                <w:sz w:val="16"/>
                <w:szCs w:val="16"/>
              </w:rPr>
              <w:t>Min.</w:t>
            </w:r>
          </w:p>
        </w:tc>
        <w:tc>
          <w:tcPr>
            <w:tcW w:w="446" w:type="pct"/>
            <w:tcBorders>
              <w:top w:val="single" w:sz="4" w:space="0" w:color="auto"/>
              <w:left w:val="nil"/>
              <w:bottom w:val="single" w:sz="4" w:space="0" w:color="auto"/>
              <w:right w:val="nil"/>
            </w:tcBorders>
            <w:shd w:val="clear" w:color="auto" w:fill="auto"/>
            <w:noWrap/>
            <w:vAlign w:val="center"/>
            <w:hideMark/>
          </w:tcPr>
          <w:p w:rsidR="0016531D" w:rsidRPr="001F6FF8" w:rsidP="00733BD8" w14:paraId="12AF79F8" w14:textId="77777777">
            <w:pPr>
              <w:keepNext/>
              <w:keepLines/>
              <w:jc w:val="center"/>
              <w:rPr>
                <w:color w:val="000000"/>
                <w:sz w:val="16"/>
                <w:szCs w:val="16"/>
              </w:rPr>
            </w:pPr>
            <w:r w:rsidRPr="001F6FF8">
              <w:rPr>
                <w:color w:val="000000"/>
                <w:sz w:val="16"/>
                <w:szCs w:val="16"/>
              </w:rPr>
              <w:t>Max.</w:t>
            </w:r>
          </w:p>
        </w:tc>
      </w:tr>
      <w:tr w14:paraId="13AAEA69" w14:textId="77777777" w:rsidTr="0061751A">
        <w:tblPrEx>
          <w:tblW w:w="5000" w:type="pct"/>
          <w:jc w:val="center"/>
          <w:tblLayout w:type="fixed"/>
          <w:tblLook w:val="04A0"/>
        </w:tblPrEx>
        <w:trPr>
          <w:trHeight w:val="368"/>
          <w:jc w:val="center"/>
        </w:trPr>
        <w:tc>
          <w:tcPr>
            <w:tcW w:w="2560" w:type="pct"/>
            <w:tcBorders>
              <w:top w:val="nil"/>
              <w:left w:val="nil"/>
              <w:bottom w:val="nil"/>
              <w:right w:val="nil"/>
            </w:tcBorders>
            <w:shd w:val="clear" w:color="auto" w:fill="auto"/>
            <w:noWrap/>
            <w:vAlign w:val="center"/>
            <w:hideMark/>
          </w:tcPr>
          <w:p w:rsidR="0016531D" w:rsidRPr="001F6FF8" w:rsidP="00733BD8" w14:paraId="64EEFCC4" w14:textId="77777777">
            <w:pPr>
              <w:keepNext/>
              <w:keepLines/>
              <w:rPr>
                <w:i/>
                <w:iCs/>
                <w:color w:val="000000"/>
                <w:sz w:val="16"/>
                <w:szCs w:val="16"/>
              </w:rPr>
            </w:pPr>
            <w:r w:rsidRPr="001F6FF8">
              <w:rPr>
                <w:i/>
                <w:iCs/>
                <w:color w:val="000000"/>
                <w:sz w:val="16"/>
                <w:szCs w:val="16"/>
              </w:rPr>
              <w:t>Bid Per Road Mile ($)</w:t>
            </w:r>
          </w:p>
        </w:tc>
        <w:tc>
          <w:tcPr>
            <w:tcW w:w="449" w:type="pct"/>
            <w:tcBorders>
              <w:top w:val="nil"/>
              <w:left w:val="nil"/>
              <w:bottom w:val="nil"/>
              <w:right w:val="nil"/>
            </w:tcBorders>
            <w:shd w:val="clear" w:color="auto" w:fill="auto"/>
            <w:noWrap/>
            <w:vAlign w:val="center"/>
            <w:hideMark/>
          </w:tcPr>
          <w:p w:rsidR="0016531D" w:rsidRPr="001F6FF8" w:rsidP="00733BD8" w14:paraId="3F63D693" w14:textId="77777777">
            <w:pPr>
              <w:keepNext/>
              <w:keepLines/>
              <w:jc w:val="center"/>
              <w:rPr>
                <w:color w:val="000000"/>
                <w:sz w:val="16"/>
                <w:szCs w:val="16"/>
              </w:rPr>
            </w:pPr>
            <w:r w:rsidRPr="001F6FF8">
              <w:rPr>
                <w:color w:val="000000"/>
                <w:sz w:val="16"/>
                <w:szCs w:val="16"/>
              </w:rPr>
              <w:t>17,85</w:t>
            </w:r>
            <w:r>
              <w:rPr>
                <w:color w:val="000000"/>
                <w:sz w:val="16"/>
                <w:szCs w:val="16"/>
              </w:rPr>
              <w:t>6</w:t>
            </w:r>
          </w:p>
        </w:tc>
        <w:tc>
          <w:tcPr>
            <w:tcW w:w="405" w:type="pct"/>
            <w:tcBorders>
              <w:top w:val="nil"/>
              <w:left w:val="nil"/>
              <w:bottom w:val="nil"/>
              <w:right w:val="nil"/>
            </w:tcBorders>
            <w:shd w:val="clear" w:color="auto" w:fill="auto"/>
            <w:noWrap/>
            <w:vAlign w:val="center"/>
            <w:hideMark/>
          </w:tcPr>
          <w:p w:rsidR="0016531D" w:rsidRPr="001F6FF8" w:rsidP="00733BD8" w14:paraId="742BAA67" w14:textId="77777777">
            <w:pPr>
              <w:keepNext/>
              <w:keepLines/>
              <w:jc w:val="center"/>
              <w:rPr>
                <w:color w:val="000000"/>
                <w:sz w:val="16"/>
                <w:szCs w:val="16"/>
              </w:rPr>
            </w:pPr>
            <w:r w:rsidRPr="001F6FF8">
              <w:rPr>
                <w:color w:val="000000"/>
                <w:sz w:val="16"/>
                <w:szCs w:val="16"/>
              </w:rPr>
              <w:t>5,953</w:t>
            </w:r>
          </w:p>
        </w:tc>
        <w:tc>
          <w:tcPr>
            <w:tcW w:w="480" w:type="pct"/>
            <w:tcBorders>
              <w:top w:val="nil"/>
              <w:left w:val="nil"/>
              <w:bottom w:val="nil"/>
              <w:right w:val="nil"/>
            </w:tcBorders>
            <w:shd w:val="clear" w:color="auto" w:fill="auto"/>
            <w:noWrap/>
            <w:vAlign w:val="center"/>
            <w:hideMark/>
          </w:tcPr>
          <w:p w:rsidR="0016531D" w:rsidRPr="001F6FF8" w:rsidP="00733BD8" w14:paraId="4A352BED" w14:textId="77777777">
            <w:pPr>
              <w:keepNext/>
              <w:keepLines/>
              <w:jc w:val="center"/>
              <w:rPr>
                <w:color w:val="000000"/>
                <w:sz w:val="16"/>
                <w:szCs w:val="16"/>
              </w:rPr>
            </w:pPr>
            <w:r w:rsidRPr="001F6FF8">
              <w:rPr>
                <w:color w:val="000000"/>
                <w:sz w:val="16"/>
                <w:szCs w:val="16"/>
              </w:rPr>
              <w:t>41,</w:t>
            </w:r>
            <w:r>
              <w:rPr>
                <w:color w:val="000000"/>
                <w:sz w:val="16"/>
                <w:szCs w:val="16"/>
              </w:rPr>
              <w:t>271</w:t>
            </w:r>
          </w:p>
        </w:tc>
        <w:tc>
          <w:tcPr>
            <w:tcW w:w="193" w:type="pct"/>
            <w:tcBorders>
              <w:top w:val="nil"/>
              <w:left w:val="nil"/>
              <w:bottom w:val="nil"/>
              <w:right w:val="nil"/>
            </w:tcBorders>
            <w:vAlign w:val="center"/>
          </w:tcPr>
          <w:p w:rsidR="0016531D" w:rsidRPr="001F6FF8" w:rsidP="00733BD8" w14:paraId="74E2FC56" w14:textId="77777777">
            <w:pPr>
              <w:keepNext/>
              <w:keepLines/>
              <w:jc w:val="center"/>
              <w:rPr>
                <w:color w:val="000000"/>
                <w:sz w:val="16"/>
                <w:szCs w:val="16"/>
              </w:rPr>
            </w:pPr>
          </w:p>
        </w:tc>
        <w:tc>
          <w:tcPr>
            <w:tcW w:w="467" w:type="pct"/>
            <w:tcBorders>
              <w:top w:val="nil"/>
              <w:left w:val="nil"/>
              <w:bottom w:val="nil"/>
              <w:right w:val="nil"/>
            </w:tcBorders>
            <w:shd w:val="clear" w:color="auto" w:fill="auto"/>
            <w:noWrap/>
            <w:vAlign w:val="center"/>
            <w:hideMark/>
          </w:tcPr>
          <w:p w:rsidR="0016531D" w:rsidRPr="001F6FF8" w:rsidP="00733BD8" w14:paraId="42F755E5" w14:textId="77777777">
            <w:pPr>
              <w:keepNext/>
              <w:keepLines/>
              <w:jc w:val="center"/>
              <w:rPr>
                <w:color w:val="000000"/>
                <w:sz w:val="16"/>
                <w:szCs w:val="16"/>
              </w:rPr>
            </w:pPr>
            <w:r w:rsidRPr="001F6FF8">
              <w:rPr>
                <w:color w:val="000000"/>
                <w:sz w:val="16"/>
                <w:szCs w:val="16"/>
              </w:rPr>
              <w:t>130</w:t>
            </w:r>
          </w:p>
        </w:tc>
        <w:tc>
          <w:tcPr>
            <w:tcW w:w="446" w:type="pct"/>
            <w:tcBorders>
              <w:top w:val="nil"/>
              <w:left w:val="nil"/>
              <w:bottom w:val="nil"/>
              <w:right w:val="nil"/>
            </w:tcBorders>
            <w:shd w:val="clear" w:color="auto" w:fill="auto"/>
            <w:noWrap/>
            <w:vAlign w:val="center"/>
            <w:hideMark/>
          </w:tcPr>
          <w:p w:rsidR="0016531D" w:rsidRPr="001F6FF8" w:rsidP="00733BD8" w14:paraId="25A70656" w14:textId="77777777">
            <w:pPr>
              <w:keepNext/>
              <w:keepLines/>
              <w:jc w:val="center"/>
              <w:rPr>
                <w:color w:val="000000"/>
                <w:sz w:val="16"/>
                <w:szCs w:val="16"/>
              </w:rPr>
            </w:pPr>
            <w:r w:rsidRPr="001F6FF8">
              <w:rPr>
                <w:color w:val="000000"/>
                <w:sz w:val="16"/>
                <w:szCs w:val="16"/>
              </w:rPr>
              <w:t>429,695</w:t>
            </w:r>
          </w:p>
        </w:tc>
      </w:tr>
      <w:tr w14:paraId="6CEB4073" w14:textId="77777777" w:rsidTr="0061751A">
        <w:tblPrEx>
          <w:tblW w:w="5000" w:type="pct"/>
          <w:jc w:val="center"/>
          <w:tblLayout w:type="fixed"/>
          <w:tblLook w:val="04A0"/>
        </w:tblPrEx>
        <w:trPr>
          <w:trHeight w:val="368"/>
          <w:jc w:val="center"/>
        </w:trPr>
        <w:tc>
          <w:tcPr>
            <w:tcW w:w="2560" w:type="pct"/>
            <w:tcBorders>
              <w:top w:val="nil"/>
              <w:left w:val="nil"/>
              <w:bottom w:val="nil"/>
              <w:right w:val="nil"/>
            </w:tcBorders>
            <w:shd w:val="clear" w:color="auto" w:fill="auto"/>
            <w:noWrap/>
            <w:vAlign w:val="center"/>
            <w:hideMark/>
          </w:tcPr>
          <w:p w:rsidR="0016531D" w:rsidRPr="001F6FF8" w:rsidP="00733BD8" w14:paraId="1EEF7778" w14:textId="77777777">
            <w:pPr>
              <w:keepNext/>
              <w:keepLines/>
              <w:rPr>
                <w:i/>
                <w:iCs/>
                <w:color w:val="000000"/>
                <w:sz w:val="16"/>
                <w:szCs w:val="16"/>
              </w:rPr>
            </w:pPr>
            <w:r w:rsidRPr="001F6FF8">
              <w:rPr>
                <w:i/>
                <w:iCs/>
                <w:color w:val="000000"/>
                <w:sz w:val="16"/>
                <w:szCs w:val="16"/>
              </w:rPr>
              <w:t>Terrain Roughness (m)</w:t>
            </w:r>
          </w:p>
        </w:tc>
        <w:tc>
          <w:tcPr>
            <w:tcW w:w="449" w:type="pct"/>
            <w:tcBorders>
              <w:top w:val="nil"/>
              <w:left w:val="nil"/>
              <w:bottom w:val="nil"/>
              <w:right w:val="nil"/>
            </w:tcBorders>
            <w:shd w:val="clear" w:color="auto" w:fill="auto"/>
            <w:noWrap/>
            <w:vAlign w:val="center"/>
            <w:hideMark/>
          </w:tcPr>
          <w:p w:rsidR="0016531D" w:rsidRPr="001F6FF8" w:rsidP="00733BD8" w14:paraId="63C6E858" w14:textId="77777777">
            <w:pPr>
              <w:keepNext/>
              <w:keepLines/>
              <w:jc w:val="center"/>
              <w:rPr>
                <w:color w:val="000000"/>
                <w:sz w:val="16"/>
                <w:szCs w:val="16"/>
              </w:rPr>
            </w:pPr>
            <w:r w:rsidRPr="001F6FF8">
              <w:rPr>
                <w:color w:val="000000"/>
                <w:sz w:val="16"/>
                <w:szCs w:val="16"/>
              </w:rPr>
              <w:t>38.9</w:t>
            </w:r>
          </w:p>
        </w:tc>
        <w:tc>
          <w:tcPr>
            <w:tcW w:w="405" w:type="pct"/>
            <w:tcBorders>
              <w:top w:val="nil"/>
              <w:left w:val="nil"/>
              <w:bottom w:val="nil"/>
              <w:right w:val="nil"/>
            </w:tcBorders>
            <w:shd w:val="clear" w:color="auto" w:fill="auto"/>
            <w:noWrap/>
            <w:vAlign w:val="center"/>
            <w:hideMark/>
          </w:tcPr>
          <w:p w:rsidR="0016531D" w:rsidRPr="001F6FF8" w:rsidP="00733BD8" w14:paraId="60CC692F" w14:textId="77777777">
            <w:pPr>
              <w:keepNext/>
              <w:keepLines/>
              <w:jc w:val="center"/>
              <w:rPr>
                <w:color w:val="000000"/>
                <w:sz w:val="16"/>
                <w:szCs w:val="16"/>
              </w:rPr>
            </w:pPr>
            <w:r w:rsidRPr="001F6FF8">
              <w:rPr>
                <w:color w:val="000000"/>
                <w:sz w:val="16"/>
                <w:szCs w:val="16"/>
              </w:rPr>
              <w:t>17.5</w:t>
            </w:r>
          </w:p>
        </w:tc>
        <w:tc>
          <w:tcPr>
            <w:tcW w:w="480" w:type="pct"/>
            <w:tcBorders>
              <w:top w:val="nil"/>
              <w:left w:val="nil"/>
              <w:bottom w:val="nil"/>
              <w:right w:val="nil"/>
            </w:tcBorders>
            <w:shd w:val="clear" w:color="auto" w:fill="auto"/>
            <w:noWrap/>
            <w:vAlign w:val="center"/>
            <w:hideMark/>
          </w:tcPr>
          <w:p w:rsidR="0016531D" w:rsidRPr="001F6FF8" w:rsidP="00733BD8" w14:paraId="1CEC1B86" w14:textId="77777777">
            <w:pPr>
              <w:keepNext/>
              <w:keepLines/>
              <w:jc w:val="center"/>
              <w:rPr>
                <w:color w:val="000000"/>
                <w:sz w:val="16"/>
                <w:szCs w:val="16"/>
              </w:rPr>
            </w:pPr>
            <w:r w:rsidRPr="001F6FF8">
              <w:rPr>
                <w:color w:val="000000"/>
                <w:sz w:val="16"/>
                <w:szCs w:val="16"/>
              </w:rPr>
              <w:t>41.9</w:t>
            </w:r>
          </w:p>
        </w:tc>
        <w:tc>
          <w:tcPr>
            <w:tcW w:w="193" w:type="pct"/>
            <w:tcBorders>
              <w:top w:val="nil"/>
              <w:left w:val="nil"/>
              <w:bottom w:val="nil"/>
              <w:right w:val="nil"/>
            </w:tcBorders>
            <w:vAlign w:val="center"/>
          </w:tcPr>
          <w:p w:rsidR="0016531D" w:rsidRPr="001F6FF8" w:rsidP="00733BD8" w14:paraId="28E8A94A" w14:textId="77777777">
            <w:pPr>
              <w:keepNext/>
              <w:keepLines/>
              <w:jc w:val="center"/>
              <w:rPr>
                <w:color w:val="000000"/>
                <w:sz w:val="16"/>
                <w:szCs w:val="16"/>
              </w:rPr>
            </w:pPr>
          </w:p>
        </w:tc>
        <w:tc>
          <w:tcPr>
            <w:tcW w:w="467" w:type="pct"/>
            <w:tcBorders>
              <w:top w:val="nil"/>
              <w:left w:val="nil"/>
              <w:bottom w:val="nil"/>
              <w:right w:val="nil"/>
            </w:tcBorders>
            <w:shd w:val="clear" w:color="auto" w:fill="auto"/>
            <w:noWrap/>
            <w:vAlign w:val="center"/>
            <w:hideMark/>
          </w:tcPr>
          <w:p w:rsidR="0016531D" w:rsidRPr="001F6FF8" w:rsidP="00733BD8" w14:paraId="00B34BE9" w14:textId="77777777">
            <w:pPr>
              <w:keepNext/>
              <w:keepLines/>
              <w:jc w:val="center"/>
              <w:rPr>
                <w:color w:val="000000"/>
                <w:sz w:val="16"/>
                <w:szCs w:val="16"/>
              </w:rPr>
            </w:pPr>
            <w:r w:rsidRPr="001F6FF8">
              <w:rPr>
                <w:color w:val="000000"/>
                <w:sz w:val="16"/>
                <w:szCs w:val="16"/>
              </w:rPr>
              <w:t>0.8</w:t>
            </w:r>
          </w:p>
        </w:tc>
        <w:tc>
          <w:tcPr>
            <w:tcW w:w="446" w:type="pct"/>
            <w:tcBorders>
              <w:top w:val="nil"/>
              <w:left w:val="nil"/>
              <w:bottom w:val="nil"/>
              <w:right w:val="nil"/>
            </w:tcBorders>
            <w:shd w:val="clear" w:color="auto" w:fill="auto"/>
            <w:noWrap/>
            <w:vAlign w:val="center"/>
            <w:hideMark/>
          </w:tcPr>
          <w:p w:rsidR="0016531D" w:rsidRPr="001F6FF8" w:rsidP="00733BD8" w14:paraId="7973DCD1" w14:textId="77777777">
            <w:pPr>
              <w:keepNext/>
              <w:keepLines/>
              <w:jc w:val="center"/>
              <w:rPr>
                <w:color w:val="000000"/>
                <w:sz w:val="16"/>
                <w:szCs w:val="16"/>
              </w:rPr>
            </w:pPr>
            <w:r w:rsidRPr="001F6FF8">
              <w:rPr>
                <w:color w:val="000000"/>
                <w:sz w:val="16"/>
                <w:szCs w:val="16"/>
              </w:rPr>
              <w:t>223.6</w:t>
            </w:r>
          </w:p>
        </w:tc>
      </w:tr>
      <w:tr w14:paraId="18A4493A" w14:textId="77777777" w:rsidTr="0061751A">
        <w:tblPrEx>
          <w:tblW w:w="5000" w:type="pct"/>
          <w:jc w:val="center"/>
          <w:tblLayout w:type="fixed"/>
          <w:tblLook w:val="04A0"/>
        </w:tblPrEx>
        <w:trPr>
          <w:trHeight w:val="368"/>
          <w:jc w:val="center"/>
        </w:trPr>
        <w:tc>
          <w:tcPr>
            <w:tcW w:w="2560" w:type="pct"/>
            <w:tcBorders>
              <w:top w:val="nil"/>
              <w:left w:val="nil"/>
              <w:bottom w:val="nil"/>
              <w:right w:val="nil"/>
            </w:tcBorders>
            <w:shd w:val="clear" w:color="auto" w:fill="auto"/>
            <w:noWrap/>
            <w:vAlign w:val="center"/>
            <w:hideMark/>
          </w:tcPr>
          <w:p w:rsidR="0016531D" w:rsidRPr="001F6FF8" w:rsidP="00733BD8" w14:paraId="18147131" w14:textId="77777777">
            <w:pPr>
              <w:keepNext/>
              <w:keepLines/>
              <w:rPr>
                <w:i/>
                <w:iCs/>
                <w:color w:val="000000"/>
                <w:sz w:val="16"/>
                <w:szCs w:val="16"/>
              </w:rPr>
            </w:pPr>
            <w:r w:rsidRPr="001F6FF8">
              <w:rPr>
                <w:i/>
                <w:iCs/>
                <w:color w:val="000000"/>
                <w:sz w:val="16"/>
                <w:szCs w:val="16"/>
              </w:rPr>
              <w:t>Population Density (Per Land Area Mile</w:t>
            </w:r>
            <w:r w:rsidRPr="001F6FF8">
              <w:rPr>
                <w:i/>
                <w:iCs/>
                <w:color w:val="000000"/>
                <w:sz w:val="16"/>
                <w:szCs w:val="16"/>
                <w:vertAlign w:val="superscript"/>
              </w:rPr>
              <w:t>2</w:t>
            </w:r>
            <w:r w:rsidRPr="001F6FF8">
              <w:rPr>
                <w:i/>
                <w:iCs/>
                <w:color w:val="000000"/>
                <w:sz w:val="16"/>
                <w:szCs w:val="16"/>
              </w:rPr>
              <w:t>)</w:t>
            </w:r>
          </w:p>
        </w:tc>
        <w:tc>
          <w:tcPr>
            <w:tcW w:w="449" w:type="pct"/>
            <w:tcBorders>
              <w:top w:val="nil"/>
              <w:left w:val="nil"/>
              <w:bottom w:val="nil"/>
              <w:right w:val="nil"/>
            </w:tcBorders>
            <w:shd w:val="clear" w:color="auto" w:fill="auto"/>
            <w:noWrap/>
            <w:vAlign w:val="center"/>
            <w:hideMark/>
          </w:tcPr>
          <w:p w:rsidR="0016531D" w:rsidRPr="001F6FF8" w:rsidP="00733BD8" w14:paraId="6347308D" w14:textId="77777777">
            <w:pPr>
              <w:keepNext/>
              <w:keepLines/>
              <w:jc w:val="center"/>
              <w:rPr>
                <w:color w:val="000000"/>
                <w:sz w:val="16"/>
                <w:szCs w:val="16"/>
              </w:rPr>
            </w:pPr>
            <w:r w:rsidRPr="001F6FF8">
              <w:rPr>
                <w:color w:val="000000"/>
                <w:sz w:val="16"/>
                <w:szCs w:val="16"/>
              </w:rPr>
              <w:t>33.</w:t>
            </w:r>
            <w:r>
              <w:rPr>
                <w:color w:val="000000"/>
                <w:sz w:val="16"/>
                <w:szCs w:val="16"/>
              </w:rPr>
              <w:t>6</w:t>
            </w:r>
          </w:p>
        </w:tc>
        <w:tc>
          <w:tcPr>
            <w:tcW w:w="405" w:type="pct"/>
            <w:tcBorders>
              <w:top w:val="nil"/>
              <w:left w:val="nil"/>
              <w:bottom w:val="nil"/>
              <w:right w:val="nil"/>
            </w:tcBorders>
            <w:shd w:val="clear" w:color="auto" w:fill="auto"/>
            <w:noWrap/>
            <w:vAlign w:val="center"/>
            <w:hideMark/>
          </w:tcPr>
          <w:p w:rsidR="0016531D" w:rsidRPr="001F6FF8" w:rsidP="00733BD8" w14:paraId="3D1E8390" w14:textId="77777777">
            <w:pPr>
              <w:keepNext/>
              <w:keepLines/>
              <w:jc w:val="center"/>
              <w:rPr>
                <w:color w:val="000000"/>
                <w:sz w:val="16"/>
                <w:szCs w:val="16"/>
              </w:rPr>
            </w:pPr>
            <w:r w:rsidRPr="001F6FF8">
              <w:rPr>
                <w:color w:val="000000"/>
                <w:sz w:val="16"/>
                <w:szCs w:val="16"/>
              </w:rPr>
              <w:t>12.8</w:t>
            </w:r>
          </w:p>
        </w:tc>
        <w:tc>
          <w:tcPr>
            <w:tcW w:w="480" w:type="pct"/>
            <w:tcBorders>
              <w:top w:val="nil"/>
              <w:left w:val="nil"/>
              <w:bottom w:val="nil"/>
              <w:right w:val="nil"/>
            </w:tcBorders>
            <w:shd w:val="clear" w:color="auto" w:fill="auto"/>
            <w:noWrap/>
            <w:vAlign w:val="center"/>
            <w:hideMark/>
          </w:tcPr>
          <w:p w:rsidR="0016531D" w:rsidRPr="001F6FF8" w:rsidP="00733BD8" w14:paraId="56AA0C32" w14:textId="77777777">
            <w:pPr>
              <w:keepNext/>
              <w:keepLines/>
              <w:jc w:val="center"/>
              <w:rPr>
                <w:color w:val="000000"/>
                <w:sz w:val="16"/>
                <w:szCs w:val="16"/>
              </w:rPr>
            </w:pPr>
            <w:r>
              <w:rPr>
                <w:color w:val="000000"/>
                <w:sz w:val="16"/>
                <w:szCs w:val="16"/>
              </w:rPr>
              <w:t>100</w:t>
            </w:r>
            <w:r w:rsidRPr="001F6FF8">
              <w:rPr>
                <w:color w:val="000000"/>
                <w:sz w:val="16"/>
                <w:szCs w:val="16"/>
              </w:rPr>
              <w:t>.</w:t>
            </w:r>
            <w:r>
              <w:rPr>
                <w:color w:val="000000"/>
                <w:sz w:val="16"/>
                <w:szCs w:val="16"/>
              </w:rPr>
              <w:t>0</w:t>
            </w:r>
          </w:p>
        </w:tc>
        <w:tc>
          <w:tcPr>
            <w:tcW w:w="193" w:type="pct"/>
            <w:tcBorders>
              <w:top w:val="nil"/>
              <w:left w:val="nil"/>
              <w:bottom w:val="nil"/>
              <w:right w:val="nil"/>
            </w:tcBorders>
            <w:vAlign w:val="center"/>
          </w:tcPr>
          <w:p w:rsidR="0016531D" w:rsidRPr="001F6FF8" w:rsidP="00733BD8" w14:paraId="54A2AEAF" w14:textId="77777777">
            <w:pPr>
              <w:keepNext/>
              <w:keepLines/>
              <w:jc w:val="center"/>
              <w:rPr>
                <w:color w:val="000000"/>
                <w:sz w:val="16"/>
                <w:szCs w:val="16"/>
              </w:rPr>
            </w:pPr>
          </w:p>
        </w:tc>
        <w:tc>
          <w:tcPr>
            <w:tcW w:w="467" w:type="pct"/>
            <w:tcBorders>
              <w:top w:val="nil"/>
              <w:left w:val="nil"/>
              <w:bottom w:val="nil"/>
              <w:right w:val="nil"/>
            </w:tcBorders>
            <w:shd w:val="clear" w:color="auto" w:fill="auto"/>
            <w:noWrap/>
            <w:vAlign w:val="center"/>
            <w:hideMark/>
          </w:tcPr>
          <w:p w:rsidR="0016531D" w:rsidRPr="001F6FF8" w:rsidP="00733BD8" w14:paraId="00144539" w14:textId="77777777">
            <w:pPr>
              <w:keepNext/>
              <w:keepLines/>
              <w:jc w:val="center"/>
              <w:rPr>
                <w:color w:val="000000"/>
                <w:sz w:val="16"/>
                <w:szCs w:val="16"/>
              </w:rPr>
            </w:pPr>
            <w:r w:rsidRPr="001F6FF8">
              <w:rPr>
                <w:color w:val="000000"/>
                <w:sz w:val="16"/>
                <w:szCs w:val="16"/>
              </w:rPr>
              <w:t>0.0</w:t>
            </w:r>
          </w:p>
        </w:tc>
        <w:tc>
          <w:tcPr>
            <w:tcW w:w="446" w:type="pct"/>
            <w:tcBorders>
              <w:top w:val="nil"/>
              <w:left w:val="nil"/>
              <w:bottom w:val="nil"/>
              <w:right w:val="nil"/>
            </w:tcBorders>
            <w:shd w:val="clear" w:color="auto" w:fill="auto"/>
            <w:noWrap/>
            <w:vAlign w:val="center"/>
            <w:hideMark/>
          </w:tcPr>
          <w:p w:rsidR="0016531D" w:rsidRPr="001F6FF8" w:rsidP="00733BD8" w14:paraId="24B0406D" w14:textId="77777777">
            <w:pPr>
              <w:keepNext/>
              <w:keepLines/>
              <w:jc w:val="center"/>
              <w:rPr>
                <w:color w:val="000000"/>
                <w:sz w:val="16"/>
                <w:szCs w:val="16"/>
              </w:rPr>
            </w:pPr>
            <w:r w:rsidRPr="001F6FF8">
              <w:rPr>
                <w:color w:val="000000"/>
                <w:sz w:val="16"/>
                <w:szCs w:val="16"/>
              </w:rPr>
              <w:t>1,723.4</w:t>
            </w:r>
          </w:p>
        </w:tc>
      </w:tr>
      <w:tr w14:paraId="15E4BFE2" w14:textId="77777777" w:rsidTr="0061751A">
        <w:tblPrEx>
          <w:tblW w:w="5000" w:type="pct"/>
          <w:jc w:val="center"/>
          <w:tblLayout w:type="fixed"/>
          <w:tblLook w:val="04A0"/>
        </w:tblPrEx>
        <w:trPr>
          <w:trHeight w:val="368"/>
          <w:jc w:val="center"/>
        </w:trPr>
        <w:tc>
          <w:tcPr>
            <w:tcW w:w="2560" w:type="pct"/>
            <w:tcBorders>
              <w:top w:val="nil"/>
              <w:left w:val="nil"/>
              <w:bottom w:val="nil"/>
              <w:right w:val="nil"/>
            </w:tcBorders>
            <w:shd w:val="clear" w:color="auto" w:fill="auto"/>
            <w:noWrap/>
            <w:vAlign w:val="center"/>
            <w:hideMark/>
          </w:tcPr>
          <w:p w:rsidR="0016531D" w:rsidRPr="001F6FF8" w:rsidP="00733BD8" w14:paraId="7199FCF3" w14:textId="77777777">
            <w:pPr>
              <w:keepNext/>
              <w:keepLines/>
              <w:rPr>
                <w:i/>
                <w:iCs/>
                <w:color w:val="000000"/>
                <w:sz w:val="16"/>
                <w:szCs w:val="16"/>
              </w:rPr>
            </w:pPr>
            <w:r w:rsidRPr="001F6FF8">
              <w:rPr>
                <w:i/>
                <w:iCs/>
                <w:color w:val="000000"/>
                <w:sz w:val="16"/>
                <w:szCs w:val="16"/>
              </w:rPr>
              <w:t xml:space="preserve">Road Miles </w:t>
            </w:r>
          </w:p>
        </w:tc>
        <w:tc>
          <w:tcPr>
            <w:tcW w:w="449" w:type="pct"/>
            <w:tcBorders>
              <w:top w:val="nil"/>
              <w:left w:val="nil"/>
              <w:bottom w:val="nil"/>
              <w:right w:val="nil"/>
            </w:tcBorders>
            <w:shd w:val="clear" w:color="auto" w:fill="auto"/>
            <w:noWrap/>
            <w:vAlign w:val="center"/>
            <w:hideMark/>
          </w:tcPr>
          <w:p w:rsidR="0016531D" w:rsidRPr="001F6FF8" w:rsidP="00733BD8" w14:paraId="3B89F009" w14:textId="77777777">
            <w:pPr>
              <w:keepNext/>
              <w:keepLines/>
              <w:jc w:val="center"/>
              <w:rPr>
                <w:color w:val="000000"/>
                <w:sz w:val="16"/>
                <w:szCs w:val="16"/>
              </w:rPr>
            </w:pPr>
            <w:r w:rsidRPr="001F6FF8">
              <w:rPr>
                <w:color w:val="000000"/>
                <w:sz w:val="16"/>
                <w:szCs w:val="16"/>
              </w:rPr>
              <w:t>167.4</w:t>
            </w:r>
          </w:p>
        </w:tc>
        <w:tc>
          <w:tcPr>
            <w:tcW w:w="405" w:type="pct"/>
            <w:tcBorders>
              <w:top w:val="nil"/>
              <w:left w:val="nil"/>
              <w:bottom w:val="nil"/>
              <w:right w:val="nil"/>
            </w:tcBorders>
            <w:shd w:val="clear" w:color="auto" w:fill="auto"/>
            <w:noWrap/>
            <w:vAlign w:val="center"/>
            <w:hideMark/>
          </w:tcPr>
          <w:p w:rsidR="0016531D" w:rsidRPr="001F6FF8" w:rsidP="00733BD8" w14:paraId="35CA698E" w14:textId="77777777">
            <w:pPr>
              <w:keepNext/>
              <w:keepLines/>
              <w:jc w:val="center"/>
              <w:rPr>
                <w:color w:val="000000"/>
                <w:sz w:val="16"/>
                <w:szCs w:val="16"/>
              </w:rPr>
            </w:pPr>
            <w:r w:rsidRPr="001F6FF8">
              <w:rPr>
                <w:color w:val="000000"/>
                <w:sz w:val="16"/>
                <w:szCs w:val="16"/>
              </w:rPr>
              <w:t>3</w:t>
            </w:r>
            <w:r>
              <w:rPr>
                <w:color w:val="000000"/>
                <w:sz w:val="16"/>
                <w:szCs w:val="16"/>
              </w:rPr>
              <w:t>6</w:t>
            </w:r>
            <w:r w:rsidRPr="001F6FF8">
              <w:rPr>
                <w:color w:val="000000"/>
                <w:sz w:val="16"/>
                <w:szCs w:val="16"/>
              </w:rPr>
              <w:t>.</w:t>
            </w:r>
            <w:r>
              <w:rPr>
                <w:color w:val="000000"/>
                <w:sz w:val="16"/>
                <w:szCs w:val="16"/>
              </w:rPr>
              <w:t>2</w:t>
            </w:r>
          </w:p>
        </w:tc>
        <w:tc>
          <w:tcPr>
            <w:tcW w:w="480" w:type="pct"/>
            <w:tcBorders>
              <w:top w:val="nil"/>
              <w:left w:val="nil"/>
              <w:bottom w:val="nil"/>
              <w:right w:val="nil"/>
            </w:tcBorders>
            <w:shd w:val="clear" w:color="auto" w:fill="auto"/>
            <w:noWrap/>
            <w:vAlign w:val="center"/>
            <w:hideMark/>
          </w:tcPr>
          <w:p w:rsidR="0016531D" w:rsidRPr="001F6FF8" w:rsidP="00733BD8" w14:paraId="31402FB9" w14:textId="77777777">
            <w:pPr>
              <w:keepNext/>
              <w:keepLines/>
              <w:jc w:val="center"/>
              <w:rPr>
                <w:color w:val="000000"/>
                <w:sz w:val="16"/>
                <w:szCs w:val="16"/>
              </w:rPr>
            </w:pPr>
            <w:r w:rsidRPr="001F6FF8">
              <w:rPr>
                <w:color w:val="000000"/>
                <w:sz w:val="16"/>
                <w:szCs w:val="16"/>
              </w:rPr>
              <w:t>414.</w:t>
            </w:r>
            <w:r>
              <w:rPr>
                <w:color w:val="000000"/>
                <w:sz w:val="16"/>
                <w:szCs w:val="16"/>
              </w:rPr>
              <w:t>5</w:t>
            </w:r>
          </w:p>
        </w:tc>
        <w:tc>
          <w:tcPr>
            <w:tcW w:w="193" w:type="pct"/>
            <w:tcBorders>
              <w:top w:val="nil"/>
              <w:left w:val="nil"/>
              <w:bottom w:val="nil"/>
              <w:right w:val="nil"/>
            </w:tcBorders>
            <w:vAlign w:val="center"/>
          </w:tcPr>
          <w:p w:rsidR="0016531D" w:rsidRPr="001F6FF8" w:rsidP="00733BD8" w14:paraId="06739C76" w14:textId="77777777">
            <w:pPr>
              <w:keepNext/>
              <w:keepLines/>
              <w:jc w:val="center"/>
              <w:rPr>
                <w:color w:val="000000"/>
                <w:sz w:val="16"/>
                <w:szCs w:val="16"/>
              </w:rPr>
            </w:pPr>
          </w:p>
        </w:tc>
        <w:tc>
          <w:tcPr>
            <w:tcW w:w="467" w:type="pct"/>
            <w:tcBorders>
              <w:top w:val="nil"/>
              <w:left w:val="nil"/>
              <w:bottom w:val="nil"/>
              <w:right w:val="nil"/>
            </w:tcBorders>
            <w:shd w:val="clear" w:color="auto" w:fill="auto"/>
            <w:noWrap/>
            <w:vAlign w:val="center"/>
            <w:hideMark/>
          </w:tcPr>
          <w:p w:rsidR="0016531D" w:rsidRPr="001F6FF8" w:rsidP="00733BD8" w14:paraId="1C45FC96" w14:textId="77777777">
            <w:pPr>
              <w:keepNext/>
              <w:keepLines/>
              <w:jc w:val="center"/>
              <w:rPr>
                <w:color w:val="000000"/>
                <w:sz w:val="16"/>
                <w:szCs w:val="16"/>
              </w:rPr>
            </w:pPr>
            <w:r w:rsidRPr="001F6FF8">
              <w:rPr>
                <w:color w:val="000000"/>
                <w:sz w:val="16"/>
                <w:szCs w:val="16"/>
              </w:rPr>
              <w:t>0.0</w:t>
            </w:r>
          </w:p>
        </w:tc>
        <w:tc>
          <w:tcPr>
            <w:tcW w:w="446" w:type="pct"/>
            <w:tcBorders>
              <w:top w:val="nil"/>
              <w:left w:val="nil"/>
              <w:bottom w:val="nil"/>
              <w:right w:val="nil"/>
            </w:tcBorders>
            <w:shd w:val="clear" w:color="auto" w:fill="auto"/>
            <w:noWrap/>
            <w:vAlign w:val="center"/>
            <w:hideMark/>
          </w:tcPr>
          <w:p w:rsidR="0016531D" w:rsidRPr="001F6FF8" w:rsidP="00733BD8" w14:paraId="43F7D64A" w14:textId="77777777">
            <w:pPr>
              <w:keepNext/>
              <w:keepLines/>
              <w:jc w:val="center"/>
              <w:rPr>
                <w:color w:val="000000"/>
                <w:sz w:val="16"/>
                <w:szCs w:val="16"/>
              </w:rPr>
            </w:pPr>
            <w:r w:rsidRPr="001F6FF8">
              <w:rPr>
                <w:color w:val="000000"/>
                <w:sz w:val="16"/>
                <w:szCs w:val="16"/>
              </w:rPr>
              <w:t>4,227.4</w:t>
            </w:r>
          </w:p>
        </w:tc>
      </w:tr>
      <w:tr w14:paraId="1D5425D9" w14:textId="77777777" w:rsidTr="0061751A">
        <w:tblPrEx>
          <w:tblW w:w="5000" w:type="pct"/>
          <w:jc w:val="center"/>
          <w:tblLayout w:type="fixed"/>
          <w:tblLook w:val="04A0"/>
        </w:tblPrEx>
        <w:trPr>
          <w:trHeight w:val="368"/>
          <w:jc w:val="center"/>
        </w:trPr>
        <w:tc>
          <w:tcPr>
            <w:tcW w:w="2560" w:type="pct"/>
            <w:tcBorders>
              <w:top w:val="nil"/>
              <w:left w:val="nil"/>
              <w:bottom w:val="nil"/>
              <w:right w:val="nil"/>
            </w:tcBorders>
            <w:shd w:val="clear" w:color="auto" w:fill="auto"/>
            <w:noWrap/>
            <w:vAlign w:val="center"/>
            <w:hideMark/>
          </w:tcPr>
          <w:p w:rsidR="0016531D" w:rsidRPr="001F6FF8" w:rsidP="00733BD8" w14:paraId="03A20344" w14:textId="77777777">
            <w:pPr>
              <w:keepNext/>
              <w:keepLines/>
              <w:rPr>
                <w:i/>
                <w:iCs/>
                <w:color w:val="000000"/>
                <w:sz w:val="16"/>
                <w:szCs w:val="16"/>
              </w:rPr>
            </w:pPr>
            <w:r w:rsidRPr="001F6FF8">
              <w:rPr>
                <w:i/>
                <w:iCs/>
                <w:color w:val="000000"/>
                <w:sz w:val="16"/>
                <w:szCs w:val="16"/>
              </w:rPr>
              <w:t>Tract Median Household Income ($000s)</w:t>
            </w:r>
          </w:p>
        </w:tc>
        <w:tc>
          <w:tcPr>
            <w:tcW w:w="449" w:type="pct"/>
            <w:tcBorders>
              <w:top w:val="nil"/>
              <w:left w:val="nil"/>
              <w:bottom w:val="nil"/>
              <w:right w:val="nil"/>
            </w:tcBorders>
            <w:shd w:val="clear" w:color="auto" w:fill="auto"/>
            <w:noWrap/>
            <w:vAlign w:val="center"/>
            <w:hideMark/>
          </w:tcPr>
          <w:p w:rsidR="0016531D" w:rsidRPr="001F6FF8" w:rsidP="00733BD8" w14:paraId="79640A16" w14:textId="77777777">
            <w:pPr>
              <w:keepNext/>
              <w:keepLines/>
              <w:jc w:val="center"/>
              <w:rPr>
                <w:color w:val="000000"/>
                <w:sz w:val="16"/>
                <w:szCs w:val="16"/>
              </w:rPr>
            </w:pPr>
            <w:r w:rsidRPr="001F6FF8">
              <w:rPr>
                <w:sz w:val="16"/>
                <w:szCs w:val="16"/>
              </w:rPr>
              <w:t>42,0</w:t>
            </w:r>
            <w:r>
              <w:rPr>
                <w:sz w:val="16"/>
                <w:szCs w:val="16"/>
              </w:rPr>
              <w:t>37</w:t>
            </w:r>
          </w:p>
        </w:tc>
        <w:tc>
          <w:tcPr>
            <w:tcW w:w="405" w:type="pct"/>
            <w:tcBorders>
              <w:top w:val="nil"/>
              <w:left w:val="nil"/>
              <w:bottom w:val="nil"/>
              <w:right w:val="nil"/>
            </w:tcBorders>
            <w:shd w:val="clear" w:color="auto" w:fill="auto"/>
            <w:noWrap/>
            <w:vAlign w:val="center"/>
            <w:hideMark/>
          </w:tcPr>
          <w:p w:rsidR="0016531D" w:rsidRPr="001F6FF8" w:rsidP="00733BD8" w14:paraId="0DE3EBA6" w14:textId="77777777">
            <w:pPr>
              <w:keepNext/>
              <w:keepLines/>
              <w:jc w:val="center"/>
              <w:rPr>
                <w:color w:val="000000"/>
                <w:sz w:val="16"/>
                <w:szCs w:val="16"/>
              </w:rPr>
            </w:pPr>
            <w:r w:rsidRPr="001F6FF8">
              <w:rPr>
                <w:sz w:val="16"/>
                <w:szCs w:val="16"/>
              </w:rPr>
              <w:t>40,74</w:t>
            </w:r>
            <w:r>
              <w:rPr>
                <w:sz w:val="16"/>
                <w:szCs w:val="16"/>
              </w:rPr>
              <w:t>6</w:t>
            </w:r>
          </w:p>
        </w:tc>
        <w:tc>
          <w:tcPr>
            <w:tcW w:w="480" w:type="pct"/>
            <w:tcBorders>
              <w:top w:val="nil"/>
              <w:left w:val="nil"/>
              <w:bottom w:val="nil"/>
              <w:right w:val="nil"/>
            </w:tcBorders>
            <w:shd w:val="clear" w:color="auto" w:fill="auto"/>
            <w:noWrap/>
            <w:vAlign w:val="center"/>
            <w:hideMark/>
          </w:tcPr>
          <w:p w:rsidR="0016531D" w:rsidRPr="001F6FF8" w:rsidP="00733BD8" w14:paraId="7BD40A4E" w14:textId="77777777">
            <w:pPr>
              <w:keepNext/>
              <w:keepLines/>
              <w:jc w:val="center"/>
              <w:rPr>
                <w:color w:val="000000"/>
                <w:sz w:val="16"/>
                <w:szCs w:val="16"/>
              </w:rPr>
            </w:pPr>
            <w:r w:rsidRPr="001F6FF8">
              <w:rPr>
                <w:sz w:val="16"/>
                <w:szCs w:val="16"/>
              </w:rPr>
              <w:t>11,5</w:t>
            </w:r>
            <w:r>
              <w:rPr>
                <w:sz w:val="16"/>
                <w:szCs w:val="16"/>
              </w:rPr>
              <w:t>22</w:t>
            </w:r>
          </w:p>
        </w:tc>
        <w:tc>
          <w:tcPr>
            <w:tcW w:w="193" w:type="pct"/>
            <w:tcBorders>
              <w:top w:val="nil"/>
              <w:left w:val="nil"/>
              <w:bottom w:val="nil"/>
              <w:right w:val="nil"/>
            </w:tcBorders>
            <w:vAlign w:val="center"/>
          </w:tcPr>
          <w:p w:rsidR="0016531D" w:rsidRPr="001F6FF8" w:rsidP="00733BD8" w14:paraId="109C4BB9" w14:textId="77777777">
            <w:pPr>
              <w:keepNext/>
              <w:keepLines/>
              <w:jc w:val="center"/>
              <w:rPr>
                <w:sz w:val="16"/>
                <w:szCs w:val="16"/>
              </w:rPr>
            </w:pPr>
          </w:p>
        </w:tc>
        <w:tc>
          <w:tcPr>
            <w:tcW w:w="467" w:type="pct"/>
            <w:tcBorders>
              <w:top w:val="nil"/>
              <w:left w:val="nil"/>
              <w:bottom w:val="nil"/>
              <w:right w:val="nil"/>
            </w:tcBorders>
            <w:shd w:val="clear" w:color="auto" w:fill="auto"/>
            <w:noWrap/>
            <w:vAlign w:val="center"/>
            <w:hideMark/>
          </w:tcPr>
          <w:p w:rsidR="0016531D" w:rsidRPr="001F6FF8" w:rsidP="00733BD8" w14:paraId="5711B592" w14:textId="77777777">
            <w:pPr>
              <w:keepNext/>
              <w:keepLines/>
              <w:jc w:val="center"/>
              <w:rPr>
                <w:color w:val="000000"/>
                <w:sz w:val="16"/>
                <w:szCs w:val="16"/>
              </w:rPr>
            </w:pPr>
            <w:r w:rsidRPr="001F6FF8">
              <w:rPr>
                <w:sz w:val="16"/>
                <w:szCs w:val="16"/>
              </w:rPr>
              <w:t>10,915</w:t>
            </w:r>
          </w:p>
        </w:tc>
        <w:tc>
          <w:tcPr>
            <w:tcW w:w="446" w:type="pct"/>
            <w:tcBorders>
              <w:top w:val="nil"/>
              <w:left w:val="nil"/>
              <w:bottom w:val="nil"/>
              <w:right w:val="nil"/>
            </w:tcBorders>
            <w:shd w:val="clear" w:color="auto" w:fill="auto"/>
            <w:noWrap/>
            <w:vAlign w:val="center"/>
            <w:hideMark/>
          </w:tcPr>
          <w:p w:rsidR="0016531D" w:rsidRPr="001F6FF8" w:rsidP="00733BD8" w14:paraId="5D6F992C" w14:textId="77777777">
            <w:pPr>
              <w:keepNext/>
              <w:keepLines/>
              <w:jc w:val="center"/>
              <w:rPr>
                <w:color w:val="000000"/>
                <w:sz w:val="16"/>
                <w:szCs w:val="16"/>
              </w:rPr>
            </w:pPr>
            <w:r w:rsidRPr="001F6FF8">
              <w:rPr>
                <w:sz w:val="16"/>
                <w:szCs w:val="16"/>
              </w:rPr>
              <w:t>86,228</w:t>
            </w:r>
          </w:p>
        </w:tc>
      </w:tr>
      <w:tr w14:paraId="257D662A" w14:textId="77777777" w:rsidTr="0061751A">
        <w:tblPrEx>
          <w:tblW w:w="5000" w:type="pct"/>
          <w:jc w:val="center"/>
          <w:tblLayout w:type="fixed"/>
          <w:tblLook w:val="04A0"/>
        </w:tblPrEx>
        <w:trPr>
          <w:trHeight w:val="368"/>
          <w:jc w:val="center"/>
        </w:trPr>
        <w:tc>
          <w:tcPr>
            <w:tcW w:w="2560" w:type="pct"/>
            <w:tcBorders>
              <w:top w:val="nil"/>
              <w:left w:val="nil"/>
              <w:bottom w:val="nil"/>
              <w:right w:val="nil"/>
            </w:tcBorders>
            <w:shd w:val="clear" w:color="auto" w:fill="auto"/>
            <w:noWrap/>
            <w:vAlign w:val="center"/>
            <w:hideMark/>
          </w:tcPr>
          <w:p w:rsidR="0016531D" w:rsidRPr="001F6FF8" w:rsidP="00733BD8" w14:paraId="403CA8C9" w14:textId="77777777">
            <w:pPr>
              <w:keepNext/>
              <w:keepLines/>
              <w:rPr>
                <w:i/>
                <w:iCs/>
                <w:color w:val="000000"/>
                <w:sz w:val="16"/>
                <w:szCs w:val="16"/>
              </w:rPr>
            </w:pPr>
            <w:r w:rsidRPr="001F6FF8">
              <w:rPr>
                <w:i/>
                <w:iCs/>
                <w:color w:val="000000"/>
                <w:sz w:val="16"/>
                <w:szCs w:val="16"/>
              </w:rPr>
              <w:t>Fraction Tract Forest</w:t>
            </w:r>
            <w:r w:rsidRPr="001F6FF8">
              <w:rPr>
                <w:i/>
                <w:iCs/>
                <w:color w:val="000000"/>
                <w:sz w:val="16"/>
                <w:szCs w:val="16"/>
              </w:rPr>
              <w:t xml:space="preserve"> Land</w:t>
            </w:r>
          </w:p>
        </w:tc>
        <w:tc>
          <w:tcPr>
            <w:tcW w:w="449" w:type="pct"/>
            <w:tcBorders>
              <w:top w:val="nil"/>
              <w:left w:val="nil"/>
              <w:bottom w:val="nil"/>
              <w:right w:val="nil"/>
            </w:tcBorders>
            <w:shd w:val="clear" w:color="auto" w:fill="auto"/>
            <w:noWrap/>
            <w:vAlign w:val="center"/>
            <w:hideMark/>
          </w:tcPr>
          <w:p w:rsidR="0016531D" w:rsidRPr="001F6FF8" w:rsidP="00733BD8" w14:paraId="7223EE46" w14:textId="77777777">
            <w:pPr>
              <w:keepNext/>
              <w:keepLines/>
              <w:jc w:val="center"/>
              <w:rPr>
                <w:color w:val="000000"/>
                <w:sz w:val="16"/>
                <w:szCs w:val="16"/>
              </w:rPr>
            </w:pPr>
            <w:r w:rsidRPr="001F6FF8">
              <w:rPr>
                <w:color w:val="000000"/>
                <w:sz w:val="16"/>
                <w:szCs w:val="16"/>
              </w:rPr>
              <w:t>0.52</w:t>
            </w:r>
          </w:p>
        </w:tc>
        <w:tc>
          <w:tcPr>
            <w:tcW w:w="405" w:type="pct"/>
            <w:tcBorders>
              <w:top w:val="nil"/>
              <w:left w:val="nil"/>
              <w:bottom w:val="nil"/>
              <w:right w:val="nil"/>
            </w:tcBorders>
            <w:shd w:val="clear" w:color="auto" w:fill="auto"/>
            <w:noWrap/>
            <w:vAlign w:val="center"/>
            <w:hideMark/>
          </w:tcPr>
          <w:p w:rsidR="0016531D" w:rsidRPr="001F6FF8" w:rsidP="00733BD8" w14:paraId="6778E9AA" w14:textId="77777777">
            <w:pPr>
              <w:keepNext/>
              <w:keepLines/>
              <w:jc w:val="center"/>
              <w:rPr>
                <w:color w:val="000000"/>
                <w:sz w:val="16"/>
                <w:szCs w:val="16"/>
              </w:rPr>
            </w:pPr>
            <w:r w:rsidRPr="001F6FF8">
              <w:rPr>
                <w:color w:val="000000"/>
                <w:sz w:val="16"/>
                <w:szCs w:val="16"/>
              </w:rPr>
              <w:t>0.59</w:t>
            </w:r>
          </w:p>
        </w:tc>
        <w:tc>
          <w:tcPr>
            <w:tcW w:w="480" w:type="pct"/>
            <w:tcBorders>
              <w:top w:val="nil"/>
              <w:left w:val="nil"/>
              <w:bottom w:val="nil"/>
              <w:right w:val="nil"/>
            </w:tcBorders>
            <w:shd w:val="clear" w:color="auto" w:fill="auto"/>
            <w:noWrap/>
            <w:vAlign w:val="center"/>
            <w:hideMark/>
          </w:tcPr>
          <w:p w:rsidR="0016531D" w:rsidRPr="001F6FF8" w:rsidP="00733BD8" w14:paraId="24A910E0" w14:textId="77777777">
            <w:pPr>
              <w:keepNext/>
              <w:keepLines/>
              <w:jc w:val="center"/>
              <w:rPr>
                <w:color w:val="000000"/>
                <w:sz w:val="16"/>
                <w:szCs w:val="16"/>
              </w:rPr>
            </w:pPr>
            <w:r w:rsidRPr="001F6FF8">
              <w:rPr>
                <w:color w:val="000000"/>
                <w:sz w:val="16"/>
                <w:szCs w:val="16"/>
              </w:rPr>
              <w:t>0.28</w:t>
            </w:r>
          </w:p>
        </w:tc>
        <w:tc>
          <w:tcPr>
            <w:tcW w:w="193" w:type="pct"/>
            <w:tcBorders>
              <w:top w:val="nil"/>
              <w:left w:val="nil"/>
              <w:bottom w:val="nil"/>
              <w:right w:val="nil"/>
            </w:tcBorders>
            <w:vAlign w:val="center"/>
          </w:tcPr>
          <w:p w:rsidR="0016531D" w:rsidRPr="001F6FF8" w:rsidP="00733BD8" w14:paraId="04F92D5B" w14:textId="77777777">
            <w:pPr>
              <w:keepNext/>
              <w:keepLines/>
              <w:jc w:val="center"/>
              <w:rPr>
                <w:color w:val="000000"/>
                <w:sz w:val="16"/>
                <w:szCs w:val="16"/>
              </w:rPr>
            </w:pPr>
          </w:p>
        </w:tc>
        <w:tc>
          <w:tcPr>
            <w:tcW w:w="467" w:type="pct"/>
            <w:tcBorders>
              <w:top w:val="nil"/>
              <w:left w:val="nil"/>
              <w:bottom w:val="nil"/>
              <w:right w:val="nil"/>
            </w:tcBorders>
            <w:shd w:val="clear" w:color="auto" w:fill="auto"/>
            <w:noWrap/>
            <w:vAlign w:val="center"/>
            <w:hideMark/>
          </w:tcPr>
          <w:p w:rsidR="0016531D" w:rsidRPr="001F6FF8" w:rsidP="00733BD8" w14:paraId="664DB693" w14:textId="77777777">
            <w:pPr>
              <w:keepNext/>
              <w:keepLines/>
              <w:jc w:val="center"/>
              <w:rPr>
                <w:color w:val="000000"/>
                <w:sz w:val="16"/>
                <w:szCs w:val="16"/>
              </w:rPr>
            </w:pPr>
            <w:r w:rsidRPr="001F6FF8">
              <w:rPr>
                <w:color w:val="000000"/>
                <w:sz w:val="16"/>
                <w:szCs w:val="16"/>
              </w:rPr>
              <w:t>0.00</w:t>
            </w:r>
          </w:p>
        </w:tc>
        <w:tc>
          <w:tcPr>
            <w:tcW w:w="446" w:type="pct"/>
            <w:tcBorders>
              <w:top w:val="nil"/>
              <w:left w:val="nil"/>
              <w:bottom w:val="nil"/>
              <w:right w:val="nil"/>
            </w:tcBorders>
            <w:shd w:val="clear" w:color="auto" w:fill="auto"/>
            <w:noWrap/>
            <w:vAlign w:val="center"/>
            <w:hideMark/>
          </w:tcPr>
          <w:p w:rsidR="0016531D" w:rsidRPr="001F6FF8" w:rsidP="00733BD8" w14:paraId="4E622049" w14:textId="77777777">
            <w:pPr>
              <w:keepNext/>
              <w:keepLines/>
              <w:jc w:val="center"/>
              <w:rPr>
                <w:color w:val="000000"/>
                <w:sz w:val="16"/>
                <w:szCs w:val="16"/>
              </w:rPr>
            </w:pPr>
            <w:r w:rsidRPr="001F6FF8">
              <w:rPr>
                <w:color w:val="000000"/>
                <w:sz w:val="16"/>
                <w:szCs w:val="16"/>
              </w:rPr>
              <w:t>0.94</w:t>
            </w:r>
          </w:p>
        </w:tc>
      </w:tr>
      <w:tr w14:paraId="1D54E37A" w14:textId="77777777" w:rsidTr="0061751A">
        <w:tblPrEx>
          <w:tblW w:w="5000" w:type="pct"/>
          <w:jc w:val="center"/>
          <w:tblLayout w:type="fixed"/>
          <w:tblLook w:val="04A0"/>
        </w:tblPrEx>
        <w:trPr>
          <w:trHeight w:val="368"/>
          <w:jc w:val="center"/>
        </w:trPr>
        <w:tc>
          <w:tcPr>
            <w:tcW w:w="2560" w:type="pct"/>
            <w:tcBorders>
              <w:top w:val="nil"/>
              <w:left w:val="nil"/>
              <w:bottom w:val="nil"/>
              <w:right w:val="nil"/>
            </w:tcBorders>
            <w:shd w:val="clear" w:color="auto" w:fill="auto"/>
            <w:noWrap/>
            <w:vAlign w:val="center"/>
            <w:hideMark/>
          </w:tcPr>
          <w:p w:rsidR="0016531D" w:rsidRPr="001F6FF8" w:rsidP="00733BD8" w14:paraId="56C52456" w14:textId="77777777">
            <w:pPr>
              <w:keepNext/>
              <w:keepLines/>
              <w:rPr>
                <w:i/>
                <w:iCs/>
                <w:color w:val="000000"/>
                <w:sz w:val="16"/>
                <w:szCs w:val="16"/>
              </w:rPr>
            </w:pPr>
            <w:r w:rsidRPr="001F6FF8">
              <w:rPr>
                <w:i/>
                <w:iCs/>
                <w:color w:val="000000"/>
                <w:sz w:val="16"/>
                <w:szCs w:val="16"/>
              </w:rPr>
              <w:t>Carriers Count (Tract Wt. Avg. by Land Area)</w:t>
            </w:r>
          </w:p>
        </w:tc>
        <w:tc>
          <w:tcPr>
            <w:tcW w:w="449" w:type="pct"/>
            <w:tcBorders>
              <w:top w:val="nil"/>
              <w:left w:val="nil"/>
              <w:bottom w:val="nil"/>
              <w:right w:val="nil"/>
            </w:tcBorders>
            <w:shd w:val="clear" w:color="auto" w:fill="auto"/>
            <w:noWrap/>
            <w:vAlign w:val="center"/>
            <w:hideMark/>
          </w:tcPr>
          <w:p w:rsidR="0016531D" w:rsidRPr="001F6FF8" w:rsidP="00733BD8" w14:paraId="640FD13B" w14:textId="77777777">
            <w:pPr>
              <w:keepNext/>
              <w:keepLines/>
              <w:jc w:val="center"/>
              <w:rPr>
                <w:color w:val="000000"/>
                <w:sz w:val="16"/>
                <w:szCs w:val="16"/>
              </w:rPr>
            </w:pPr>
            <w:r w:rsidRPr="001F6FF8">
              <w:rPr>
                <w:color w:val="000000"/>
                <w:sz w:val="16"/>
                <w:szCs w:val="16"/>
              </w:rPr>
              <w:t>2.8</w:t>
            </w:r>
          </w:p>
        </w:tc>
        <w:tc>
          <w:tcPr>
            <w:tcW w:w="405" w:type="pct"/>
            <w:tcBorders>
              <w:top w:val="nil"/>
              <w:left w:val="nil"/>
              <w:bottom w:val="nil"/>
              <w:right w:val="nil"/>
            </w:tcBorders>
            <w:shd w:val="clear" w:color="auto" w:fill="auto"/>
            <w:noWrap/>
            <w:vAlign w:val="center"/>
            <w:hideMark/>
          </w:tcPr>
          <w:p w:rsidR="0016531D" w:rsidRPr="001F6FF8" w:rsidP="00733BD8" w14:paraId="4DDAA40B" w14:textId="77777777">
            <w:pPr>
              <w:keepNext/>
              <w:keepLines/>
              <w:jc w:val="center"/>
              <w:rPr>
                <w:color w:val="000000"/>
                <w:sz w:val="16"/>
                <w:szCs w:val="16"/>
              </w:rPr>
            </w:pPr>
            <w:r w:rsidRPr="001F6FF8">
              <w:rPr>
                <w:color w:val="000000"/>
                <w:sz w:val="16"/>
                <w:szCs w:val="16"/>
              </w:rPr>
              <w:t>2.7</w:t>
            </w:r>
          </w:p>
        </w:tc>
        <w:tc>
          <w:tcPr>
            <w:tcW w:w="480" w:type="pct"/>
            <w:tcBorders>
              <w:top w:val="nil"/>
              <w:left w:val="nil"/>
              <w:bottom w:val="nil"/>
              <w:right w:val="nil"/>
            </w:tcBorders>
            <w:shd w:val="clear" w:color="auto" w:fill="auto"/>
            <w:noWrap/>
            <w:vAlign w:val="center"/>
            <w:hideMark/>
          </w:tcPr>
          <w:p w:rsidR="0016531D" w:rsidRPr="001F6FF8" w:rsidP="00733BD8" w14:paraId="57D40B24" w14:textId="77777777">
            <w:pPr>
              <w:keepNext/>
              <w:keepLines/>
              <w:jc w:val="center"/>
              <w:rPr>
                <w:color w:val="000000"/>
                <w:sz w:val="16"/>
                <w:szCs w:val="16"/>
              </w:rPr>
            </w:pPr>
            <w:r w:rsidRPr="001F6FF8">
              <w:rPr>
                <w:color w:val="000000"/>
                <w:sz w:val="16"/>
                <w:szCs w:val="16"/>
              </w:rPr>
              <w:t>1.1</w:t>
            </w:r>
          </w:p>
        </w:tc>
        <w:tc>
          <w:tcPr>
            <w:tcW w:w="193" w:type="pct"/>
            <w:tcBorders>
              <w:top w:val="nil"/>
              <w:left w:val="nil"/>
              <w:bottom w:val="nil"/>
              <w:right w:val="nil"/>
            </w:tcBorders>
            <w:vAlign w:val="center"/>
          </w:tcPr>
          <w:p w:rsidR="0016531D" w:rsidRPr="001F6FF8" w:rsidP="00733BD8" w14:paraId="7CBC596A" w14:textId="77777777">
            <w:pPr>
              <w:keepNext/>
              <w:keepLines/>
              <w:jc w:val="center"/>
              <w:rPr>
                <w:color w:val="000000"/>
                <w:sz w:val="16"/>
                <w:szCs w:val="16"/>
              </w:rPr>
            </w:pPr>
          </w:p>
        </w:tc>
        <w:tc>
          <w:tcPr>
            <w:tcW w:w="467" w:type="pct"/>
            <w:tcBorders>
              <w:top w:val="nil"/>
              <w:left w:val="nil"/>
              <w:bottom w:val="nil"/>
              <w:right w:val="nil"/>
            </w:tcBorders>
            <w:shd w:val="clear" w:color="auto" w:fill="auto"/>
            <w:noWrap/>
            <w:vAlign w:val="center"/>
            <w:hideMark/>
          </w:tcPr>
          <w:p w:rsidR="0016531D" w:rsidRPr="001F6FF8" w:rsidP="00733BD8" w14:paraId="60BF2294" w14:textId="77777777">
            <w:pPr>
              <w:keepNext/>
              <w:keepLines/>
              <w:jc w:val="center"/>
              <w:rPr>
                <w:color w:val="000000"/>
                <w:sz w:val="16"/>
                <w:szCs w:val="16"/>
              </w:rPr>
            </w:pPr>
            <w:r w:rsidRPr="001F6FF8">
              <w:rPr>
                <w:color w:val="000000"/>
                <w:sz w:val="16"/>
                <w:szCs w:val="16"/>
              </w:rPr>
              <w:t>0.3</w:t>
            </w:r>
          </w:p>
        </w:tc>
        <w:tc>
          <w:tcPr>
            <w:tcW w:w="446" w:type="pct"/>
            <w:tcBorders>
              <w:top w:val="nil"/>
              <w:left w:val="nil"/>
              <w:bottom w:val="nil"/>
              <w:right w:val="nil"/>
            </w:tcBorders>
            <w:shd w:val="clear" w:color="auto" w:fill="auto"/>
            <w:noWrap/>
            <w:vAlign w:val="center"/>
            <w:hideMark/>
          </w:tcPr>
          <w:p w:rsidR="0016531D" w:rsidRPr="001F6FF8" w:rsidP="00733BD8" w14:paraId="1F9E7756" w14:textId="77777777">
            <w:pPr>
              <w:keepNext/>
              <w:keepLines/>
              <w:jc w:val="center"/>
              <w:rPr>
                <w:color w:val="000000"/>
                <w:sz w:val="16"/>
                <w:szCs w:val="16"/>
              </w:rPr>
            </w:pPr>
            <w:r w:rsidRPr="001F6FF8">
              <w:rPr>
                <w:color w:val="000000"/>
                <w:sz w:val="16"/>
                <w:szCs w:val="16"/>
              </w:rPr>
              <w:t>5.8</w:t>
            </w:r>
          </w:p>
        </w:tc>
      </w:tr>
      <w:tr w14:paraId="304EA74E" w14:textId="77777777" w:rsidTr="0061751A">
        <w:tblPrEx>
          <w:tblW w:w="5000" w:type="pct"/>
          <w:jc w:val="center"/>
          <w:tblLayout w:type="fixed"/>
          <w:tblLook w:val="04A0"/>
        </w:tblPrEx>
        <w:trPr>
          <w:trHeight w:val="368"/>
          <w:jc w:val="center"/>
        </w:trPr>
        <w:tc>
          <w:tcPr>
            <w:tcW w:w="2560" w:type="pct"/>
            <w:tcBorders>
              <w:top w:val="nil"/>
              <w:left w:val="nil"/>
              <w:bottom w:val="nil"/>
              <w:right w:val="nil"/>
            </w:tcBorders>
            <w:shd w:val="clear" w:color="auto" w:fill="auto"/>
            <w:noWrap/>
            <w:vAlign w:val="center"/>
            <w:hideMark/>
          </w:tcPr>
          <w:p w:rsidR="0016531D" w:rsidRPr="001F6FF8" w:rsidP="00733BD8" w14:paraId="5CA792DD" w14:textId="77777777">
            <w:pPr>
              <w:keepNext/>
              <w:keepLines/>
              <w:rPr>
                <w:i/>
                <w:iCs/>
                <w:color w:val="000000"/>
                <w:sz w:val="16"/>
                <w:szCs w:val="16"/>
              </w:rPr>
            </w:pPr>
            <w:r w:rsidRPr="001F6FF8">
              <w:rPr>
                <w:i/>
                <w:iCs/>
                <w:color w:val="000000"/>
                <w:sz w:val="16"/>
                <w:szCs w:val="16"/>
              </w:rPr>
              <w:t>Carriers Count (Tract Wt. Avg. by Road Miles)</w:t>
            </w:r>
          </w:p>
        </w:tc>
        <w:tc>
          <w:tcPr>
            <w:tcW w:w="449" w:type="pct"/>
            <w:tcBorders>
              <w:top w:val="nil"/>
              <w:left w:val="nil"/>
              <w:bottom w:val="nil"/>
              <w:right w:val="nil"/>
            </w:tcBorders>
            <w:shd w:val="clear" w:color="auto" w:fill="auto"/>
            <w:noWrap/>
            <w:vAlign w:val="center"/>
            <w:hideMark/>
          </w:tcPr>
          <w:p w:rsidR="0016531D" w:rsidRPr="001F6FF8" w:rsidP="00733BD8" w14:paraId="23BA166F" w14:textId="77777777">
            <w:pPr>
              <w:keepNext/>
              <w:keepLines/>
              <w:jc w:val="center"/>
              <w:rPr>
                <w:color w:val="000000"/>
                <w:sz w:val="16"/>
                <w:szCs w:val="16"/>
              </w:rPr>
            </w:pPr>
            <w:r w:rsidRPr="001F6FF8">
              <w:rPr>
                <w:color w:val="000000"/>
                <w:sz w:val="16"/>
                <w:szCs w:val="16"/>
              </w:rPr>
              <w:t>2.</w:t>
            </w:r>
            <w:r>
              <w:rPr>
                <w:color w:val="000000"/>
                <w:sz w:val="16"/>
                <w:szCs w:val="16"/>
              </w:rPr>
              <w:t>8</w:t>
            </w:r>
          </w:p>
        </w:tc>
        <w:tc>
          <w:tcPr>
            <w:tcW w:w="405" w:type="pct"/>
            <w:tcBorders>
              <w:top w:val="nil"/>
              <w:left w:val="nil"/>
              <w:bottom w:val="nil"/>
              <w:right w:val="nil"/>
            </w:tcBorders>
            <w:shd w:val="clear" w:color="auto" w:fill="auto"/>
            <w:noWrap/>
            <w:vAlign w:val="center"/>
            <w:hideMark/>
          </w:tcPr>
          <w:p w:rsidR="0016531D" w:rsidRPr="001F6FF8" w:rsidP="00733BD8" w14:paraId="34FB5440" w14:textId="77777777">
            <w:pPr>
              <w:keepNext/>
              <w:keepLines/>
              <w:jc w:val="center"/>
              <w:rPr>
                <w:color w:val="000000"/>
                <w:sz w:val="16"/>
                <w:szCs w:val="16"/>
              </w:rPr>
            </w:pPr>
            <w:r w:rsidRPr="001F6FF8">
              <w:rPr>
                <w:color w:val="000000"/>
                <w:sz w:val="16"/>
                <w:szCs w:val="16"/>
              </w:rPr>
              <w:t>2.8</w:t>
            </w:r>
          </w:p>
        </w:tc>
        <w:tc>
          <w:tcPr>
            <w:tcW w:w="480" w:type="pct"/>
            <w:tcBorders>
              <w:top w:val="nil"/>
              <w:left w:val="nil"/>
              <w:bottom w:val="nil"/>
              <w:right w:val="nil"/>
            </w:tcBorders>
            <w:shd w:val="clear" w:color="auto" w:fill="auto"/>
            <w:noWrap/>
            <w:vAlign w:val="center"/>
            <w:hideMark/>
          </w:tcPr>
          <w:p w:rsidR="0016531D" w:rsidRPr="001F6FF8" w:rsidP="00733BD8" w14:paraId="28DBF05F" w14:textId="77777777">
            <w:pPr>
              <w:keepNext/>
              <w:keepLines/>
              <w:jc w:val="center"/>
              <w:rPr>
                <w:color w:val="000000"/>
                <w:sz w:val="16"/>
                <w:szCs w:val="16"/>
              </w:rPr>
            </w:pPr>
            <w:r w:rsidRPr="001F6FF8">
              <w:rPr>
                <w:color w:val="000000"/>
                <w:sz w:val="16"/>
                <w:szCs w:val="16"/>
              </w:rPr>
              <w:t>1.1</w:t>
            </w:r>
          </w:p>
        </w:tc>
        <w:tc>
          <w:tcPr>
            <w:tcW w:w="193" w:type="pct"/>
            <w:tcBorders>
              <w:top w:val="nil"/>
              <w:left w:val="nil"/>
              <w:bottom w:val="nil"/>
              <w:right w:val="nil"/>
            </w:tcBorders>
            <w:vAlign w:val="center"/>
          </w:tcPr>
          <w:p w:rsidR="0016531D" w:rsidRPr="001F6FF8" w:rsidP="00733BD8" w14:paraId="18A12D2D" w14:textId="77777777">
            <w:pPr>
              <w:keepNext/>
              <w:keepLines/>
              <w:jc w:val="center"/>
              <w:rPr>
                <w:color w:val="000000"/>
                <w:sz w:val="16"/>
                <w:szCs w:val="16"/>
              </w:rPr>
            </w:pPr>
          </w:p>
        </w:tc>
        <w:tc>
          <w:tcPr>
            <w:tcW w:w="467" w:type="pct"/>
            <w:tcBorders>
              <w:top w:val="nil"/>
              <w:left w:val="nil"/>
              <w:bottom w:val="nil"/>
              <w:right w:val="nil"/>
            </w:tcBorders>
            <w:shd w:val="clear" w:color="auto" w:fill="auto"/>
            <w:noWrap/>
            <w:vAlign w:val="center"/>
            <w:hideMark/>
          </w:tcPr>
          <w:p w:rsidR="0016531D" w:rsidRPr="001F6FF8" w:rsidP="00733BD8" w14:paraId="7A4EE7D1" w14:textId="77777777">
            <w:pPr>
              <w:keepNext/>
              <w:keepLines/>
              <w:jc w:val="center"/>
              <w:rPr>
                <w:color w:val="000000"/>
                <w:sz w:val="16"/>
                <w:szCs w:val="16"/>
              </w:rPr>
            </w:pPr>
            <w:r w:rsidRPr="001F6FF8">
              <w:rPr>
                <w:color w:val="000000"/>
                <w:sz w:val="16"/>
                <w:szCs w:val="16"/>
              </w:rPr>
              <w:t>0.2</w:t>
            </w:r>
          </w:p>
        </w:tc>
        <w:tc>
          <w:tcPr>
            <w:tcW w:w="446" w:type="pct"/>
            <w:tcBorders>
              <w:top w:val="nil"/>
              <w:left w:val="nil"/>
              <w:bottom w:val="nil"/>
              <w:right w:val="nil"/>
            </w:tcBorders>
            <w:shd w:val="clear" w:color="auto" w:fill="auto"/>
            <w:noWrap/>
            <w:vAlign w:val="center"/>
            <w:hideMark/>
          </w:tcPr>
          <w:p w:rsidR="0016531D" w:rsidRPr="001F6FF8" w:rsidP="00733BD8" w14:paraId="40204047" w14:textId="77777777">
            <w:pPr>
              <w:keepNext/>
              <w:keepLines/>
              <w:jc w:val="center"/>
              <w:rPr>
                <w:color w:val="000000"/>
                <w:sz w:val="16"/>
                <w:szCs w:val="16"/>
              </w:rPr>
            </w:pPr>
            <w:r w:rsidRPr="001F6FF8">
              <w:rPr>
                <w:color w:val="000000"/>
                <w:sz w:val="16"/>
                <w:szCs w:val="16"/>
              </w:rPr>
              <w:t>5.7</w:t>
            </w:r>
          </w:p>
        </w:tc>
      </w:tr>
      <w:tr w14:paraId="6EBF378D" w14:textId="77777777" w:rsidTr="0061751A">
        <w:tblPrEx>
          <w:tblW w:w="5000" w:type="pct"/>
          <w:jc w:val="center"/>
          <w:tblLayout w:type="fixed"/>
          <w:tblLook w:val="04A0"/>
        </w:tblPrEx>
        <w:trPr>
          <w:trHeight w:val="368"/>
          <w:jc w:val="center"/>
        </w:trPr>
        <w:tc>
          <w:tcPr>
            <w:tcW w:w="2560" w:type="pct"/>
            <w:tcBorders>
              <w:top w:val="nil"/>
              <w:left w:val="nil"/>
              <w:bottom w:val="nil"/>
              <w:right w:val="nil"/>
            </w:tcBorders>
            <w:shd w:val="clear" w:color="auto" w:fill="auto"/>
            <w:noWrap/>
            <w:vAlign w:val="center"/>
            <w:hideMark/>
          </w:tcPr>
          <w:p w:rsidR="0016531D" w:rsidRPr="001F6FF8" w:rsidP="00733BD8" w14:paraId="54752810" w14:textId="77777777">
            <w:pPr>
              <w:keepNext/>
              <w:keepLines/>
              <w:rPr>
                <w:i/>
                <w:iCs/>
                <w:color w:val="000000"/>
                <w:sz w:val="16"/>
                <w:szCs w:val="16"/>
              </w:rPr>
            </w:pPr>
            <w:r w:rsidRPr="001F6FF8">
              <w:rPr>
                <w:i/>
                <w:iCs/>
                <w:color w:val="000000"/>
                <w:sz w:val="16"/>
                <w:szCs w:val="16"/>
              </w:rPr>
              <w:t>Fraction Service Coverage (Tract Wt. Avg. by Land Area)</w:t>
            </w:r>
          </w:p>
        </w:tc>
        <w:tc>
          <w:tcPr>
            <w:tcW w:w="449" w:type="pct"/>
            <w:tcBorders>
              <w:top w:val="nil"/>
              <w:left w:val="nil"/>
              <w:bottom w:val="nil"/>
              <w:right w:val="nil"/>
            </w:tcBorders>
            <w:shd w:val="clear" w:color="auto" w:fill="auto"/>
            <w:noWrap/>
            <w:vAlign w:val="center"/>
            <w:hideMark/>
          </w:tcPr>
          <w:p w:rsidR="0016531D" w:rsidRPr="001F6FF8" w:rsidP="00733BD8" w14:paraId="2D8EC7A7" w14:textId="77777777">
            <w:pPr>
              <w:keepNext/>
              <w:keepLines/>
              <w:jc w:val="center"/>
              <w:rPr>
                <w:color w:val="000000"/>
                <w:sz w:val="16"/>
                <w:szCs w:val="16"/>
              </w:rPr>
            </w:pPr>
            <w:r w:rsidRPr="001F6FF8">
              <w:rPr>
                <w:color w:val="000000"/>
                <w:sz w:val="16"/>
                <w:szCs w:val="16"/>
              </w:rPr>
              <w:t>0.95</w:t>
            </w:r>
          </w:p>
        </w:tc>
        <w:tc>
          <w:tcPr>
            <w:tcW w:w="405" w:type="pct"/>
            <w:tcBorders>
              <w:top w:val="nil"/>
              <w:left w:val="nil"/>
              <w:bottom w:val="nil"/>
              <w:right w:val="nil"/>
            </w:tcBorders>
            <w:shd w:val="clear" w:color="auto" w:fill="auto"/>
            <w:noWrap/>
            <w:vAlign w:val="center"/>
            <w:hideMark/>
          </w:tcPr>
          <w:p w:rsidR="0016531D" w:rsidRPr="001F6FF8" w:rsidP="00733BD8" w14:paraId="598E2357" w14:textId="77777777">
            <w:pPr>
              <w:keepNext/>
              <w:keepLines/>
              <w:jc w:val="center"/>
              <w:rPr>
                <w:color w:val="000000"/>
                <w:sz w:val="16"/>
                <w:szCs w:val="16"/>
              </w:rPr>
            </w:pPr>
            <w:r w:rsidRPr="001F6FF8">
              <w:rPr>
                <w:color w:val="000000"/>
                <w:sz w:val="16"/>
                <w:szCs w:val="16"/>
              </w:rPr>
              <w:t>1.00</w:t>
            </w:r>
          </w:p>
        </w:tc>
        <w:tc>
          <w:tcPr>
            <w:tcW w:w="480" w:type="pct"/>
            <w:tcBorders>
              <w:top w:val="nil"/>
              <w:left w:val="nil"/>
              <w:bottom w:val="nil"/>
              <w:right w:val="nil"/>
            </w:tcBorders>
            <w:shd w:val="clear" w:color="auto" w:fill="auto"/>
            <w:noWrap/>
            <w:vAlign w:val="center"/>
            <w:hideMark/>
          </w:tcPr>
          <w:p w:rsidR="0016531D" w:rsidRPr="001F6FF8" w:rsidP="00733BD8" w14:paraId="3CEE99FF" w14:textId="77777777">
            <w:pPr>
              <w:keepNext/>
              <w:keepLines/>
              <w:jc w:val="center"/>
              <w:rPr>
                <w:color w:val="000000"/>
                <w:sz w:val="16"/>
                <w:szCs w:val="16"/>
              </w:rPr>
            </w:pPr>
            <w:r w:rsidRPr="001F6FF8">
              <w:rPr>
                <w:color w:val="000000"/>
                <w:sz w:val="16"/>
                <w:szCs w:val="16"/>
              </w:rPr>
              <w:t>0.11</w:t>
            </w:r>
          </w:p>
        </w:tc>
        <w:tc>
          <w:tcPr>
            <w:tcW w:w="193" w:type="pct"/>
            <w:tcBorders>
              <w:top w:val="nil"/>
              <w:left w:val="nil"/>
              <w:bottom w:val="nil"/>
              <w:right w:val="nil"/>
            </w:tcBorders>
            <w:vAlign w:val="center"/>
          </w:tcPr>
          <w:p w:rsidR="0016531D" w:rsidRPr="001F6FF8" w:rsidP="00733BD8" w14:paraId="289699DD" w14:textId="77777777">
            <w:pPr>
              <w:keepNext/>
              <w:keepLines/>
              <w:jc w:val="center"/>
              <w:rPr>
                <w:color w:val="000000"/>
                <w:sz w:val="16"/>
                <w:szCs w:val="16"/>
              </w:rPr>
            </w:pPr>
          </w:p>
        </w:tc>
        <w:tc>
          <w:tcPr>
            <w:tcW w:w="467" w:type="pct"/>
            <w:tcBorders>
              <w:top w:val="nil"/>
              <w:left w:val="nil"/>
              <w:bottom w:val="nil"/>
              <w:right w:val="nil"/>
            </w:tcBorders>
            <w:shd w:val="clear" w:color="auto" w:fill="auto"/>
            <w:noWrap/>
            <w:vAlign w:val="center"/>
            <w:hideMark/>
          </w:tcPr>
          <w:p w:rsidR="0016531D" w:rsidRPr="001F6FF8" w:rsidP="00733BD8" w14:paraId="34997F0A" w14:textId="77777777">
            <w:pPr>
              <w:keepNext/>
              <w:keepLines/>
              <w:jc w:val="center"/>
              <w:rPr>
                <w:color w:val="000000"/>
                <w:sz w:val="16"/>
                <w:szCs w:val="16"/>
              </w:rPr>
            </w:pPr>
            <w:r w:rsidRPr="001F6FF8">
              <w:rPr>
                <w:color w:val="000000"/>
                <w:sz w:val="16"/>
                <w:szCs w:val="16"/>
              </w:rPr>
              <w:t>0.24</w:t>
            </w:r>
          </w:p>
        </w:tc>
        <w:tc>
          <w:tcPr>
            <w:tcW w:w="446" w:type="pct"/>
            <w:tcBorders>
              <w:top w:val="nil"/>
              <w:left w:val="nil"/>
              <w:bottom w:val="nil"/>
              <w:right w:val="nil"/>
            </w:tcBorders>
            <w:shd w:val="clear" w:color="auto" w:fill="auto"/>
            <w:noWrap/>
            <w:vAlign w:val="center"/>
            <w:hideMark/>
          </w:tcPr>
          <w:p w:rsidR="0016531D" w:rsidRPr="001F6FF8" w:rsidP="00733BD8" w14:paraId="7FAB6E9B" w14:textId="77777777">
            <w:pPr>
              <w:keepNext/>
              <w:keepLines/>
              <w:jc w:val="center"/>
              <w:rPr>
                <w:color w:val="000000"/>
                <w:sz w:val="16"/>
                <w:szCs w:val="16"/>
              </w:rPr>
            </w:pPr>
            <w:r w:rsidRPr="001F6FF8">
              <w:rPr>
                <w:color w:val="000000"/>
                <w:sz w:val="16"/>
                <w:szCs w:val="16"/>
              </w:rPr>
              <w:t>1.00</w:t>
            </w:r>
          </w:p>
        </w:tc>
      </w:tr>
      <w:tr w14:paraId="348F70D1" w14:textId="77777777" w:rsidTr="0061751A">
        <w:tblPrEx>
          <w:tblW w:w="5000" w:type="pct"/>
          <w:jc w:val="center"/>
          <w:tblLayout w:type="fixed"/>
          <w:tblLook w:val="04A0"/>
        </w:tblPrEx>
        <w:trPr>
          <w:trHeight w:val="368"/>
          <w:jc w:val="center"/>
        </w:trPr>
        <w:tc>
          <w:tcPr>
            <w:tcW w:w="2560" w:type="pct"/>
            <w:tcBorders>
              <w:top w:val="nil"/>
              <w:left w:val="nil"/>
              <w:bottom w:val="nil"/>
              <w:right w:val="nil"/>
            </w:tcBorders>
            <w:shd w:val="clear" w:color="auto" w:fill="auto"/>
            <w:noWrap/>
            <w:vAlign w:val="center"/>
            <w:hideMark/>
          </w:tcPr>
          <w:p w:rsidR="0016531D" w:rsidRPr="001F6FF8" w:rsidP="00733BD8" w14:paraId="38C3172E" w14:textId="77777777">
            <w:pPr>
              <w:keepNext/>
              <w:keepLines/>
              <w:rPr>
                <w:i/>
                <w:iCs/>
                <w:color w:val="000000"/>
                <w:sz w:val="16"/>
                <w:szCs w:val="16"/>
              </w:rPr>
            </w:pPr>
            <w:r w:rsidRPr="001F6FF8">
              <w:rPr>
                <w:i/>
                <w:iCs/>
                <w:color w:val="000000"/>
                <w:sz w:val="16"/>
                <w:szCs w:val="16"/>
              </w:rPr>
              <w:t>Fraction Service Coverage (Tract Wt. Avg. by Road Miles)</w:t>
            </w:r>
          </w:p>
        </w:tc>
        <w:tc>
          <w:tcPr>
            <w:tcW w:w="449" w:type="pct"/>
            <w:tcBorders>
              <w:top w:val="nil"/>
              <w:left w:val="nil"/>
              <w:bottom w:val="nil"/>
              <w:right w:val="nil"/>
            </w:tcBorders>
            <w:shd w:val="clear" w:color="auto" w:fill="auto"/>
            <w:noWrap/>
            <w:vAlign w:val="center"/>
            <w:hideMark/>
          </w:tcPr>
          <w:p w:rsidR="0016531D" w:rsidRPr="001F6FF8" w:rsidP="00733BD8" w14:paraId="2F5D1C66" w14:textId="77777777">
            <w:pPr>
              <w:keepNext/>
              <w:keepLines/>
              <w:jc w:val="center"/>
              <w:rPr>
                <w:color w:val="000000"/>
                <w:sz w:val="16"/>
                <w:szCs w:val="16"/>
              </w:rPr>
            </w:pPr>
            <w:r w:rsidRPr="001F6FF8">
              <w:rPr>
                <w:color w:val="000000"/>
                <w:sz w:val="16"/>
                <w:szCs w:val="16"/>
              </w:rPr>
              <w:t>0.95</w:t>
            </w:r>
          </w:p>
        </w:tc>
        <w:tc>
          <w:tcPr>
            <w:tcW w:w="405" w:type="pct"/>
            <w:tcBorders>
              <w:top w:val="nil"/>
              <w:left w:val="nil"/>
              <w:bottom w:val="nil"/>
              <w:right w:val="nil"/>
            </w:tcBorders>
            <w:shd w:val="clear" w:color="auto" w:fill="auto"/>
            <w:noWrap/>
            <w:vAlign w:val="center"/>
            <w:hideMark/>
          </w:tcPr>
          <w:p w:rsidR="0016531D" w:rsidRPr="001F6FF8" w:rsidP="00733BD8" w14:paraId="221742FB" w14:textId="77777777">
            <w:pPr>
              <w:keepNext/>
              <w:keepLines/>
              <w:jc w:val="center"/>
              <w:rPr>
                <w:color w:val="000000"/>
                <w:sz w:val="16"/>
                <w:szCs w:val="16"/>
              </w:rPr>
            </w:pPr>
            <w:r w:rsidRPr="001F6FF8">
              <w:rPr>
                <w:color w:val="000000"/>
                <w:sz w:val="16"/>
                <w:szCs w:val="16"/>
              </w:rPr>
              <w:t>1.00</w:t>
            </w:r>
          </w:p>
        </w:tc>
        <w:tc>
          <w:tcPr>
            <w:tcW w:w="480" w:type="pct"/>
            <w:tcBorders>
              <w:top w:val="nil"/>
              <w:left w:val="nil"/>
              <w:bottom w:val="nil"/>
              <w:right w:val="nil"/>
            </w:tcBorders>
            <w:shd w:val="clear" w:color="auto" w:fill="auto"/>
            <w:noWrap/>
            <w:vAlign w:val="center"/>
            <w:hideMark/>
          </w:tcPr>
          <w:p w:rsidR="0016531D" w:rsidRPr="001F6FF8" w:rsidP="00733BD8" w14:paraId="71716D6C" w14:textId="77777777">
            <w:pPr>
              <w:keepNext/>
              <w:keepLines/>
              <w:jc w:val="center"/>
              <w:rPr>
                <w:color w:val="000000"/>
                <w:sz w:val="16"/>
                <w:szCs w:val="16"/>
              </w:rPr>
            </w:pPr>
            <w:r w:rsidRPr="001F6FF8">
              <w:rPr>
                <w:color w:val="000000"/>
                <w:sz w:val="16"/>
                <w:szCs w:val="16"/>
              </w:rPr>
              <w:t>0.10</w:t>
            </w:r>
          </w:p>
        </w:tc>
        <w:tc>
          <w:tcPr>
            <w:tcW w:w="193" w:type="pct"/>
            <w:tcBorders>
              <w:top w:val="nil"/>
              <w:left w:val="nil"/>
              <w:bottom w:val="nil"/>
              <w:right w:val="nil"/>
            </w:tcBorders>
            <w:vAlign w:val="center"/>
          </w:tcPr>
          <w:p w:rsidR="0016531D" w:rsidRPr="001F6FF8" w:rsidP="00733BD8" w14:paraId="277FCB10" w14:textId="77777777">
            <w:pPr>
              <w:keepNext/>
              <w:keepLines/>
              <w:jc w:val="center"/>
              <w:rPr>
                <w:color w:val="000000"/>
                <w:sz w:val="16"/>
                <w:szCs w:val="16"/>
              </w:rPr>
            </w:pPr>
          </w:p>
        </w:tc>
        <w:tc>
          <w:tcPr>
            <w:tcW w:w="467" w:type="pct"/>
            <w:tcBorders>
              <w:top w:val="nil"/>
              <w:left w:val="nil"/>
              <w:bottom w:val="nil"/>
              <w:right w:val="nil"/>
            </w:tcBorders>
            <w:shd w:val="clear" w:color="auto" w:fill="auto"/>
            <w:noWrap/>
            <w:vAlign w:val="center"/>
            <w:hideMark/>
          </w:tcPr>
          <w:p w:rsidR="0016531D" w:rsidRPr="001F6FF8" w:rsidP="00733BD8" w14:paraId="6C9DDDFB" w14:textId="77777777">
            <w:pPr>
              <w:keepNext/>
              <w:keepLines/>
              <w:jc w:val="center"/>
              <w:rPr>
                <w:color w:val="000000"/>
                <w:sz w:val="16"/>
                <w:szCs w:val="16"/>
              </w:rPr>
            </w:pPr>
            <w:r w:rsidRPr="001F6FF8">
              <w:rPr>
                <w:color w:val="000000"/>
                <w:sz w:val="16"/>
                <w:szCs w:val="16"/>
              </w:rPr>
              <w:t>0.18</w:t>
            </w:r>
          </w:p>
        </w:tc>
        <w:tc>
          <w:tcPr>
            <w:tcW w:w="446" w:type="pct"/>
            <w:tcBorders>
              <w:top w:val="nil"/>
              <w:left w:val="nil"/>
              <w:bottom w:val="nil"/>
              <w:right w:val="nil"/>
            </w:tcBorders>
            <w:shd w:val="clear" w:color="auto" w:fill="auto"/>
            <w:noWrap/>
            <w:vAlign w:val="center"/>
            <w:hideMark/>
          </w:tcPr>
          <w:p w:rsidR="0016531D" w:rsidRPr="001F6FF8" w:rsidP="00733BD8" w14:paraId="7F59D6B9" w14:textId="77777777">
            <w:pPr>
              <w:keepNext/>
              <w:keepLines/>
              <w:jc w:val="center"/>
              <w:rPr>
                <w:color w:val="000000"/>
                <w:sz w:val="16"/>
                <w:szCs w:val="16"/>
              </w:rPr>
            </w:pPr>
            <w:r w:rsidRPr="001F6FF8">
              <w:rPr>
                <w:color w:val="000000"/>
                <w:sz w:val="16"/>
                <w:szCs w:val="16"/>
              </w:rPr>
              <w:t>1.00</w:t>
            </w:r>
          </w:p>
        </w:tc>
      </w:tr>
      <w:tr w14:paraId="2DBA13E1" w14:textId="77777777" w:rsidTr="0061751A">
        <w:tblPrEx>
          <w:tblW w:w="5000" w:type="pct"/>
          <w:jc w:val="center"/>
          <w:tblLayout w:type="fixed"/>
          <w:tblLook w:val="04A0"/>
        </w:tblPrEx>
        <w:trPr>
          <w:trHeight w:val="368"/>
          <w:jc w:val="center"/>
        </w:trPr>
        <w:tc>
          <w:tcPr>
            <w:tcW w:w="2560" w:type="pct"/>
            <w:tcBorders>
              <w:top w:val="nil"/>
              <w:left w:val="nil"/>
              <w:bottom w:val="nil"/>
              <w:right w:val="nil"/>
            </w:tcBorders>
            <w:shd w:val="clear" w:color="auto" w:fill="auto"/>
            <w:noWrap/>
            <w:vAlign w:val="center"/>
            <w:hideMark/>
          </w:tcPr>
          <w:p w:rsidR="0016531D" w:rsidRPr="001F6FF8" w:rsidP="00733BD8" w14:paraId="7DE7D445" w14:textId="227E830C">
            <w:pPr>
              <w:keepNext/>
              <w:keepLines/>
              <w:rPr>
                <w:i/>
                <w:iCs/>
                <w:color w:val="000000"/>
                <w:sz w:val="16"/>
                <w:szCs w:val="16"/>
              </w:rPr>
            </w:pPr>
            <w:r w:rsidRPr="001F6FF8">
              <w:rPr>
                <w:i/>
                <w:iCs/>
                <w:color w:val="000000"/>
                <w:sz w:val="16"/>
                <w:szCs w:val="16"/>
              </w:rPr>
              <w:t>Fraction Own Coverage (Tract Wt. Avg.</w:t>
            </w:r>
            <w:r w:rsidR="007A4DB3">
              <w:rPr>
                <w:i/>
                <w:iCs/>
                <w:color w:val="000000"/>
                <w:sz w:val="16"/>
                <w:szCs w:val="16"/>
              </w:rPr>
              <w:t xml:space="preserve"> </w:t>
            </w:r>
            <w:r w:rsidRPr="001F6FF8">
              <w:rPr>
                <w:i/>
                <w:iCs/>
                <w:color w:val="000000"/>
                <w:sz w:val="16"/>
                <w:szCs w:val="16"/>
              </w:rPr>
              <w:t>by Land Area)</w:t>
            </w:r>
          </w:p>
        </w:tc>
        <w:tc>
          <w:tcPr>
            <w:tcW w:w="449" w:type="pct"/>
            <w:tcBorders>
              <w:top w:val="nil"/>
              <w:left w:val="nil"/>
              <w:bottom w:val="nil"/>
              <w:right w:val="nil"/>
            </w:tcBorders>
            <w:shd w:val="clear" w:color="auto" w:fill="auto"/>
            <w:noWrap/>
            <w:vAlign w:val="center"/>
            <w:hideMark/>
          </w:tcPr>
          <w:p w:rsidR="0016531D" w:rsidRPr="001F6FF8" w:rsidP="00733BD8" w14:paraId="41C74CCF" w14:textId="77777777">
            <w:pPr>
              <w:keepNext/>
              <w:keepLines/>
              <w:jc w:val="center"/>
              <w:rPr>
                <w:color w:val="000000"/>
                <w:sz w:val="16"/>
                <w:szCs w:val="16"/>
              </w:rPr>
            </w:pPr>
            <w:r w:rsidRPr="001F6FF8">
              <w:rPr>
                <w:color w:val="000000"/>
                <w:sz w:val="16"/>
                <w:szCs w:val="16"/>
              </w:rPr>
              <w:t>0.62</w:t>
            </w:r>
          </w:p>
        </w:tc>
        <w:tc>
          <w:tcPr>
            <w:tcW w:w="405" w:type="pct"/>
            <w:tcBorders>
              <w:top w:val="nil"/>
              <w:left w:val="nil"/>
              <w:bottom w:val="nil"/>
              <w:right w:val="nil"/>
            </w:tcBorders>
            <w:shd w:val="clear" w:color="auto" w:fill="auto"/>
            <w:noWrap/>
            <w:vAlign w:val="center"/>
            <w:hideMark/>
          </w:tcPr>
          <w:p w:rsidR="0016531D" w:rsidRPr="001F6FF8" w:rsidP="00733BD8" w14:paraId="15DA70DA" w14:textId="77777777">
            <w:pPr>
              <w:keepNext/>
              <w:keepLines/>
              <w:jc w:val="center"/>
              <w:rPr>
                <w:color w:val="000000"/>
                <w:sz w:val="16"/>
                <w:szCs w:val="16"/>
              </w:rPr>
            </w:pPr>
            <w:r w:rsidRPr="001F6FF8">
              <w:rPr>
                <w:color w:val="000000"/>
                <w:sz w:val="16"/>
                <w:szCs w:val="16"/>
              </w:rPr>
              <w:t>0.76</w:t>
            </w:r>
          </w:p>
        </w:tc>
        <w:tc>
          <w:tcPr>
            <w:tcW w:w="480" w:type="pct"/>
            <w:tcBorders>
              <w:top w:val="nil"/>
              <w:left w:val="nil"/>
              <w:bottom w:val="nil"/>
              <w:right w:val="nil"/>
            </w:tcBorders>
            <w:shd w:val="clear" w:color="auto" w:fill="auto"/>
            <w:noWrap/>
            <w:vAlign w:val="center"/>
            <w:hideMark/>
          </w:tcPr>
          <w:p w:rsidR="0016531D" w:rsidRPr="001F6FF8" w:rsidP="00733BD8" w14:paraId="782811E4" w14:textId="77777777">
            <w:pPr>
              <w:keepNext/>
              <w:keepLines/>
              <w:jc w:val="center"/>
              <w:rPr>
                <w:color w:val="000000"/>
                <w:sz w:val="16"/>
                <w:szCs w:val="16"/>
              </w:rPr>
            </w:pPr>
            <w:r w:rsidRPr="001F6FF8">
              <w:rPr>
                <w:color w:val="000000"/>
                <w:sz w:val="16"/>
                <w:szCs w:val="16"/>
              </w:rPr>
              <w:t>0.38</w:t>
            </w:r>
          </w:p>
        </w:tc>
        <w:tc>
          <w:tcPr>
            <w:tcW w:w="193" w:type="pct"/>
            <w:tcBorders>
              <w:top w:val="nil"/>
              <w:left w:val="nil"/>
              <w:bottom w:val="nil"/>
              <w:right w:val="nil"/>
            </w:tcBorders>
            <w:vAlign w:val="center"/>
          </w:tcPr>
          <w:p w:rsidR="0016531D" w:rsidRPr="001F6FF8" w:rsidP="00733BD8" w14:paraId="34434899" w14:textId="77777777">
            <w:pPr>
              <w:keepNext/>
              <w:keepLines/>
              <w:jc w:val="center"/>
              <w:rPr>
                <w:color w:val="000000"/>
                <w:sz w:val="16"/>
                <w:szCs w:val="16"/>
              </w:rPr>
            </w:pPr>
          </w:p>
        </w:tc>
        <w:tc>
          <w:tcPr>
            <w:tcW w:w="467" w:type="pct"/>
            <w:tcBorders>
              <w:top w:val="nil"/>
              <w:left w:val="nil"/>
              <w:bottom w:val="nil"/>
              <w:right w:val="nil"/>
            </w:tcBorders>
            <w:shd w:val="clear" w:color="auto" w:fill="auto"/>
            <w:noWrap/>
            <w:vAlign w:val="center"/>
            <w:hideMark/>
          </w:tcPr>
          <w:p w:rsidR="0016531D" w:rsidRPr="001F6FF8" w:rsidP="00733BD8" w14:paraId="1444D74C" w14:textId="77777777">
            <w:pPr>
              <w:keepNext/>
              <w:keepLines/>
              <w:jc w:val="center"/>
              <w:rPr>
                <w:color w:val="000000"/>
                <w:sz w:val="16"/>
                <w:szCs w:val="16"/>
              </w:rPr>
            </w:pPr>
            <w:r w:rsidRPr="001F6FF8">
              <w:rPr>
                <w:color w:val="000000"/>
                <w:sz w:val="16"/>
                <w:szCs w:val="16"/>
              </w:rPr>
              <w:t>0.00</w:t>
            </w:r>
          </w:p>
        </w:tc>
        <w:tc>
          <w:tcPr>
            <w:tcW w:w="446" w:type="pct"/>
            <w:tcBorders>
              <w:top w:val="nil"/>
              <w:left w:val="nil"/>
              <w:bottom w:val="nil"/>
              <w:right w:val="nil"/>
            </w:tcBorders>
            <w:shd w:val="clear" w:color="auto" w:fill="auto"/>
            <w:noWrap/>
            <w:vAlign w:val="center"/>
            <w:hideMark/>
          </w:tcPr>
          <w:p w:rsidR="0016531D" w:rsidRPr="001F6FF8" w:rsidP="00733BD8" w14:paraId="30043D8D" w14:textId="77777777">
            <w:pPr>
              <w:keepNext/>
              <w:keepLines/>
              <w:jc w:val="center"/>
              <w:rPr>
                <w:color w:val="000000"/>
                <w:sz w:val="16"/>
                <w:szCs w:val="16"/>
              </w:rPr>
            </w:pPr>
            <w:r w:rsidRPr="001F6FF8">
              <w:rPr>
                <w:color w:val="000000"/>
                <w:sz w:val="16"/>
                <w:szCs w:val="16"/>
              </w:rPr>
              <w:t>1.00</w:t>
            </w:r>
          </w:p>
        </w:tc>
      </w:tr>
      <w:tr w14:paraId="29B70E29" w14:textId="77777777" w:rsidTr="0061751A">
        <w:tblPrEx>
          <w:tblW w:w="5000" w:type="pct"/>
          <w:jc w:val="center"/>
          <w:tblLayout w:type="fixed"/>
          <w:tblLook w:val="04A0"/>
        </w:tblPrEx>
        <w:trPr>
          <w:trHeight w:val="368"/>
          <w:jc w:val="center"/>
        </w:trPr>
        <w:tc>
          <w:tcPr>
            <w:tcW w:w="2560" w:type="pct"/>
            <w:tcBorders>
              <w:top w:val="nil"/>
              <w:left w:val="nil"/>
              <w:bottom w:val="nil"/>
              <w:right w:val="nil"/>
            </w:tcBorders>
            <w:shd w:val="clear" w:color="auto" w:fill="auto"/>
            <w:noWrap/>
            <w:vAlign w:val="center"/>
            <w:hideMark/>
          </w:tcPr>
          <w:p w:rsidR="0016531D" w:rsidRPr="001F6FF8" w:rsidP="00733BD8" w14:paraId="5699676B" w14:textId="77777777">
            <w:pPr>
              <w:keepNext/>
              <w:keepLines/>
              <w:rPr>
                <w:i/>
                <w:iCs/>
                <w:color w:val="000000"/>
                <w:sz w:val="16"/>
                <w:szCs w:val="16"/>
              </w:rPr>
            </w:pPr>
            <w:r w:rsidRPr="001F6FF8">
              <w:rPr>
                <w:i/>
                <w:iCs/>
                <w:color w:val="000000"/>
                <w:sz w:val="16"/>
                <w:szCs w:val="16"/>
              </w:rPr>
              <w:t>Fraction Own Coverage (Tract Wt. Avg. by Road Miles)</w:t>
            </w:r>
          </w:p>
        </w:tc>
        <w:tc>
          <w:tcPr>
            <w:tcW w:w="449" w:type="pct"/>
            <w:tcBorders>
              <w:top w:val="nil"/>
              <w:left w:val="nil"/>
              <w:bottom w:val="nil"/>
              <w:right w:val="nil"/>
            </w:tcBorders>
            <w:shd w:val="clear" w:color="auto" w:fill="auto"/>
            <w:noWrap/>
            <w:vAlign w:val="center"/>
            <w:hideMark/>
          </w:tcPr>
          <w:p w:rsidR="0016531D" w:rsidRPr="001F6FF8" w:rsidP="00733BD8" w14:paraId="5621550D" w14:textId="77777777">
            <w:pPr>
              <w:keepNext/>
              <w:keepLines/>
              <w:jc w:val="center"/>
              <w:rPr>
                <w:color w:val="000000"/>
                <w:sz w:val="16"/>
                <w:szCs w:val="16"/>
              </w:rPr>
            </w:pPr>
            <w:r w:rsidRPr="001F6FF8">
              <w:rPr>
                <w:color w:val="000000"/>
                <w:sz w:val="16"/>
                <w:szCs w:val="16"/>
              </w:rPr>
              <w:t>0.63</w:t>
            </w:r>
          </w:p>
        </w:tc>
        <w:tc>
          <w:tcPr>
            <w:tcW w:w="405" w:type="pct"/>
            <w:tcBorders>
              <w:top w:val="nil"/>
              <w:left w:val="nil"/>
              <w:bottom w:val="nil"/>
              <w:right w:val="nil"/>
            </w:tcBorders>
            <w:shd w:val="clear" w:color="auto" w:fill="auto"/>
            <w:noWrap/>
            <w:vAlign w:val="center"/>
            <w:hideMark/>
          </w:tcPr>
          <w:p w:rsidR="0016531D" w:rsidRPr="001F6FF8" w:rsidP="00733BD8" w14:paraId="57C8C41D" w14:textId="77777777">
            <w:pPr>
              <w:keepNext/>
              <w:keepLines/>
              <w:jc w:val="center"/>
              <w:rPr>
                <w:color w:val="000000"/>
                <w:sz w:val="16"/>
                <w:szCs w:val="16"/>
              </w:rPr>
            </w:pPr>
            <w:r w:rsidRPr="001F6FF8">
              <w:rPr>
                <w:color w:val="000000"/>
                <w:sz w:val="16"/>
                <w:szCs w:val="16"/>
              </w:rPr>
              <w:t>0.78</w:t>
            </w:r>
          </w:p>
        </w:tc>
        <w:tc>
          <w:tcPr>
            <w:tcW w:w="480" w:type="pct"/>
            <w:tcBorders>
              <w:top w:val="nil"/>
              <w:left w:val="nil"/>
              <w:bottom w:val="nil"/>
              <w:right w:val="nil"/>
            </w:tcBorders>
            <w:shd w:val="clear" w:color="auto" w:fill="auto"/>
            <w:noWrap/>
            <w:vAlign w:val="center"/>
            <w:hideMark/>
          </w:tcPr>
          <w:p w:rsidR="0016531D" w:rsidRPr="001F6FF8" w:rsidP="00733BD8" w14:paraId="4C18780F" w14:textId="77777777">
            <w:pPr>
              <w:keepNext/>
              <w:keepLines/>
              <w:jc w:val="center"/>
              <w:rPr>
                <w:color w:val="000000"/>
                <w:sz w:val="16"/>
                <w:szCs w:val="16"/>
              </w:rPr>
            </w:pPr>
            <w:r w:rsidRPr="001F6FF8">
              <w:rPr>
                <w:color w:val="000000"/>
                <w:sz w:val="16"/>
                <w:szCs w:val="16"/>
              </w:rPr>
              <w:t>0.38</w:t>
            </w:r>
          </w:p>
        </w:tc>
        <w:tc>
          <w:tcPr>
            <w:tcW w:w="193" w:type="pct"/>
            <w:tcBorders>
              <w:top w:val="nil"/>
              <w:left w:val="nil"/>
              <w:bottom w:val="nil"/>
              <w:right w:val="nil"/>
            </w:tcBorders>
            <w:vAlign w:val="center"/>
          </w:tcPr>
          <w:p w:rsidR="0016531D" w:rsidRPr="001F6FF8" w:rsidP="00733BD8" w14:paraId="61C2A406" w14:textId="77777777">
            <w:pPr>
              <w:keepNext/>
              <w:keepLines/>
              <w:jc w:val="center"/>
              <w:rPr>
                <w:color w:val="000000"/>
                <w:sz w:val="16"/>
                <w:szCs w:val="16"/>
              </w:rPr>
            </w:pPr>
          </w:p>
        </w:tc>
        <w:tc>
          <w:tcPr>
            <w:tcW w:w="467" w:type="pct"/>
            <w:tcBorders>
              <w:top w:val="nil"/>
              <w:left w:val="nil"/>
              <w:bottom w:val="nil"/>
              <w:right w:val="nil"/>
            </w:tcBorders>
            <w:shd w:val="clear" w:color="auto" w:fill="auto"/>
            <w:noWrap/>
            <w:vAlign w:val="center"/>
            <w:hideMark/>
          </w:tcPr>
          <w:p w:rsidR="0016531D" w:rsidRPr="001F6FF8" w:rsidP="00733BD8" w14:paraId="031B6C73" w14:textId="77777777">
            <w:pPr>
              <w:keepNext/>
              <w:keepLines/>
              <w:jc w:val="center"/>
              <w:rPr>
                <w:color w:val="000000"/>
                <w:sz w:val="16"/>
                <w:szCs w:val="16"/>
              </w:rPr>
            </w:pPr>
            <w:r w:rsidRPr="001F6FF8">
              <w:rPr>
                <w:color w:val="000000"/>
                <w:sz w:val="16"/>
                <w:szCs w:val="16"/>
              </w:rPr>
              <w:t>0.00</w:t>
            </w:r>
          </w:p>
        </w:tc>
        <w:tc>
          <w:tcPr>
            <w:tcW w:w="446" w:type="pct"/>
            <w:tcBorders>
              <w:top w:val="nil"/>
              <w:left w:val="nil"/>
              <w:bottom w:val="nil"/>
              <w:right w:val="nil"/>
            </w:tcBorders>
            <w:shd w:val="clear" w:color="auto" w:fill="auto"/>
            <w:noWrap/>
            <w:vAlign w:val="center"/>
            <w:hideMark/>
          </w:tcPr>
          <w:p w:rsidR="0016531D" w:rsidRPr="001F6FF8" w:rsidP="00733BD8" w14:paraId="4E1C2B54" w14:textId="77777777">
            <w:pPr>
              <w:keepNext/>
              <w:keepLines/>
              <w:jc w:val="center"/>
              <w:rPr>
                <w:color w:val="000000"/>
                <w:sz w:val="16"/>
                <w:szCs w:val="16"/>
              </w:rPr>
            </w:pPr>
            <w:r w:rsidRPr="001F6FF8">
              <w:rPr>
                <w:color w:val="000000"/>
                <w:sz w:val="16"/>
                <w:szCs w:val="16"/>
              </w:rPr>
              <w:t>1.00</w:t>
            </w:r>
          </w:p>
        </w:tc>
      </w:tr>
      <w:tr w14:paraId="5BEF29F8" w14:textId="77777777" w:rsidTr="00733BD8">
        <w:tblPrEx>
          <w:tblW w:w="5000" w:type="pct"/>
          <w:jc w:val="center"/>
          <w:tblLayout w:type="fixed"/>
          <w:tblLook w:val="04A0"/>
        </w:tblPrEx>
        <w:trPr>
          <w:trHeight w:val="368"/>
          <w:jc w:val="center"/>
        </w:trPr>
        <w:tc>
          <w:tcPr>
            <w:tcW w:w="2560" w:type="pct"/>
            <w:tcBorders>
              <w:top w:val="nil"/>
              <w:left w:val="nil"/>
              <w:bottom w:val="single" w:sz="4" w:space="0" w:color="auto"/>
              <w:right w:val="nil"/>
            </w:tcBorders>
            <w:shd w:val="clear" w:color="auto" w:fill="auto"/>
            <w:noWrap/>
            <w:vAlign w:val="center"/>
            <w:hideMark/>
          </w:tcPr>
          <w:p w:rsidR="0061751A" w:rsidRPr="00DF3221" w:rsidP="0061751A" w14:paraId="0F87F1C9" w14:textId="2FEEFA43">
            <w:pPr>
              <w:rPr>
                <w:i/>
                <w:iCs/>
                <w:color w:val="000000"/>
                <w:sz w:val="16"/>
                <w:szCs w:val="16"/>
              </w:rPr>
            </w:pPr>
            <w:r w:rsidRPr="001F6FF8">
              <w:rPr>
                <w:i/>
                <w:iCs/>
                <w:color w:val="000000"/>
                <w:sz w:val="16"/>
                <w:szCs w:val="16"/>
              </w:rPr>
              <w:t>Potential Bidders</w:t>
            </w:r>
          </w:p>
        </w:tc>
        <w:tc>
          <w:tcPr>
            <w:tcW w:w="449" w:type="pct"/>
            <w:tcBorders>
              <w:top w:val="nil"/>
              <w:left w:val="nil"/>
              <w:bottom w:val="single" w:sz="4" w:space="0" w:color="auto"/>
              <w:right w:val="nil"/>
            </w:tcBorders>
            <w:shd w:val="clear" w:color="auto" w:fill="auto"/>
            <w:noWrap/>
            <w:vAlign w:val="center"/>
            <w:hideMark/>
          </w:tcPr>
          <w:p w:rsidR="0061751A" w:rsidRPr="00DF3221" w:rsidP="00733BD8" w14:paraId="6D536CFB" w14:textId="7E039B6D">
            <w:pPr>
              <w:jc w:val="center"/>
              <w:rPr>
                <w:color w:val="000000"/>
                <w:sz w:val="16"/>
                <w:szCs w:val="16"/>
              </w:rPr>
            </w:pPr>
            <w:r w:rsidRPr="001F6FF8">
              <w:rPr>
                <w:color w:val="000000"/>
                <w:sz w:val="16"/>
                <w:szCs w:val="16"/>
              </w:rPr>
              <w:t>2.9</w:t>
            </w:r>
          </w:p>
        </w:tc>
        <w:tc>
          <w:tcPr>
            <w:tcW w:w="405" w:type="pct"/>
            <w:tcBorders>
              <w:top w:val="nil"/>
              <w:left w:val="nil"/>
              <w:bottom w:val="single" w:sz="4" w:space="0" w:color="auto"/>
              <w:right w:val="nil"/>
            </w:tcBorders>
            <w:shd w:val="clear" w:color="auto" w:fill="auto"/>
            <w:noWrap/>
            <w:vAlign w:val="center"/>
            <w:hideMark/>
          </w:tcPr>
          <w:p w:rsidR="0061751A" w:rsidRPr="00DF3221" w:rsidP="00733BD8" w14:paraId="3488C588" w14:textId="6B6EA28D">
            <w:pPr>
              <w:jc w:val="center"/>
              <w:rPr>
                <w:color w:val="000000"/>
                <w:sz w:val="16"/>
                <w:szCs w:val="16"/>
              </w:rPr>
            </w:pPr>
            <w:r w:rsidRPr="001F6FF8">
              <w:rPr>
                <w:color w:val="000000"/>
                <w:sz w:val="16"/>
                <w:szCs w:val="16"/>
              </w:rPr>
              <w:t>3.0</w:t>
            </w:r>
          </w:p>
        </w:tc>
        <w:tc>
          <w:tcPr>
            <w:tcW w:w="480" w:type="pct"/>
            <w:tcBorders>
              <w:top w:val="nil"/>
              <w:left w:val="nil"/>
              <w:bottom w:val="single" w:sz="4" w:space="0" w:color="auto"/>
              <w:right w:val="nil"/>
            </w:tcBorders>
            <w:shd w:val="clear" w:color="auto" w:fill="auto"/>
            <w:noWrap/>
            <w:vAlign w:val="center"/>
            <w:hideMark/>
          </w:tcPr>
          <w:p w:rsidR="0061751A" w:rsidRPr="00DF3221" w:rsidP="00733BD8" w14:paraId="7E0EBF0E" w14:textId="0E5EE21A">
            <w:pPr>
              <w:jc w:val="center"/>
              <w:rPr>
                <w:color w:val="000000"/>
                <w:sz w:val="16"/>
                <w:szCs w:val="16"/>
              </w:rPr>
            </w:pPr>
            <w:r w:rsidRPr="001F6FF8">
              <w:rPr>
                <w:color w:val="000000"/>
                <w:sz w:val="16"/>
                <w:szCs w:val="16"/>
              </w:rPr>
              <w:t>1.2</w:t>
            </w:r>
          </w:p>
        </w:tc>
        <w:tc>
          <w:tcPr>
            <w:tcW w:w="193" w:type="pct"/>
            <w:tcBorders>
              <w:top w:val="nil"/>
              <w:left w:val="nil"/>
              <w:bottom w:val="single" w:sz="4" w:space="0" w:color="auto"/>
              <w:right w:val="nil"/>
            </w:tcBorders>
            <w:vAlign w:val="center"/>
          </w:tcPr>
          <w:p w:rsidR="0061751A" w:rsidRPr="00DF3221" w:rsidP="00733BD8" w14:paraId="16C47553" w14:textId="77777777">
            <w:pPr>
              <w:jc w:val="center"/>
              <w:rPr>
                <w:color w:val="000000"/>
                <w:sz w:val="16"/>
                <w:szCs w:val="16"/>
              </w:rPr>
            </w:pPr>
          </w:p>
        </w:tc>
        <w:tc>
          <w:tcPr>
            <w:tcW w:w="467" w:type="pct"/>
            <w:tcBorders>
              <w:top w:val="nil"/>
              <w:left w:val="nil"/>
              <w:bottom w:val="single" w:sz="4" w:space="0" w:color="auto"/>
              <w:right w:val="nil"/>
            </w:tcBorders>
            <w:shd w:val="clear" w:color="auto" w:fill="auto"/>
            <w:noWrap/>
            <w:vAlign w:val="center"/>
            <w:hideMark/>
          </w:tcPr>
          <w:p w:rsidR="0061751A" w:rsidRPr="00DF3221" w:rsidP="00733BD8" w14:paraId="09D5A0BC" w14:textId="6914C20E">
            <w:pPr>
              <w:jc w:val="center"/>
              <w:rPr>
                <w:color w:val="000000"/>
                <w:sz w:val="16"/>
                <w:szCs w:val="16"/>
              </w:rPr>
            </w:pPr>
            <w:r w:rsidRPr="001F6FF8">
              <w:rPr>
                <w:color w:val="000000"/>
                <w:sz w:val="16"/>
                <w:szCs w:val="16"/>
              </w:rPr>
              <w:t>1.0</w:t>
            </w:r>
          </w:p>
        </w:tc>
        <w:tc>
          <w:tcPr>
            <w:tcW w:w="446" w:type="pct"/>
            <w:tcBorders>
              <w:top w:val="nil"/>
              <w:left w:val="nil"/>
              <w:bottom w:val="single" w:sz="4" w:space="0" w:color="auto"/>
              <w:right w:val="nil"/>
            </w:tcBorders>
            <w:shd w:val="clear" w:color="auto" w:fill="auto"/>
            <w:noWrap/>
            <w:vAlign w:val="center"/>
            <w:hideMark/>
          </w:tcPr>
          <w:p w:rsidR="0061751A" w:rsidRPr="00DF3221" w:rsidP="00733BD8" w14:paraId="63840CE2" w14:textId="5C657F48">
            <w:pPr>
              <w:jc w:val="center"/>
              <w:rPr>
                <w:color w:val="000000"/>
                <w:sz w:val="16"/>
                <w:szCs w:val="16"/>
              </w:rPr>
            </w:pPr>
            <w:r w:rsidRPr="001F6FF8">
              <w:rPr>
                <w:color w:val="000000"/>
                <w:sz w:val="16"/>
                <w:szCs w:val="16"/>
              </w:rPr>
              <w:t>5.0</w:t>
            </w:r>
          </w:p>
        </w:tc>
      </w:tr>
    </w:tbl>
    <w:p w:rsidR="0016531D" w:rsidP="00733BD8" w14:paraId="0AE0EF67" w14:textId="77777777">
      <w:pPr>
        <w:keepNext/>
        <w:spacing w:before="120" w:after="120"/>
        <w:jc w:val="center"/>
        <w:rPr>
          <w:rFonts w:eastAsiaTheme="minorEastAsia"/>
          <w:b/>
        </w:rPr>
      </w:pPr>
      <w:r w:rsidRPr="001F6FF8">
        <w:rPr>
          <w:rFonts w:eastAsiaTheme="minorEastAsia"/>
          <w:b/>
        </w:rPr>
        <w:t>Fig. B-1</w:t>
      </w:r>
      <w:r>
        <w:rPr>
          <w:rFonts w:eastAsiaTheme="minorEastAsia"/>
          <w:b/>
        </w:rPr>
        <w:t>1</w:t>
      </w:r>
      <w:r w:rsidRPr="001F6FF8">
        <w:rPr>
          <w:rFonts w:eastAsiaTheme="minorEastAsia"/>
          <w:b/>
        </w:rPr>
        <w:t>: Estimation Results</w:t>
      </w:r>
    </w:p>
    <w:tbl>
      <w:tblPr>
        <w:tblW w:w="9360" w:type="dxa"/>
        <w:jc w:val="center"/>
        <w:tblLayout w:type="fixed"/>
        <w:tblLook w:val="04A0"/>
      </w:tblPr>
      <w:tblGrid>
        <w:gridCol w:w="3008"/>
        <w:gridCol w:w="534"/>
        <w:gridCol w:w="969"/>
        <w:gridCol w:w="970"/>
        <w:gridCol w:w="970"/>
        <w:gridCol w:w="969"/>
        <w:gridCol w:w="970"/>
        <w:gridCol w:w="970"/>
      </w:tblGrid>
      <w:tr w14:paraId="0D71A729" w14:textId="77777777" w:rsidTr="00B17053">
        <w:tblPrEx>
          <w:tblW w:w="9360" w:type="dxa"/>
          <w:jc w:val="center"/>
          <w:tblLayout w:type="fixed"/>
          <w:tblLook w:val="04A0"/>
        </w:tblPrEx>
        <w:trPr>
          <w:trHeight w:val="271"/>
          <w:jc w:val="center"/>
        </w:trPr>
        <w:tc>
          <w:tcPr>
            <w:tcW w:w="3008" w:type="dxa"/>
            <w:tcBorders>
              <w:top w:val="single" w:sz="4" w:space="0" w:color="auto"/>
              <w:left w:val="nil"/>
              <w:bottom w:val="single" w:sz="4" w:space="0" w:color="auto"/>
              <w:right w:val="nil"/>
            </w:tcBorders>
            <w:shd w:val="clear" w:color="auto" w:fill="auto"/>
            <w:noWrap/>
            <w:vAlign w:val="center"/>
            <w:hideMark/>
          </w:tcPr>
          <w:p w:rsidR="0016531D" w:rsidRPr="001F6FF8" w:rsidP="00733BD8" w14:paraId="10848135" w14:textId="77777777">
            <w:pPr>
              <w:pStyle w:val="Heading1"/>
              <w:keepLines/>
              <w:numPr>
                <w:ilvl w:val="0"/>
                <w:numId w:val="0"/>
              </w:numPr>
              <w:tabs>
                <w:tab w:val="num" w:pos="720"/>
              </w:tabs>
              <w:ind w:left="720" w:hanging="720"/>
              <w:rPr>
                <w:sz w:val="16"/>
                <w:szCs w:val="16"/>
              </w:rPr>
            </w:pPr>
            <w:r w:rsidRPr="001F6FF8">
              <w:rPr>
                <w:rFonts w:hint="eastAsia"/>
                <w:sz w:val="16"/>
                <w:szCs w:val="16"/>
              </w:rPr>
              <w:t> </w:t>
            </w:r>
          </w:p>
        </w:tc>
        <w:tc>
          <w:tcPr>
            <w:tcW w:w="6352" w:type="dxa"/>
            <w:gridSpan w:val="7"/>
            <w:tcBorders>
              <w:top w:val="single" w:sz="4" w:space="0" w:color="auto"/>
              <w:left w:val="nil"/>
              <w:bottom w:val="single" w:sz="4" w:space="0" w:color="auto"/>
              <w:right w:val="nil"/>
            </w:tcBorders>
            <w:shd w:val="clear" w:color="auto" w:fill="auto"/>
            <w:noWrap/>
            <w:vAlign w:val="center"/>
            <w:hideMark/>
          </w:tcPr>
          <w:p w:rsidR="0016531D" w:rsidRPr="001F6FF8" w:rsidP="00733BD8" w14:paraId="465D8986" w14:textId="77777777">
            <w:pPr>
              <w:pStyle w:val="Heading1"/>
              <w:keepLines/>
              <w:numPr>
                <w:ilvl w:val="0"/>
                <w:numId w:val="0"/>
              </w:numPr>
              <w:tabs>
                <w:tab w:val="num" w:pos="720"/>
              </w:tabs>
              <w:ind w:left="720" w:hanging="720"/>
              <w:rPr>
                <w:bCs/>
                <w:sz w:val="16"/>
                <w:szCs w:val="16"/>
              </w:rPr>
            </w:pPr>
            <w:r w:rsidRPr="001F6FF8">
              <w:rPr>
                <w:bCs/>
                <w:sz w:val="16"/>
                <w:szCs w:val="16"/>
              </w:rPr>
              <w:t>DEPENDENT VARIABLE: ln(Bid $/Road Mile)</w:t>
            </w:r>
          </w:p>
        </w:tc>
      </w:tr>
      <w:tr w14:paraId="0014F3BF" w14:textId="77777777" w:rsidTr="00B17053">
        <w:tblPrEx>
          <w:tblW w:w="9360" w:type="dxa"/>
          <w:jc w:val="center"/>
          <w:tblLayout w:type="fixed"/>
          <w:tblLook w:val="04A0"/>
        </w:tblPrEx>
        <w:trPr>
          <w:trHeight w:val="271"/>
          <w:jc w:val="center"/>
        </w:trPr>
        <w:tc>
          <w:tcPr>
            <w:tcW w:w="3008" w:type="dxa"/>
            <w:tcBorders>
              <w:top w:val="single" w:sz="4" w:space="0" w:color="auto"/>
              <w:left w:val="nil"/>
              <w:bottom w:val="single" w:sz="4" w:space="0" w:color="auto"/>
              <w:right w:val="nil"/>
            </w:tcBorders>
            <w:shd w:val="clear" w:color="auto" w:fill="auto"/>
            <w:noWrap/>
            <w:vAlign w:val="center"/>
            <w:hideMark/>
          </w:tcPr>
          <w:p w:rsidR="0016531D" w:rsidRPr="001F6FF8" w:rsidP="00733BD8" w14:paraId="5C267C53" w14:textId="77777777">
            <w:pPr>
              <w:pStyle w:val="Heading1"/>
              <w:keepLines/>
              <w:numPr>
                <w:ilvl w:val="0"/>
                <w:numId w:val="0"/>
              </w:numPr>
              <w:ind w:left="720"/>
              <w:rPr>
                <w:sz w:val="16"/>
                <w:szCs w:val="16"/>
              </w:rPr>
            </w:pPr>
          </w:p>
        </w:tc>
        <w:tc>
          <w:tcPr>
            <w:tcW w:w="6352" w:type="dxa"/>
            <w:gridSpan w:val="7"/>
            <w:tcBorders>
              <w:top w:val="single" w:sz="4" w:space="0" w:color="auto"/>
              <w:left w:val="nil"/>
              <w:bottom w:val="single" w:sz="4" w:space="0" w:color="auto"/>
              <w:right w:val="nil"/>
            </w:tcBorders>
            <w:shd w:val="clear" w:color="auto" w:fill="auto"/>
            <w:noWrap/>
            <w:vAlign w:val="center"/>
            <w:hideMark/>
          </w:tcPr>
          <w:p w:rsidR="0016531D" w:rsidRPr="00CF6322" w:rsidP="00733BD8" w14:paraId="4B7C7157" w14:textId="77777777">
            <w:pPr>
              <w:pStyle w:val="Heading1"/>
              <w:keepLines/>
              <w:numPr>
                <w:ilvl w:val="0"/>
                <w:numId w:val="0"/>
              </w:numPr>
              <w:ind w:left="720"/>
              <w:jc w:val="center"/>
              <w:rPr>
                <w:bCs/>
                <w:sz w:val="16"/>
                <w:szCs w:val="16"/>
              </w:rPr>
            </w:pPr>
            <w:r w:rsidRPr="00CF6322">
              <w:rPr>
                <w:bCs/>
                <w:sz w:val="16"/>
                <w:szCs w:val="16"/>
              </w:rPr>
              <w:t>SPECIFICATION</w:t>
            </w:r>
          </w:p>
        </w:tc>
      </w:tr>
      <w:tr w14:paraId="41A4EAEF"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vAlign w:val="center"/>
            <w:hideMark/>
          </w:tcPr>
          <w:p w:rsidR="0016531D" w:rsidRPr="001F6FF8" w:rsidP="00733BD8" w14:paraId="3ED79165" w14:textId="77777777">
            <w:pPr>
              <w:keepNext/>
              <w:keepLines/>
              <w:rPr>
                <w:sz w:val="16"/>
                <w:szCs w:val="16"/>
              </w:rPr>
            </w:pPr>
            <w:r w:rsidRPr="001F6FF8">
              <w:rPr>
                <w:sz w:val="16"/>
                <w:szCs w:val="16"/>
              </w:rPr>
              <w:t>VARIABLES</w:t>
            </w:r>
          </w:p>
        </w:tc>
        <w:tc>
          <w:tcPr>
            <w:tcW w:w="969" w:type="dxa"/>
            <w:tcBorders>
              <w:top w:val="single" w:sz="4" w:space="0" w:color="auto"/>
              <w:left w:val="nil"/>
              <w:bottom w:val="nil"/>
              <w:right w:val="nil"/>
            </w:tcBorders>
            <w:shd w:val="clear" w:color="auto" w:fill="auto"/>
            <w:noWrap/>
            <w:vAlign w:val="center"/>
            <w:hideMark/>
          </w:tcPr>
          <w:p w:rsidR="0016531D" w:rsidRPr="001F6FF8" w:rsidP="00733BD8" w14:paraId="6EF1B392" w14:textId="77777777">
            <w:pPr>
              <w:keepNext/>
              <w:keepLines/>
              <w:jc w:val="center"/>
              <w:rPr>
                <w:sz w:val="16"/>
                <w:szCs w:val="16"/>
              </w:rPr>
            </w:pPr>
            <w:r w:rsidRPr="001F6FF8">
              <w:rPr>
                <w:sz w:val="16"/>
                <w:szCs w:val="16"/>
              </w:rPr>
              <w:t>(1)</w:t>
            </w:r>
          </w:p>
        </w:tc>
        <w:tc>
          <w:tcPr>
            <w:tcW w:w="970" w:type="dxa"/>
            <w:tcBorders>
              <w:top w:val="single" w:sz="4" w:space="0" w:color="auto"/>
              <w:left w:val="nil"/>
              <w:bottom w:val="nil"/>
              <w:right w:val="nil"/>
            </w:tcBorders>
            <w:shd w:val="clear" w:color="auto" w:fill="auto"/>
            <w:noWrap/>
            <w:vAlign w:val="center"/>
            <w:hideMark/>
          </w:tcPr>
          <w:p w:rsidR="0016531D" w:rsidRPr="001F6FF8" w:rsidP="00733BD8" w14:paraId="4982D463" w14:textId="77777777">
            <w:pPr>
              <w:keepNext/>
              <w:keepLines/>
              <w:jc w:val="center"/>
              <w:rPr>
                <w:sz w:val="16"/>
                <w:szCs w:val="16"/>
              </w:rPr>
            </w:pPr>
            <w:r w:rsidRPr="001F6FF8">
              <w:rPr>
                <w:sz w:val="16"/>
                <w:szCs w:val="16"/>
              </w:rPr>
              <w:t>(2)</w:t>
            </w:r>
          </w:p>
        </w:tc>
        <w:tc>
          <w:tcPr>
            <w:tcW w:w="970" w:type="dxa"/>
            <w:tcBorders>
              <w:top w:val="single" w:sz="4" w:space="0" w:color="auto"/>
              <w:left w:val="nil"/>
              <w:bottom w:val="nil"/>
              <w:right w:val="nil"/>
            </w:tcBorders>
            <w:shd w:val="clear" w:color="auto" w:fill="auto"/>
            <w:noWrap/>
            <w:vAlign w:val="center"/>
            <w:hideMark/>
          </w:tcPr>
          <w:p w:rsidR="0016531D" w:rsidRPr="001F6FF8" w:rsidP="00733BD8" w14:paraId="3B1AA69E" w14:textId="77777777">
            <w:pPr>
              <w:keepNext/>
              <w:keepLines/>
              <w:jc w:val="center"/>
              <w:rPr>
                <w:sz w:val="16"/>
                <w:szCs w:val="16"/>
              </w:rPr>
            </w:pPr>
            <w:r w:rsidRPr="001F6FF8">
              <w:rPr>
                <w:sz w:val="16"/>
                <w:szCs w:val="16"/>
              </w:rPr>
              <w:t>(3)</w:t>
            </w:r>
          </w:p>
        </w:tc>
        <w:tc>
          <w:tcPr>
            <w:tcW w:w="969" w:type="dxa"/>
            <w:tcBorders>
              <w:top w:val="single" w:sz="4" w:space="0" w:color="auto"/>
              <w:left w:val="nil"/>
              <w:bottom w:val="nil"/>
              <w:right w:val="nil"/>
            </w:tcBorders>
            <w:shd w:val="clear" w:color="auto" w:fill="auto"/>
            <w:noWrap/>
            <w:vAlign w:val="center"/>
            <w:hideMark/>
          </w:tcPr>
          <w:p w:rsidR="0016531D" w:rsidRPr="001F6FF8" w:rsidP="00733BD8" w14:paraId="0876CE46" w14:textId="77777777">
            <w:pPr>
              <w:keepNext/>
              <w:keepLines/>
              <w:jc w:val="center"/>
              <w:rPr>
                <w:sz w:val="16"/>
                <w:szCs w:val="16"/>
              </w:rPr>
            </w:pPr>
            <w:r w:rsidRPr="001F6FF8">
              <w:rPr>
                <w:sz w:val="16"/>
                <w:szCs w:val="16"/>
              </w:rPr>
              <w:t>(4)</w:t>
            </w:r>
          </w:p>
        </w:tc>
        <w:tc>
          <w:tcPr>
            <w:tcW w:w="970" w:type="dxa"/>
            <w:tcBorders>
              <w:top w:val="single" w:sz="4" w:space="0" w:color="auto"/>
              <w:left w:val="nil"/>
              <w:bottom w:val="nil"/>
              <w:right w:val="nil"/>
            </w:tcBorders>
            <w:shd w:val="clear" w:color="auto" w:fill="auto"/>
            <w:noWrap/>
            <w:vAlign w:val="center"/>
            <w:hideMark/>
          </w:tcPr>
          <w:p w:rsidR="0016531D" w:rsidRPr="001F6FF8" w:rsidP="00733BD8" w14:paraId="50D402DC" w14:textId="77777777">
            <w:pPr>
              <w:keepNext/>
              <w:keepLines/>
              <w:jc w:val="center"/>
              <w:rPr>
                <w:sz w:val="16"/>
                <w:szCs w:val="16"/>
              </w:rPr>
            </w:pPr>
            <w:r w:rsidRPr="001F6FF8">
              <w:rPr>
                <w:sz w:val="16"/>
                <w:szCs w:val="16"/>
              </w:rPr>
              <w:t>(5)</w:t>
            </w:r>
          </w:p>
        </w:tc>
        <w:tc>
          <w:tcPr>
            <w:tcW w:w="970" w:type="dxa"/>
            <w:tcBorders>
              <w:top w:val="single" w:sz="4" w:space="0" w:color="auto"/>
              <w:left w:val="nil"/>
              <w:bottom w:val="nil"/>
              <w:right w:val="nil"/>
            </w:tcBorders>
            <w:shd w:val="clear" w:color="auto" w:fill="auto"/>
            <w:noWrap/>
            <w:vAlign w:val="center"/>
            <w:hideMark/>
          </w:tcPr>
          <w:p w:rsidR="0016531D" w:rsidRPr="001F6FF8" w:rsidP="00733BD8" w14:paraId="707E8AEF" w14:textId="77777777">
            <w:pPr>
              <w:keepNext/>
              <w:keepLines/>
              <w:jc w:val="center"/>
              <w:rPr>
                <w:sz w:val="16"/>
                <w:szCs w:val="16"/>
              </w:rPr>
            </w:pPr>
            <w:r w:rsidRPr="001F6FF8">
              <w:rPr>
                <w:sz w:val="16"/>
                <w:szCs w:val="16"/>
              </w:rPr>
              <w:t>(6)</w:t>
            </w:r>
          </w:p>
        </w:tc>
      </w:tr>
      <w:tr w14:paraId="4EEFC466" w14:textId="77777777" w:rsidTr="00B17053">
        <w:tblPrEx>
          <w:tblW w:w="9360" w:type="dxa"/>
          <w:jc w:val="center"/>
          <w:tblLayout w:type="fixed"/>
          <w:tblLook w:val="04A0"/>
        </w:tblPrEx>
        <w:trPr>
          <w:trHeight w:val="271"/>
          <w:jc w:val="center"/>
        </w:trPr>
        <w:tc>
          <w:tcPr>
            <w:tcW w:w="3542" w:type="dxa"/>
            <w:gridSpan w:val="2"/>
            <w:tcBorders>
              <w:top w:val="single" w:sz="4" w:space="0" w:color="auto"/>
              <w:left w:val="nil"/>
              <w:bottom w:val="nil"/>
              <w:right w:val="nil"/>
            </w:tcBorders>
            <w:shd w:val="clear" w:color="auto" w:fill="auto"/>
            <w:noWrap/>
            <w:vAlign w:val="center"/>
            <w:hideMark/>
          </w:tcPr>
          <w:p w:rsidR="0016531D" w:rsidRPr="001F6FF8" w:rsidP="00733BD8" w14:paraId="6ED5B341" w14:textId="77777777">
            <w:pPr>
              <w:keepNext/>
              <w:keepLines/>
              <w:rPr>
                <w:sz w:val="16"/>
                <w:szCs w:val="16"/>
              </w:rPr>
            </w:pPr>
            <w:r w:rsidRPr="001F6FF8">
              <w:rPr>
                <w:sz w:val="16"/>
                <w:szCs w:val="16"/>
              </w:rPr>
              <w:t> </w:t>
            </w:r>
          </w:p>
        </w:tc>
        <w:tc>
          <w:tcPr>
            <w:tcW w:w="969" w:type="dxa"/>
            <w:tcBorders>
              <w:top w:val="single" w:sz="4" w:space="0" w:color="auto"/>
              <w:left w:val="nil"/>
              <w:bottom w:val="nil"/>
              <w:right w:val="nil"/>
            </w:tcBorders>
            <w:shd w:val="clear" w:color="auto" w:fill="auto"/>
            <w:noWrap/>
            <w:vAlign w:val="center"/>
            <w:hideMark/>
          </w:tcPr>
          <w:p w:rsidR="0016531D" w:rsidRPr="001F6FF8" w:rsidP="00733BD8" w14:paraId="174ABC0D" w14:textId="77777777">
            <w:pPr>
              <w:keepNext/>
              <w:keepLines/>
              <w:jc w:val="center"/>
              <w:rPr>
                <w:sz w:val="16"/>
                <w:szCs w:val="16"/>
              </w:rPr>
            </w:pPr>
          </w:p>
        </w:tc>
        <w:tc>
          <w:tcPr>
            <w:tcW w:w="970" w:type="dxa"/>
            <w:tcBorders>
              <w:top w:val="single" w:sz="4" w:space="0" w:color="auto"/>
              <w:left w:val="nil"/>
              <w:bottom w:val="nil"/>
              <w:right w:val="nil"/>
            </w:tcBorders>
            <w:shd w:val="clear" w:color="auto" w:fill="auto"/>
            <w:noWrap/>
            <w:vAlign w:val="center"/>
            <w:hideMark/>
          </w:tcPr>
          <w:p w:rsidR="0016531D" w:rsidRPr="001F6FF8" w:rsidP="00733BD8" w14:paraId="291D06E1" w14:textId="77777777">
            <w:pPr>
              <w:keepNext/>
              <w:keepLines/>
              <w:jc w:val="center"/>
              <w:rPr>
                <w:sz w:val="16"/>
                <w:szCs w:val="16"/>
              </w:rPr>
            </w:pPr>
          </w:p>
        </w:tc>
        <w:tc>
          <w:tcPr>
            <w:tcW w:w="970" w:type="dxa"/>
            <w:tcBorders>
              <w:top w:val="single" w:sz="4" w:space="0" w:color="auto"/>
              <w:left w:val="nil"/>
              <w:bottom w:val="nil"/>
              <w:right w:val="nil"/>
            </w:tcBorders>
            <w:shd w:val="clear" w:color="auto" w:fill="auto"/>
            <w:noWrap/>
            <w:vAlign w:val="center"/>
            <w:hideMark/>
          </w:tcPr>
          <w:p w:rsidR="0016531D" w:rsidRPr="001F6FF8" w:rsidP="00733BD8" w14:paraId="599DBC81" w14:textId="77777777">
            <w:pPr>
              <w:keepNext/>
              <w:keepLines/>
              <w:jc w:val="center"/>
              <w:rPr>
                <w:sz w:val="16"/>
                <w:szCs w:val="16"/>
              </w:rPr>
            </w:pPr>
          </w:p>
        </w:tc>
        <w:tc>
          <w:tcPr>
            <w:tcW w:w="969" w:type="dxa"/>
            <w:tcBorders>
              <w:top w:val="single" w:sz="4" w:space="0" w:color="auto"/>
              <w:left w:val="nil"/>
              <w:bottom w:val="nil"/>
              <w:right w:val="nil"/>
            </w:tcBorders>
            <w:shd w:val="clear" w:color="auto" w:fill="auto"/>
            <w:noWrap/>
            <w:vAlign w:val="center"/>
            <w:hideMark/>
          </w:tcPr>
          <w:p w:rsidR="0016531D" w:rsidRPr="001F6FF8" w:rsidP="00733BD8" w14:paraId="135587BE" w14:textId="77777777">
            <w:pPr>
              <w:keepNext/>
              <w:keepLines/>
              <w:jc w:val="center"/>
              <w:rPr>
                <w:sz w:val="16"/>
                <w:szCs w:val="16"/>
              </w:rPr>
            </w:pPr>
          </w:p>
        </w:tc>
        <w:tc>
          <w:tcPr>
            <w:tcW w:w="970" w:type="dxa"/>
            <w:tcBorders>
              <w:top w:val="single" w:sz="4" w:space="0" w:color="auto"/>
              <w:left w:val="nil"/>
              <w:bottom w:val="nil"/>
              <w:right w:val="nil"/>
            </w:tcBorders>
            <w:shd w:val="clear" w:color="auto" w:fill="auto"/>
            <w:noWrap/>
            <w:vAlign w:val="center"/>
            <w:hideMark/>
          </w:tcPr>
          <w:p w:rsidR="0016531D" w:rsidRPr="001F6FF8" w:rsidP="00733BD8" w14:paraId="5345468F" w14:textId="77777777">
            <w:pPr>
              <w:keepNext/>
              <w:keepLines/>
              <w:jc w:val="center"/>
              <w:rPr>
                <w:sz w:val="16"/>
                <w:szCs w:val="16"/>
              </w:rPr>
            </w:pPr>
          </w:p>
        </w:tc>
        <w:tc>
          <w:tcPr>
            <w:tcW w:w="970" w:type="dxa"/>
            <w:tcBorders>
              <w:top w:val="single" w:sz="4" w:space="0" w:color="auto"/>
              <w:left w:val="nil"/>
              <w:bottom w:val="nil"/>
              <w:right w:val="nil"/>
            </w:tcBorders>
            <w:shd w:val="clear" w:color="auto" w:fill="auto"/>
            <w:noWrap/>
            <w:vAlign w:val="center"/>
            <w:hideMark/>
          </w:tcPr>
          <w:p w:rsidR="0016531D" w:rsidRPr="001F6FF8" w:rsidP="00733BD8" w14:paraId="23B0C12E" w14:textId="77777777">
            <w:pPr>
              <w:keepNext/>
              <w:keepLines/>
              <w:jc w:val="center"/>
              <w:rPr>
                <w:sz w:val="16"/>
                <w:szCs w:val="16"/>
              </w:rPr>
            </w:pPr>
          </w:p>
        </w:tc>
      </w:tr>
      <w:tr w14:paraId="73067091"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5F4E49DB" w14:textId="77777777">
            <w:pPr>
              <w:keepNext/>
              <w:keepLines/>
              <w:rPr>
                <w:i/>
                <w:iCs/>
                <w:sz w:val="16"/>
                <w:szCs w:val="16"/>
              </w:rPr>
            </w:pPr>
            <w:r w:rsidRPr="001F6FF8">
              <w:rPr>
                <w:i/>
                <w:iCs/>
                <w:sz w:val="16"/>
                <w:szCs w:val="16"/>
              </w:rPr>
              <w:t>Log Terrain Roughness</w:t>
            </w:r>
          </w:p>
        </w:tc>
        <w:tc>
          <w:tcPr>
            <w:tcW w:w="969" w:type="dxa"/>
            <w:tcBorders>
              <w:top w:val="nil"/>
              <w:left w:val="nil"/>
              <w:bottom w:val="nil"/>
              <w:right w:val="nil"/>
            </w:tcBorders>
            <w:shd w:val="clear" w:color="auto" w:fill="auto"/>
            <w:noWrap/>
            <w:vAlign w:val="center"/>
            <w:hideMark/>
          </w:tcPr>
          <w:p w:rsidR="0016531D" w:rsidRPr="001F6FF8" w:rsidP="00733BD8" w14:paraId="5974375D" w14:textId="77777777">
            <w:pPr>
              <w:keepNext/>
              <w:keepLines/>
              <w:jc w:val="center"/>
              <w:rPr>
                <w:sz w:val="16"/>
                <w:szCs w:val="16"/>
              </w:rPr>
            </w:pPr>
            <w:r w:rsidRPr="001F6FF8">
              <w:rPr>
                <w:sz w:val="16"/>
                <w:szCs w:val="16"/>
              </w:rPr>
              <w:t>0.23***</w:t>
            </w:r>
          </w:p>
        </w:tc>
        <w:tc>
          <w:tcPr>
            <w:tcW w:w="970" w:type="dxa"/>
            <w:tcBorders>
              <w:top w:val="nil"/>
              <w:left w:val="nil"/>
              <w:bottom w:val="nil"/>
              <w:right w:val="nil"/>
            </w:tcBorders>
            <w:shd w:val="clear" w:color="auto" w:fill="auto"/>
            <w:noWrap/>
            <w:vAlign w:val="center"/>
            <w:hideMark/>
          </w:tcPr>
          <w:p w:rsidR="0016531D" w:rsidRPr="001F6FF8" w:rsidP="00733BD8" w14:paraId="5A7CDEB3" w14:textId="77777777">
            <w:pPr>
              <w:keepNext/>
              <w:keepLines/>
              <w:jc w:val="center"/>
              <w:rPr>
                <w:sz w:val="16"/>
                <w:szCs w:val="16"/>
              </w:rPr>
            </w:pPr>
            <w:r w:rsidRPr="001F6FF8">
              <w:rPr>
                <w:sz w:val="16"/>
                <w:szCs w:val="16"/>
              </w:rPr>
              <w:t>0.16*</w:t>
            </w:r>
          </w:p>
        </w:tc>
        <w:tc>
          <w:tcPr>
            <w:tcW w:w="970" w:type="dxa"/>
            <w:tcBorders>
              <w:top w:val="nil"/>
              <w:left w:val="nil"/>
              <w:bottom w:val="nil"/>
              <w:right w:val="nil"/>
            </w:tcBorders>
            <w:shd w:val="clear" w:color="auto" w:fill="auto"/>
            <w:noWrap/>
            <w:vAlign w:val="center"/>
            <w:hideMark/>
          </w:tcPr>
          <w:p w:rsidR="0016531D" w:rsidRPr="001F6FF8" w:rsidP="00733BD8" w14:paraId="037852CC" w14:textId="77777777">
            <w:pPr>
              <w:keepNext/>
              <w:keepLines/>
              <w:jc w:val="center"/>
              <w:rPr>
                <w:sz w:val="16"/>
                <w:szCs w:val="16"/>
              </w:rPr>
            </w:pPr>
            <w:r w:rsidRPr="001F6FF8">
              <w:rPr>
                <w:sz w:val="16"/>
                <w:szCs w:val="16"/>
              </w:rPr>
              <w:t>0.20**</w:t>
            </w:r>
          </w:p>
        </w:tc>
        <w:tc>
          <w:tcPr>
            <w:tcW w:w="969" w:type="dxa"/>
            <w:tcBorders>
              <w:top w:val="nil"/>
              <w:left w:val="nil"/>
              <w:bottom w:val="nil"/>
              <w:right w:val="nil"/>
            </w:tcBorders>
            <w:shd w:val="clear" w:color="auto" w:fill="auto"/>
            <w:noWrap/>
            <w:vAlign w:val="center"/>
            <w:hideMark/>
          </w:tcPr>
          <w:p w:rsidR="0016531D" w:rsidRPr="001F6FF8" w:rsidP="00733BD8" w14:paraId="3A0D0073" w14:textId="77777777">
            <w:pPr>
              <w:keepNext/>
              <w:keepLines/>
              <w:jc w:val="center"/>
              <w:rPr>
                <w:sz w:val="16"/>
                <w:szCs w:val="16"/>
              </w:rPr>
            </w:pPr>
            <w:r w:rsidRPr="001F6FF8">
              <w:rPr>
                <w:sz w:val="16"/>
                <w:szCs w:val="16"/>
              </w:rPr>
              <w:t>0.23***</w:t>
            </w:r>
          </w:p>
        </w:tc>
        <w:tc>
          <w:tcPr>
            <w:tcW w:w="970" w:type="dxa"/>
            <w:tcBorders>
              <w:top w:val="nil"/>
              <w:left w:val="nil"/>
              <w:bottom w:val="nil"/>
              <w:right w:val="nil"/>
            </w:tcBorders>
            <w:shd w:val="clear" w:color="auto" w:fill="auto"/>
            <w:noWrap/>
            <w:vAlign w:val="center"/>
            <w:hideMark/>
          </w:tcPr>
          <w:p w:rsidR="0016531D" w:rsidRPr="001F6FF8" w:rsidP="00733BD8" w14:paraId="1FD7194A" w14:textId="77777777">
            <w:pPr>
              <w:keepNext/>
              <w:keepLines/>
              <w:jc w:val="center"/>
              <w:rPr>
                <w:sz w:val="16"/>
                <w:szCs w:val="16"/>
              </w:rPr>
            </w:pPr>
            <w:r w:rsidRPr="001F6FF8">
              <w:rPr>
                <w:sz w:val="16"/>
                <w:szCs w:val="16"/>
              </w:rPr>
              <w:t>0.16*</w:t>
            </w:r>
          </w:p>
        </w:tc>
        <w:tc>
          <w:tcPr>
            <w:tcW w:w="970" w:type="dxa"/>
            <w:tcBorders>
              <w:top w:val="nil"/>
              <w:left w:val="nil"/>
              <w:bottom w:val="nil"/>
              <w:right w:val="nil"/>
            </w:tcBorders>
            <w:shd w:val="clear" w:color="auto" w:fill="auto"/>
            <w:noWrap/>
            <w:vAlign w:val="center"/>
            <w:hideMark/>
          </w:tcPr>
          <w:p w:rsidR="0016531D" w:rsidRPr="001F6FF8" w:rsidP="00733BD8" w14:paraId="19F1F9BC" w14:textId="77777777">
            <w:pPr>
              <w:keepNext/>
              <w:keepLines/>
              <w:jc w:val="center"/>
              <w:rPr>
                <w:sz w:val="16"/>
                <w:szCs w:val="16"/>
              </w:rPr>
            </w:pPr>
            <w:r w:rsidRPr="001F6FF8">
              <w:rPr>
                <w:sz w:val="16"/>
                <w:szCs w:val="16"/>
              </w:rPr>
              <w:t>0.20**</w:t>
            </w:r>
          </w:p>
        </w:tc>
      </w:tr>
      <w:tr w14:paraId="5C653C4C"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5919719F" w14:textId="77777777">
            <w:pPr>
              <w:keepNext/>
              <w:keepLines/>
              <w:rPr>
                <w:sz w:val="16"/>
                <w:szCs w:val="16"/>
              </w:rPr>
            </w:pPr>
          </w:p>
        </w:tc>
        <w:tc>
          <w:tcPr>
            <w:tcW w:w="969" w:type="dxa"/>
            <w:tcBorders>
              <w:top w:val="nil"/>
              <w:left w:val="nil"/>
              <w:bottom w:val="nil"/>
              <w:right w:val="nil"/>
            </w:tcBorders>
            <w:shd w:val="clear" w:color="auto" w:fill="auto"/>
            <w:noWrap/>
            <w:vAlign w:val="center"/>
            <w:hideMark/>
          </w:tcPr>
          <w:p w:rsidR="0016531D" w:rsidRPr="001F6FF8" w:rsidP="00733BD8" w14:paraId="4028BFD9" w14:textId="77777777">
            <w:pPr>
              <w:keepNext/>
              <w:keepLines/>
              <w:jc w:val="center"/>
              <w:rPr>
                <w:sz w:val="16"/>
                <w:szCs w:val="16"/>
              </w:rPr>
            </w:pPr>
            <w:r w:rsidRPr="001F6FF8">
              <w:rPr>
                <w:sz w:val="16"/>
                <w:szCs w:val="16"/>
              </w:rPr>
              <w:t>(0.06)</w:t>
            </w:r>
          </w:p>
        </w:tc>
        <w:tc>
          <w:tcPr>
            <w:tcW w:w="970" w:type="dxa"/>
            <w:tcBorders>
              <w:top w:val="nil"/>
              <w:left w:val="nil"/>
              <w:bottom w:val="nil"/>
              <w:right w:val="nil"/>
            </w:tcBorders>
            <w:shd w:val="clear" w:color="auto" w:fill="auto"/>
            <w:noWrap/>
            <w:vAlign w:val="center"/>
            <w:hideMark/>
          </w:tcPr>
          <w:p w:rsidR="0016531D" w:rsidRPr="001F6FF8" w:rsidP="00733BD8" w14:paraId="7654AE90" w14:textId="77777777">
            <w:pPr>
              <w:keepNext/>
              <w:keepLines/>
              <w:jc w:val="center"/>
              <w:rPr>
                <w:sz w:val="16"/>
                <w:szCs w:val="16"/>
              </w:rPr>
            </w:pPr>
            <w:r w:rsidRPr="001F6FF8">
              <w:rPr>
                <w:sz w:val="16"/>
                <w:szCs w:val="16"/>
              </w:rPr>
              <w:t>(0.09)</w:t>
            </w:r>
          </w:p>
        </w:tc>
        <w:tc>
          <w:tcPr>
            <w:tcW w:w="970" w:type="dxa"/>
            <w:tcBorders>
              <w:top w:val="nil"/>
              <w:left w:val="nil"/>
              <w:bottom w:val="nil"/>
              <w:right w:val="nil"/>
            </w:tcBorders>
            <w:shd w:val="clear" w:color="auto" w:fill="auto"/>
            <w:noWrap/>
            <w:vAlign w:val="center"/>
            <w:hideMark/>
          </w:tcPr>
          <w:p w:rsidR="0016531D" w:rsidRPr="001F6FF8" w:rsidP="00733BD8" w14:paraId="29B9B623" w14:textId="77777777">
            <w:pPr>
              <w:keepNext/>
              <w:keepLines/>
              <w:jc w:val="center"/>
              <w:rPr>
                <w:sz w:val="16"/>
                <w:szCs w:val="16"/>
              </w:rPr>
            </w:pPr>
            <w:r w:rsidRPr="001F6FF8">
              <w:rPr>
                <w:sz w:val="16"/>
                <w:szCs w:val="16"/>
              </w:rPr>
              <w:t>(0.09)</w:t>
            </w:r>
          </w:p>
        </w:tc>
        <w:tc>
          <w:tcPr>
            <w:tcW w:w="969" w:type="dxa"/>
            <w:tcBorders>
              <w:top w:val="nil"/>
              <w:left w:val="nil"/>
              <w:bottom w:val="nil"/>
              <w:right w:val="nil"/>
            </w:tcBorders>
            <w:shd w:val="clear" w:color="auto" w:fill="auto"/>
            <w:noWrap/>
            <w:vAlign w:val="center"/>
            <w:hideMark/>
          </w:tcPr>
          <w:p w:rsidR="0016531D" w:rsidRPr="001F6FF8" w:rsidP="00733BD8" w14:paraId="548D1EE0" w14:textId="77777777">
            <w:pPr>
              <w:keepNext/>
              <w:keepLines/>
              <w:jc w:val="center"/>
              <w:rPr>
                <w:sz w:val="16"/>
                <w:szCs w:val="16"/>
              </w:rPr>
            </w:pPr>
            <w:r w:rsidRPr="001F6FF8">
              <w:rPr>
                <w:sz w:val="16"/>
                <w:szCs w:val="16"/>
              </w:rPr>
              <w:t>(0.06)</w:t>
            </w:r>
          </w:p>
        </w:tc>
        <w:tc>
          <w:tcPr>
            <w:tcW w:w="970" w:type="dxa"/>
            <w:tcBorders>
              <w:top w:val="nil"/>
              <w:left w:val="nil"/>
              <w:bottom w:val="nil"/>
              <w:right w:val="nil"/>
            </w:tcBorders>
            <w:shd w:val="clear" w:color="auto" w:fill="auto"/>
            <w:noWrap/>
            <w:vAlign w:val="center"/>
            <w:hideMark/>
          </w:tcPr>
          <w:p w:rsidR="0016531D" w:rsidRPr="001F6FF8" w:rsidP="00733BD8" w14:paraId="44E66020" w14:textId="77777777">
            <w:pPr>
              <w:keepNext/>
              <w:keepLines/>
              <w:jc w:val="center"/>
              <w:rPr>
                <w:sz w:val="16"/>
                <w:szCs w:val="16"/>
              </w:rPr>
            </w:pPr>
            <w:r w:rsidRPr="001F6FF8">
              <w:rPr>
                <w:sz w:val="16"/>
                <w:szCs w:val="16"/>
              </w:rPr>
              <w:t>(0.08)</w:t>
            </w:r>
          </w:p>
        </w:tc>
        <w:tc>
          <w:tcPr>
            <w:tcW w:w="970" w:type="dxa"/>
            <w:tcBorders>
              <w:top w:val="nil"/>
              <w:left w:val="nil"/>
              <w:bottom w:val="nil"/>
              <w:right w:val="nil"/>
            </w:tcBorders>
            <w:shd w:val="clear" w:color="auto" w:fill="auto"/>
            <w:noWrap/>
            <w:vAlign w:val="center"/>
            <w:hideMark/>
          </w:tcPr>
          <w:p w:rsidR="0016531D" w:rsidRPr="001F6FF8" w:rsidP="00733BD8" w14:paraId="550282EA" w14:textId="77777777">
            <w:pPr>
              <w:keepNext/>
              <w:keepLines/>
              <w:jc w:val="center"/>
              <w:rPr>
                <w:sz w:val="16"/>
                <w:szCs w:val="16"/>
              </w:rPr>
            </w:pPr>
            <w:r w:rsidRPr="001F6FF8">
              <w:rPr>
                <w:sz w:val="16"/>
                <w:szCs w:val="16"/>
              </w:rPr>
              <w:t>(0.09)</w:t>
            </w:r>
          </w:p>
        </w:tc>
      </w:tr>
      <w:tr w14:paraId="40C3FFB1"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32C72207" w14:textId="77777777">
            <w:pPr>
              <w:keepNext/>
              <w:keepLines/>
              <w:rPr>
                <w:i/>
                <w:iCs/>
                <w:sz w:val="16"/>
                <w:szCs w:val="16"/>
              </w:rPr>
            </w:pPr>
            <w:r w:rsidRPr="001F6FF8">
              <w:rPr>
                <w:i/>
                <w:iCs/>
                <w:sz w:val="16"/>
                <w:szCs w:val="16"/>
              </w:rPr>
              <w:t xml:space="preserve">Log Population Density </w:t>
            </w:r>
          </w:p>
        </w:tc>
        <w:tc>
          <w:tcPr>
            <w:tcW w:w="969" w:type="dxa"/>
            <w:tcBorders>
              <w:top w:val="nil"/>
              <w:left w:val="nil"/>
              <w:bottom w:val="nil"/>
              <w:right w:val="nil"/>
            </w:tcBorders>
            <w:shd w:val="clear" w:color="auto" w:fill="auto"/>
            <w:noWrap/>
            <w:vAlign w:val="center"/>
            <w:hideMark/>
          </w:tcPr>
          <w:p w:rsidR="0016531D" w:rsidRPr="001F6FF8" w:rsidP="00733BD8" w14:paraId="1C712808" w14:textId="77777777">
            <w:pPr>
              <w:keepNext/>
              <w:keepLines/>
              <w:jc w:val="center"/>
              <w:rPr>
                <w:sz w:val="16"/>
                <w:szCs w:val="16"/>
              </w:rPr>
            </w:pPr>
            <w:r w:rsidRPr="001F6FF8">
              <w:rPr>
                <w:sz w:val="16"/>
                <w:szCs w:val="16"/>
              </w:rPr>
              <w:t>-0.07</w:t>
            </w:r>
          </w:p>
        </w:tc>
        <w:tc>
          <w:tcPr>
            <w:tcW w:w="970" w:type="dxa"/>
            <w:tcBorders>
              <w:top w:val="nil"/>
              <w:left w:val="nil"/>
              <w:bottom w:val="nil"/>
              <w:right w:val="nil"/>
            </w:tcBorders>
            <w:shd w:val="clear" w:color="auto" w:fill="auto"/>
            <w:noWrap/>
            <w:vAlign w:val="center"/>
            <w:hideMark/>
          </w:tcPr>
          <w:p w:rsidR="0016531D" w:rsidRPr="001F6FF8" w:rsidP="00733BD8" w14:paraId="3C198B4E" w14:textId="77777777">
            <w:pPr>
              <w:keepNext/>
              <w:keepLines/>
              <w:jc w:val="center"/>
              <w:rPr>
                <w:sz w:val="16"/>
                <w:szCs w:val="16"/>
              </w:rPr>
            </w:pPr>
            <w:r w:rsidRPr="001F6FF8">
              <w:rPr>
                <w:sz w:val="16"/>
                <w:szCs w:val="16"/>
              </w:rPr>
              <w:t>-0.06**</w:t>
            </w:r>
          </w:p>
        </w:tc>
        <w:tc>
          <w:tcPr>
            <w:tcW w:w="970" w:type="dxa"/>
            <w:tcBorders>
              <w:top w:val="nil"/>
              <w:left w:val="nil"/>
              <w:bottom w:val="nil"/>
              <w:right w:val="nil"/>
            </w:tcBorders>
            <w:shd w:val="clear" w:color="auto" w:fill="auto"/>
            <w:noWrap/>
            <w:vAlign w:val="center"/>
            <w:hideMark/>
          </w:tcPr>
          <w:p w:rsidR="0016531D" w:rsidRPr="001F6FF8" w:rsidP="00733BD8" w14:paraId="3B02055B" w14:textId="77777777">
            <w:pPr>
              <w:keepNext/>
              <w:keepLines/>
              <w:jc w:val="center"/>
              <w:rPr>
                <w:sz w:val="16"/>
                <w:szCs w:val="16"/>
              </w:rPr>
            </w:pPr>
            <w:r w:rsidRPr="001F6FF8">
              <w:rPr>
                <w:sz w:val="16"/>
                <w:szCs w:val="16"/>
              </w:rPr>
              <w:t>-0.02</w:t>
            </w:r>
          </w:p>
        </w:tc>
        <w:tc>
          <w:tcPr>
            <w:tcW w:w="969" w:type="dxa"/>
            <w:tcBorders>
              <w:top w:val="nil"/>
              <w:left w:val="nil"/>
              <w:bottom w:val="nil"/>
              <w:right w:val="nil"/>
            </w:tcBorders>
            <w:shd w:val="clear" w:color="auto" w:fill="auto"/>
            <w:noWrap/>
            <w:vAlign w:val="center"/>
            <w:hideMark/>
          </w:tcPr>
          <w:p w:rsidR="0016531D" w:rsidRPr="001F6FF8" w:rsidP="00733BD8" w14:paraId="57943B9D" w14:textId="77777777">
            <w:pPr>
              <w:keepNext/>
              <w:keepLines/>
              <w:jc w:val="center"/>
              <w:rPr>
                <w:sz w:val="16"/>
                <w:szCs w:val="16"/>
              </w:rPr>
            </w:pPr>
            <w:r w:rsidRPr="001F6FF8">
              <w:rPr>
                <w:sz w:val="16"/>
                <w:szCs w:val="16"/>
              </w:rPr>
              <w:t>-0.07</w:t>
            </w:r>
          </w:p>
        </w:tc>
        <w:tc>
          <w:tcPr>
            <w:tcW w:w="970" w:type="dxa"/>
            <w:tcBorders>
              <w:top w:val="nil"/>
              <w:left w:val="nil"/>
              <w:bottom w:val="nil"/>
              <w:right w:val="nil"/>
            </w:tcBorders>
            <w:shd w:val="clear" w:color="auto" w:fill="auto"/>
            <w:noWrap/>
            <w:vAlign w:val="center"/>
            <w:hideMark/>
          </w:tcPr>
          <w:p w:rsidR="0016531D" w:rsidRPr="001F6FF8" w:rsidP="00733BD8" w14:paraId="6CBFE1C8" w14:textId="77777777">
            <w:pPr>
              <w:keepNext/>
              <w:keepLines/>
              <w:jc w:val="center"/>
              <w:rPr>
                <w:sz w:val="16"/>
                <w:szCs w:val="16"/>
              </w:rPr>
            </w:pPr>
            <w:r w:rsidRPr="001F6FF8">
              <w:rPr>
                <w:sz w:val="16"/>
                <w:szCs w:val="16"/>
              </w:rPr>
              <w:t>-0.06**</w:t>
            </w:r>
          </w:p>
        </w:tc>
        <w:tc>
          <w:tcPr>
            <w:tcW w:w="970" w:type="dxa"/>
            <w:tcBorders>
              <w:top w:val="nil"/>
              <w:left w:val="nil"/>
              <w:bottom w:val="nil"/>
              <w:right w:val="nil"/>
            </w:tcBorders>
            <w:shd w:val="clear" w:color="auto" w:fill="auto"/>
            <w:noWrap/>
            <w:vAlign w:val="center"/>
            <w:hideMark/>
          </w:tcPr>
          <w:p w:rsidR="0016531D" w:rsidRPr="001F6FF8" w:rsidP="00733BD8" w14:paraId="18459724" w14:textId="77777777">
            <w:pPr>
              <w:keepNext/>
              <w:keepLines/>
              <w:jc w:val="center"/>
              <w:rPr>
                <w:sz w:val="16"/>
                <w:szCs w:val="16"/>
              </w:rPr>
            </w:pPr>
            <w:r w:rsidRPr="001F6FF8">
              <w:rPr>
                <w:sz w:val="16"/>
                <w:szCs w:val="16"/>
              </w:rPr>
              <w:t>-0.02</w:t>
            </w:r>
          </w:p>
        </w:tc>
      </w:tr>
      <w:tr w14:paraId="47EE2BFA"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3A350B4F" w14:textId="77777777">
            <w:pPr>
              <w:keepNext/>
              <w:keepLines/>
              <w:rPr>
                <w:sz w:val="16"/>
                <w:szCs w:val="16"/>
              </w:rPr>
            </w:pPr>
          </w:p>
        </w:tc>
        <w:tc>
          <w:tcPr>
            <w:tcW w:w="969" w:type="dxa"/>
            <w:tcBorders>
              <w:top w:val="nil"/>
              <w:left w:val="nil"/>
              <w:bottom w:val="nil"/>
              <w:right w:val="nil"/>
            </w:tcBorders>
            <w:shd w:val="clear" w:color="auto" w:fill="auto"/>
            <w:noWrap/>
            <w:vAlign w:val="center"/>
            <w:hideMark/>
          </w:tcPr>
          <w:p w:rsidR="0016531D" w:rsidRPr="001F6FF8" w:rsidP="00733BD8" w14:paraId="1FFF9FA8" w14:textId="77777777">
            <w:pPr>
              <w:keepNext/>
              <w:keepLines/>
              <w:jc w:val="center"/>
              <w:rPr>
                <w:sz w:val="16"/>
                <w:szCs w:val="16"/>
              </w:rPr>
            </w:pPr>
            <w:r w:rsidRPr="001F6FF8">
              <w:rPr>
                <w:sz w:val="16"/>
                <w:szCs w:val="16"/>
              </w:rPr>
              <w:t>(0.04)</w:t>
            </w:r>
          </w:p>
        </w:tc>
        <w:tc>
          <w:tcPr>
            <w:tcW w:w="970" w:type="dxa"/>
            <w:tcBorders>
              <w:top w:val="nil"/>
              <w:left w:val="nil"/>
              <w:bottom w:val="nil"/>
              <w:right w:val="nil"/>
            </w:tcBorders>
            <w:shd w:val="clear" w:color="auto" w:fill="auto"/>
            <w:noWrap/>
            <w:vAlign w:val="center"/>
            <w:hideMark/>
          </w:tcPr>
          <w:p w:rsidR="0016531D" w:rsidRPr="001F6FF8" w:rsidP="00733BD8" w14:paraId="2C9CAE39" w14:textId="77777777">
            <w:pPr>
              <w:keepNext/>
              <w:keepLines/>
              <w:jc w:val="center"/>
              <w:rPr>
                <w:sz w:val="16"/>
                <w:szCs w:val="16"/>
              </w:rPr>
            </w:pPr>
            <w:r w:rsidRPr="001F6FF8">
              <w:rPr>
                <w:sz w:val="16"/>
                <w:szCs w:val="16"/>
              </w:rPr>
              <w:t>(0.03)</w:t>
            </w:r>
          </w:p>
        </w:tc>
        <w:tc>
          <w:tcPr>
            <w:tcW w:w="970" w:type="dxa"/>
            <w:tcBorders>
              <w:top w:val="nil"/>
              <w:left w:val="nil"/>
              <w:bottom w:val="nil"/>
              <w:right w:val="nil"/>
            </w:tcBorders>
            <w:shd w:val="clear" w:color="auto" w:fill="auto"/>
            <w:noWrap/>
            <w:vAlign w:val="center"/>
            <w:hideMark/>
          </w:tcPr>
          <w:p w:rsidR="0016531D" w:rsidRPr="001F6FF8" w:rsidP="00733BD8" w14:paraId="11D49168" w14:textId="77777777">
            <w:pPr>
              <w:keepNext/>
              <w:keepLines/>
              <w:jc w:val="center"/>
              <w:rPr>
                <w:sz w:val="16"/>
                <w:szCs w:val="16"/>
              </w:rPr>
            </w:pPr>
            <w:r w:rsidRPr="001F6FF8">
              <w:rPr>
                <w:sz w:val="16"/>
                <w:szCs w:val="16"/>
              </w:rPr>
              <w:t>(0.04)</w:t>
            </w:r>
          </w:p>
        </w:tc>
        <w:tc>
          <w:tcPr>
            <w:tcW w:w="969" w:type="dxa"/>
            <w:tcBorders>
              <w:top w:val="nil"/>
              <w:left w:val="nil"/>
              <w:bottom w:val="nil"/>
              <w:right w:val="nil"/>
            </w:tcBorders>
            <w:shd w:val="clear" w:color="auto" w:fill="auto"/>
            <w:noWrap/>
            <w:vAlign w:val="center"/>
            <w:hideMark/>
          </w:tcPr>
          <w:p w:rsidR="0016531D" w:rsidRPr="001F6FF8" w:rsidP="00733BD8" w14:paraId="22DB0E50" w14:textId="77777777">
            <w:pPr>
              <w:keepNext/>
              <w:keepLines/>
              <w:jc w:val="center"/>
              <w:rPr>
                <w:sz w:val="16"/>
                <w:szCs w:val="16"/>
              </w:rPr>
            </w:pPr>
            <w:r w:rsidRPr="001F6FF8">
              <w:rPr>
                <w:sz w:val="16"/>
                <w:szCs w:val="16"/>
              </w:rPr>
              <w:t>(0.04)</w:t>
            </w:r>
          </w:p>
        </w:tc>
        <w:tc>
          <w:tcPr>
            <w:tcW w:w="970" w:type="dxa"/>
            <w:tcBorders>
              <w:top w:val="nil"/>
              <w:left w:val="nil"/>
              <w:bottom w:val="nil"/>
              <w:right w:val="nil"/>
            </w:tcBorders>
            <w:shd w:val="clear" w:color="auto" w:fill="auto"/>
            <w:noWrap/>
            <w:vAlign w:val="center"/>
            <w:hideMark/>
          </w:tcPr>
          <w:p w:rsidR="0016531D" w:rsidRPr="001F6FF8" w:rsidP="00733BD8" w14:paraId="48C0CA22" w14:textId="77777777">
            <w:pPr>
              <w:keepNext/>
              <w:keepLines/>
              <w:jc w:val="center"/>
              <w:rPr>
                <w:sz w:val="16"/>
                <w:szCs w:val="16"/>
              </w:rPr>
            </w:pPr>
            <w:r w:rsidRPr="001F6FF8">
              <w:rPr>
                <w:sz w:val="16"/>
                <w:szCs w:val="16"/>
              </w:rPr>
              <w:t>(0.03)</w:t>
            </w:r>
          </w:p>
        </w:tc>
        <w:tc>
          <w:tcPr>
            <w:tcW w:w="970" w:type="dxa"/>
            <w:tcBorders>
              <w:top w:val="nil"/>
              <w:left w:val="nil"/>
              <w:bottom w:val="nil"/>
              <w:right w:val="nil"/>
            </w:tcBorders>
            <w:shd w:val="clear" w:color="auto" w:fill="auto"/>
            <w:noWrap/>
            <w:vAlign w:val="center"/>
            <w:hideMark/>
          </w:tcPr>
          <w:p w:rsidR="0016531D" w:rsidRPr="001F6FF8" w:rsidP="00733BD8" w14:paraId="27176799" w14:textId="77777777">
            <w:pPr>
              <w:keepNext/>
              <w:keepLines/>
              <w:jc w:val="center"/>
              <w:rPr>
                <w:sz w:val="16"/>
                <w:szCs w:val="16"/>
              </w:rPr>
            </w:pPr>
            <w:r w:rsidRPr="001F6FF8">
              <w:rPr>
                <w:sz w:val="16"/>
                <w:szCs w:val="16"/>
              </w:rPr>
              <w:t>(0.04)</w:t>
            </w:r>
          </w:p>
        </w:tc>
      </w:tr>
      <w:tr w14:paraId="11BA67BC"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1719F608" w14:textId="77777777">
            <w:pPr>
              <w:keepNext/>
              <w:keepLines/>
              <w:rPr>
                <w:i/>
                <w:iCs/>
                <w:sz w:val="16"/>
                <w:szCs w:val="16"/>
              </w:rPr>
            </w:pPr>
            <w:r w:rsidRPr="001F6FF8">
              <w:rPr>
                <w:i/>
                <w:iCs/>
                <w:sz w:val="16"/>
                <w:szCs w:val="16"/>
              </w:rPr>
              <w:t>Population is Zero Indicator</w:t>
            </w:r>
          </w:p>
        </w:tc>
        <w:tc>
          <w:tcPr>
            <w:tcW w:w="969" w:type="dxa"/>
            <w:tcBorders>
              <w:top w:val="nil"/>
              <w:left w:val="nil"/>
              <w:bottom w:val="nil"/>
              <w:right w:val="nil"/>
            </w:tcBorders>
            <w:shd w:val="clear" w:color="auto" w:fill="auto"/>
            <w:noWrap/>
            <w:vAlign w:val="center"/>
            <w:hideMark/>
          </w:tcPr>
          <w:p w:rsidR="0016531D" w:rsidRPr="001F6FF8" w:rsidP="00733BD8" w14:paraId="5A004D13" w14:textId="77777777">
            <w:pPr>
              <w:keepNext/>
              <w:keepLines/>
              <w:jc w:val="center"/>
              <w:rPr>
                <w:sz w:val="16"/>
                <w:szCs w:val="16"/>
              </w:rPr>
            </w:pPr>
            <w:r w:rsidRPr="001F6FF8">
              <w:rPr>
                <w:sz w:val="16"/>
                <w:szCs w:val="16"/>
              </w:rPr>
              <w:t>-0.63</w:t>
            </w:r>
          </w:p>
        </w:tc>
        <w:tc>
          <w:tcPr>
            <w:tcW w:w="970" w:type="dxa"/>
            <w:tcBorders>
              <w:top w:val="nil"/>
              <w:left w:val="nil"/>
              <w:bottom w:val="nil"/>
              <w:right w:val="nil"/>
            </w:tcBorders>
            <w:shd w:val="clear" w:color="auto" w:fill="auto"/>
            <w:noWrap/>
            <w:vAlign w:val="center"/>
            <w:hideMark/>
          </w:tcPr>
          <w:p w:rsidR="0016531D" w:rsidRPr="001F6FF8" w:rsidP="00733BD8" w14:paraId="5899A645" w14:textId="77777777">
            <w:pPr>
              <w:keepNext/>
              <w:keepLines/>
              <w:jc w:val="center"/>
              <w:rPr>
                <w:sz w:val="16"/>
                <w:szCs w:val="16"/>
              </w:rPr>
            </w:pPr>
            <w:r w:rsidRPr="001F6FF8">
              <w:rPr>
                <w:sz w:val="16"/>
                <w:szCs w:val="16"/>
              </w:rPr>
              <w:t>-0.54</w:t>
            </w:r>
          </w:p>
        </w:tc>
        <w:tc>
          <w:tcPr>
            <w:tcW w:w="970" w:type="dxa"/>
            <w:tcBorders>
              <w:top w:val="nil"/>
              <w:left w:val="nil"/>
              <w:bottom w:val="nil"/>
              <w:right w:val="nil"/>
            </w:tcBorders>
            <w:shd w:val="clear" w:color="auto" w:fill="auto"/>
            <w:noWrap/>
            <w:vAlign w:val="center"/>
            <w:hideMark/>
          </w:tcPr>
          <w:p w:rsidR="0016531D" w:rsidRPr="001F6FF8" w:rsidP="00733BD8" w14:paraId="198C9324" w14:textId="77777777">
            <w:pPr>
              <w:keepNext/>
              <w:keepLines/>
              <w:jc w:val="center"/>
              <w:rPr>
                <w:sz w:val="16"/>
                <w:szCs w:val="16"/>
              </w:rPr>
            </w:pPr>
            <w:r w:rsidRPr="001F6FF8">
              <w:rPr>
                <w:sz w:val="16"/>
                <w:szCs w:val="16"/>
              </w:rPr>
              <w:t>-0.29</w:t>
            </w:r>
          </w:p>
        </w:tc>
        <w:tc>
          <w:tcPr>
            <w:tcW w:w="969" w:type="dxa"/>
            <w:tcBorders>
              <w:top w:val="nil"/>
              <w:left w:val="nil"/>
              <w:bottom w:val="nil"/>
              <w:right w:val="nil"/>
            </w:tcBorders>
            <w:shd w:val="clear" w:color="auto" w:fill="auto"/>
            <w:noWrap/>
            <w:vAlign w:val="center"/>
            <w:hideMark/>
          </w:tcPr>
          <w:p w:rsidR="0016531D" w:rsidRPr="001F6FF8" w:rsidP="00733BD8" w14:paraId="40F57909" w14:textId="77777777">
            <w:pPr>
              <w:keepNext/>
              <w:keepLines/>
              <w:jc w:val="center"/>
              <w:rPr>
                <w:sz w:val="16"/>
                <w:szCs w:val="16"/>
              </w:rPr>
            </w:pPr>
            <w:r w:rsidRPr="001F6FF8">
              <w:rPr>
                <w:sz w:val="16"/>
                <w:szCs w:val="16"/>
              </w:rPr>
              <w:t>-0.64</w:t>
            </w:r>
          </w:p>
        </w:tc>
        <w:tc>
          <w:tcPr>
            <w:tcW w:w="970" w:type="dxa"/>
            <w:tcBorders>
              <w:top w:val="nil"/>
              <w:left w:val="nil"/>
              <w:bottom w:val="nil"/>
              <w:right w:val="nil"/>
            </w:tcBorders>
            <w:shd w:val="clear" w:color="auto" w:fill="auto"/>
            <w:noWrap/>
            <w:vAlign w:val="center"/>
            <w:hideMark/>
          </w:tcPr>
          <w:p w:rsidR="0016531D" w:rsidRPr="001F6FF8" w:rsidP="00733BD8" w14:paraId="24312783" w14:textId="77777777">
            <w:pPr>
              <w:keepNext/>
              <w:keepLines/>
              <w:jc w:val="center"/>
              <w:rPr>
                <w:sz w:val="16"/>
                <w:szCs w:val="16"/>
              </w:rPr>
            </w:pPr>
            <w:r w:rsidRPr="001F6FF8">
              <w:rPr>
                <w:sz w:val="16"/>
                <w:szCs w:val="16"/>
              </w:rPr>
              <w:t>-0.56</w:t>
            </w:r>
          </w:p>
        </w:tc>
        <w:tc>
          <w:tcPr>
            <w:tcW w:w="970" w:type="dxa"/>
            <w:tcBorders>
              <w:top w:val="nil"/>
              <w:left w:val="nil"/>
              <w:bottom w:val="nil"/>
              <w:right w:val="nil"/>
            </w:tcBorders>
            <w:shd w:val="clear" w:color="auto" w:fill="auto"/>
            <w:noWrap/>
            <w:vAlign w:val="center"/>
            <w:hideMark/>
          </w:tcPr>
          <w:p w:rsidR="0016531D" w:rsidRPr="001F6FF8" w:rsidP="00733BD8" w14:paraId="0CC58CE2" w14:textId="77777777">
            <w:pPr>
              <w:keepNext/>
              <w:keepLines/>
              <w:jc w:val="center"/>
              <w:rPr>
                <w:sz w:val="16"/>
                <w:szCs w:val="16"/>
              </w:rPr>
            </w:pPr>
            <w:r w:rsidRPr="001F6FF8">
              <w:rPr>
                <w:sz w:val="16"/>
                <w:szCs w:val="16"/>
              </w:rPr>
              <w:t>-0.30</w:t>
            </w:r>
          </w:p>
        </w:tc>
      </w:tr>
      <w:tr w14:paraId="62B30CCA"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372A6287" w14:textId="77777777">
            <w:pPr>
              <w:keepNext/>
              <w:keepLines/>
              <w:rPr>
                <w:sz w:val="16"/>
                <w:szCs w:val="16"/>
              </w:rPr>
            </w:pPr>
          </w:p>
        </w:tc>
        <w:tc>
          <w:tcPr>
            <w:tcW w:w="969" w:type="dxa"/>
            <w:tcBorders>
              <w:top w:val="nil"/>
              <w:left w:val="nil"/>
              <w:bottom w:val="nil"/>
              <w:right w:val="nil"/>
            </w:tcBorders>
            <w:shd w:val="clear" w:color="auto" w:fill="auto"/>
            <w:noWrap/>
            <w:vAlign w:val="center"/>
            <w:hideMark/>
          </w:tcPr>
          <w:p w:rsidR="0016531D" w:rsidRPr="001F6FF8" w:rsidP="00733BD8" w14:paraId="7012969A" w14:textId="77777777">
            <w:pPr>
              <w:keepNext/>
              <w:keepLines/>
              <w:jc w:val="center"/>
              <w:rPr>
                <w:sz w:val="16"/>
                <w:szCs w:val="16"/>
              </w:rPr>
            </w:pPr>
            <w:r w:rsidRPr="001F6FF8">
              <w:rPr>
                <w:sz w:val="16"/>
                <w:szCs w:val="16"/>
              </w:rPr>
              <w:t>(0.42)</w:t>
            </w:r>
          </w:p>
        </w:tc>
        <w:tc>
          <w:tcPr>
            <w:tcW w:w="970" w:type="dxa"/>
            <w:tcBorders>
              <w:top w:val="nil"/>
              <w:left w:val="nil"/>
              <w:bottom w:val="nil"/>
              <w:right w:val="nil"/>
            </w:tcBorders>
            <w:shd w:val="clear" w:color="auto" w:fill="auto"/>
            <w:noWrap/>
            <w:vAlign w:val="center"/>
            <w:hideMark/>
          </w:tcPr>
          <w:p w:rsidR="0016531D" w:rsidRPr="001F6FF8" w:rsidP="00733BD8" w14:paraId="14288FAE" w14:textId="77777777">
            <w:pPr>
              <w:keepNext/>
              <w:keepLines/>
              <w:jc w:val="center"/>
              <w:rPr>
                <w:sz w:val="16"/>
                <w:szCs w:val="16"/>
              </w:rPr>
            </w:pPr>
            <w:r w:rsidRPr="001F6FF8">
              <w:rPr>
                <w:sz w:val="16"/>
                <w:szCs w:val="16"/>
              </w:rPr>
              <w:t>(0.48)</w:t>
            </w:r>
          </w:p>
        </w:tc>
        <w:tc>
          <w:tcPr>
            <w:tcW w:w="970" w:type="dxa"/>
            <w:tcBorders>
              <w:top w:val="nil"/>
              <w:left w:val="nil"/>
              <w:bottom w:val="nil"/>
              <w:right w:val="nil"/>
            </w:tcBorders>
            <w:shd w:val="clear" w:color="auto" w:fill="auto"/>
            <w:noWrap/>
            <w:vAlign w:val="center"/>
            <w:hideMark/>
          </w:tcPr>
          <w:p w:rsidR="0016531D" w:rsidRPr="001F6FF8" w:rsidP="00733BD8" w14:paraId="731CB1E4" w14:textId="77777777">
            <w:pPr>
              <w:keepNext/>
              <w:keepLines/>
              <w:jc w:val="center"/>
              <w:rPr>
                <w:sz w:val="16"/>
                <w:szCs w:val="16"/>
              </w:rPr>
            </w:pPr>
            <w:r w:rsidRPr="001F6FF8">
              <w:rPr>
                <w:sz w:val="16"/>
                <w:szCs w:val="16"/>
              </w:rPr>
              <w:t>(0.42)</w:t>
            </w:r>
          </w:p>
        </w:tc>
        <w:tc>
          <w:tcPr>
            <w:tcW w:w="969" w:type="dxa"/>
            <w:tcBorders>
              <w:top w:val="nil"/>
              <w:left w:val="nil"/>
              <w:bottom w:val="nil"/>
              <w:right w:val="nil"/>
            </w:tcBorders>
            <w:shd w:val="clear" w:color="auto" w:fill="auto"/>
            <w:noWrap/>
            <w:vAlign w:val="center"/>
            <w:hideMark/>
          </w:tcPr>
          <w:p w:rsidR="0016531D" w:rsidRPr="001F6FF8" w:rsidP="00733BD8" w14:paraId="2EE17410" w14:textId="77777777">
            <w:pPr>
              <w:keepNext/>
              <w:keepLines/>
              <w:jc w:val="center"/>
              <w:rPr>
                <w:sz w:val="16"/>
                <w:szCs w:val="16"/>
              </w:rPr>
            </w:pPr>
            <w:r w:rsidRPr="001F6FF8">
              <w:rPr>
                <w:sz w:val="16"/>
                <w:szCs w:val="16"/>
              </w:rPr>
              <w:t>(0.43)</w:t>
            </w:r>
          </w:p>
        </w:tc>
        <w:tc>
          <w:tcPr>
            <w:tcW w:w="970" w:type="dxa"/>
            <w:tcBorders>
              <w:top w:val="nil"/>
              <w:left w:val="nil"/>
              <w:bottom w:val="nil"/>
              <w:right w:val="nil"/>
            </w:tcBorders>
            <w:shd w:val="clear" w:color="auto" w:fill="auto"/>
            <w:noWrap/>
            <w:vAlign w:val="center"/>
            <w:hideMark/>
          </w:tcPr>
          <w:p w:rsidR="0016531D" w:rsidRPr="001F6FF8" w:rsidP="00733BD8" w14:paraId="1A2E4396" w14:textId="77777777">
            <w:pPr>
              <w:keepNext/>
              <w:keepLines/>
              <w:jc w:val="center"/>
              <w:rPr>
                <w:sz w:val="16"/>
                <w:szCs w:val="16"/>
              </w:rPr>
            </w:pPr>
            <w:r w:rsidRPr="001F6FF8">
              <w:rPr>
                <w:sz w:val="16"/>
                <w:szCs w:val="16"/>
              </w:rPr>
              <w:t>(0.48)</w:t>
            </w:r>
          </w:p>
        </w:tc>
        <w:tc>
          <w:tcPr>
            <w:tcW w:w="970" w:type="dxa"/>
            <w:tcBorders>
              <w:top w:val="nil"/>
              <w:left w:val="nil"/>
              <w:bottom w:val="nil"/>
              <w:right w:val="nil"/>
            </w:tcBorders>
            <w:shd w:val="clear" w:color="auto" w:fill="auto"/>
            <w:noWrap/>
            <w:vAlign w:val="center"/>
            <w:hideMark/>
          </w:tcPr>
          <w:p w:rsidR="0016531D" w:rsidRPr="001F6FF8" w:rsidP="00733BD8" w14:paraId="7BE386B0" w14:textId="77777777">
            <w:pPr>
              <w:keepNext/>
              <w:keepLines/>
              <w:jc w:val="center"/>
              <w:rPr>
                <w:sz w:val="16"/>
                <w:szCs w:val="16"/>
              </w:rPr>
            </w:pPr>
            <w:r w:rsidRPr="001F6FF8">
              <w:rPr>
                <w:sz w:val="16"/>
                <w:szCs w:val="16"/>
              </w:rPr>
              <w:t>(0.43)</w:t>
            </w:r>
          </w:p>
        </w:tc>
      </w:tr>
      <w:tr w14:paraId="7315E5DE"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09FE8F28" w14:textId="77777777">
            <w:pPr>
              <w:keepNext/>
              <w:keepLines/>
              <w:rPr>
                <w:i/>
                <w:iCs/>
                <w:sz w:val="16"/>
                <w:szCs w:val="16"/>
              </w:rPr>
            </w:pPr>
            <w:r w:rsidRPr="001F6FF8">
              <w:rPr>
                <w:i/>
                <w:iCs/>
                <w:sz w:val="16"/>
                <w:szCs w:val="16"/>
              </w:rPr>
              <w:t xml:space="preserve">Log Road Miles </w:t>
            </w:r>
          </w:p>
        </w:tc>
        <w:tc>
          <w:tcPr>
            <w:tcW w:w="969" w:type="dxa"/>
            <w:tcBorders>
              <w:top w:val="nil"/>
              <w:left w:val="nil"/>
              <w:bottom w:val="nil"/>
              <w:right w:val="nil"/>
            </w:tcBorders>
            <w:shd w:val="clear" w:color="auto" w:fill="auto"/>
            <w:noWrap/>
            <w:vAlign w:val="center"/>
            <w:hideMark/>
          </w:tcPr>
          <w:p w:rsidR="0016531D" w:rsidRPr="001F6FF8" w:rsidP="00733BD8" w14:paraId="05C6A8FB" w14:textId="77777777">
            <w:pPr>
              <w:keepNext/>
              <w:keepLines/>
              <w:jc w:val="center"/>
              <w:rPr>
                <w:sz w:val="16"/>
                <w:szCs w:val="16"/>
              </w:rPr>
            </w:pPr>
            <w:r w:rsidRPr="001F6FF8">
              <w:rPr>
                <w:sz w:val="16"/>
                <w:szCs w:val="16"/>
              </w:rPr>
              <w:t>-0.24*</w:t>
            </w:r>
          </w:p>
        </w:tc>
        <w:tc>
          <w:tcPr>
            <w:tcW w:w="970" w:type="dxa"/>
            <w:tcBorders>
              <w:top w:val="nil"/>
              <w:left w:val="nil"/>
              <w:bottom w:val="nil"/>
              <w:right w:val="nil"/>
            </w:tcBorders>
            <w:shd w:val="clear" w:color="auto" w:fill="auto"/>
            <w:noWrap/>
            <w:vAlign w:val="center"/>
            <w:hideMark/>
          </w:tcPr>
          <w:p w:rsidR="0016531D" w:rsidRPr="001F6FF8" w:rsidP="00733BD8" w14:paraId="314D688C" w14:textId="77777777">
            <w:pPr>
              <w:keepNext/>
              <w:keepLines/>
              <w:jc w:val="center"/>
              <w:rPr>
                <w:sz w:val="16"/>
                <w:szCs w:val="16"/>
              </w:rPr>
            </w:pPr>
            <w:r w:rsidRPr="001F6FF8">
              <w:rPr>
                <w:sz w:val="16"/>
                <w:szCs w:val="16"/>
              </w:rPr>
              <w:t>-0.46***</w:t>
            </w:r>
          </w:p>
        </w:tc>
        <w:tc>
          <w:tcPr>
            <w:tcW w:w="970" w:type="dxa"/>
            <w:tcBorders>
              <w:top w:val="nil"/>
              <w:left w:val="nil"/>
              <w:bottom w:val="nil"/>
              <w:right w:val="nil"/>
            </w:tcBorders>
            <w:shd w:val="clear" w:color="auto" w:fill="auto"/>
            <w:noWrap/>
            <w:vAlign w:val="center"/>
            <w:hideMark/>
          </w:tcPr>
          <w:p w:rsidR="0016531D" w:rsidRPr="001F6FF8" w:rsidP="00733BD8" w14:paraId="01B081A7" w14:textId="77777777">
            <w:pPr>
              <w:keepNext/>
              <w:keepLines/>
              <w:jc w:val="center"/>
              <w:rPr>
                <w:sz w:val="16"/>
                <w:szCs w:val="16"/>
              </w:rPr>
            </w:pPr>
            <w:r w:rsidRPr="001F6FF8">
              <w:rPr>
                <w:sz w:val="16"/>
                <w:szCs w:val="16"/>
              </w:rPr>
              <w:t>-0.34***</w:t>
            </w:r>
          </w:p>
        </w:tc>
        <w:tc>
          <w:tcPr>
            <w:tcW w:w="969" w:type="dxa"/>
            <w:tcBorders>
              <w:top w:val="nil"/>
              <w:left w:val="nil"/>
              <w:bottom w:val="nil"/>
              <w:right w:val="nil"/>
            </w:tcBorders>
            <w:shd w:val="clear" w:color="auto" w:fill="auto"/>
            <w:noWrap/>
            <w:vAlign w:val="center"/>
            <w:hideMark/>
          </w:tcPr>
          <w:p w:rsidR="0016531D" w:rsidRPr="001F6FF8" w:rsidP="00733BD8" w14:paraId="6B6A9F62" w14:textId="77777777">
            <w:pPr>
              <w:keepNext/>
              <w:keepLines/>
              <w:jc w:val="center"/>
              <w:rPr>
                <w:sz w:val="16"/>
                <w:szCs w:val="16"/>
              </w:rPr>
            </w:pPr>
            <w:r w:rsidRPr="001F6FF8">
              <w:rPr>
                <w:sz w:val="16"/>
                <w:szCs w:val="16"/>
              </w:rPr>
              <w:t>-0.25*</w:t>
            </w:r>
          </w:p>
        </w:tc>
        <w:tc>
          <w:tcPr>
            <w:tcW w:w="970" w:type="dxa"/>
            <w:tcBorders>
              <w:top w:val="nil"/>
              <w:left w:val="nil"/>
              <w:bottom w:val="nil"/>
              <w:right w:val="nil"/>
            </w:tcBorders>
            <w:shd w:val="clear" w:color="auto" w:fill="auto"/>
            <w:noWrap/>
            <w:vAlign w:val="center"/>
            <w:hideMark/>
          </w:tcPr>
          <w:p w:rsidR="0016531D" w:rsidRPr="001F6FF8" w:rsidP="00733BD8" w14:paraId="747169E3" w14:textId="77777777">
            <w:pPr>
              <w:keepNext/>
              <w:keepLines/>
              <w:jc w:val="center"/>
              <w:rPr>
                <w:sz w:val="16"/>
                <w:szCs w:val="16"/>
              </w:rPr>
            </w:pPr>
            <w:r w:rsidRPr="001F6FF8">
              <w:rPr>
                <w:sz w:val="16"/>
                <w:szCs w:val="16"/>
              </w:rPr>
              <w:t>-0.47***</w:t>
            </w:r>
          </w:p>
        </w:tc>
        <w:tc>
          <w:tcPr>
            <w:tcW w:w="970" w:type="dxa"/>
            <w:tcBorders>
              <w:top w:val="nil"/>
              <w:left w:val="nil"/>
              <w:bottom w:val="nil"/>
              <w:right w:val="nil"/>
            </w:tcBorders>
            <w:shd w:val="clear" w:color="auto" w:fill="auto"/>
            <w:noWrap/>
            <w:vAlign w:val="center"/>
            <w:hideMark/>
          </w:tcPr>
          <w:p w:rsidR="0016531D" w:rsidRPr="001F6FF8" w:rsidP="00733BD8" w14:paraId="3DF820FA" w14:textId="77777777">
            <w:pPr>
              <w:keepNext/>
              <w:keepLines/>
              <w:jc w:val="center"/>
              <w:rPr>
                <w:sz w:val="16"/>
                <w:szCs w:val="16"/>
              </w:rPr>
            </w:pPr>
            <w:r w:rsidRPr="001F6FF8">
              <w:rPr>
                <w:sz w:val="16"/>
                <w:szCs w:val="16"/>
              </w:rPr>
              <w:t>-0.34***</w:t>
            </w:r>
          </w:p>
        </w:tc>
      </w:tr>
      <w:tr w14:paraId="358EF422"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2A2067B1" w14:textId="77777777">
            <w:pPr>
              <w:keepNext/>
              <w:keepLines/>
              <w:rPr>
                <w:sz w:val="16"/>
                <w:szCs w:val="16"/>
              </w:rPr>
            </w:pPr>
          </w:p>
        </w:tc>
        <w:tc>
          <w:tcPr>
            <w:tcW w:w="969" w:type="dxa"/>
            <w:tcBorders>
              <w:top w:val="nil"/>
              <w:left w:val="nil"/>
              <w:bottom w:val="nil"/>
              <w:right w:val="nil"/>
            </w:tcBorders>
            <w:shd w:val="clear" w:color="auto" w:fill="auto"/>
            <w:noWrap/>
            <w:vAlign w:val="center"/>
            <w:hideMark/>
          </w:tcPr>
          <w:p w:rsidR="0016531D" w:rsidRPr="001F6FF8" w:rsidP="00733BD8" w14:paraId="3836B676" w14:textId="77777777">
            <w:pPr>
              <w:keepNext/>
              <w:keepLines/>
              <w:jc w:val="center"/>
              <w:rPr>
                <w:sz w:val="16"/>
                <w:szCs w:val="16"/>
              </w:rPr>
            </w:pPr>
            <w:r w:rsidRPr="001F6FF8">
              <w:rPr>
                <w:sz w:val="16"/>
                <w:szCs w:val="16"/>
              </w:rPr>
              <w:t>(0.12)</w:t>
            </w:r>
          </w:p>
        </w:tc>
        <w:tc>
          <w:tcPr>
            <w:tcW w:w="970" w:type="dxa"/>
            <w:tcBorders>
              <w:top w:val="nil"/>
              <w:left w:val="nil"/>
              <w:bottom w:val="nil"/>
              <w:right w:val="nil"/>
            </w:tcBorders>
            <w:shd w:val="clear" w:color="auto" w:fill="auto"/>
            <w:noWrap/>
            <w:vAlign w:val="center"/>
            <w:hideMark/>
          </w:tcPr>
          <w:p w:rsidR="0016531D" w:rsidRPr="001F6FF8" w:rsidP="00733BD8" w14:paraId="26029972" w14:textId="77777777">
            <w:pPr>
              <w:keepNext/>
              <w:keepLines/>
              <w:jc w:val="center"/>
              <w:rPr>
                <w:sz w:val="16"/>
                <w:szCs w:val="16"/>
              </w:rPr>
            </w:pPr>
            <w:r w:rsidRPr="001F6FF8">
              <w:rPr>
                <w:sz w:val="16"/>
                <w:szCs w:val="16"/>
              </w:rPr>
              <w:t>(0.12)</w:t>
            </w:r>
          </w:p>
        </w:tc>
        <w:tc>
          <w:tcPr>
            <w:tcW w:w="970" w:type="dxa"/>
            <w:tcBorders>
              <w:top w:val="nil"/>
              <w:left w:val="nil"/>
              <w:bottom w:val="nil"/>
              <w:right w:val="nil"/>
            </w:tcBorders>
            <w:shd w:val="clear" w:color="auto" w:fill="auto"/>
            <w:noWrap/>
            <w:vAlign w:val="center"/>
            <w:hideMark/>
          </w:tcPr>
          <w:p w:rsidR="0016531D" w:rsidRPr="001F6FF8" w:rsidP="00733BD8" w14:paraId="4CC57651" w14:textId="77777777">
            <w:pPr>
              <w:keepNext/>
              <w:keepLines/>
              <w:jc w:val="center"/>
              <w:rPr>
                <w:sz w:val="16"/>
                <w:szCs w:val="16"/>
              </w:rPr>
            </w:pPr>
            <w:r w:rsidRPr="001F6FF8">
              <w:rPr>
                <w:sz w:val="16"/>
                <w:szCs w:val="16"/>
              </w:rPr>
              <w:t>(0.11)</w:t>
            </w:r>
          </w:p>
        </w:tc>
        <w:tc>
          <w:tcPr>
            <w:tcW w:w="969" w:type="dxa"/>
            <w:tcBorders>
              <w:top w:val="nil"/>
              <w:left w:val="nil"/>
              <w:bottom w:val="nil"/>
              <w:right w:val="nil"/>
            </w:tcBorders>
            <w:shd w:val="clear" w:color="auto" w:fill="auto"/>
            <w:noWrap/>
            <w:vAlign w:val="center"/>
            <w:hideMark/>
          </w:tcPr>
          <w:p w:rsidR="0016531D" w:rsidRPr="001F6FF8" w:rsidP="00733BD8" w14:paraId="4E58DB57" w14:textId="77777777">
            <w:pPr>
              <w:keepNext/>
              <w:keepLines/>
              <w:jc w:val="center"/>
              <w:rPr>
                <w:sz w:val="16"/>
                <w:szCs w:val="16"/>
              </w:rPr>
            </w:pPr>
            <w:r w:rsidRPr="001F6FF8">
              <w:rPr>
                <w:sz w:val="16"/>
                <w:szCs w:val="16"/>
              </w:rPr>
              <w:t>(0.13)</w:t>
            </w:r>
          </w:p>
        </w:tc>
        <w:tc>
          <w:tcPr>
            <w:tcW w:w="970" w:type="dxa"/>
            <w:tcBorders>
              <w:top w:val="nil"/>
              <w:left w:val="nil"/>
              <w:bottom w:val="nil"/>
              <w:right w:val="nil"/>
            </w:tcBorders>
            <w:shd w:val="clear" w:color="auto" w:fill="auto"/>
            <w:noWrap/>
            <w:vAlign w:val="center"/>
            <w:hideMark/>
          </w:tcPr>
          <w:p w:rsidR="0016531D" w:rsidRPr="001F6FF8" w:rsidP="00733BD8" w14:paraId="41E3713F" w14:textId="77777777">
            <w:pPr>
              <w:keepNext/>
              <w:keepLines/>
              <w:jc w:val="center"/>
              <w:rPr>
                <w:sz w:val="16"/>
                <w:szCs w:val="16"/>
              </w:rPr>
            </w:pPr>
            <w:r w:rsidRPr="001F6FF8">
              <w:rPr>
                <w:sz w:val="16"/>
                <w:szCs w:val="16"/>
              </w:rPr>
              <w:t>(0.12)</w:t>
            </w:r>
          </w:p>
        </w:tc>
        <w:tc>
          <w:tcPr>
            <w:tcW w:w="970" w:type="dxa"/>
            <w:tcBorders>
              <w:top w:val="nil"/>
              <w:left w:val="nil"/>
              <w:bottom w:val="nil"/>
              <w:right w:val="nil"/>
            </w:tcBorders>
            <w:shd w:val="clear" w:color="auto" w:fill="auto"/>
            <w:noWrap/>
            <w:vAlign w:val="center"/>
            <w:hideMark/>
          </w:tcPr>
          <w:p w:rsidR="0016531D" w:rsidRPr="001F6FF8" w:rsidP="00733BD8" w14:paraId="4D7C5328" w14:textId="77777777">
            <w:pPr>
              <w:keepNext/>
              <w:keepLines/>
              <w:jc w:val="center"/>
              <w:rPr>
                <w:sz w:val="16"/>
                <w:szCs w:val="16"/>
              </w:rPr>
            </w:pPr>
            <w:r w:rsidRPr="001F6FF8">
              <w:rPr>
                <w:sz w:val="16"/>
                <w:szCs w:val="16"/>
              </w:rPr>
              <w:t>(0.11)</w:t>
            </w:r>
          </w:p>
        </w:tc>
      </w:tr>
      <w:tr w14:paraId="4709E17F"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48388495" w14:textId="77777777">
            <w:pPr>
              <w:keepNext/>
              <w:keepLines/>
              <w:rPr>
                <w:i/>
                <w:iCs/>
                <w:sz w:val="16"/>
                <w:szCs w:val="16"/>
              </w:rPr>
            </w:pPr>
            <w:r w:rsidRPr="001F6FF8">
              <w:rPr>
                <w:i/>
                <w:iCs/>
                <w:sz w:val="16"/>
                <w:szCs w:val="16"/>
              </w:rPr>
              <w:t>Log Tract Median Household Income ($000s)</w:t>
            </w:r>
          </w:p>
        </w:tc>
        <w:tc>
          <w:tcPr>
            <w:tcW w:w="969" w:type="dxa"/>
            <w:tcBorders>
              <w:top w:val="nil"/>
              <w:left w:val="nil"/>
              <w:bottom w:val="nil"/>
              <w:right w:val="nil"/>
            </w:tcBorders>
            <w:shd w:val="clear" w:color="auto" w:fill="auto"/>
            <w:noWrap/>
            <w:vAlign w:val="center"/>
            <w:hideMark/>
          </w:tcPr>
          <w:p w:rsidR="0016531D" w:rsidRPr="001F6FF8" w:rsidP="00733BD8" w14:paraId="3B4325DD" w14:textId="77777777">
            <w:pPr>
              <w:keepNext/>
              <w:keepLines/>
              <w:jc w:val="center"/>
              <w:rPr>
                <w:sz w:val="16"/>
                <w:szCs w:val="16"/>
              </w:rPr>
            </w:pPr>
            <w:r w:rsidRPr="001F6FF8">
              <w:rPr>
                <w:sz w:val="16"/>
                <w:szCs w:val="16"/>
              </w:rPr>
              <w:t>0.25</w:t>
            </w:r>
          </w:p>
        </w:tc>
        <w:tc>
          <w:tcPr>
            <w:tcW w:w="970" w:type="dxa"/>
            <w:tcBorders>
              <w:top w:val="nil"/>
              <w:left w:val="nil"/>
              <w:bottom w:val="nil"/>
              <w:right w:val="nil"/>
            </w:tcBorders>
            <w:shd w:val="clear" w:color="auto" w:fill="auto"/>
            <w:noWrap/>
            <w:vAlign w:val="center"/>
            <w:hideMark/>
          </w:tcPr>
          <w:p w:rsidR="0016531D" w:rsidRPr="001F6FF8" w:rsidP="00733BD8" w14:paraId="1A10720B" w14:textId="77777777">
            <w:pPr>
              <w:keepNext/>
              <w:keepLines/>
              <w:jc w:val="center"/>
              <w:rPr>
                <w:sz w:val="16"/>
                <w:szCs w:val="16"/>
              </w:rPr>
            </w:pPr>
            <w:r w:rsidRPr="001F6FF8">
              <w:rPr>
                <w:sz w:val="16"/>
                <w:szCs w:val="16"/>
              </w:rPr>
              <w:t>0.05</w:t>
            </w:r>
          </w:p>
        </w:tc>
        <w:tc>
          <w:tcPr>
            <w:tcW w:w="970" w:type="dxa"/>
            <w:tcBorders>
              <w:top w:val="nil"/>
              <w:left w:val="nil"/>
              <w:bottom w:val="nil"/>
              <w:right w:val="nil"/>
            </w:tcBorders>
            <w:shd w:val="clear" w:color="auto" w:fill="auto"/>
            <w:noWrap/>
            <w:vAlign w:val="center"/>
            <w:hideMark/>
          </w:tcPr>
          <w:p w:rsidR="0016531D" w:rsidRPr="001F6FF8" w:rsidP="00733BD8" w14:paraId="03F3D2E9" w14:textId="77777777">
            <w:pPr>
              <w:keepNext/>
              <w:keepLines/>
              <w:jc w:val="center"/>
              <w:rPr>
                <w:sz w:val="16"/>
                <w:szCs w:val="16"/>
              </w:rPr>
            </w:pPr>
            <w:r w:rsidRPr="001F6FF8">
              <w:rPr>
                <w:sz w:val="16"/>
                <w:szCs w:val="16"/>
              </w:rPr>
              <w:t>0.15</w:t>
            </w:r>
          </w:p>
        </w:tc>
        <w:tc>
          <w:tcPr>
            <w:tcW w:w="969" w:type="dxa"/>
            <w:tcBorders>
              <w:top w:val="nil"/>
              <w:left w:val="nil"/>
              <w:bottom w:val="nil"/>
              <w:right w:val="nil"/>
            </w:tcBorders>
            <w:shd w:val="clear" w:color="auto" w:fill="auto"/>
            <w:noWrap/>
            <w:vAlign w:val="center"/>
            <w:hideMark/>
          </w:tcPr>
          <w:p w:rsidR="0016531D" w:rsidRPr="001F6FF8" w:rsidP="00733BD8" w14:paraId="3BEEEFFD" w14:textId="77777777">
            <w:pPr>
              <w:keepNext/>
              <w:keepLines/>
              <w:jc w:val="center"/>
              <w:rPr>
                <w:sz w:val="16"/>
                <w:szCs w:val="16"/>
              </w:rPr>
            </w:pPr>
            <w:r w:rsidRPr="001F6FF8">
              <w:rPr>
                <w:sz w:val="16"/>
                <w:szCs w:val="16"/>
              </w:rPr>
              <w:t>0.26</w:t>
            </w:r>
          </w:p>
        </w:tc>
        <w:tc>
          <w:tcPr>
            <w:tcW w:w="970" w:type="dxa"/>
            <w:tcBorders>
              <w:top w:val="nil"/>
              <w:left w:val="nil"/>
              <w:bottom w:val="nil"/>
              <w:right w:val="nil"/>
            </w:tcBorders>
            <w:shd w:val="clear" w:color="auto" w:fill="auto"/>
            <w:noWrap/>
            <w:vAlign w:val="center"/>
            <w:hideMark/>
          </w:tcPr>
          <w:p w:rsidR="0016531D" w:rsidRPr="001F6FF8" w:rsidP="00733BD8" w14:paraId="5879915A" w14:textId="77777777">
            <w:pPr>
              <w:keepNext/>
              <w:keepLines/>
              <w:jc w:val="center"/>
              <w:rPr>
                <w:sz w:val="16"/>
                <w:szCs w:val="16"/>
              </w:rPr>
            </w:pPr>
            <w:r w:rsidRPr="001F6FF8">
              <w:rPr>
                <w:sz w:val="16"/>
                <w:szCs w:val="16"/>
              </w:rPr>
              <w:t>0.06</w:t>
            </w:r>
          </w:p>
        </w:tc>
        <w:tc>
          <w:tcPr>
            <w:tcW w:w="970" w:type="dxa"/>
            <w:tcBorders>
              <w:top w:val="nil"/>
              <w:left w:val="nil"/>
              <w:bottom w:val="nil"/>
              <w:right w:val="nil"/>
            </w:tcBorders>
            <w:shd w:val="clear" w:color="auto" w:fill="auto"/>
            <w:noWrap/>
            <w:vAlign w:val="center"/>
            <w:hideMark/>
          </w:tcPr>
          <w:p w:rsidR="0016531D" w:rsidRPr="001F6FF8" w:rsidP="00733BD8" w14:paraId="4ACA1EBC" w14:textId="77777777">
            <w:pPr>
              <w:keepNext/>
              <w:keepLines/>
              <w:jc w:val="center"/>
              <w:rPr>
                <w:sz w:val="16"/>
                <w:szCs w:val="16"/>
              </w:rPr>
            </w:pPr>
            <w:r w:rsidRPr="001F6FF8">
              <w:rPr>
                <w:sz w:val="16"/>
                <w:szCs w:val="16"/>
              </w:rPr>
              <w:t>0.15</w:t>
            </w:r>
          </w:p>
        </w:tc>
      </w:tr>
      <w:tr w14:paraId="4C29574B"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611C9EC0" w14:textId="77777777">
            <w:pPr>
              <w:keepNext/>
              <w:keepLines/>
              <w:rPr>
                <w:sz w:val="16"/>
                <w:szCs w:val="16"/>
              </w:rPr>
            </w:pPr>
          </w:p>
        </w:tc>
        <w:tc>
          <w:tcPr>
            <w:tcW w:w="969" w:type="dxa"/>
            <w:tcBorders>
              <w:top w:val="nil"/>
              <w:left w:val="nil"/>
              <w:bottom w:val="nil"/>
              <w:right w:val="nil"/>
            </w:tcBorders>
            <w:shd w:val="clear" w:color="auto" w:fill="auto"/>
            <w:noWrap/>
            <w:vAlign w:val="center"/>
            <w:hideMark/>
          </w:tcPr>
          <w:p w:rsidR="0016531D" w:rsidRPr="001F6FF8" w:rsidP="00733BD8" w14:paraId="22030EE2" w14:textId="77777777">
            <w:pPr>
              <w:keepNext/>
              <w:keepLines/>
              <w:jc w:val="center"/>
              <w:rPr>
                <w:sz w:val="16"/>
                <w:szCs w:val="16"/>
              </w:rPr>
            </w:pPr>
            <w:r w:rsidRPr="001F6FF8">
              <w:rPr>
                <w:sz w:val="16"/>
                <w:szCs w:val="16"/>
              </w:rPr>
              <w:t>(0.16)</w:t>
            </w:r>
          </w:p>
        </w:tc>
        <w:tc>
          <w:tcPr>
            <w:tcW w:w="970" w:type="dxa"/>
            <w:tcBorders>
              <w:top w:val="nil"/>
              <w:left w:val="nil"/>
              <w:bottom w:val="nil"/>
              <w:right w:val="nil"/>
            </w:tcBorders>
            <w:shd w:val="clear" w:color="auto" w:fill="auto"/>
            <w:noWrap/>
            <w:vAlign w:val="center"/>
            <w:hideMark/>
          </w:tcPr>
          <w:p w:rsidR="0016531D" w:rsidRPr="001F6FF8" w:rsidP="00733BD8" w14:paraId="6A5EB37D" w14:textId="77777777">
            <w:pPr>
              <w:keepNext/>
              <w:keepLines/>
              <w:jc w:val="center"/>
              <w:rPr>
                <w:sz w:val="16"/>
                <w:szCs w:val="16"/>
              </w:rPr>
            </w:pPr>
            <w:r w:rsidRPr="001F6FF8">
              <w:rPr>
                <w:sz w:val="16"/>
                <w:szCs w:val="16"/>
              </w:rPr>
              <w:t>(0.17)</w:t>
            </w:r>
          </w:p>
        </w:tc>
        <w:tc>
          <w:tcPr>
            <w:tcW w:w="970" w:type="dxa"/>
            <w:tcBorders>
              <w:top w:val="nil"/>
              <w:left w:val="nil"/>
              <w:bottom w:val="nil"/>
              <w:right w:val="nil"/>
            </w:tcBorders>
            <w:shd w:val="clear" w:color="auto" w:fill="auto"/>
            <w:noWrap/>
            <w:vAlign w:val="center"/>
            <w:hideMark/>
          </w:tcPr>
          <w:p w:rsidR="0016531D" w:rsidRPr="001F6FF8" w:rsidP="00733BD8" w14:paraId="4E18B5E0" w14:textId="77777777">
            <w:pPr>
              <w:keepNext/>
              <w:keepLines/>
              <w:jc w:val="center"/>
              <w:rPr>
                <w:sz w:val="16"/>
                <w:szCs w:val="16"/>
              </w:rPr>
            </w:pPr>
            <w:r w:rsidRPr="001F6FF8">
              <w:rPr>
                <w:sz w:val="16"/>
                <w:szCs w:val="16"/>
              </w:rPr>
              <w:t>(0.25)</w:t>
            </w:r>
          </w:p>
        </w:tc>
        <w:tc>
          <w:tcPr>
            <w:tcW w:w="969" w:type="dxa"/>
            <w:tcBorders>
              <w:top w:val="nil"/>
              <w:left w:val="nil"/>
              <w:bottom w:val="nil"/>
              <w:right w:val="nil"/>
            </w:tcBorders>
            <w:shd w:val="clear" w:color="auto" w:fill="auto"/>
            <w:noWrap/>
            <w:vAlign w:val="center"/>
            <w:hideMark/>
          </w:tcPr>
          <w:p w:rsidR="0016531D" w:rsidRPr="001F6FF8" w:rsidP="00733BD8" w14:paraId="250628B2" w14:textId="77777777">
            <w:pPr>
              <w:keepNext/>
              <w:keepLines/>
              <w:jc w:val="center"/>
              <w:rPr>
                <w:sz w:val="16"/>
                <w:szCs w:val="16"/>
              </w:rPr>
            </w:pPr>
            <w:r w:rsidRPr="001F6FF8">
              <w:rPr>
                <w:sz w:val="16"/>
                <w:szCs w:val="16"/>
              </w:rPr>
              <w:t>(0.16)</w:t>
            </w:r>
          </w:p>
        </w:tc>
        <w:tc>
          <w:tcPr>
            <w:tcW w:w="970" w:type="dxa"/>
            <w:tcBorders>
              <w:top w:val="nil"/>
              <w:left w:val="nil"/>
              <w:bottom w:val="nil"/>
              <w:right w:val="nil"/>
            </w:tcBorders>
            <w:shd w:val="clear" w:color="auto" w:fill="auto"/>
            <w:noWrap/>
            <w:vAlign w:val="center"/>
            <w:hideMark/>
          </w:tcPr>
          <w:p w:rsidR="0016531D" w:rsidRPr="001F6FF8" w:rsidP="00733BD8" w14:paraId="7853F1BA" w14:textId="77777777">
            <w:pPr>
              <w:keepNext/>
              <w:keepLines/>
              <w:jc w:val="center"/>
              <w:rPr>
                <w:sz w:val="16"/>
                <w:szCs w:val="16"/>
              </w:rPr>
            </w:pPr>
            <w:r w:rsidRPr="001F6FF8">
              <w:rPr>
                <w:sz w:val="16"/>
                <w:szCs w:val="16"/>
              </w:rPr>
              <w:t>(0.17)</w:t>
            </w:r>
          </w:p>
        </w:tc>
        <w:tc>
          <w:tcPr>
            <w:tcW w:w="970" w:type="dxa"/>
            <w:tcBorders>
              <w:top w:val="nil"/>
              <w:left w:val="nil"/>
              <w:bottom w:val="nil"/>
              <w:right w:val="nil"/>
            </w:tcBorders>
            <w:shd w:val="clear" w:color="auto" w:fill="auto"/>
            <w:noWrap/>
            <w:vAlign w:val="center"/>
            <w:hideMark/>
          </w:tcPr>
          <w:p w:rsidR="0016531D" w:rsidRPr="001F6FF8" w:rsidP="00733BD8" w14:paraId="476D6E32" w14:textId="77777777">
            <w:pPr>
              <w:keepNext/>
              <w:keepLines/>
              <w:jc w:val="center"/>
              <w:rPr>
                <w:sz w:val="16"/>
                <w:szCs w:val="16"/>
              </w:rPr>
            </w:pPr>
            <w:r w:rsidRPr="001F6FF8">
              <w:rPr>
                <w:sz w:val="16"/>
                <w:szCs w:val="16"/>
              </w:rPr>
              <w:t>(0.25)</w:t>
            </w:r>
          </w:p>
        </w:tc>
      </w:tr>
      <w:tr w14:paraId="14BACDC5"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6906BDFF" w14:textId="77777777">
            <w:pPr>
              <w:keepNext/>
              <w:keepLines/>
              <w:rPr>
                <w:i/>
                <w:iCs/>
                <w:sz w:val="16"/>
                <w:szCs w:val="16"/>
              </w:rPr>
            </w:pPr>
            <w:r w:rsidRPr="001F6FF8">
              <w:rPr>
                <w:i/>
                <w:iCs/>
                <w:sz w:val="16"/>
                <w:szCs w:val="16"/>
              </w:rPr>
              <w:t>Fraction Tract Forest</w:t>
            </w:r>
            <w:r w:rsidRPr="001F6FF8">
              <w:rPr>
                <w:i/>
                <w:iCs/>
                <w:sz w:val="16"/>
                <w:szCs w:val="16"/>
              </w:rPr>
              <w:t xml:space="preserve"> Land</w:t>
            </w:r>
          </w:p>
        </w:tc>
        <w:tc>
          <w:tcPr>
            <w:tcW w:w="969" w:type="dxa"/>
            <w:tcBorders>
              <w:top w:val="nil"/>
              <w:left w:val="nil"/>
              <w:bottom w:val="nil"/>
              <w:right w:val="nil"/>
            </w:tcBorders>
            <w:shd w:val="clear" w:color="auto" w:fill="auto"/>
            <w:noWrap/>
            <w:vAlign w:val="center"/>
            <w:hideMark/>
          </w:tcPr>
          <w:p w:rsidR="0016531D" w:rsidRPr="001F6FF8" w:rsidP="00733BD8" w14:paraId="42B3D31A" w14:textId="77777777">
            <w:pPr>
              <w:keepNext/>
              <w:keepLines/>
              <w:jc w:val="center"/>
              <w:rPr>
                <w:sz w:val="16"/>
                <w:szCs w:val="16"/>
              </w:rPr>
            </w:pPr>
            <w:r w:rsidRPr="001F6FF8">
              <w:rPr>
                <w:sz w:val="16"/>
                <w:szCs w:val="16"/>
              </w:rPr>
              <w:t>0.36</w:t>
            </w:r>
          </w:p>
        </w:tc>
        <w:tc>
          <w:tcPr>
            <w:tcW w:w="970" w:type="dxa"/>
            <w:tcBorders>
              <w:top w:val="nil"/>
              <w:left w:val="nil"/>
              <w:bottom w:val="nil"/>
              <w:right w:val="nil"/>
            </w:tcBorders>
            <w:shd w:val="clear" w:color="auto" w:fill="auto"/>
            <w:noWrap/>
            <w:vAlign w:val="center"/>
            <w:hideMark/>
          </w:tcPr>
          <w:p w:rsidR="0016531D" w:rsidRPr="001F6FF8" w:rsidP="00733BD8" w14:paraId="07B662C4" w14:textId="77777777">
            <w:pPr>
              <w:keepNext/>
              <w:keepLines/>
              <w:jc w:val="center"/>
              <w:rPr>
                <w:sz w:val="16"/>
                <w:szCs w:val="16"/>
              </w:rPr>
            </w:pPr>
            <w:r w:rsidRPr="001F6FF8">
              <w:rPr>
                <w:sz w:val="16"/>
                <w:szCs w:val="16"/>
              </w:rPr>
              <w:t>0.75***</w:t>
            </w:r>
          </w:p>
        </w:tc>
        <w:tc>
          <w:tcPr>
            <w:tcW w:w="970" w:type="dxa"/>
            <w:tcBorders>
              <w:top w:val="nil"/>
              <w:left w:val="nil"/>
              <w:bottom w:val="nil"/>
              <w:right w:val="nil"/>
            </w:tcBorders>
            <w:shd w:val="clear" w:color="auto" w:fill="auto"/>
            <w:noWrap/>
            <w:vAlign w:val="center"/>
            <w:hideMark/>
          </w:tcPr>
          <w:p w:rsidR="0016531D" w:rsidRPr="001F6FF8" w:rsidP="00733BD8" w14:paraId="7AF7B644" w14:textId="77777777">
            <w:pPr>
              <w:keepNext/>
              <w:keepLines/>
              <w:jc w:val="center"/>
              <w:rPr>
                <w:sz w:val="16"/>
                <w:szCs w:val="16"/>
              </w:rPr>
            </w:pPr>
            <w:r w:rsidRPr="001F6FF8">
              <w:rPr>
                <w:sz w:val="16"/>
                <w:szCs w:val="16"/>
              </w:rPr>
              <w:t>0.81**</w:t>
            </w:r>
          </w:p>
        </w:tc>
        <w:tc>
          <w:tcPr>
            <w:tcW w:w="969" w:type="dxa"/>
            <w:tcBorders>
              <w:top w:val="nil"/>
              <w:left w:val="nil"/>
              <w:bottom w:val="nil"/>
              <w:right w:val="nil"/>
            </w:tcBorders>
            <w:shd w:val="clear" w:color="auto" w:fill="auto"/>
            <w:noWrap/>
            <w:vAlign w:val="center"/>
            <w:hideMark/>
          </w:tcPr>
          <w:p w:rsidR="0016531D" w:rsidRPr="001F6FF8" w:rsidP="00733BD8" w14:paraId="0C185055" w14:textId="77777777">
            <w:pPr>
              <w:keepNext/>
              <w:keepLines/>
              <w:jc w:val="center"/>
              <w:rPr>
                <w:sz w:val="16"/>
                <w:szCs w:val="16"/>
              </w:rPr>
            </w:pPr>
            <w:r w:rsidRPr="001F6FF8">
              <w:rPr>
                <w:sz w:val="16"/>
                <w:szCs w:val="16"/>
              </w:rPr>
              <w:t>0.34</w:t>
            </w:r>
          </w:p>
        </w:tc>
        <w:tc>
          <w:tcPr>
            <w:tcW w:w="970" w:type="dxa"/>
            <w:tcBorders>
              <w:top w:val="nil"/>
              <w:left w:val="nil"/>
              <w:bottom w:val="nil"/>
              <w:right w:val="nil"/>
            </w:tcBorders>
            <w:shd w:val="clear" w:color="auto" w:fill="auto"/>
            <w:noWrap/>
            <w:vAlign w:val="center"/>
            <w:hideMark/>
          </w:tcPr>
          <w:p w:rsidR="0016531D" w:rsidRPr="001F6FF8" w:rsidP="00733BD8" w14:paraId="1BCE89A6" w14:textId="77777777">
            <w:pPr>
              <w:keepNext/>
              <w:keepLines/>
              <w:jc w:val="center"/>
              <w:rPr>
                <w:sz w:val="16"/>
                <w:szCs w:val="16"/>
              </w:rPr>
            </w:pPr>
            <w:r w:rsidRPr="001F6FF8">
              <w:rPr>
                <w:sz w:val="16"/>
                <w:szCs w:val="16"/>
              </w:rPr>
              <w:t>0.73***</w:t>
            </w:r>
          </w:p>
        </w:tc>
        <w:tc>
          <w:tcPr>
            <w:tcW w:w="970" w:type="dxa"/>
            <w:tcBorders>
              <w:top w:val="nil"/>
              <w:left w:val="nil"/>
              <w:bottom w:val="nil"/>
              <w:right w:val="nil"/>
            </w:tcBorders>
            <w:shd w:val="clear" w:color="auto" w:fill="auto"/>
            <w:noWrap/>
            <w:vAlign w:val="center"/>
            <w:hideMark/>
          </w:tcPr>
          <w:p w:rsidR="0016531D" w:rsidRPr="001F6FF8" w:rsidP="00733BD8" w14:paraId="5D8364B1" w14:textId="77777777">
            <w:pPr>
              <w:keepNext/>
              <w:keepLines/>
              <w:jc w:val="center"/>
              <w:rPr>
                <w:sz w:val="16"/>
                <w:szCs w:val="16"/>
              </w:rPr>
            </w:pPr>
            <w:r w:rsidRPr="001F6FF8">
              <w:rPr>
                <w:sz w:val="16"/>
                <w:szCs w:val="16"/>
              </w:rPr>
              <w:t>0.82**</w:t>
            </w:r>
          </w:p>
        </w:tc>
      </w:tr>
      <w:tr w14:paraId="08164DCC"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5D74AE85" w14:textId="77777777">
            <w:pPr>
              <w:keepNext/>
              <w:keepLines/>
              <w:rPr>
                <w:sz w:val="16"/>
                <w:szCs w:val="16"/>
              </w:rPr>
            </w:pPr>
          </w:p>
        </w:tc>
        <w:tc>
          <w:tcPr>
            <w:tcW w:w="969" w:type="dxa"/>
            <w:tcBorders>
              <w:top w:val="nil"/>
              <w:left w:val="nil"/>
              <w:bottom w:val="nil"/>
              <w:right w:val="nil"/>
            </w:tcBorders>
            <w:shd w:val="clear" w:color="auto" w:fill="auto"/>
            <w:noWrap/>
            <w:vAlign w:val="center"/>
            <w:hideMark/>
          </w:tcPr>
          <w:p w:rsidR="0016531D" w:rsidRPr="001F6FF8" w:rsidP="00733BD8" w14:paraId="605807BF" w14:textId="77777777">
            <w:pPr>
              <w:keepNext/>
              <w:keepLines/>
              <w:jc w:val="center"/>
              <w:rPr>
                <w:sz w:val="16"/>
                <w:szCs w:val="16"/>
              </w:rPr>
            </w:pPr>
            <w:r w:rsidRPr="001F6FF8">
              <w:rPr>
                <w:sz w:val="16"/>
                <w:szCs w:val="16"/>
              </w:rPr>
              <w:t>(0.40)</w:t>
            </w:r>
          </w:p>
        </w:tc>
        <w:tc>
          <w:tcPr>
            <w:tcW w:w="970" w:type="dxa"/>
            <w:tcBorders>
              <w:top w:val="nil"/>
              <w:left w:val="nil"/>
              <w:bottom w:val="nil"/>
              <w:right w:val="nil"/>
            </w:tcBorders>
            <w:shd w:val="clear" w:color="auto" w:fill="auto"/>
            <w:noWrap/>
            <w:vAlign w:val="center"/>
            <w:hideMark/>
          </w:tcPr>
          <w:p w:rsidR="0016531D" w:rsidRPr="001F6FF8" w:rsidP="00733BD8" w14:paraId="2C2E05A7" w14:textId="77777777">
            <w:pPr>
              <w:keepNext/>
              <w:keepLines/>
              <w:jc w:val="center"/>
              <w:rPr>
                <w:sz w:val="16"/>
                <w:szCs w:val="16"/>
              </w:rPr>
            </w:pPr>
            <w:r w:rsidRPr="001F6FF8">
              <w:rPr>
                <w:sz w:val="16"/>
                <w:szCs w:val="16"/>
              </w:rPr>
              <w:t>(0.21)</w:t>
            </w:r>
          </w:p>
        </w:tc>
        <w:tc>
          <w:tcPr>
            <w:tcW w:w="970" w:type="dxa"/>
            <w:tcBorders>
              <w:top w:val="nil"/>
              <w:left w:val="nil"/>
              <w:bottom w:val="nil"/>
              <w:right w:val="nil"/>
            </w:tcBorders>
            <w:shd w:val="clear" w:color="auto" w:fill="auto"/>
            <w:noWrap/>
            <w:vAlign w:val="center"/>
            <w:hideMark/>
          </w:tcPr>
          <w:p w:rsidR="0016531D" w:rsidRPr="001F6FF8" w:rsidP="00733BD8" w14:paraId="7C9B9448" w14:textId="77777777">
            <w:pPr>
              <w:keepNext/>
              <w:keepLines/>
              <w:jc w:val="center"/>
              <w:rPr>
                <w:sz w:val="16"/>
                <w:szCs w:val="16"/>
              </w:rPr>
            </w:pPr>
            <w:r w:rsidRPr="001F6FF8">
              <w:rPr>
                <w:sz w:val="16"/>
                <w:szCs w:val="16"/>
              </w:rPr>
              <w:t>(0.30)</w:t>
            </w:r>
          </w:p>
        </w:tc>
        <w:tc>
          <w:tcPr>
            <w:tcW w:w="969" w:type="dxa"/>
            <w:tcBorders>
              <w:top w:val="nil"/>
              <w:left w:val="nil"/>
              <w:bottom w:val="nil"/>
              <w:right w:val="nil"/>
            </w:tcBorders>
            <w:shd w:val="clear" w:color="auto" w:fill="auto"/>
            <w:noWrap/>
            <w:vAlign w:val="center"/>
            <w:hideMark/>
          </w:tcPr>
          <w:p w:rsidR="0016531D" w:rsidRPr="001F6FF8" w:rsidP="00733BD8" w14:paraId="77948C55" w14:textId="77777777">
            <w:pPr>
              <w:keepNext/>
              <w:keepLines/>
              <w:jc w:val="center"/>
              <w:rPr>
                <w:sz w:val="16"/>
                <w:szCs w:val="16"/>
              </w:rPr>
            </w:pPr>
            <w:r w:rsidRPr="001F6FF8">
              <w:rPr>
                <w:sz w:val="16"/>
                <w:szCs w:val="16"/>
              </w:rPr>
              <w:t>(0.39)</w:t>
            </w:r>
          </w:p>
        </w:tc>
        <w:tc>
          <w:tcPr>
            <w:tcW w:w="970" w:type="dxa"/>
            <w:tcBorders>
              <w:top w:val="nil"/>
              <w:left w:val="nil"/>
              <w:bottom w:val="nil"/>
              <w:right w:val="nil"/>
            </w:tcBorders>
            <w:shd w:val="clear" w:color="auto" w:fill="auto"/>
            <w:noWrap/>
            <w:vAlign w:val="center"/>
            <w:hideMark/>
          </w:tcPr>
          <w:p w:rsidR="0016531D" w:rsidRPr="001F6FF8" w:rsidP="00733BD8" w14:paraId="18D89497" w14:textId="77777777">
            <w:pPr>
              <w:keepNext/>
              <w:keepLines/>
              <w:jc w:val="center"/>
              <w:rPr>
                <w:sz w:val="16"/>
                <w:szCs w:val="16"/>
              </w:rPr>
            </w:pPr>
            <w:r w:rsidRPr="001F6FF8">
              <w:rPr>
                <w:sz w:val="16"/>
                <w:szCs w:val="16"/>
              </w:rPr>
              <w:t>(0.22)</w:t>
            </w:r>
          </w:p>
        </w:tc>
        <w:tc>
          <w:tcPr>
            <w:tcW w:w="970" w:type="dxa"/>
            <w:tcBorders>
              <w:top w:val="nil"/>
              <w:left w:val="nil"/>
              <w:bottom w:val="nil"/>
              <w:right w:val="nil"/>
            </w:tcBorders>
            <w:shd w:val="clear" w:color="auto" w:fill="auto"/>
            <w:noWrap/>
            <w:vAlign w:val="center"/>
            <w:hideMark/>
          </w:tcPr>
          <w:p w:rsidR="0016531D" w:rsidRPr="001F6FF8" w:rsidP="00733BD8" w14:paraId="47C91423" w14:textId="77777777">
            <w:pPr>
              <w:keepNext/>
              <w:keepLines/>
              <w:jc w:val="center"/>
              <w:rPr>
                <w:sz w:val="16"/>
                <w:szCs w:val="16"/>
              </w:rPr>
            </w:pPr>
            <w:r w:rsidRPr="001F6FF8">
              <w:rPr>
                <w:sz w:val="16"/>
                <w:szCs w:val="16"/>
              </w:rPr>
              <w:t>(0.31)</w:t>
            </w:r>
          </w:p>
        </w:tc>
      </w:tr>
      <w:tr w14:paraId="0213F390"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5AB33EBC" w14:textId="77777777">
            <w:pPr>
              <w:keepNext/>
              <w:keepLines/>
              <w:rPr>
                <w:i/>
                <w:iCs/>
                <w:sz w:val="16"/>
                <w:szCs w:val="16"/>
              </w:rPr>
            </w:pPr>
            <w:r w:rsidRPr="001F6FF8">
              <w:rPr>
                <w:i/>
                <w:iCs/>
                <w:sz w:val="16"/>
                <w:szCs w:val="16"/>
              </w:rPr>
              <w:t xml:space="preserve">Log </w:t>
            </w:r>
            <w:r>
              <w:rPr>
                <w:i/>
                <w:iCs/>
                <w:sz w:val="16"/>
                <w:szCs w:val="16"/>
              </w:rPr>
              <w:t>Carrier</w:t>
            </w:r>
            <w:r w:rsidRPr="001F6FF8">
              <w:rPr>
                <w:i/>
                <w:iCs/>
                <w:sz w:val="16"/>
                <w:szCs w:val="16"/>
              </w:rPr>
              <w:t>s Count (Tract Wt. Avg)</w:t>
            </w:r>
          </w:p>
        </w:tc>
        <w:tc>
          <w:tcPr>
            <w:tcW w:w="969" w:type="dxa"/>
            <w:tcBorders>
              <w:top w:val="nil"/>
              <w:left w:val="nil"/>
              <w:bottom w:val="nil"/>
              <w:right w:val="nil"/>
            </w:tcBorders>
            <w:shd w:val="clear" w:color="auto" w:fill="auto"/>
            <w:noWrap/>
            <w:vAlign w:val="center"/>
            <w:hideMark/>
          </w:tcPr>
          <w:p w:rsidR="0016531D" w:rsidRPr="001F6FF8" w:rsidP="00733BD8" w14:paraId="297A91E8" w14:textId="77777777">
            <w:pPr>
              <w:keepNext/>
              <w:keepLines/>
              <w:jc w:val="center"/>
              <w:rPr>
                <w:sz w:val="16"/>
                <w:szCs w:val="16"/>
              </w:rPr>
            </w:pPr>
            <w:r w:rsidRPr="001F6FF8">
              <w:rPr>
                <w:sz w:val="16"/>
                <w:szCs w:val="16"/>
              </w:rPr>
              <w:t>0.24</w:t>
            </w:r>
          </w:p>
        </w:tc>
        <w:tc>
          <w:tcPr>
            <w:tcW w:w="970" w:type="dxa"/>
            <w:tcBorders>
              <w:top w:val="nil"/>
              <w:left w:val="nil"/>
              <w:bottom w:val="nil"/>
              <w:right w:val="nil"/>
            </w:tcBorders>
            <w:shd w:val="clear" w:color="auto" w:fill="auto"/>
            <w:noWrap/>
            <w:vAlign w:val="center"/>
            <w:hideMark/>
          </w:tcPr>
          <w:p w:rsidR="0016531D" w:rsidRPr="001F6FF8" w:rsidP="00733BD8" w14:paraId="5E3C426D" w14:textId="77777777">
            <w:pPr>
              <w:keepNext/>
              <w:keepLines/>
              <w:jc w:val="center"/>
              <w:rPr>
                <w:sz w:val="16"/>
                <w:szCs w:val="16"/>
              </w:rPr>
            </w:pPr>
            <w:r w:rsidRPr="001F6FF8">
              <w:rPr>
                <w:sz w:val="16"/>
                <w:szCs w:val="16"/>
              </w:rPr>
              <w:t>0.30*</w:t>
            </w:r>
          </w:p>
        </w:tc>
        <w:tc>
          <w:tcPr>
            <w:tcW w:w="970" w:type="dxa"/>
            <w:tcBorders>
              <w:top w:val="nil"/>
              <w:left w:val="nil"/>
              <w:bottom w:val="nil"/>
              <w:right w:val="nil"/>
            </w:tcBorders>
            <w:shd w:val="clear" w:color="auto" w:fill="auto"/>
            <w:noWrap/>
            <w:vAlign w:val="center"/>
            <w:hideMark/>
          </w:tcPr>
          <w:p w:rsidR="0016531D" w:rsidRPr="001F6FF8" w:rsidP="00733BD8" w14:paraId="48CD44EF" w14:textId="77777777">
            <w:pPr>
              <w:keepNext/>
              <w:keepLines/>
              <w:jc w:val="center"/>
              <w:rPr>
                <w:sz w:val="16"/>
                <w:szCs w:val="16"/>
              </w:rPr>
            </w:pPr>
            <w:r w:rsidRPr="001F6FF8">
              <w:rPr>
                <w:sz w:val="16"/>
                <w:szCs w:val="16"/>
              </w:rPr>
              <w:t>0.38**</w:t>
            </w:r>
          </w:p>
        </w:tc>
        <w:tc>
          <w:tcPr>
            <w:tcW w:w="969" w:type="dxa"/>
            <w:tcBorders>
              <w:top w:val="nil"/>
              <w:left w:val="nil"/>
              <w:bottom w:val="nil"/>
              <w:right w:val="nil"/>
            </w:tcBorders>
            <w:shd w:val="clear" w:color="auto" w:fill="auto"/>
            <w:noWrap/>
            <w:vAlign w:val="center"/>
            <w:hideMark/>
          </w:tcPr>
          <w:p w:rsidR="0016531D" w:rsidRPr="001F6FF8" w:rsidP="00733BD8" w14:paraId="05DA6FE7" w14:textId="77777777">
            <w:pPr>
              <w:keepNext/>
              <w:keepLines/>
              <w:jc w:val="center"/>
              <w:rPr>
                <w:sz w:val="16"/>
                <w:szCs w:val="16"/>
              </w:rPr>
            </w:pPr>
            <w:r w:rsidRPr="001F6FF8">
              <w:rPr>
                <w:sz w:val="16"/>
                <w:szCs w:val="16"/>
              </w:rPr>
              <w:t>0.20</w:t>
            </w:r>
          </w:p>
        </w:tc>
        <w:tc>
          <w:tcPr>
            <w:tcW w:w="970" w:type="dxa"/>
            <w:tcBorders>
              <w:top w:val="nil"/>
              <w:left w:val="nil"/>
              <w:bottom w:val="nil"/>
              <w:right w:val="nil"/>
            </w:tcBorders>
            <w:shd w:val="clear" w:color="auto" w:fill="auto"/>
            <w:noWrap/>
            <w:vAlign w:val="center"/>
            <w:hideMark/>
          </w:tcPr>
          <w:p w:rsidR="0016531D" w:rsidRPr="001F6FF8" w:rsidP="00733BD8" w14:paraId="280393B0" w14:textId="77777777">
            <w:pPr>
              <w:keepNext/>
              <w:keepLines/>
              <w:jc w:val="center"/>
              <w:rPr>
                <w:sz w:val="16"/>
                <w:szCs w:val="16"/>
              </w:rPr>
            </w:pPr>
            <w:r w:rsidRPr="001F6FF8">
              <w:rPr>
                <w:sz w:val="16"/>
                <w:szCs w:val="16"/>
              </w:rPr>
              <w:t>0.25</w:t>
            </w:r>
          </w:p>
        </w:tc>
        <w:tc>
          <w:tcPr>
            <w:tcW w:w="970" w:type="dxa"/>
            <w:tcBorders>
              <w:top w:val="nil"/>
              <w:left w:val="nil"/>
              <w:bottom w:val="nil"/>
              <w:right w:val="nil"/>
            </w:tcBorders>
            <w:shd w:val="clear" w:color="auto" w:fill="auto"/>
            <w:noWrap/>
            <w:vAlign w:val="center"/>
            <w:hideMark/>
          </w:tcPr>
          <w:p w:rsidR="0016531D" w:rsidRPr="001F6FF8" w:rsidP="00733BD8" w14:paraId="2C458534" w14:textId="77777777">
            <w:pPr>
              <w:keepNext/>
              <w:keepLines/>
              <w:jc w:val="center"/>
              <w:rPr>
                <w:sz w:val="16"/>
                <w:szCs w:val="16"/>
              </w:rPr>
            </w:pPr>
            <w:r w:rsidRPr="001F6FF8">
              <w:rPr>
                <w:sz w:val="16"/>
                <w:szCs w:val="16"/>
              </w:rPr>
              <w:t>0.33*</w:t>
            </w:r>
          </w:p>
        </w:tc>
      </w:tr>
      <w:tr w14:paraId="37102B0B"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52737C5B" w14:textId="77777777">
            <w:pPr>
              <w:keepNext/>
              <w:keepLines/>
              <w:rPr>
                <w:sz w:val="16"/>
                <w:szCs w:val="16"/>
              </w:rPr>
            </w:pPr>
          </w:p>
        </w:tc>
        <w:tc>
          <w:tcPr>
            <w:tcW w:w="969" w:type="dxa"/>
            <w:tcBorders>
              <w:top w:val="nil"/>
              <w:left w:val="nil"/>
              <w:bottom w:val="nil"/>
              <w:right w:val="nil"/>
            </w:tcBorders>
            <w:shd w:val="clear" w:color="auto" w:fill="auto"/>
            <w:noWrap/>
            <w:vAlign w:val="center"/>
            <w:hideMark/>
          </w:tcPr>
          <w:p w:rsidR="0016531D" w:rsidRPr="001F6FF8" w:rsidP="00733BD8" w14:paraId="33768CDF" w14:textId="77777777">
            <w:pPr>
              <w:keepNext/>
              <w:keepLines/>
              <w:jc w:val="center"/>
              <w:rPr>
                <w:sz w:val="16"/>
                <w:szCs w:val="16"/>
              </w:rPr>
            </w:pPr>
            <w:r w:rsidRPr="001F6FF8">
              <w:rPr>
                <w:sz w:val="16"/>
                <w:szCs w:val="16"/>
              </w:rPr>
              <w:t>(0.14)</w:t>
            </w:r>
          </w:p>
        </w:tc>
        <w:tc>
          <w:tcPr>
            <w:tcW w:w="970" w:type="dxa"/>
            <w:tcBorders>
              <w:top w:val="nil"/>
              <w:left w:val="nil"/>
              <w:bottom w:val="nil"/>
              <w:right w:val="nil"/>
            </w:tcBorders>
            <w:shd w:val="clear" w:color="auto" w:fill="auto"/>
            <w:noWrap/>
            <w:vAlign w:val="center"/>
            <w:hideMark/>
          </w:tcPr>
          <w:p w:rsidR="0016531D" w:rsidRPr="001F6FF8" w:rsidP="00733BD8" w14:paraId="66072160" w14:textId="77777777">
            <w:pPr>
              <w:keepNext/>
              <w:keepLines/>
              <w:jc w:val="center"/>
              <w:rPr>
                <w:sz w:val="16"/>
                <w:szCs w:val="16"/>
              </w:rPr>
            </w:pPr>
            <w:r w:rsidRPr="001F6FF8">
              <w:rPr>
                <w:sz w:val="16"/>
                <w:szCs w:val="16"/>
              </w:rPr>
              <w:t>(0.16)</w:t>
            </w:r>
          </w:p>
        </w:tc>
        <w:tc>
          <w:tcPr>
            <w:tcW w:w="970" w:type="dxa"/>
            <w:tcBorders>
              <w:top w:val="nil"/>
              <w:left w:val="nil"/>
              <w:bottom w:val="nil"/>
              <w:right w:val="nil"/>
            </w:tcBorders>
            <w:shd w:val="clear" w:color="auto" w:fill="auto"/>
            <w:noWrap/>
            <w:vAlign w:val="center"/>
            <w:hideMark/>
          </w:tcPr>
          <w:p w:rsidR="0016531D" w:rsidRPr="001F6FF8" w:rsidP="00733BD8" w14:paraId="3A983BF6" w14:textId="77777777">
            <w:pPr>
              <w:keepNext/>
              <w:keepLines/>
              <w:jc w:val="center"/>
              <w:rPr>
                <w:sz w:val="16"/>
                <w:szCs w:val="16"/>
              </w:rPr>
            </w:pPr>
            <w:r w:rsidRPr="001F6FF8">
              <w:rPr>
                <w:sz w:val="16"/>
                <w:szCs w:val="16"/>
              </w:rPr>
              <w:t>(0.15)</w:t>
            </w:r>
          </w:p>
        </w:tc>
        <w:tc>
          <w:tcPr>
            <w:tcW w:w="969" w:type="dxa"/>
            <w:tcBorders>
              <w:top w:val="nil"/>
              <w:left w:val="nil"/>
              <w:bottom w:val="nil"/>
              <w:right w:val="nil"/>
            </w:tcBorders>
            <w:shd w:val="clear" w:color="auto" w:fill="auto"/>
            <w:noWrap/>
            <w:vAlign w:val="center"/>
            <w:hideMark/>
          </w:tcPr>
          <w:p w:rsidR="0016531D" w:rsidRPr="001F6FF8" w:rsidP="00733BD8" w14:paraId="7D412F45" w14:textId="77777777">
            <w:pPr>
              <w:keepNext/>
              <w:keepLines/>
              <w:jc w:val="center"/>
              <w:rPr>
                <w:sz w:val="16"/>
                <w:szCs w:val="16"/>
              </w:rPr>
            </w:pPr>
            <w:r w:rsidRPr="001F6FF8">
              <w:rPr>
                <w:sz w:val="16"/>
                <w:szCs w:val="16"/>
              </w:rPr>
              <w:t>(0.12)</w:t>
            </w:r>
          </w:p>
        </w:tc>
        <w:tc>
          <w:tcPr>
            <w:tcW w:w="970" w:type="dxa"/>
            <w:tcBorders>
              <w:top w:val="nil"/>
              <w:left w:val="nil"/>
              <w:bottom w:val="nil"/>
              <w:right w:val="nil"/>
            </w:tcBorders>
            <w:shd w:val="clear" w:color="auto" w:fill="auto"/>
            <w:noWrap/>
            <w:vAlign w:val="center"/>
            <w:hideMark/>
          </w:tcPr>
          <w:p w:rsidR="0016531D" w:rsidRPr="001F6FF8" w:rsidP="00733BD8" w14:paraId="48BF6147" w14:textId="77777777">
            <w:pPr>
              <w:keepNext/>
              <w:keepLines/>
              <w:jc w:val="center"/>
              <w:rPr>
                <w:sz w:val="16"/>
                <w:szCs w:val="16"/>
              </w:rPr>
            </w:pPr>
            <w:r w:rsidRPr="001F6FF8">
              <w:rPr>
                <w:sz w:val="16"/>
                <w:szCs w:val="16"/>
              </w:rPr>
              <w:t>(0.16)</w:t>
            </w:r>
          </w:p>
        </w:tc>
        <w:tc>
          <w:tcPr>
            <w:tcW w:w="970" w:type="dxa"/>
            <w:tcBorders>
              <w:top w:val="nil"/>
              <w:left w:val="nil"/>
              <w:bottom w:val="nil"/>
              <w:right w:val="nil"/>
            </w:tcBorders>
            <w:shd w:val="clear" w:color="auto" w:fill="auto"/>
            <w:noWrap/>
            <w:vAlign w:val="center"/>
            <w:hideMark/>
          </w:tcPr>
          <w:p w:rsidR="0016531D" w:rsidRPr="001F6FF8" w:rsidP="00733BD8" w14:paraId="7103BA54" w14:textId="77777777">
            <w:pPr>
              <w:keepNext/>
              <w:keepLines/>
              <w:jc w:val="center"/>
              <w:rPr>
                <w:sz w:val="16"/>
                <w:szCs w:val="16"/>
              </w:rPr>
            </w:pPr>
            <w:r w:rsidRPr="001F6FF8">
              <w:rPr>
                <w:sz w:val="16"/>
                <w:szCs w:val="16"/>
              </w:rPr>
              <w:t>(0.16)</w:t>
            </w:r>
          </w:p>
        </w:tc>
      </w:tr>
      <w:tr w14:paraId="211B23F3"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025008A9" w14:textId="77777777">
            <w:pPr>
              <w:keepNext/>
              <w:keepLines/>
              <w:rPr>
                <w:i/>
                <w:iCs/>
                <w:sz w:val="16"/>
                <w:szCs w:val="16"/>
              </w:rPr>
            </w:pPr>
            <w:r w:rsidRPr="001F6FF8">
              <w:rPr>
                <w:i/>
                <w:iCs/>
                <w:sz w:val="16"/>
                <w:szCs w:val="16"/>
              </w:rPr>
              <w:t>Fraction Service Coverage (Tract Wt. Avg.)</w:t>
            </w:r>
          </w:p>
        </w:tc>
        <w:tc>
          <w:tcPr>
            <w:tcW w:w="969" w:type="dxa"/>
            <w:tcBorders>
              <w:top w:val="nil"/>
              <w:left w:val="nil"/>
              <w:bottom w:val="nil"/>
              <w:right w:val="nil"/>
            </w:tcBorders>
            <w:shd w:val="clear" w:color="auto" w:fill="auto"/>
            <w:noWrap/>
            <w:vAlign w:val="center"/>
            <w:hideMark/>
          </w:tcPr>
          <w:p w:rsidR="0016531D" w:rsidRPr="001F6FF8" w:rsidP="00733BD8" w14:paraId="5368EFB2" w14:textId="77777777">
            <w:pPr>
              <w:keepNext/>
              <w:keepLines/>
              <w:jc w:val="center"/>
              <w:rPr>
                <w:sz w:val="16"/>
                <w:szCs w:val="16"/>
              </w:rPr>
            </w:pPr>
            <w:r w:rsidRPr="001F6FF8">
              <w:rPr>
                <w:sz w:val="16"/>
                <w:szCs w:val="16"/>
              </w:rPr>
              <w:t>-0.80</w:t>
            </w:r>
          </w:p>
        </w:tc>
        <w:tc>
          <w:tcPr>
            <w:tcW w:w="970" w:type="dxa"/>
            <w:tcBorders>
              <w:top w:val="nil"/>
              <w:left w:val="nil"/>
              <w:bottom w:val="nil"/>
              <w:right w:val="nil"/>
            </w:tcBorders>
            <w:shd w:val="clear" w:color="auto" w:fill="auto"/>
            <w:noWrap/>
            <w:vAlign w:val="center"/>
            <w:hideMark/>
          </w:tcPr>
          <w:p w:rsidR="0016531D" w:rsidRPr="001F6FF8" w:rsidP="00733BD8" w14:paraId="7BC05143" w14:textId="77777777">
            <w:pPr>
              <w:keepNext/>
              <w:keepLines/>
              <w:jc w:val="center"/>
              <w:rPr>
                <w:sz w:val="16"/>
                <w:szCs w:val="16"/>
              </w:rPr>
            </w:pPr>
            <w:r w:rsidRPr="001F6FF8">
              <w:rPr>
                <w:sz w:val="16"/>
                <w:szCs w:val="16"/>
              </w:rPr>
              <w:t>-0.18</w:t>
            </w:r>
          </w:p>
        </w:tc>
        <w:tc>
          <w:tcPr>
            <w:tcW w:w="970" w:type="dxa"/>
            <w:tcBorders>
              <w:top w:val="nil"/>
              <w:left w:val="nil"/>
              <w:bottom w:val="nil"/>
              <w:right w:val="nil"/>
            </w:tcBorders>
            <w:shd w:val="clear" w:color="auto" w:fill="auto"/>
            <w:noWrap/>
            <w:vAlign w:val="center"/>
            <w:hideMark/>
          </w:tcPr>
          <w:p w:rsidR="0016531D" w:rsidRPr="001F6FF8" w:rsidP="00733BD8" w14:paraId="1BFA60C4" w14:textId="77777777">
            <w:pPr>
              <w:keepNext/>
              <w:keepLines/>
              <w:jc w:val="center"/>
              <w:rPr>
                <w:sz w:val="16"/>
                <w:szCs w:val="16"/>
              </w:rPr>
            </w:pPr>
            <w:r w:rsidRPr="001F6FF8">
              <w:rPr>
                <w:sz w:val="16"/>
                <w:szCs w:val="16"/>
              </w:rPr>
              <w:t>-0.65</w:t>
            </w:r>
          </w:p>
        </w:tc>
        <w:tc>
          <w:tcPr>
            <w:tcW w:w="969" w:type="dxa"/>
            <w:tcBorders>
              <w:top w:val="nil"/>
              <w:left w:val="nil"/>
              <w:bottom w:val="nil"/>
              <w:right w:val="nil"/>
            </w:tcBorders>
            <w:shd w:val="clear" w:color="auto" w:fill="auto"/>
            <w:noWrap/>
            <w:vAlign w:val="center"/>
            <w:hideMark/>
          </w:tcPr>
          <w:p w:rsidR="0016531D" w:rsidRPr="001F6FF8" w:rsidP="00733BD8" w14:paraId="6F5F088E" w14:textId="77777777">
            <w:pPr>
              <w:keepNext/>
              <w:keepLines/>
              <w:jc w:val="center"/>
              <w:rPr>
                <w:sz w:val="16"/>
                <w:szCs w:val="16"/>
              </w:rPr>
            </w:pPr>
            <w:r w:rsidRPr="001F6FF8">
              <w:rPr>
                <w:sz w:val="16"/>
                <w:szCs w:val="16"/>
              </w:rPr>
              <w:t>-0.80</w:t>
            </w:r>
          </w:p>
        </w:tc>
        <w:tc>
          <w:tcPr>
            <w:tcW w:w="970" w:type="dxa"/>
            <w:tcBorders>
              <w:top w:val="nil"/>
              <w:left w:val="nil"/>
              <w:bottom w:val="nil"/>
              <w:right w:val="nil"/>
            </w:tcBorders>
            <w:shd w:val="clear" w:color="auto" w:fill="auto"/>
            <w:noWrap/>
            <w:vAlign w:val="center"/>
            <w:hideMark/>
          </w:tcPr>
          <w:p w:rsidR="0016531D" w:rsidRPr="001F6FF8" w:rsidP="00733BD8" w14:paraId="2BD8291F" w14:textId="77777777">
            <w:pPr>
              <w:keepNext/>
              <w:keepLines/>
              <w:jc w:val="center"/>
              <w:rPr>
                <w:sz w:val="16"/>
                <w:szCs w:val="16"/>
              </w:rPr>
            </w:pPr>
            <w:r w:rsidRPr="001F6FF8">
              <w:rPr>
                <w:sz w:val="16"/>
                <w:szCs w:val="16"/>
              </w:rPr>
              <w:t>0.05</w:t>
            </w:r>
          </w:p>
        </w:tc>
        <w:tc>
          <w:tcPr>
            <w:tcW w:w="970" w:type="dxa"/>
            <w:tcBorders>
              <w:top w:val="nil"/>
              <w:left w:val="nil"/>
              <w:bottom w:val="nil"/>
              <w:right w:val="nil"/>
            </w:tcBorders>
            <w:shd w:val="clear" w:color="auto" w:fill="auto"/>
            <w:noWrap/>
            <w:vAlign w:val="center"/>
            <w:hideMark/>
          </w:tcPr>
          <w:p w:rsidR="0016531D" w:rsidRPr="001F6FF8" w:rsidP="00733BD8" w14:paraId="1EAE55B8" w14:textId="77777777">
            <w:pPr>
              <w:keepNext/>
              <w:keepLines/>
              <w:jc w:val="center"/>
              <w:rPr>
                <w:sz w:val="16"/>
                <w:szCs w:val="16"/>
              </w:rPr>
            </w:pPr>
            <w:r w:rsidRPr="001F6FF8">
              <w:rPr>
                <w:sz w:val="16"/>
                <w:szCs w:val="16"/>
              </w:rPr>
              <w:t>-0.31</w:t>
            </w:r>
          </w:p>
        </w:tc>
      </w:tr>
      <w:tr w14:paraId="011A2177"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293EEC48" w14:textId="77777777">
            <w:pPr>
              <w:keepNext/>
              <w:keepLines/>
              <w:rPr>
                <w:sz w:val="16"/>
                <w:szCs w:val="16"/>
              </w:rPr>
            </w:pPr>
          </w:p>
        </w:tc>
        <w:tc>
          <w:tcPr>
            <w:tcW w:w="969" w:type="dxa"/>
            <w:tcBorders>
              <w:top w:val="nil"/>
              <w:left w:val="nil"/>
              <w:bottom w:val="nil"/>
              <w:right w:val="nil"/>
            </w:tcBorders>
            <w:shd w:val="clear" w:color="auto" w:fill="auto"/>
            <w:noWrap/>
            <w:vAlign w:val="center"/>
            <w:hideMark/>
          </w:tcPr>
          <w:p w:rsidR="0016531D" w:rsidRPr="001F6FF8" w:rsidP="00733BD8" w14:paraId="6DFB592D" w14:textId="77777777">
            <w:pPr>
              <w:keepNext/>
              <w:keepLines/>
              <w:jc w:val="center"/>
              <w:rPr>
                <w:sz w:val="16"/>
                <w:szCs w:val="16"/>
              </w:rPr>
            </w:pPr>
            <w:r w:rsidRPr="001F6FF8">
              <w:rPr>
                <w:sz w:val="16"/>
                <w:szCs w:val="16"/>
              </w:rPr>
              <w:t>(0.72)</w:t>
            </w:r>
          </w:p>
        </w:tc>
        <w:tc>
          <w:tcPr>
            <w:tcW w:w="970" w:type="dxa"/>
            <w:tcBorders>
              <w:top w:val="nil"/>
              <w:left w:val="nil"/>
              <w:bottom w:val="nil"/>
              <w:right w:val="nil"/>
            </w:tcBorders>
            <w:shd w:val="clear" w:color="auto" w:fill="auto"/>
            <w:noWrap/>
            <w:vAlign w:val="center"/>
            <w:hideMark/>
          </w:tcPr>
          <w:p w:rsidR="0016531D" w:rsidRPr="001F6FF8" w:rsidP="00733BD8" w14:paraId="5E98F713" w14:textId="77777777">
            <w:pPr>
              <w:keepNext/>
              <w:keepLines/>
              <w:jc w:val="center"/>
              <w:rPr>
                <w:sz w:val="16"/>
                <w:szCs w:val="16"/>
              </w:rPr>
            </w:pPr>
            <w:r w:rsidRPr="001F6FF8">
              <w:rPr>
                <w:sz w:val="16"/>
                <w:szCs w:val="16"/>
              </w:rPr>
              <w:t>(0.62)</w:t>
            </w:r>
          </w:p>
        </w:tc>
        <w:tc>
          <w:tcPr>
            <w:tcW w:w="970" w:type="dxa"/>
            <w:tcBorders>
              <w:top w:val="nil"/>
              <w:left w:val="nil"/>
              <w:bottom w:val="nil"/>
              <w:right w:val="nil"/>
            </w:tcBorders>
            <w:shd w:val="clear" w:color="auto" w:fill="auto"/>
            <w:noWrap/>
            <w:vAlign w:val="center"/>
            <w:hideMark/>
          </w:tcPr>
          <w:p w:rsidR="0016531D" w:rsidRPr="001F6FF8" w:rsidP="00733BD8" w14:paraId="2D4B8B1D" w14:textId="77777777">
            <w:pPr>
              <w:keepNext/>
              <w:keepLines/>
              <w:jc w:val="center"/>
              <w:rPr>
                <w:sz w:val="16"/>
                <w:szCs w:val="16"/>
              </w:rPr>
            </w:pPr>
            <w:r w:rsidRPr="001F6FF8">
              <w:rPr>
                <w:sz w:val="16"/>
                <w:szCs w:val="16"/>
              </w:rPr>
              <w:t>(0.59)</w:t>
            </w:r>
          </w:p>
        </w:tc>
        <w:tc>
          <w:tcPr>
            <w:tcW w:w="969" w:type="dxa"/>
            <w:tcBorders>
              <w:top w:val="nil"/>
              <w:left w:val="nil"/>
              <w:bottom w:val="nil"/>
              <w:right w:val="nil"/>
            </w:tcBorders>
            <w:shd w:val="clear" w:color="auto" w:fill="auto"/>
            <w:noWrap/>
            <w:vAlign w:val="center"/>
            <w:hideMark/>
          </w:tcPr>
          <w:p w:rsidR="0016531D" w:rsidRPr="001F6FF8" w:rsidP="00733BD8" w14:paraId="4624B100" w14:textId="77777777">
            <w:pPr>
              <w:keepNext/>
              <w:keepLines/>
              <w:jc w:val="center"/>
              <w:rPr>
                <w:sz w:val="16"/>
                <w:szCs w:val="16"/>
              </w:rPr>
            </w:pPr>
            <w:r w:rsidRPr="001F6FF8">
              <w:rPr>
                <w:sz w:val="16"/>
                <w:szCs w:val="16"/>
              </w:rPr>
              <w:t>(0.86)</w:t>
            </w:r>
          </w:p>
        </w:tc>
        <w:tc>
          <w:tcPr>
            <w:tcW w:w="970" w:type="dxa"/>
            <w:tcBorders>
              <w:top w:val="nil"/>
              <w:left w:val="nil"/>
              <w:bottom w:val="nil"/>
              <w:right w:val="nil"/>
            </w:tcBorders>
            <w:shd w:val="clear" w:color="auto" w:fill="auto"/>
            <w:noWrap/>
            <w:vAlign w:val="center"/>
            <w:hideMark/>
          </w:tcPr>
          <w:p w:rsidR="0016531D" w:rsidRPr="001F6FF8" w:rsidP="00733BD8" w14:paraId="08A72232" w14:textId="77777777">
            <w:pPr>
              <w:keepNext/>
              <w:keepLines/>
              <w:jc w:val="center"/>
              <w:rPr>
                <w:sz w:val="16"/>
                <w:szCs w:val="16"/>
              </w:rPr>
            </w:pPr>
            <w:r w:rsidRPr="001F6FF8">
              <w:rPr>
                <w:sz w:val="16"/>
                <w:szCs w:val="16"/>
              </w:rPr>
              <w:t>(0.68)</w:t>
            </w:r>
          </w:p>
        </w:tc>
        <w:tc>
          <w:tcPr>
            <w:tcW w:w="970" w:type="dxa"/>
            <w:tcBorders>
              <w:top w:val="nil"/>
              <w:left w:val="nil"/>
              <w:bottom w:val="nil"/>
              <w:right w:val="nil"/>
            </w:tcBorders>
            <w:shd w:val="clear" w:color="auto" w:fill="auto"/>
            <w:noWrap/>
            <w:vAlign w:val="center"/>
            <w:hideMark/>
          </w:tcPr>
          <w:p w:rsidR="0016531D" w:rsidRPr="001F6FF8" w:rsidP="00733BD8" w14:paraId="0ED79FCD" w14:textId="77777777">
            <w:pPr>
              <w:keepNext/>
              <w:keepLines/>
              <w:jc w:val="center"/>
              <w:rPr>
                <w:sz w:val="16"/>
                <w:szCs w:val="16"/>
              </w:rPr>
            </w:pPr>
            <w:r w:rsidRPr="001F6FF8">
              <w:rPr>
                <w:sz w:val="16"/>
                <w:szCs w:val="16"/>
              </w:rPr>
              <w:t>(0.67)</w:t>
            </w:r>
          </w:p>
        </w:tc>
      </w:tr>
      <w:tr w14:paraId="1A66BC54"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6282893A" w14:textId="77777777">
            <w:pPr>
              <w:keepNext/>
              <w:keepLines/>
              <w:rPr>
                <w:i/>
                <w:iCs/>
                <w:sz w:val="16"/>
                <w:szCs w:val="16"/>
              </w:rPr>
            </w:pPr>
            <w:r w:rsidRPr="001F6FF8">
              <w:rPr>
                <w:i/>
                <w:iCs/>
                <w:sz w:val="16"/>
                <w:szCs w:val="16"/>
              </w:rPr>
              <w:t>Fraction Own Covered Area (Tract Wt. Avg)</w:t>
            </w:r>
          </w:p>
        </w:tc>
        <w:tc>
          <w:tcPr>
            <w:tcW w:w="969" w:type="dxa"/>
            <w:tcBorders>
              <w:top w:val="nil"/>
              <w:left w:val="nil"/>
              <w:bottom w:val="nil"/>
              <w:right w:val="nil"/>
            </w:tcBorders>
            <w:shd w:val="clear" w:color="auto" w:fill="auto"/>
            <w:noWrap/>
            <w:vAlign w:val="center"/>
            <w:hideMark/>
          </w:tcPr>
          <w:p w:rsidR="0016531D" w:rsidRPr="001F6FF8" w:rsidP="00733BD8" w14:paraId="44D75C59" w14:textId="77777777">
            <w:pPr>
              <w:keepNext/>
              <w:keepLines/>
              <w:jc w:val="center"/>
              <w:rPr>
                <w:sz w:val="16"/>
                <w:szCs w:val="16"/>
              </w:rPr>
            </w:pPr>
            <w:r w:rsidRPr="001F6FF8">
              <w:rPr>
                <w:sz w:val="16"/>
                <w:szCs w:val="16"/>
              </w:rPr>
              <w:t>-0.54**</w:t>
            </w:r>
          </w:p>
        </w:tc>
        <w:tc>
          <w:tcPr>
            <w:tcW w:w="970" w:type="dxa"/>
            <w:tcBorders>
              <w:top w:val="nil"/>
              <w:left w:val="nil"/>
              <w:bottom w:val="nil"/>
              <w:right w:val="nil"/>
            </w:tcBorders>
            <w:shd w:val="clear" w:color="auto" w:fill="auto"/>
            <w:noWrap/>
            <w:vAlign w:val="center"/>
            <w:hideMark/>
          </w:tcPr>
          <w:p w:rsidR="0016531D" w:rsidRPr="001F6FF8" w:rsidP="00733BD8" w14:paraId="14FEA551" w14:textId="77777777">
            <w:pPr>
              <w:keepNext/>
              <w:keepLines/>
              <w:jc w:val="center"/>
              <w:rPr>
                <w:sz w:val="16"/>
                <w:szCs w:val="16"/>
              </w:rPr>
            </w:pPr>
            <w:r w:rsidRPr="001F6FF8">
              <w:rPr>
                <w:sz w:val="16"/>
                <w:szCs w:val="16"/>
              </w:rPr>
              <w:t>-0.36</w:t>
            </w:r>
          </w:p>
        </w:tc>
        <w:tc>
          <w:tcPr>
            <w:tcW w:w="970" w:type="dxa"/>
            <w:tcBorders>
              <w:top w:val="nil"/>
              <w:left w:val="nil"/>
              <w:bottom w:val="nil"/>
              <w:right w:val="nil"/>
            </w:tcBorders>
            <w:shd w:val="clear" w:color="auto" w:fill="auto"/>
            <w:noWrap/>
            <w:vAlign w:val="center"/>
            <w:hideMark/>
          </w:tcPr>
          <w:p w:rsidR="0016531D" w:rsidRPr="001F6FF8" w:rsidP="00733BD8" w14:paraId="0818C5E2" w14:textId="77777777">
            <w:pPr>
              <w:keepNext/>
              <w:keepLines/>
              <w:jc w:val="center"/>
              <w:rPr>
                <w:sz w:val="16"/>
                <w:szCs w:val="16"/>
              </w:rPr>
            </w:pPr>
            <w:r w:rsidRPr="001F6FF8">
              <w:rPr>
                <w:sz w:val="16"/>
                <w:szCs w:val="16"/>
              </w:rPr>
              <w:t>-0.39**</w:t>
            </w:r>
          </w:p>
        </w:tc>
        <w:tc>
          <w:tcPr>
            <w:tcW w:w="969" w:type="dxa"/>
            <w:tcBorders>
              <w:top w:val="nil"/>
              <w:left w:val="nil"/>
              <w:bottom w:val="nil"/>
              <w:right w:val="nil"/>
            </w:tcBorders>
            <w:shd w:val="clear" w:color="auto" w:fill="auto"/>
            <w:noWrap/>
            <w:vAlign w:val="center"/>
            <w:hideMark/>
          </w:tcPr>
          <w:p w:rsidR="0016531D" w:rsidRPr="001F6FF8" w:rsidP="00733BD8" w14:paraId="396C1E15" w14:textId="77777777">
            <w:pPr>
              <w:keepNext/>
              <w:keepLines/>
              <w:jc w:val="center"/>
              <w:rPr>
                <w:sz w:val="16"/>
                <w:szCs w:val="16"/>
              </w:rPr>
            </w:pPr>
            <w:r w:rsidRPr="001F6FF8">
              <w:rPr>
                <w:sz w:val="16"/>
                <w:szCs w:val="16"/>
              </w:rPr>
              <w:t>-0.55**</w:t>
            </w:r>
          </w:p>
        </w:tc>
        <w:tc>
          <w:tcPr>
            <w:tcW w:w="970" w:type="dxa"/>
            <w:tcBorders>
              <w:top w:val="nil"/>
              <w:left w:val="nil"/>
              <w:bottom w:val="nil"/>
              <w:right w:val="nil"/>
            </w:tcBorders>
            <w:shd w:val="clear" w:color="auto" w:fill="auto"/>
            <w:noWrap/>
            <w:vAlign w:val="center"/>
            <w:hideMark/>
          </w:tcPr>
          <w:p w:rsidR="0016531D" w:rsidRPr="001F6FF8" w:rsidP="00733BD8" w14:paraId="03CAE133" w14:textId="77777777">
            <w:pPr>
              <w:keepNext/>
              <w:keepLines/>
              <w:jc w:val="center"/>
              <w:rPr>
                <w:sz w:val="16"/>
                <w:szCs w:val="16"/>
              </w:rPr>
            </w:pPr>
            <w:r w:rsidRPr="001F6FF8">
              <w:rPr>
                <w:sz w:val="16"/>
                <w:szCs w:val="16"/>
              </w:rPr>
              <w:t>-0.44*</w:t>
            </w:r>
          </w:p>
        </w:tc>
        <w:tc>
          <w:tcPr>
            <w:tcW w:w="970" w:type="dxa"/>
            <w:tcBorders>
              <w:top w:val="nil"/>
              <w:left w:val="nil"/>
              <w:bottom w:val="nil"/>
              <w:right w:val="nil"/>
            </w:tcBorders>
            <w:shd w:val="clear" w:color="auto" w:fill="auto"/>
            <w:noWrap/>
            <w:vAlign w:val="center"/>
            <w:hideMark/>
          </w:tcPr>
          <w:p w:rsidR="0016531D" w:rsidRPr="001F6FF8" w:rsidP="00733BD8" w14:paraId="192E25A4" w14:textId="77777777">
            <w:pPr>
              <w:keepNext/>
              <w:keepLines/>
              <w:jc w:val="center"/>
              <w:rPr>
                <w:sz w:val="16"/>
                <w:szCs w:val="16"/>
              </w:rPr>
            </w:pPr>
            <w:r w:rsidRPr="001F6FF8">
              <w:rPr>
                <w:sz w:val="16"/>
                <w:szCs w:val="16"/>
              </w:rPr>
              <w:t>-0.46**</w:t>
            </w:r>
          </w:p>
        </w:tc>
      </w:tr>
      <w:tr w14:paraId="604A0597"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72539B62" w14:textId="77777777">
            <w:pPr>
              <w:keepNext/>
              <w:keepLines/>
              <w:rPr>
                <w:sz w:val="16"/>
                <w:szCs w:val="16"/>
              </w:rPr>
            </w:pPr>
          </w:p>
        </w:tc>
        <w:tc>
          <w:tcPr>
            <w:tcW w:w="969" w:type="dxa"/>
            <w:tcBorders>
              <w:top w:val="nil"/>
              <w:left w:val="nil"/>
              <w:bottom w:val="nil"/>
              <w:right w:val="nil"/>
            </w:tcBorders>
            <w:shd w:val="clear" w:color="auto" w:fill="auto"/>
            <w:noWrap/>
            <w:vAlign w:val="center"/>
            <w:hideMark/>
          </w:tcPr>
          <w:p w:rsidR="0016531D" w:rsidRPr="001F6FF8" w:rsidP="00733BD8" w14:paraId="0C7CF9A3" w14:textId="77777777">
            <w:pPr>
              <w:keepNext/>
              <w:keepLines/>
              <w:jc w:val="center"/>
              <w:rPr>
                <w:sz w:val="16"/>
                <w:szCs w:val="16"/>
              </w:rPr>
            </w:pPr>
            <w:r w:rsidRPr="001F6FF8">
              <w:rPr>
                <w:sz w:val="16"/>
                <w:szCs w:val="16"/>
              </w:rPr>
              <w:t>(0.23)</w:t>
            </w:r>
          </w:p>
        </w:tc>
        <w:tc>
          <w:tcPr>
            <w:tcW w:w="970" w:type="dxa"/>
            <w:tcBorders>
              <w:top w:val="nil"/>
              <w:left w:val="nil"/>
              <w:bottom w:val="nil"/>
              <w:right w:val="nil"/>
            </w:tcBorders>
            <w:shd w:val="clear" w:color="auto" w:fill="auto"/>
            <w:noWrap/>
            <w:vAlign w:val="center"/>
            <w:hideMark/>
          </w:tcPr>
          <w:p w:rsidR="0016531D" w:rsidRPr="001F6FF8" w:rsidP="00733BD8" w14:paraId="31819F95" w14:textId="77777777">
            <w:pPr>
              <w:keepNext/>
              <w:keepLines/>
              <w:jc w:val="center"/>
              <w:rPr>
                <w:sz w:val="16"/>
                <w:szCs w:val="16"/>
              </w:rPr>
            </w:pPr>
            <w:r w:rsidRPr="001F6FF8">
              <w:rPr>
                <w:sz w:val="16"/>
                <w:szCs w:val="16"/>
              </w:rPr>
              <w:t>(0.25)</w:t>
            </w:r>
          </w:p>
        </w:tc>
        <w:tc>
          <w:tcPr>
            <w:tcW w:w="970" w:type="dxa"/>
            <w:tcBorders>
              <w:top w:val="nil"/>
              <w:left w:val="nil"/>
              <w:bottom w:val="nil"/>
              <w:right w:val="nil"/>
            </w:tcBorders>
            <w:shd w:val="clear" w:color="auto" w:fill="auto"/>
            <w:noWrap/>
            <w:vAlign w:val="center"/>
            <w:hideMark/>
          </w:tcPr>
          <w:p w:rsidR="0016531D" w:rsidRPr="001F6FF8" w:rsidP="00733BD8" w14:paraId="54D3E7E7" w14:textId="77777777">
            <w:pPr>
              <w:keepNext/>
              <w:keepLines/>
              <w:jc w:val="center"/>
              <w:rPr>
                <w:sz w:val="16"/>
                <w:szCs w:val="16"/>
              </w:rPr>
            </w:pPr>
            <w:r w:rsidRPr="001F6FF8">
              <w:rPr>
                <w:sz w:val="16"/>
                <w:szCs w:val="16"/>
              </w:rPr>
              <w:t>(0.18)</w:t>
            </w:r>
          </w:p>
        </w:tc>
        <w:tc>
          <w:tcPr>
            <w:tcW w:w="969" w:type="dxa"/>
            <w:tcBorders>
              <w:top w:val="nil"/>
              <w:left w:val="nil"/>
              <w:bottom w:val="nil"/>
              <w:right w:val="nil"/>
            </w:tcBorders>
            <w:shd w:val="clear" w:color="auto" w:fill="auto"/>
            <w:noWrap/>
            <w:vAlign w:val="center"/>
            <w:hideMark/>
          </w:tcPr>
          <w:p w:rsidR="0016531D" w:rsidRPr="001F6FF8" w:rsidP="00733BD8" w14:paraId="60745B6A" w14:textId="77777777">
            <w:pPr>
              <w:keepNext/>
              <w:keepLines/>
              <w:jc w:val="center"/>
              <w:rPr>
                <w:sz w:val="16"/>
                <w:szCs w:val="16"/>
              </w:rPr>
            </w:pPr>
            <w:r w:rsidRPr="001F6FF8">
              <w:rPr>
                <w:sz w:val="16"/>
                <w:szCs w:val="16"/>
              </w:rPr>
              <w:t>(0.23)</w:t>
            </w:r>
          </w:p>
        </w:tc>
        <w:tc>
          <w:tcPr>
            <w:tcW w:w="970" w:type="dxa"/>
            <w:tcBorders>
              <w:top w:val="nil"/>
              <w:left w:val="nil"/>
              <w:bottom w:val="nil"/>
              <w:right w:val="nil"/>
            </w:tcBorders>
            <w:shd w:val="clear" w:color="auto" w:fill="auto"/>
            <w:noWrap/>
            <w:vAlign w:val="center"/>
            <w:hideMark/>
          </w:tcPr>
          <w:p w:rsidR="0016531D" w:rsidRPr="001F6FF8" w:rsidP="00733BD8" w14:paraId="6AE3CAD2" w14:textId="77777777">
            <w:pPr>
              <w:keepNext/>
              <w:keepLines/>
              <w:jc w:val="center"/>
              <w:rPr>
                <w:sz w:val="16"/>
                <w:szCs w:val="16"/>
              </w:rPr>
            </w:pPr>
            <w:r w:rsidRPr="001F6FF8">
              <w:rPr>
                <w:sz w:val="16"/>
                <w:szCs w:val="16"/>
              </w:rPr>
              <w:t>(0.25)</w:t>
            </w:r>
          </w:p>
        </w:tc>
        <w:tc>
          <w:tcPr>
            <w:tcW w:w="970" w:type="dxa"/>
            <w:tcBorders>
              <w:top w:val="nil"/>
              <w:left w:val="nil"/>
              <w:bottom w:val="nil"/>
              <w:right w:val="nil"/>
            </w:tcBorders>
            <w:shd w:val="clear" w:color="auto" w:fill="auto"/>
            <w:noWrap/>
            <w:vAlign w:val="center"/>
            <w:hideMark/>
          </w:tcPr>
          <w:p w:rsidR="0016531D" w:rsidRPr="001F6FF8" w:rsidP="00733BD8" w14:paraId="3FE8C7E9" w14:textId="77777777">
            <w:pPr>
              <w:keepNext/>
              <w:keepLines/>
              <w:jc w:val="center"/>
              <w:rPr>
                <w:sz w:val="16"/>
                <w:szCs w:val="16"/>
              </w:rPr>
            </w:pPr>
            <w:r w:rsidRPr="001F6FF8">
              <w:rPr>
                <w:sz w:val="16"/>
                <w:szCs w:val="16"/>
              </w:rPr>
              <w:t>(0.17)</w:t>
            </w:r>
          </w:p>
        </w:tc>
      </w:tr>
      <w:tr w14:paraId="41775E30"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12C56ACB" w14:textId="77777777">
            <w:pPr>
              <w:keepNext/>
              <w:keepLines/>
              <w:rPr>
                <w:i/>
                <w:iCs/>
                <w:sz w:val="16"/>
                <w:szCs w:val="16"/>
              </w:rPr>
            </w:pPr>
            <w:r w:rsidRPr="001F6FF8">
              <w:rPr>
                <w:i/>
                <w:iCs/>
                <w:sz w:val="16"/>
                <w:szCs w:val="16"/>
              </w:rPr>
              <w:t>Potential Bidders</w:t>
            </w:r>
          </w:p>
        </w:tc>
        <w:tc>
          <w:tcPr>
            <w:tcW w:w="969" w:type="dxa"/>
            <w:tcBorders>
              <w:top w:val="nil"/>
              <w:left w:val="nil"/>
              <w:bottom w:val="nil"/>
              <w:right w:val="nil"/>
            </w:tcBorders>
            <w:shd w:val="clear" w:color="auto" w:fill="auto"/>
            <w:noWrap/>
            <w:vAlign w:val="bottom"/>
          </w:tcPr>
          <w:p w:rsidR="0016531D" w:rsidRPr="001F6FF8" w:rsidP="00733BD8" w14:paraId="3A9EA7AB" w14:textId="77777777">
            <w:pPr>
              <w:keepNext/>
              <w:keepLines/>
              <w:jc w:val="center"/>
              <w:rPr>
                <w:sz w:val="16"/>
                <w:szCs w:val="16"/>
              </w:rPr>
            </w:pPr>
          </w:p>
        </w:tc>
        <w:tc>
          <w:tcPr>
            <w:tcW w:w="970" w:type="dxa"/>
            <w:tcBorders>
              <w:top w:val="nil"/>
              <w:left w:val="nil"/>
              <w:bottom w:val="nil"/>
              <w:right w:val="nil"/>
            </w:tcBorders>
            <w:shd w:val="clear" w:color="auto" w:fill="auto"/>
            <w:noWrap/>
            <w:vAlign w:val="bottom"/>
          </w:tcPr>
          <w:p w:rsidR="0016531D" w:rsidRPr="001F6FF8" w:rsidP="00733BD8" w14:paraId="73930E41" w14:textId="77777777">
            <w:pPr>
              <w:keepNext/>
              <w:keepLines/>
              <w:jc w:val="center"/>
              <w:rPr>
                <w:sz w:val="16"/>
                <w:szCs w:val="16"/>
              </w:rPr>
            </w:pPr>
          </w:p>
        </w:tc>
        <w:tc>
          <w:tcPr>
            <w:tcW w:w="970" w:type="dxa"/>
            <w:tcBorders>
              <w:top w:val="nil"/>
              <w:left w:val="nil"/>
              <w:bottom w:val="nil"/>
              <w:right w:val="nil"/>
            </w:tcBorders>
            <w:shd w:val="clear" w:color="auto" w:fill="auto"/>
            <w:noWrap/>
            <w:vAlign w:val="bottom"/>
          </w:tcPr>
          <w:p w:rsidR="0016531D" w:rsidRPr="001F6FF8" w:rsidP="00733BD8" w14:paraId="6B96CA39" w14:textId="77777777">
            <w:pPr>
              <w:keepNext/>
              <w:keepLines/>
              <w:jc w:val="center"/>
              <w:rPr>
                <w:sz w:val="16"/>
                <w:szCs w:val="16"/>
              </w:rPr>
            </w:pPr>
          </w:p>
        </w:tc>
        <w:tc>
          <w:tcPr>
            <w:tcW w:w="969" w:type="dxa"/>
            <w:tcBorders>
              <w:top w:val="nil"/>
              <w:left w:val="nil"/>
              <w:bottom w:val="nil"/>
              <w:right w:val="nil"/>
            </w:tcBorders>
            <w:shd w:val="clear" w:color="auto" w:fill="auto"/>
            <w:noWrap/>
            <w:vAlign w:val="bottom"/>
          </w:tcPr>
          <w:p w:rsidR="0016531D" w:rsidRPr="001F6FF8" w:rsidP="00733BD8" w14:paraId="12D8DB3B" w14:textId="77777777">
            <w:pPr>
              <w:keepNext/>
              <w:keepLines/>
              <w:jc w:val="center"/>
              <w:rPr>
                <w:sz w:val="16"/>
                <w:szCs w:val="16"/>
              </w:rPr>
            </w:pPr>
          </w:p>
        </w:tc>
        <w:tc>
          <w:tcPr>
            <w:tcW w:w="970" w:type="dxa"/>
            <w:tcBorders>
              <w:top w:val="nil"/>
              <w:left w:val="nil"/>
              <w:bottom w:val="nil"/>
              <w:right w:val="nil"/>
            </w:tcBorders>
            <w:shd w:val="clear" w:color="auto" w:fill="auto"/>
            <w:noWrap/>
            <w:vAlign w:val="bottom"/>
          </w:tcPr>
          <w:p w:rsidR="0016531D" w:rsidRPr="001F6FF8" w:rsidP="00733BD8" w14:paraId="245F16EA" w14:textId="77777777">
            <w:pPr>
              <w:keepNext/>
              <w:keepLines/>
              <w:jc w:val="center"/>
              <w:rPr>
                <w:sz w:val="16"/>
                <w:szCs w:val="16"/>
              </w:rPr>
            </w:pPr>
          </w:p>
        </w:tc>
        <w:tc>
          <w:tcPr>
            <w:tcW w:w="970" w:type="dxa"/>
            <w:tcBorders>
              <w:top w:val="nil"/>
              <w:left w:val="nil"/>
              <w:bottom w:val="nil"/>
              <w:right w:val="nil"/>
            </w:tcBorders>
            <w:shd w:val="clear" w:color="auto" w:fill="auto"/>
            <w:noWrap/>
            <w:vAlign w:val="bottom"/>
          </w:tcPr>
          <w:p w:rsidR="0016531D" w:rsidRPr="001F6FF8" w:rsidP="00733BD8" w14:paraId="6EFED67D" w14:textId="77777777">
            <w:pPr>
              <w:keepNext/>
              <w:keepLines/>
              <w:jc w:val="center"/>
              <w:rPr>
                <w:sz w:val="16"/>
                <w:szCs w:val="16"/>
              </w:rPr>
            </w:pPr>
          </w:p>
        </w:tc>
      </w:tr>
      <w:tr w14:paraId="299EDB15"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1B653D1E" w14:textId="77777777">
            <w:pPr>
              <w:keepNext/>
              <w:keepLines/>
              <w:rPr>
                <w:sz w:val="16"/>
                <w:szCs w:val="16"/>
              </w:rPr>
            </w:pPr>
            <w:r w:rsidRPr="001F6FF8">
              <w:rPr>
                <w:i/>
                <w:iCs/>
                <w:sz w:val="16"/>
                <w:szCs w:val="16"/>
              </w:rPr>
              <w:t xml:space="preserve">     Two</w:t>
            </w:r>
          </w:p>
        </w:tc>
        <w:tc>
          <w:tcPr>
            <w:tcW w:w="969" w:type="dxa"/>
            <w:tcBorders>
              <w:top w:val="nil"/>
              <w:left w:val="nil"/>
              <w:bottom w:val="nil"/>
              <w:right w:val="nil"/>
            </w:tcBorders>
            <w:shd w:val="clear" w:color="auto" w:fill="auto"/>
            <w:noWrap/>
            <w:vAlign w:val="center"/>
            <w:hideMark/>
          </w:tcPr>
          <w:p w:rsidR="0016531D" w:rsidRPr="001F6FF8" w:rsidP="00733BD8" w14:paraId="15E66E09" w14:textId="77777777">
            <w:pPr>
              <w:keepNext/>
              <w:keepLines/>
              <w:jc w:val="center"/>
              <w:rPr>
                <w:sz w:val="16"/>
                <w:szCs w:val="16"/>
              </w:rPr>
            </w:pPr>
            <w:r w:rsidRPr="001F6FF8">
              <w:rPr>
                <w:sz w:val="16"/>
                <w:szCs w:val="16"/>
              </w:rPr>
              <w:t>-0.16</w:t>
            </w:r>
          </w:p>
        </w:tc>
        <w:tc>
          <w:tcPr>
            <w:tcW w:w="970" w:type="dxa"/>
            <w:tcBorders>
              <w:top w:val="nil"/>
              <w:left w:val="nil"/>
              <w:bottom w:val="nil"/>
              <w:right w:val="nil"/>
            </w:tcBorders>
            <w:shd w:val="clear" w:color="auto" w:fill="auto"/>
            <w:noWrap/>
            <w:vAlign w:val="center"/>
            <w:hideMark/>
          </w:tcPr>
          <w:p w:rsidR="0016531D" w:rsidRPr="001F6FF8" w:rsidP="00733BD8" w14:paraId="44180358" w14:textId="77777777">
            <w:pPr>
              <w:keepNext/>
              <w:keepLines/>
              <w:jc w:val="center"/>
              <w:rPr>
                <w:sz w:val="16"/>
                <w:szCs w:val="16"/>
              </w:rPr>
            </w:pPr>
            <w:r w:rsidRPr="001F6FF8">
              <w:rPr>
                <w:sz w:val="16"/>
                <w:szCs w:val="16"/>
              </w:rPr>
              <w:t>-0.11</w:t>
            </w:r>
          </w:p>
        </w:tc>
        <w:tc>
          <w:tcPr>
            <w:tcW w:w="970" w:type="dxa"/>
            <w:tcBorders>
              <w:top w:val="nil"/>
              <w:left w:val="nil"/>
              <w:bottom w:val="nil"/>
              <w:right w:val="nil"/>
            </w:tcBorders>
            <w:shd w:val="clear" w:color="auto" w:fill="auto"/>
            <w:noWrap/>
            <w:vAlign w:val="center"/>
            <w:hideMark/>
          </w:tcPr>
          <w:p w:rsidR="0016531D" w:rsidRPr="001F6FF8" w:rsidP="00733BD8" w14:paraId="68452A06" w14:textId="77777777">
            <w:pPr>
              <w:keepNext/>
              <w:keepLines/>
              <w:jc w:val="center"/>
              <w:rPr>
                <w:sz w:val="16"/>
                <w:szCs w:val="16"/>
              </w:rPr>
            </w:pPr>
            <w:r w:rsidRPr="001F6FF8">
              <w:rPr>
                <w:sz w:val="16"/>
                <w:szCs w:val="16"/>
              </w:rPr>
              <w:t>-0.36**</w:t>
            </w:r>
          </w:p>
        </w:tc>
        <w:tc>
          <w:tcPr>
            <w:tcW w:w="969" w:type="dxa"/>
            <w:tcBorders>
              <w:top w:val="nil"/>
              <w:left w:val="nil"/>
              <w:bottom w:val="nil"/>
              <w:right w:val="nil"/>
            </w:tcBorders>
            <w:shd w:val="clear" w:color="auto" w:fill="auto"/>
            <w:noWrap/>
            <w:vAlign w:val="center"/>
            <w:hideMark/>
          </w:tcPr>
          <w:p w:rsidR="0016531D" w:rsidRPr="001F6FF8" w:rsidP="00733BD8" w14:paraId="406A06F7" w14:textId="77777777">
            <w:pPr>
              <w:keepNext/>
              <w:keepLines/>
              <w:jc w:val="center"/>
              <w:rPr>
                <w:sz w:val="16"/>
                <w:szCs w:val="16"/>
              </w:rPr>
            </w:pPr>
            <w:r w:rsidRPr="001F6FF8">
              <w:rPr>
                <w:sz w:val="16"/>
                <w:szCs w:val="16"/>
              </w:rPr>
              <w:t>-0.16</w:t>
            </w:r>
          </w:p>
        </w:tc>
        <w:tc>
          <w:tcPr>
            <w:tcW w:w="970" w:type="dxa"/>
            <w:tcBorders>
              <w:top w:val="nil"/>
              <w:left w:val="nil"/>
              <w:bottom w:val="nil"/>
              <w:right w:val="nil"/>
            </w:tcBorders>
            <w:shd w:val="clear" w:color="auto" w:fill="auto"/>
            <w:noWrap/>
            <w:vAlign w:val="center"/>
            <w:hideMark/>
          </w:tcPr>
          <w:p w:rsidR="0016531D" w:rsidRPr="001F6FF8" w:rsidP="00733BD8" w14:paraId="3E9A02F4" w14:textId="77777777">
            <w:pPr>
              <w:keepNext/>
              <w:keepLines/>
              <w:jc w:val="center"/>
              <w:rPr>
                <w:sz w:val="16"/>
                <w:szCs w:val="16"/>
              </w:rPr>
            </w:pPr>
            <w:r w:rsidRPr="001F6FF8">
              <w:rPr>
                <w:sz w:val="16"/>
                <w:szCs w:val="16"/>
              </w:rPr>
              <w:t>-0.12</w:t>
            </w:r>
          </w:p>
        </w:tc>
        <w:tc>
          <w:tcPr>
            <w:tcW w:w="970" w:type="dxa"/>
            <w:tcBorders>
              <w:top w:val="nil"/>
              <w:left w:val="nil"/>
              <w:bottom w:val="nil"/>
              <w:right w:val="nil"/>
            </w:tcBorders>
            <w:shd w:val="clear" w:color="auto" w:fill="auto"/>
            <w:noWrap/>
            <w:vAlign w:val="center"/>
            <w:hideMark/>
          </w:tcPr>
          <w:p w:rsidR="0016531D" w:rsidRPr="001F6FF8" w:rsidP="00733BD8" w14:paraId="35702096" w14:textId="77777777">
            <w:pPr>
              <w:keepNext/>
              <w:keepLines/>
              <w:jc w:val="center"/>
              <w:rPr>
                <w:sz w:val="16"/>
                <w:szCs w:val="16"/>
              </w:rPr>
            </w:pPr>
            <w:r w:rsidRPr="001F6FF8">
              <w:rPr>
                <w:sz w:val="16"/>
                <w:szCs w:val="16"/>
              </w:rPr>
              <w:t>-0.37**</w:t>
            </w:r>
          </w:p>
        </w:tc>
      </w:tr>
      <w:tr w14:paraId="66E1FC2E"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4E477E22" w14:textId="77777777">
            <w:pPr>
              <w:keepNext/>
              <w:keepLines/>
              <w:rPr>
                <w:i/>
                <w:iCs/>
                <w:sz w:val="16"/>
                <w:szCs w:val="16"/>
              </w:rPr>
            </w:pPr>
          </w:p>
        </w:tc>
        <w:tc>
          <w:tcPr>
            <w:tcW w:w="969" w:type="dxa"/>
            <w:tcBorders>
              <w:top w:val="nil"/>
              <w:left w:val="nil"/>
              <w:bottom w:val="nil"/>
              <w:right w:val="nil"/>
            </w:tcBorders>
            <w:shd w:val="clear" w:color="auto" w:fill="auto"/>
            <w:noWrap/>
            <w:vAlign w:val="center"/>
            <w:hideMark/>
          </w:tcPr>
          <w:p w:rsidR="0016531D" w:rsidRPr="001F6FF8" w:rsidP="00733BD8" w14:paraId="27BEBF76" w14:textId="77777777">
            <w:pPr>
              <w:keepNext/>
              <w:keepLines/>
              <w:jc w:val="center"/>
              <w:rPr>
                <w:i/>
                <w:iCs/>
                <w:sz w:val="16"/>
                <w:szCs w:val="16"/>
              </w:rPr>
            </w:pPr>
            <w:r w:rsidRPr="001F6FF8">
              <w:rPr>
                <w:sz w:val="16"/>
                <w:szCs w:val="16"/>
              </w:rPr>
              <w:t>(0.24)</w:t>
            </w:r>
          </w:p>
        </w:tc>
        <w:tc>
          <w:tcPr>
            <w:tcW w:w="970" w:type="dxa"/>
            <w:tcBorders>
              <w:top w:val="nil"/>
              <w:left w:val="nil"/>
              <w:bottom w:val="nil"/>
              <w:right w:val="nil"/>
            </w:tcBorders>
            <w:shd w:val="clear" w:color="auto" w:fill="auto"/>
            <w:noWrap/>
            <w:vAlign w:val="center"/>
            <w:hideMark/>
          </w:tcPr>
          <w:p w:rsidR="0016531D" w:rsidRPr="001F6FF8" w:rsidP="00733BD8" w14:paraId="5BC3D4ED" w14:textId="77777777">
            <w:pPr>
              <w:keepNext/>
              <w:keepLines/>
              <w:jc w:val="center"/>
              <w:rPr>
                <w:sz w:val="16"/>
                <w:szCs w:val="16"/>
              </w:rPr>
            </w:pPr>
            <w:r w:rsidRPr="001F6FF8">
              <w:rPr>
                <w:sz w:val="16"/>
                <w:szCs w:val="16"/>
              </w:rPr>
              <w:t>(0.28)</w:t>
            </w:r>
          </w:p>
        </w:tc>
        <w:tc>
          <w:tcPr>
            <w:tcW w:w="970" w:type="dxa"/>
            <w:tcBorders>
              <w:top w:val="nil"/>
              <w:left w:val="nil"/>
              <w:bottom w:val="nil"/>
              <w:right w:val="nil"/>
            </w:tcBorders>
            <w:shd w:val="clear" w:color="auto" w:fill="auto"/>
            <w:noWrap/>
            <w:vAlign w:val="center"/>
            <w:hideMark/>
          </w:tcPr>
          <w:p w:rsidR="0016531D" w:rsidRPr="001F6FF8" w:rsidP="00733BD8" w14:paraId="02CC77BF" w14:textId="77777777">
            <w:pPr>
              <w:keepNext/>
              <w:keepLines/>
              <w:jc w:val="center"/>
              <w:rPr>
                <w:sz w:val="16"/>
                <w:szCs w:val="16"/>
              </w:rPr>
            </w:pPr>
            <w:r w:rsidRPr="001F6FF8">
              <w:rPr>
                <w:sz w:val="16"/>
                <w:szCs w:val="16"/>
              </w:rPr>
              <w:t>(0.14)</w:t>
            </w:r>
          </w:p>
        </w:tc>
        <w:tc>
          <w:tcPr>
            <w:tcW w:w="969" w:type="dxa"/>
            <w:tcBorders>
              <w:top w:val="nil"/>
              <w:left w:val="nil"/>
              <w:bottom w:val="nil"/>
              <w:right w:val="nil"/>
            </w:tcBorders>
            <w:shd w:val="clear" w:color="auto" w:fill="auto"/>
            <w:noWrap/>
            <w:vAlign w:val="center"/>
            <w:hideMark/>
          </w:tcPr>
          <w:p w:rsidR="0016531D" w:rsidRPr="001F6FF8" w:rsidP="00733BD8" w14:paraId="791A8039" w14:textId="77777777">
            <w:pPr>
              <w:keepNext/>
              <w:keepLines/>
              <w:jc w:val="center"/>
              <w:rPr>
                <w:sz w:val="16"/>
                <w:szCs w:val="16"/>
              </w:rPr>
            </w:pPr>
            <w:r w:rsidRPr="001F6FF8">
              <w:rPr>
                <w:sz w:val="16"/>
                <w:szCs w:val="16"/>
              </w:rPr>
              <w:t>(0.24)</w:t>
            </w:r>
          </w:p>
        </w:tc>
        <w:tc>
          <w:tcPr>
            <w:tcW w:w="970" w:type="dxa"/>
            <w:tcBorders>
              <w:top w:val="nil"/>
              <w:left w:val="nil"/>
              <w:bottom w:val="nil"/>
              <w:right w:val="nil"/>
            </w:tcBorders>
            <w:shd w:val="clear" w:color="auto" w:fill="auto"/>
            <w:noWrap/>
            <w:vAlign w:val="center"/>
            <w:hideMark/>
          </w:tcPr>
          <w:p w:rsidR="0016531D" w:rsidRPr="001F6FF8" w:rsidP="00733BD8" w14:paraId="08B60080" w14:textId="77777777">
            <w:pPr>
              <w:keepNext/>
              <w:keepLines/>
              <w:jc w:val="center"/>
              <w:rPr>
                <w:sz w:val="16"/>
                <w:szCs w:val="16"/>
              </w:rPr>
            </w:pPr>
            <w:r w:rsidRPr="001F6FF8">
              <w:rPr>
                <w:sz w:val="16"/>
                <w:szCs w:val="16"/>
              </w:rPr>
              <w:t>(0.27)</w:t>
            </w:r>
          </w:p>
        </w:tc>
        <w:tc>
          <w:tcPr>
            <w:tcW w:w="970" w:type="dxa"/>
            <w:tcBorders>
              <w:top w:val="nil"/>
              <w:left w:val="nil"/>
              <w:bottom w:val="nil"/>
              <w:right w:val="nil"/>
            </w:tcBorders>
            <w:shd w:val="clear" w:color="auto" w:fill="auto"/>
            <w:noWrap/>
            <w:vAlign w:val="center"/>
            <w:hideMark/>
          </w:tcPr>
          <w:p w:rsidR="0016531D" w:rsidRPr="001F6FF8" w:rsidP="00733BD8" w14:paraId="493DE75F" w14:textId="77777777">
            <w:pPr>
              <w:keepNext/>
              <w:keepLines/>
              <w:jc w:val="center"/>
              <w:rPr>
                <w:sz w:val="16"/>
                <w:szCs w:val="16"/>
              </w:rPr>
            </w:pPr>
            <w:r w:rsidRPr="001F6FF8">
              <w:rPr>
                <w:sz w:val="16"/>
                <w:szCs w:val="16"/>
              </w:rPr>
              <w:t>(0.13)</w:t>
            </w:r>
          </w:p>
        </w:tc>
      </w:tr>
      <w:tr w14:paraId="20919DFA"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0694544B" w14:textId="77777777">
            <w:pPr>
              <w:keepNext/>
              <w:keepLines/>
              <w:rPr>
                <w:i/>
                <w:iCs/>
                <w:sz w:val="16"/>
                <w:szCs w:val="16"/>
              </w:rPr>
            </w:pPr>
            <w:r w:rsidRPr="001F6FF8">
              <w:rPr>
                <w:i/>
                <w:iCs/>
                <w:sz w:val="16"/>
                <w:szCs w:val="16"/>
              </w:rPr>
              <w:t xml:space="preserve">     Three</w:t>
            </w:r>
          </w:p>
        </w:tc>
        <w:tc>
          <w:tcPr>
            <w:tcW w:w="969" w:type="dxa"/>
            <w:tcBorders>
              <w:top w:val="nil"/>
              <w:left w:val="nil"/>
              <w:bottom w:val="nil"/>
              <w:right w:val="nil"/>
            </w:tcBorders>
            <w:shd w:val="clear" w:color="auto" w:fill="auto"/>
            <w:noWrap/>
            <w:vAlign w:val="center"/>
            <w:hideMark/>
          </w:tcPr>
          <w:p w:rsidR="0016531D" w:rsidRPr="001F6FF8" w:rsidP="00733BD8" w14:paraId="03728416" w14:textId="77777777">
            <w:pPr>
              <w:keepNext/>
              <w:keepLines/>
              <w:jc w:val="center"/>
              <w:rPr>
                <w:sz w:val="16"/>
                <w:szCs w:val="16"/>
              </w:rPr>
            </w:pPr>
            <w:r w:rsidRPr="001F6FF8">
              <w:rPr>
                <w:sz w:val="16"/>
                <w:szCs w:val="16"/>
              </w:rPr>
              <w:t>-0.22</w:t>
            </w:r>
          </w:p>
        </w:tc>
        <w:tc>
          <w:tcPr>
            <w:tcW w:w="970" w:type="dxa"/>
            <w:tcBorders>
              <w:top w:val="nil"/>
              <w:left w:val="nil"/>
              <w:bottom w:val="nil"/>
              <w:right w:val="nil"/>
            </w:tcBorders>
            <w:shd w:val="clear" w:color="auto" w:fill="auto"/>
            <w:noWrap/>
            <w:vAlign w:val="center"/>
            <w:hideMark/>
          </w:tcPr>
          <w:p w:rsidR="0016531D" w:rsidRPr="001F6FF8" w:rsidP="00733BD8" w14:paraId="5B41F45E" w14:textId="77777777">
            <w:pPr>
              <w:keepNext/>
              <w:keepLines/>
              <w:jc w:val="center"/>
              <w:rPr>
                <w:sz w:val="16"/>
                <w:szCs w:val="16"/>
              </w:rPr>
            </w:pPr>
            <w:r w:rsidRPr="001F6FF8">
              <w:rPr>
                <w:sz w:val="16"/>
                <w:szCs w:val="16"/>
              </w:rPr>
              <w:t>0.17</w:t>
            </w:r>
          </w:p>
        </w:tc>
        <w:tc>
          <w:tcPr>
            <w:tcW w:w="970" w:type="dxa"/>
            <w:tcBorders>
              <w:top w:val="nil"/>
              <w:left w:val="nil"/>
              <w:bottom w:val="nil"/>
              <w:right w:val="nil"/>
            </w:tcBorders>
            <w:shd w:val="clear" w:color="auto" w:fill="auto"/>
            <w:noWrap/>
            <w:vAlign w:val="center"/>
            <w:hideMark/>
          </w:tcPr>
          <w:p w:rsidR="0016531D" w:rsidRPr="001F6FF8" w:rsidP="00733BD8" w14:paraId="0C4892B8" w14:textId="77777777">
            <w:pPr>
              <w:keepNext/>
              <w:keepLines/>
              <w:jc w:val="center"/>
              <w:rPr>
                <w:sz w:val="16"/>
                <w:szCs w:val="16"/>
              </w:rPr>
            </w:pPr>
            <w:r w:rsidRPr="001F6FF8">
              <w:rPr>
                <w:sz w:val="16"/>
                <w:szCs w:val="16"/>
              </w:rPr>
              <w:t>-0.04</w:t>
            </w:r>
          </w:p>
        </w:tc>
        <w:tc>
          <w:tcPr>
            <w:tcW w:w="969" w:type="dxa"/>
            <w:tcBorders>
              <w:top w:val="nil"/>
              <w:left w:val="nil"/>
              <w:bottom w:val="nil"/>
              <w:right w:val="nil"/>
            </w:tcBorders>
            <w:shd w:val="clear" w:color="auto" w:fill="auto"/>
            <w:noWrap/>
            <w:vAlign w:val="center"/>
            <w:hideMark/>
          </w:tcPr>
          <w:p w:rsidR="0016531D" w:rsidRPr="001F6FF8" w:rsidP="00733BD8" w14:paraId="573144C8" w14:textId="77777777">
            <w:pPr>
              <w:keepNext/>
              <w:keepLines/>
              <w:jc w:val="center"/>
              <w:rPr>
                <w:sz w:val="16"/>
                <w:szCs w:val="16"/>
              </w:rPr>
            </w:pPr>
            <w:r w:rsidRPr="001F6FF8">
              <w:rPr>
                <w:sz w:val="16"/>
                <w:szCs w:val="16"/>
              </w:rPr>
              <w:t>-0.21</w:t>
            </w:r>
          </w:p>
        </w:tc>
        <w:tc>
          <w:tcPr>
            <w:tcW w:w="970" w:type="dxa"/>
            <w:tcBorders>
              <w:top w:val="nil"/>
              <w:left w:val="nil"/>
              <w:bottom w:val="nil"/>
              <w:right w:val="nil"/>
            </w:tcBorders>
            <w:shd w:val="clear" w:color="auto" w:fill="auto"/>
            <w:noWrap/>
            <w:vAlign w:val="center"/>
            <w:hideMark/>
          </w:tcPr>
          <w:p w:rsidR="0016531D" w:rsidRPr="001F6FF8" w:rsidP="00733BD8" w14:paraId="18287F61" w14:textId="77777777">
            <w:pPr>
              <w:keepNext/>
              <w:keepLines/>
              <w:jc w:val="center"/>
              <w:rPr>
                <w:sz w:val="16"/>
                <w:szCs w:val="16"/>
              </w:rPr>
            </w:pPr>
            <w:r w:rsidRPr="001F6FF8">
              <w:rPr>
                <w:sz w:val="16"/>
                <w:szCs w:val="16"/>
              </w:rPr>
              <w:t>0.18</w:t>
            </w:r>
          </w:p>
        </w:tc>
        <w:tc>
          <w:tcPr>
            <w:tcW w:w="970" w:type="dxa"/>
            <w:tcBorders>
              <w:top w:val="nil"/>
              <w:left w:val="nil"/>
              <w:bottom w:val="nil"/>
              <w:right w:val="nil"/>
            </w:tcBorders>
            <w:shd w:val="clear" w:color="auto" w:fill="auto"/>
            <w:noWrap/>
            <w:vAlign w:val="center"/>
            <w:hideMark/>
          </w:tcPr>
          <w:p w:rsidR="0016531D" w:rsidRPr="001F6FF8" w:rsidP="00733BD8" w14:paraId="64AB7418" w14:textId="77777777">
            <w:pPr>
              <w:keepNext/>
              <w:keepLines/>
              <w:jc w:val="center"/>
              <w:rPr>
                <w:sz w:val="16"/>
                <w:szCs w:val="16"/>
              </w:rPr>
            </w:pPr>
            <w:r w:rsidRPr="001F6FF8">
              <w:rPr>
                <w:sz w:val="16"/>
                <w:szCs w:val="16"/>
              </w:rPr>
              <w:t>-0.02</w:t>
            </w:r>
          </w:p>
        </w:tc>
      </w:tr>
      <w:tr w14:paraId="5546FA58"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0D6650D2" w14:textId="77777777">
            <w:pPr>
              <w:keepNext/>
              <w:keepLines/>
              <w:rPr>
                <w:sz w:val="16"/>
                <w:szCs w:val="16"/>
              </w:rPr>
            </w:pPr>
          </w:p>
        </w:tc>
        <w:tc>
          <w:tcPr>
            <w:tcW w:w="969" w:type="dxa"/>
            <w:tcBorders>
              <w:top w:val="nil"/>
              <w:left w:val="nil"/>
              <w:bottom w:val="nil"/>
              <w:right w:val="nil"/>
            </w:tcBorders>
            <w:shd w:val="clear" w:color="auto" w:fill="auto"/>
            <w:noWrap/>
            <w:vAlign w:val="center"/>
            <w:hideMark/>
          </w:tcPr>
          <w:p w:rsidR="0016531D" w:rsidRPr="001F6FF8" w:rsidP="00733BD8" w14:paraId="29374954" w14:textId="77777777">
            <w:pPr>
              <w:keepNext/>
              <w:keepLines/>
              <w:jc w:val="center"/>
              <w:rPr>
                <w:sz w:val="16"/>
                <w:szCs w:val="16"/>
              </w:rPr>
            </w:pPr>
            <w:r w:rsidRPr="001F6FF8">
              <w:rPr>
                <w:sz w:val="16"/>
                <w:szCs w:val="16"/>
              </w:rPr>
              <w:t>(0.28)</w:t>
            </w:r>
          </w:p>
        </w:tc>
        <w:tc>
          <w:tcPr>
            <w:tcW w:w="970" w:type="dxa"/>
            <w:tcBorders>
              <w:top w:val="nil"/>
              <w:left w:val="nil"/>
              <w:bottom w:val="nil"/>
              <w:right w:val="nil"/>
            </w:tcBorders>
            <w:shd w:val="clear" w:color="auto" w:fill="auto"/>
            <w:noWrap/>
            <w:vAlign w:val="center"/>
            <w:hideMark/>
          </w:tcPr>
          <w:p w:rsidR="0016531D" w:rsidRPr="001F6FF8" w:rsidP="00733BD8" w14:paraId="4904E877" w14:textId="77777777">
            <w:pPr>
              <w:keepNext/>
              <w:keepLines/>
              <w:jc w:val="center"/>
              <w:rPr>
                <w:sz w:val="16"/>
                <w:szCs w:val="16"/>
              </w:rPr>
            </w:pPr>
            <w:r w:rsidRPr="001F6FF8">
              <w:rPr>
                <w:sz w:val="16"/>
                <w:szCs w:val="16"/>
              </w:rPr>
              <w:t>(0.28)</w:t>
            </w:r>
          </w:p>
        </w:tc>
        <w:tc>
          <w:tcPr>
            <w:tcW w:w="970" w:type="dxa"/>
            <w:tcBorders>
              <w:top w:val="nil"/>
              <w:left w:val="nil"/>
              <w:bottom w:val="nil"/>
              <w:right w:val="nil"/>
            </w:tcBorders>
            <w:shd w:val="clear" w:color="auto" w:fill="auto"/>
            <w:noWrap/>
            <w:vAlign w:val="center"/>
            <w:hideMark/>
          </w:tcPr>
          <w:p w:rsidR="0016531D" w:rsidRPr="001F6FF8" w:rsidP="00733BD8" w14:paraId="5C570BF9" w14:textId="77777777">
            <w:pPr>
              <w:keepNext/>
              <w:keepLines/>
              <w:jc w:val="center"/>
              <w:rPr>
                <w:sz w:val="16"/>
                <w:szCs w:val="16"/>
              </w:rPr>
            </w:pPr>
            <w:r w:rsidRPr="001F6FF8">
              <w:rPr>
                <w:sz w:val="16"/>
                <w:szCs w:val="16"/>
              </w:rPr>
              <w:t>(0.44)</w:t>
            </w:r>
          </w:p>
        </w:tc>
        <w:tc>
          <w:tcPr>
            <w:tcW w:w="969" w:type="dxa"/>
            <w:tcBorders>
              <w:top w:val="nil"/>
              <w:left w:val="nil"/>
              <w:bottom w:val="nil"/>
              <w:right w:val="nil"/>
            </w:tcBorders>
            <w:shd w:val="clear" w:color="auto" w:fill="auto"/>
            <w:noWrap/>
            <w:vAlign w:val="center"/>
            <w:hideMark/>
          </w:tcPr>
          <w:p w:rsidR="0016531D" w:rsidRPr="001F6FF8" w:rsidP="00733BD8" w14:paraId="12733B22" w14:textId="77777777">
            <w:pPr>
              <w:keepNext/>
              <w:keepLines/>
              <w:jc w:val="center"/>
              <w:rPr>
                <w:sz w:val="16"/>
                <w:szCs w:val="16"/>
              </w:rPr>
            </w:pPr>
            <w:r w:rsidRPr="001F6FF8">
              <w:rPr>
                <w:sz w:val="16"/>
                <w:szCs w:val="16"/>
              </w:rPr>
              <w:t>(0.27)</w:t>
            </w:r>
          </w:p>
        </w:tc>
        <w:tc>
          <w:tcPr>
            <w:tcW w:w="970" w:type="dxa"/>
            <w:tcBorders>
              <w:top w:val="nil"/>
              <w:left w:val="nil"/>
              <w:bottom w:val="nil"/>
              <w:right w:val="nil"/>
            </w:tcBorders>
            <w:shd w:val="clear" w:color="auto" w:fill="auto"/>
            <w:noWrap/>
            <w:vAlign w:val="center"/>
            <w:hideMark/>
          </w:tcPr>
          <w:p w:rsidR="0016531D" w:rsidRPr="001F6FF8" w:rsidP="00733BD8" w14:paraId="69B03B80" w14:textId="77777777">
            <w:pPr>
              <w:keepNext/>
              <w:keepLines/>
              <w:jc w:val="center"/>
              <w:rPr>
                <w:sz w:val="16"/>
                <w:szCs w:val="16"/>
              </w:rPr>
            </w:pPr>
            <w:r w:rsidRPr="001F6FF8">
              <w:rPr>
                <w:sz w:val="16"/>
                <w:szCs w:val="16"/>
              </w:rPr>
              <w:t>(0.28)</w:t>
            </w:r>
          </w:p>
        </w:tc>
        <w:tc>
          <w:tcPr>
            <w:tcW w:w="970" w:type="dxa"/>
            <w:tcBorders>
              <w:top w:val="nil"/>
              <w:left w:val="nil"/>
              <w:bottom w:val="nil"/>
              <w:right w:val="nil"/>
            </w:tcBorders>
            <w:shd w:val="clear" w:color="auto" w:fill="auto"/>
            <w:noWrap/>
            <w:vAlign w:val="center"/>
            <w:hideMark/>
          </w:tcPr>
          <w:p w:rsidR="0016531D" w:rsidRPr="001F6FF8" w:rsidP="00733BD8" w14:paraId="28E78786" w14:textId="77777777">
            <w:pPr>
              <w:keepNext/>
              <w:keepLines/>
              <w:jc w:val="center"/>
              <w:rPr>
                <w:sz w:val="16"/>
                <w:szCs w:val="16"/>
              </w:rPr>
            </w:pPr>
            <w:r w:rsidRPr="001F6FF8">
              <w:rPr>
                <w:sz w:val="16"/>
                <w:szCs w:val="16"/>
              </w:rPr>
              <w:t>(0.45)</w:t>
            </w:r>
          </w:p>
        </w:tc>
      </w:tr>
      <w:tr w14:paraId="627BE18C"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1EFED391" w14:textId="77777777">
            <w:pPr>
              <w:keepNext/>
              <w:keepLines/>
              <w:rPr>
                <w:i/>
                <w:iCs/>
                <w:sz w:val="16"/>
                <w:szCs w:val="16"/>
              </w:rPr>
            </w:pPr>
            <w:r w:rsidRPr="001F6FF8">
              <w:rPr>
                <w:i/>
                <w:iCs/>
                <w:sz w:val="16"/>
                <w:szCs w:val="16"/>
              </w:rPr>
              <w:t xml:space="preserve">     Four or More</w:t>
            </w:r>
          </w:p>
        </w:tc>
        <w:tc>
          <w:tcPr>
            <w:tcW w:w="969" w:type="dxa"/>
            <w:tcBorders>
              <w:top w:val="nil"/>
              <w:left w:val="nil"/>
              <w:bottom w:val="nil"/>
              <w:right w:val="nil"/>
            </w:tcBorders>
            <w:shd w:val="clear" w:color="auto" w:fill="auto"/>
            <w:noWrap/>
            <w:vAlign w:val="center"/>
            <w:hideMark/>
          </w:tcPr>
          <w:p w:rsidR="0016531D" w:rsidRPr="001F6FF8" w:rsidP="00733BD8" w14:paraId="31073419" w14:textId="77777777">
            <w:pPr>
              <w:keepNext/>
              <w:keepLines/>
              <w:jc w:val="center"/>
              <w:rPr>
                <w:sz w:val="16"/>
                <w:szCs w:val="16"/>
              </w:rPr>
            </w:pPr>
            <w:r w:rsidRPr="001F6FF8">
              <w:rPr>
                <w:sz w:val="16"/>
                <w:szCs w:val="16"/>
              </w:rPr>
              <w:t>-0.25</w:t>
            </w:r>
          </w:p>
        </w:tc>
        <w:tc>
          <w:tcPr>
            <w:tcW w:w="970" w:type="dxa"/>
            <w:tcBorders>
              <w:top w:val="nil"/>
              <w:left w:val="nil"/>
              <w:bottom w:val="nil"/>
              <w:right w:val="nil"/>
            </w:tcBorders>
            <w:shd w:val="clear" w:color="auto" w:fill="auto"/>
            <w:noWrap/>
            <w:vAlign w:val="center"/>
            <w:hideMark/>
          </w:tcPr>
          <w:p w:rsidR="0016531D" w:rsidRPr="001F6FF8" w:rsidP="00733BD8" w14:paraId="7C66756D" w14:textId="77777777">
            <w:pPr>
              <w:keepNext/>
              <w:keepLines/>
              <w:jc w:val="center"/>
              <w:rPr>
                <w:sz w:val="16"/>
                <w:szCs w:val="16"/>
              </w:rPr>
            </w:pPr>
            <w:r w:rsidRPr="001F6FF8">
              <w:rPr>
                <w:sz w:val="16"/>
                <w:szCs w:val="16"/>
              </w:rPr>
              <w:t>-0.00</w:t>
            </w:r>
          </w:p>
        </w:tc>
        <w:tc>
          <w:tcPr>
            <w:tcW w:w="970" w:type="dxa"/>
            <w:tcBorders>
              <w:top w:val="nil"/>
              <w:left w:val="nil"/>
              <w:bottom w:val="nil"/>
              <w:right w:val="nil"/>
            </w:tcBorders>
            <w:shd w:val="clear" w:color="auto" w:fill="auto"/>
            <w:noWrap/>
            <w:vAlign w:val="center"/>
            <w:hideMark/>
          </w:tcPr>
          <w:p w:rsidR="0016531D" w:rsidRPr="001F6FF8" w:rsidP="00733BD8" w14:paraId="01B3C858" w14:textId="77777777">
            <w:pPr>
              <w:keepNext/>
              <w:keepLines/>
              <w:jc w:val="center"/>
              <w:rPr>
                <w:sz w:val="16"/>
                <w:szCs w:val="16"/>
              </w:rPr>
            </w:pPr>
            <w:r w:rsidRPr="001F6FF8">
              <w:rPr>
                <w:sz w:val="16"/>
                <w:szCs w:val="16"/>
              </w:rPr>
              <w:t>-0.25</w:t>
            </w:r>
          </w:p>
        </w:tc>
        <w:tc>
          <w:tcPr>
            <w:tcW w:w="969" w:type="dxa"/>
            <w:tcBorders>
              <w:top w:val="nil"/>
              <w:left w:val="nil"/>
              <w:bottom w:val="nil"/>
              <w:right w:val="nil"/>
            </w:tcBorders>
            <w:shd w:val="clear" w:color="auto" w:fill="auto"/>
            <w:noWrap/>
            <w:vAlign w:val="center"/>
            <w:hideMark/>
          </w:tcPr>
          <w:p w:rsidR="0016531D" w:rsidRPr="001F6FF8" w:rsidP="00733BD8" w14:paraId="69198141" w14:textId="77777777">
            <w:pPr>
              <w:keepNext/>
              <w:keepLines/>
              <w:jc w:val="center"/>
              <w:rPr>
                <w:sz w:val="16"/>
                <w:szCs w:val="16"/>
              </w:rPr>
            </w:pPr>
            <w:r w:rsidRPr="001F6FF8">
              <w:rPr>
                <w:sz w:val="16"/>
                <w:szCs w:val="16"/>
              </w:rPr>
              <w:t>-0.24</w:t>
            </w:r>
          </w:p>
        </w:tc>
        <w:tc>
          <w:tcPr>
            <w:tcW w:w="970" w:type="dxa"/>
            <w:tcBorders>
              <w:top w:val="nil"/>
              <w:left w:val="nil"/>
              <w:bottom w:val="nil"/>
              <w:right w:val="nil"/>
            </w:tcBorders>
            <w:shd w:val="clear" w:color="auto" w:fill="auto"/>
            <w:noWrap/>
            <w:vAlign w:val="center"/>
            <w:hideMark/>
          </w:tcPr>
          <w:p w:rsidR="0016531D" w:rsidRPr="001F6FF8" w:rsidP="00733BD8" w14:paraId="128077AE" w14:textId="77777777">
            <w:pPr>
              <w:keepNext/>
              <w:keepLines/>
              <w:jc w:val="center"/>
              <w:rPr>
                <w:sz w:val="16"/>
                <w:szCs w:val="16"/>
              </w:rPr>
            </w:pPr>
            <w:r w:rsidRPr="001F6FF8">
              <w:rPr>
                <w:sz w:val="16"/>
                <w:szCs w:val="16"/>
              </w:rPr>
              <w:t>0.01</w:t>
            </w:r>
          </w:p>
        </w:tc>
        <w:tc>
          <w:tcPr>
            <w:tcW w:w="970" w:type="dxa"/>
            <w:tcBorders>
              <w:top w:val="nil"/>
              <w:left w:val="nil"/>
              <w:bottom w:val="nil"/>
              <w:right w:val="nil"/>
            </w:tcBorders>
            <w:shd w:val="clear" w:color="auto" w:fill="auto"/>
            <w:noWrap/>
            <w:vAlign w:val="center"/>
            <w:hideMark/>
          </w:tcPr>
          <w:p w:rsidR="0016531D" w:rsidRPr="001F6FF8" w:rsidP="00733BD8" w14:paraId="657C0941" w14:textId="77777777">
            <w:pPr>
              <w:keepNext/>
              <w:keepLines/>
              <w:jc w:val="center"/>
              <w:rPr>
                <w:sz w:val="16"/>
                <w:szCs w:val="16"/>
              </w:rPr>
            </w:pPr>
            <w:r w:rsidRPr="001F6FF8">
              <w:rPr>
                <w:sz w:val="16"/>
                <w:szCs w:val="16"/>
              </w:rPr>
              <w:t>-0.25</w:t>
            </w:r>
          </w:p>
        </w:tc>
      </w:tr>
      <w:tr w14:paraId="08F353A2"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45889705" w14:textId="77777777">
            <w:pPr>
              <w:keepNext/>
              <w:keepLines/>
              <w:rPr>
                <w:sz w:val="16"/>
                <w:szCs w:val="16"/>
              </w:rPr>
            </w:pPr>
          </w:p>
        </w:tc>
        <w:tc>
          <w:tcPr>
            <w:tcW w:w="969" w:type="dxa"/>
            <w:tcBorders>
              <w:top w:val="nil"/>
              <w:left w:val="nil"/>
              <w:bottom w:val="nil"/>
              <w:right w:val="nil"/>
            </w:tcBorders>
            <w:shd w:val="clear" w:color="auto" w:fill="auto"/>
            <w:noWrap/>
            <w:vAlign w:val="center"/>
            <w:hideMark/>
          </w:tcPr>
          <w:p w:rsidR="0016531D" w:rsidRPr="001F6FF8" w:rsidP="00733BD8" w14:paraId="24166885" w14:textId="77777777">
            <w:pPr>
              <w:keepNext/>
              <w:keepLines/>
              <w:jc w:val="center"/>
              <w:rPr>
                <w:sz w:val="16"/>
                <w:szCs w:val="16"/>
              </w:rPr>
            </w:pPr>
            <w:r w:rsidRPr="001F6FF8">
              <w:rPr>
                <w:sz w:val="16"/>
                <w:szCs w:val="16"/>
              </w:rPr>
              <w:t>(0.15)</w:t>
            </w:r>
          </w:p>
        </w:tc>
        <w:tc>
          <w:tcPr>
            <w:tcW w:w="970" w:type="dxa"/>
            <w:tcBorders>
              <w:top w:val="nil"/>
              <w:left w:val="nil"/>
              <w:bottom w:val="nil"/>
              <w:right w:val="nil"/>
            </w:tcBorders>
            <w:shd w:val="clear" w:color="auto" w:fill="auto"/>
            <w:noWrap/>
            <w:vAlign w:val="center"/>
            <w:hideMark/>
          </w:tcPr>
          <w:p w:rsidR="0016531D" w:rsidRPr="001F6FF8" w:rsidP="00733BD8" w14:paraId="0AB477A8" w14:textId="77777777">
            <w:pPr>
              <w:keepNext/>
              <w:keepLines/>
              <w:jc w:val="center"/>
              <w:rPr>
                <w:sz w:val="16"/>
                <w:szCs w:val="16"/>
              </w:rPr>
            </w:pPr>
            <w:r w:rsidRPr="001F6FF8">
              <w:rPr>
                <w:sz w:val="16"/>
                <w:szCs w:val="16"/>
              </w:rPr>
              <w:t>(0.26)</w:t>
            </w:r>
          </w:p>
        </w:tc>
        <w:tc>
          <w:tcPr>
            <w:tcW w:w="970" w:type="dxa"/>
            <w:tcBorders>
              <w:top w:val="nil"/>
              <w:left w:val="nil"/>
              <w:bottom w:val="nil"/>
              <w:right w:val="nil"/>
            </w:tcBorders>
            <w:shd w:val="clear" w:color="auto" w:fill="auto"/>
            <w:noWrap/>
            <w:vAlign w:val="center"/>
            <w:hideMark/>
          </w:tcPr>
          <w:p w:rsidR="0016531D" w:rsidRPr="001F6FF8" w:rsidP="00733BD8" w14:paraId="485F2A7E" w14:textId="77777777">
            <w:pPr>
              <w:keepNext/>
              <w:keepLines/>
              <w:jc w:val="center"/>
              <w:rPr>
                <w:sz w:val="16"/>
                <w:szCs w:val="16"/>
              </w:rPr>
            </w:pPr>
            <w:r w:rsidRPr="001F6FF8">
              <w:rPr>
                <w:sz w:val="16"/>
                <w:szCs w:val="16"/>
              </w:rPr>
              <w:t>(0.18)</w:t>
            </w:r>
          </w:p>
        </w:tc>
        <w:tc>
          <w:tcPr>
            <w:tcW w:w="969" w:type="dxa"/>
            <w:tcBorders>
              <w:top w:val="nil"/>
              <w:left w:val="nil"/>
              <w:bottom w:val="nil"/>
              <w:right w:val="nil"/>
            </w:tcBorders>
            <w:shd w:val="clear" w:color="auto" w:fill="auto"/>
            <w:noWrap/>
            <w:vAlign w:val="center"/>
            <w:hideMark/>
          </w:tcPr>
          <w:p w:rsidR="0016531D" w:rsidRPr="001F6FF8" w:rsidP="00733BD8" w14:paraId="05EE0209" w14:textId="77777777">
            <w:pPr>
              <w:keepNext/>
              <w:keepLines/>
              <w:jc w:val="center"/>
              <w:rPr>
                <w:sz w:val="16"/>
                <w:szCs w:val="16"/>
              </w:rPr>
            </w:pPr>
            <w:r w:rsidRPr="001F6FF8">
              <w:rPr>
                <w:sz w:val="16"/>
                <w:szCs w:val="16"/>
              </w:rPr>
              <w:t>(0.15)</w:t>
            </w:r>
          </w:p>
        </w:tc>
        <w:tc>
          <w:tcPr>
            <w:tcW w:w="970" w:type="dxa"/>
            <w:tcBorders>
              <w:top w:val="nil"/>
              <w:left w:val="nil"/>
              <w:bottom w:val="nil"/>
              <w:right w:val="nil"/>
            </w:tcBorders>
            <w:shd w:val="clear" w:color="auto" w:fill="auto"/>
            <w:noWrap/>
            <w:vAlign w:val="center"/>
            <w:hideMark/>
          </w:tcPr>
          <w:p w:rsidR="0016531D" w:rsidRPr="001F6FF8" w:rsidP="00733BD8" w14:paraId="16D0DA14" w14:textId="77777777">
            <w:pPr>
              <w:keepNext/>
              <w:keepLines/>
              <w:jc w:val="center"/>
              <w:rPr>
                <w:sz w:val="16"/>
                <w:szCs w:val="16"/>
              </w:rPr>
            </w:pPr>
            <w:r w:rsidRPr="001F6FF8">
              <w:rPr>
                <w:sz w:val="16"/>
                <w:szCs w:val="16"/>
              </w:rPr>
              <w:t>(0.25)</w:t>
            </w:r>
          </w:p>
        </w:tc>
        <w:tc>
          <w:tcPr>
            <w:tcW w:w="970" w:type="dxa"/>
            <w:tcBorders>
              <w:top w:val="nil"/>
              <w:left w:val="nil"/>
              <w:bottom w:val="nil"/>
              <w:right w:val="nil"/>
            </w:tcBorders>
            <w:shd w:val="clear" w:color="auto" w:fill="auto"/>
            <w:noWrap/>
            <w:vAlign w:val="center"/>
            <w:hideMark/>
          </w:tcPr>
          <w:p w:rsidR="0016531D" w:rsidRPr="001F6FF8" w:rsidP="00733BD8" w14:paraId="654AFDB1" w14:textId="77777777">
            <w:pPr>
              <w:keepNext/>
              <w:keepLines/>
              <w:jc w:val="center"/>
              <w:rPr>
                <w:sz w:val="16"/>
                <w:szCs w:val="16"/>
              </w:rPr>
            </w:pPr>
            <w:r w:rsidRPr="001F6FF8">
              <w:rPr>
                <w:sz w:val="16"/>
                <w:szCs w:val="16"/>
              </w:rPr>
              <w:t>-0.17</w:t>
            </w:r>
          </w:p>
        </w:tc>
      </w:tr>
      <w:tr w14:paraId="397A12AB" w14:textId="77777777" w:rsidTr="00B17053">
        <w:tblPrEx>
          <w:tblW w:w="9360" w:type="dxa"/>
          <w:jc w:val="center"/>
          <w:tblLayout w:type="fixed"/>
          <w:tblLook w:val="04A0"/>
        </w:tblPrEx>
        <w:trPr>
          <w:trHeight w:val="271"/>
          <w:jc w:val="center"/>
        </w:trPr>
        <w:tc>
          <w:tcPr>
            <w:tcW w:w="3542" w:type="dxa"/>
            <w:gridSpan w:val="2"/>
            <w:tcBorders>
              <w:top w:val="nil"/>
              <w:left w:val="nil"/>
              <w:bottom w:val="single" w:sz="4" w:space="0" w:color="auto"/>
              <w:right w:val="nil"/>
            </w:tcBorders>
            <w:shd w:val="clear" w:color="auto" w:fill="auto"/>
            <w:noWrap/>
            <w:vAlign w:val="center"/>
            <w:hideMark/>
          </w:tcPr>
          <w:p w:rsidR="0016531D" w:rsidRPr="001F6FF8" w:rsidP="00733BD8" w14:paraId="79DC29A4" w14:textId="77777777">
            <w:pPr>
              <w:keepNext/>
              <w:keepLines/>
              <w:rPr>
                <w:i/>
                <w:iCs/>
                <w:sz w:val="16"/>
                <w:szCs w:val="16"/>
              </w:rPr>
            </w:pPr>
            <w:r w:rsidRPr="001F6FF8">
              <w:rPr>
                <w:i/>
                <w:iCs/>
                <w:sz w:val="16"/>
                <w:szCs w:val="16"/>
              </w:rPr>
              <w:t> </w:t>
            </w:r>
          </w:p>
        </w:tc>
        <w:tc>
          <w:tcPr>
            <w:tcW w:w="969" w:type="dxa"/>
            <w:tcBorders>
              <w:top w:val="nil"/>
              <w:left w:val="nil"/>
              <w:bottom w:val="single" w:sz="4" w:space="0" w:color="auto"/>
              <w:right w:val="nil"/>
            </w:tcBorders>
            <w:shd w:val="clear" w:color="auto" w:fill="auto"/>
            <w:noWrap/>
            <w:vAlign w:val="center"/>
            <w:hideMark/>
          </w:tcPr>
          <w:p w:rsidR="0016531D" w:rsidRPr="001F6FF8" w:rsidP="00733BD8" w14:paraId="0E3676D6" w14:textId="77777777">
            <w:pPr>
              <w:keepNext/>
              <w:keepLines/>
              <w:jc w:val="center"/>
              <w:rPr>
                <w:sz w:val="16"/>
                <w:szCs w:val="16"/>
              </w:rPr>
            </w:pPr>
          </w:p>
        </w:tc>
        <w:tc>
          <w:tcPr>
            <w:tcW w:w="970" w:type="dxa"/>
            <w:tcBorders>
              <w:top w:val="nil"/>
              <w:left w:val="nil"/>
              <w:bottom w:val="single" w:sz="4" w:space="0" w:color="auto"/>
              <w:right w:val="nil"/>
            </w:tcBorders>
            <w:shd w:val="clear" w:color="auto" w:fill="auto"/>
            <w:noWrap/>
            <w:vAlign w:val="center"/>
            <w:hideMark/>
          </w:tcPr>
          <w:p w:rsidR="0016531D" w:rsidRPr="001F6FF8" w:rsidP="00733BD8" w14:paraId="5A79A5C4" w14:textId="77777777">
            <w:pPr>
              <w:keepNext/>
              <w:keepLines/>
              <w:jc w:val="center"/>
              <w:rPr>
                <w:sz w:val="16"/>
                <w:szCs w:val="16"/>
              </w:rPr>
            </w:pPr>
          </w:p>
        </w:tc>
        <w:tc>
          <w:tcPr>
            <w:tcW w:w="970" w:type="dxa"/>
            <w:tcBorders>
              <w:top w:val="nil"/>
              <w:left w:val="nil"/>
              <w:bottom w:val="single" w:sz="4" w:space="0" w:color="auto"/>
              <w:right w:val="nil"/>
            </w:tcBorders>
            <w:shd w:val="clear" w:color="auto" w:fill="auto"/>
            <w:noWrap/>
            <w:vAlign w:val="center"/>
            <w:hideMark/>
          </w:tcPr>
          <w:p w:rsidR="0016531D" w:rsidRPr="001F6FF8" w:rsidP="00733BD8" w14:paraId="07D9289F" w14:textId="77777777">
            <w:pPr>
              <w:keepNext/>
              <w:keepLines/>
              <w:jc w:val="center"/>
              <w:rPr>
                <w:sz w:val="16"/>
                <w:szCs w:val="16"/>
              </w:rPr>
            </w:pPr>
          </w:p>
        </w:tc>
        <w:tc>
          <w:tcPr>
            <w:tcW w:w="969" w:type="dxa"/>
            <w:tcBorders>
              <w:top w:val="nil"/>
              <w:left w:val="nil"/>
              <w:bottom w:val="single" w:sz="4" w:space="0" w:color="auto"/>
              <w:right w:val="nil"/>
            </w:tcBorders>
            <w:shd w:val="clear" w:color="auto" w:fill="auto"/>
            <w:noWrap/>
            <w:vAlign w:val="center"/>
            <w:hideMark/>
          </w:tcPr>
          <w:p w:rsidR="0016531D" w:rsidRPr="001F6FF8" w:rsidP="00733BD8" w14:paraId="30F81C20" w14:textId="77777777">
            <w:pPr>
              <w:keepNext/>
              <w:keepLines/>
              <w:jc w:val="center"/>
              <w:rPr>
                <w:sz w:val="16"/>
                <w:szCs w:val="16"/>
              </w:rPr>
            </w:pPr>
          </w:p>
        </w:tc>
        <w:tc>
          <w:tcPr>
            <w:tcW w:w="970" w:type="dxa"/>
            <w:tcBorders>
              <w:top w:val="nil"/>
              <w:left w:val="nil"/>
              <w:bottom w:val="single" w:sz="4" w:space="0" w:color="auto"/>
              <w:right w:val="nil"/>
            </w:tcBorders>
            <w:shd w:val="clear" w:color="auto" w:fill="auto"/>
            <w:noWrap/>
            <w:vAlign w:val="center"/>
            <w:hideMark/>
          </w:tcPr>
          <w:p w:rsidR="0016531D" w:rsidRPr="001F6FF8" w:rsidP="00733BD8" w14:paraId="395BD297" w14:textId="77777777">
            <w:pPr>
              <w:keepNext/>
              <w:keepLines/>
              <w:jc w:val="center"/>
              <w:rPr>
                <w:sz w:val="16"/>
                <w:szCs w:val="16"/>
              </w:rPr>
            </w:pPr>
          </w:p>
        </w:tc>
        <w:tc>
          <w:tcPr>
            <w:tcW w:w="970" w:type="dxa"/>
            <w:tcBorders>
              <w:top w:val="nil"/>
              <w:left w:val="nil"/>
              <w:bottom w:val="single" w:sz="4" w:space="0" w:color="auto"/>
              <w:right w:val="nil"/>
            </w:tcBorders>
            <w:shd w:val="clear" w:color="auto" w:fill="auto"/>
            <w:noWrap/>
            <w:vAlign w:val="center"/>
            <w:hideMark/>
          </w:tcPr>
          <w:p w:rsidR="0016531D" w:rsidRPr="001F6FF8" w:rsidP="00733BD8" w14:paraId="12AAB1F7" w14:textId="77777777">
            <w:pPr>
              <w:keepNext/>
              <w:keepLines/>
              <w:jc w:val="center"/>
              <w:rPr>
                <w:sz w:val="16"/>
                <w:szCs w:val="16"/>
              </w:rPr>
            </w:pPr>
          </w:p>
        </w:tc>
      </w:tr>
      <w:tr w14:paraId="46CA60BD" w14:textId="77777777" w:rsidTr="00B17053">
        <w:tblPrEx>
          <w:tblW w:w="9360" w:type="dxa"/>
          <w:jc w:val="center"/>
          <w:tblLayout w:type="fixed"/>
          <w:tblLook w:val="04A0"/>
        </w:tblPrEx>
        <w:trPr>
          <w:trHeight w:val="560"/>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1B2AFDF8" w14:textId="77777777">
            <w:pPr>
              <w:keepNext/>
              <w:keepLines/>
              <w:rPr>
                <w:sz w:val="16"/>
                <w:szCs w:val="16"/>
              </w:rPr>
            </w:pPr>
            <w:r w:rsidRPr="001F6FF8">
              <w:rPr>
                <w:i/>
                <w:iCs/>
                <w:sz w:val="16"/>
                <w:szCs w:val="16"/>
              </w:rPr>
              <w:t>Bidder Fixed Effects</w:t>
            </w:r>
          </w:p>
        </w:tc>
        <w:tc>
          <w:tcPr>
            <w:tcW w:w="969" w:type="dxa"/>
            <w:tcBorders>
              <w:top w:val="nil"/>
              <w:left w:val="nil"/>
              <w:bottom w:val="nil"/>
              <w:right w:val="nil"/>
            </w:tcBorders>
            <w:shd w:val="clear" w:color="auto" w:fill="auto"/>
            <w:noWrap/>
            <w:vAlign w:val="center"/>
            <w:hideMark/>
          </w:tcPr>
          <w:p w:rsidR="0016531D" w:rsidRPr="001F6FF8" w:rsidP="00733BD8" w14:paraId="5B5DD062" w14:textId="77777777">
            <w:pPr>
              <w:keepNext/>
              <w:keepLines/>
              <w:jc w:val="center"/>
              <w:rPr>
                <w:sz w:val="16"/>
                <w:szCs w:val="16"/>
              </w:rPr>
            </w:pPr>
            <w:r w:rsidRPr="001F6FF8">
              <w:rPr>
                <w:iCs/>
                <w:sz w:val="16"/>
                <w:szCs w:val="16"/>
              </w:rPr>
              <w:t>Yes</w:t>
            </w:r>
          </w:p>
        </w:tc>
        <w:tc>
          <w:tcPr>
            <w:tcW w:w="970" w:type="dxa"/>
            <w:tcBorders>
              <w:top w:val="nil"/>
              <w:left w:val="nil"/>
              <w:bottom w:val="nil"/>
              <w:right w:val="nil"/>
            </w:tcBorders>
            <w:shd w:val="clear" w:color="auto" w:fill="auto"/>
            <w:noWrap/>
            <w:vAlign w:val="center"/>
            <w:hideMark/>
          </w:tcPr>
          <w:p w:rsidR="0016531D" w:rsidRPr="001F6FF8" w:rsidP="00733BD8" w14:paraId="39102FC5" w14:textId="77777777">
            <w:pPr>
              <w:keepNext/>
              <w:keepLines/>
              <w:jc w:val="center"/>
              <w:rPr>
                <w:sz w:val="16"/>
                <w:szCs w:val="16"/>
              </w:rPr>
            </w:pPr>
            <w:r w:rsidRPr="001F6FF8">
              <w:rPr>
                <w:iCs/>
                <w:sz w:val="16"/>
                <w:szCs w:val="16"/>
              </w:rPr>
              <w:t>Yes</w:t>
            </w:r>
          </w:p>
        </w:tc>
        <w:tc>
          <w:tcPr>
            <w:tcW w:w="970" w:type="dxa"/>
            <w:tcBorders>
              <w:top w:val="nil"/>
              <w:left w:val="nil"/>
              <w:bottom w:val="nil"/>
              <w:right w:val="nil"/>
            </w:tcBorders>
            <w:shd w:val="clear" w:color="auto" w:fill="auto"/>
            <w:noWrap/>
            <w:vAlign w:val="center"/>
            <w:hideMark/>
          </w:tcPr>
          <w:p w:rsidR="0016531D" w:rsidRPr="001F6FF8" w:rsidP="00733BD8" w14:paraId="3D056F2F" w14:textId="77777777">
            <w:pPr>
              <w:keepNext/>
              <w:keepLines/>
              <w:jc w:val="center"/>
              <w:rPr>
                <w:sz w:val="16"/>
                <w:szCs w:val="16"/>
              </w:rPr>
            </w:pPr>
            <w:r w:rsidRPr="001F6FF8">
              <w:rPr>
                <w:iCs/>
                <w:sz w:val="16"/>
                <w:szCs w:val="16"/>
              </w:rPr>
              <w:t>Yes</w:t>
            </w:r>
          </w:p>
        </w:tc>
        <w:tc>
          <w:tcPr>
            <w:tcW w:w="969" w:type="dxa"/>
            <w:tcBorders>
              <w:top w:val="nil"/>
              <w:left w:val="nil"/>
              <w:bottom w:val="nil"/>
              <w:right w:val="nil"/>
            </w:tcBorders>
            <w:shd w:val="clear" w:color="auto" w:fill="auto"/>
            <w:noWrap/>
            <w:vAlign w:val="center"/>
            <w:hideMark/>
          </w:tcPr>
          <w:p w:rsidR="0016531D" w:rsidRPr="001F6FF8" w:rsidP="00733BD8" w14:paraId="14873704" w14:textId="77777777">
            <w:pPr>
              <w:keepNext/>
              <w:keepLines/>
              <w:jc w:val="center"/>
              <w:rPr>
                <w:sz w:val="16"/>
                <w:szCs w:val="16"/>
              </w:rPr>
            </w:pPr>
            <w:r w:rsidRPr="001F6FF8">
              <w:rPr>
                <w:iCs/>
                <w:sz w:val="16"/>
                <w:szCs w:val="16"/>
              </w:rPr>
              <w:t>Yes</w:t>
            </w:r>
          </w:p>
        </w:tc>
        <w:tc>
          <w:tcPr>
            <w:tcW w:w="970" w:type="dxa"/>
            <w:tcBorders>
              <w:top w:val="nil"/>
              <w:left w:val="nil"/>
              <w:bottom w:val="nil"/>
              <w:right w:val="nil"/>
            </w:tcBorders>
            <w:shd w:val="clear" w:color="auto" w:fill="auto"/>
            <w:noWrap/>
            <w:vAlign w:val="center"/>
            <w:hideMark/>
          </w:tcPr>
          <w:p w:rsidR="0016531D" w:rsidRPr="001F6FF8" w:rsidP="00733BD8" w14:paraId="22565F3C" w14:textId="77777777">
            <w:pPr>
              <w:keepNext/>
              <w:keepLines/>
              <w:jc w:val="center"/>
              <w:rPr>
                <w:sz w:val="16"/>
                <w:szCs w:val="16"/>
              </w:rPr>
            </w:pPr>
            <w:r w:rsidRPr="001F6FF8">
              <w:rPr>
                <w:iCs/>
                <w:sz w:val="16"/>
                <w:szCs w:val="16"/>
              </w:rPr>
              <w:t>Yes</w:t>
            </w:r>
          </w:p>
        </w:tc>
        <w:tc>
          <w:tcPr>
            <w:tcW w:w="970" w:type="dxa"/>
            <w:tcBorders>
              <w:top w:val="nil"/>
              <w:left w:val="nil"/>
              <w:bottom w:val="nil"/>
              <w:right w:val="nil"/>
            </w:tcBorders>
            <w:shd w:val="clear" w:color="auto" w:fill="auto"/>
            <w:noWrap/>
            <w:vAlign w:val="center"/>
            <w:hideMark/>
          </w:tcPr>
          <w:p w:rsidR="0016531D" w:rsidRPr="001F6FF8" w:rsidP="00733BD8" w14:paraId="66903EE9" w14:textId="77777777">
            <w:pPr>
              <w:keepNext/>
              <w:keepLines/>
              <w:jc w:val="center"/>
              <w:rPr>
                <w:sz w:val="16"/>
                <w:szCs w:val="16"/>
              </w:rPr>
            </w:pPr>
            <w:r w:rsidRPr="001F6FF8">
              <w:rPr>
                <w:iCs/>
                <w:sz w:val="16"/>
                <w:szCs w:val="16"/>
              </w:rPr>
              <w:t>Yes</w:t>
            </w:r>
          </w:p>
        </w:tc>
      </w:tr>
      <w:tr w14:paraId="4EFED65D" w14:textId="77777777" w:rsidTr="00B17053">
        <w:tblPrEx>
          <w:tblW w:w="9360" w:type="dxa"/>
          <w:jc w:val="center"/>
          <w:tblLayout w:type="fixed"/>
          <w:tblLook w:val="04A0"/>
        </w:tblPrEx>
        <w:trPr>
          <w:trHeight w:val="27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5CEE024F" w14:textId="77777777">
            <w:pPr>
              <w:keepNext/>
              <w:keepLines/>
              <w:rPr>
                <w:i/>
                <w:iCs/>
                <w:sz w:val="16"/>
                <w:szCs w:val="16"/>
              </w:rPr>
            </w:pPr>
            <w:r w:rsidRPr="001F6FF8">
              <w:rPr>
                <w:i/>
                <w:iCs/>
                <w:sz w:val="16"/>
                <w:szCs w:val="16"/>
              </w:rPr>
              <w:t>Weighted Average Basis</w:t>
            </w:r>
          </w:p>
        </w:tc>
        <w:tc>
          <w:tcPr>
            <w:tcW w:w="969" w:type="dxa"/>
            <w:tcBorders>
              <w:top w:val="nil"/>
              <w:left w:val="nil"/>
              <w:bottom w:val="nil"/>
              <w:right w:val="nil"/>
            </w:tcBorders>
            <w:shd w:val="clear" w:color="auto" w:fill="auto"/>
            <w:noWrap/>
            <w:vAlign w:val="center"/>
          </w:tcPr>
          <w:p w:rsidR="0016531D" w:rsidRPr="001F6FF8" w:rsidP="00733BD8" w14:paraId="31DB6DC3" w14:textId="77777777">
            <w:pPr>
              <w:keepNext/>
              <w:keepLines/>
              <w:jc w:val="center"/>
              <w:rPr>
                <w:sz w:val="16"/>
                <w:szCs w:val="16"/>
              </w:rPr>
            </w:pPr>
            <w:r w:rsidRPr="001F6FF8">
              <w:rPr>
                <w:iCs/>
                <w:sz w:val="16"/>
                <w:szCs w:val="16"/>
              </w:rPr>
              <w:t>Land Area</w:t>
            </w:r>
          </w:p>
        </w:tc>
        <w:tc>
          <w:tcPr>
            <w:tcW w:w="970" w:type="dxa"/>
            <w:tcBorders>
              <w:top w:val="nil"/>
              <w:left w:val="nil"/>
              <w:bottom w:val="nil"/>
              <w:right w:val="nil"/>
            </w:tcBorders>
            <w:shd w:val="clear" w:color="auto" w:fill="auto"/>
            <w:noWrap/>
            <w:vAlign w:val="center"/>
          </w:tcPr>
          <w:p w:rsidR="0016531D" w:rsidRPr="001F6FF8" w:rsidP="00733BD8" w14:paraId="4A0E9C3E" w14:textId="77777777">
            <w:pPr>
              <w:keepNext/>
              <w:keepLines/>
              <w:jc w:val="center"/>
              <w:rPr>
                <w:sz w:val="16"/>
                <w:szCs w:val="16"/>
              </w:rPr>
            </w:pPr>
            <w:r w:rsidRPr="001F6FF8">
              <w:rPr>
                <w:iCs/>
                <w:sz w:val="16"/>
                <w:szCs w:val="16"/>
              </w:rPr>
              <w:t>Land Area</w:t>
            </w:r>
          </w:p>
        </w:tc>
        <w:tc>
          <w:tcPr>
            <w:tcW w:w="970" w:type="dxa"/>
            <w:tcBorders>
              <w:top w:val="nil"/>
              <w:left w:val="nil"/>
              <w:bottom w:val="nil"/>
              <w:right w:val="nil"/>
            </w:tcBorders>
            <w:shd w:val="clear" w:color="auto" w:fill="auto"/>
            <w:noWrap/>
            <w:vAlign w:val="center"/>
          </w:tcPr>
          <w:p w:rsidR="0016531D" w:rsidRPr="001F6FF8" w:rsidP="00733BD8" w14:paraId="2D8CDE86" w14:textId="77777777">
            <w:pPr>
              <w:keepNext/>
              <w:keepLines/>
              <w:jc w:val="center"/>
              <w:rPr>
                <w:sz w:val="16"/>
                <w:szCs w:val="16"/>
              </w:rPr>
            </w:pPr>
            <w:r w:rsidRPr="001F6FF8">
              <w:rPr>
                <w:iCs/>
                <w:sz w:val="16"/>
                <w:szCs w:val="16"/>
              </w:rPr>
              <w:t>Land Area</w:t>
            </w:r>
          </w:p>
        </w:tc>
        <w:tc>
          <w:tcPr>
            <w:tcW w:w="969" w:type="dxa"/>
            <w:tcBorders>
              <w:top w:val="nil"/>
              <w:left w:val="nil"/>
              <w:bottom w:val="nil"/>
              <w:right w:val="nil"/>
            </w:tcBorders>
            <w:shd w:val="clear" w:color="auto" w:fill="auto"/>
            <w:noWrap/>
            <w:vAlign w:val="center"/>
          </w:tcPr>
          <w:p w:rsidR="0016531D" w:rsidRPr="001F6FF8" w:rsidP="00733BD8" w14:paraId="10419905" w14:textId="77777777">
            <w:pPr>
              <w:keepNext/>
              <w:keepLines/>
              <w:jc w:val="center"/>
              <w:rPr>
                <w:sz w:val="16"/>
                <w:szCs w:val="16"/>
              </w:rPr>
            </w:pPr>
            <w:r w:rsidRPr="001F6FF8">
              <w:rPr>
                <w:iCs/>
                <w:sz w:val="16"/>
                <w:szCs w:val="16"/>
              </w:rPr>
              <w:t>Road Miles</w:t>
            </w:r>
          </w:p>
        </w:tc>
        <w:tc>
          <w:tcPr>
            <w:tcW w:w="970" w:type="dxa"/>
            <w:tcBorders>
              <w:top w:val="nil"/>
              <w:left w:val="nil"/>
              <w:bottom w:val="nil"/>
              <w:right w:val="nil"/>
            </w:tcBorders>
            <w:shd w:val="clear" w:color="auto" w:fill="auto"/>
            <w:noWrap/>
            <w:vAlign w:val="center"/>
          </w:tcPr>
          <w:p w:rsidR="0016531D" w:rsidRPr="001F6FF8" w:rsidP="00733BD8" w14:paraId="3F97FC3B" w14:textId="77777777">
            <w:pPr>
              <w:keepNext/>
              <w:keepLines/>
              <w:jc w:val="center"/>
              <w:rPr>
                <w:sz w:val="16"/>
                <w:szCs w:val="16"/>
              </w:rPr>
            </w:pPr>
            <w:r w:rsidRPr="001F6FF8">
              <w:rPr>
                <w:iCs/>
                <w:sz w:val="16"/>
                <w:szCs w:val="16"/>
              </w:rPr>
              <w:t>Road Miles</w:t>
            </w:r>
          </w:p>
        </w:tc>
        <w:tc>
          <w:tcPr>
            <w:tcW w:w="970" w:type="dxa"/>
            <w:tcBorders>
              <w:top w:val="nil"/>
              <w:left w:val="nil"/>
              <w:bottom w:val="nil"/>
              <w:right w:val="nil"/>
            </w:tcBorders>
            <w:shd w:val="clear" w:color="auto" w:fill="auto"/>
            <w:noWrap/>
            <w:vAlign w:val="center"/>
          </w:tcPr>
          <w:p w:rsidR="0016531D" w:rsidRPr="001F6FF8" w:rsidP="00733BD8" w14:paraId="44B42BBD" w14:textId="77777777">
            <w:pPr>
              <w:keepNext/>
              <w:keepLines/>
              <w:jc w:val="center"/>
              <w:rPr>
                <w:sz w:val="16"/>
                <w:szCs w:val="16"/>
              </w:rPr>
            </w:pPr>
            <w:r w:rsidRPr="001F6FF8">
              <w:rPr>
                <w:iCs/>
                <w:sz w:val="16"/>
                <w:szCs w:val="16"/>
              </w:rPr>
              <w:t>Road Miles</w:t>
            </w:r>
          </w:p>
        </w:tc>
      </w:tr>
      <w:tr w14:paraId="2420A85A" w14:textId="77777777" w:rsidTr="00B17053">
        <w:tblPrEx>
          <w:tblW w:w="9360" w:type="dxa"/>
          <w:jc w:val="center"/>
          <w:tblLayout w:type="fixed"/>
          <w:tblLook w:val="04A0"/>
        </w:tblPrEx>
        <w:trPr>
          <w:trHeight w:val="939"/>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21728C6C" w14:textId="77777777">
            <w:pPr>
              <w:keepNext/>
              <w:keepLines/>
              <w:rPr>
                <w:i/>
                <w:iCs/>
                <w:sz w:val="16"/>
                <w:szCs w:val="16"/>
              </w:rPr>
            </w:pPr>
            <w:r w:rsidRPr="001F6FF8">
              <w:rPr>
                <w:i/>
                <w:iCs/>
                <w:sz w:val="16"/>
                <w:szCs w:val="16"/>
              </w:rPr>
              <w:t>Sample</w:t>
            </w:r>
          </w:p>
        </w:tc>
        <w:tc>
          <w:tcPr>
            <w:tcW w:w="969" w:type="dxa"/>
            <w:tcBorders>
              <w:top w:val="nil"/>
              <w:left w:val="nil"/>
              <w:bottom w:val="nil"/>
              <w:right w:val="nil"/>
            </w:tcBorders>
            <w:shd w:val="clear" w:color="auto" w:fill="auto"/>
            <w:noWrap/>
            <w:vAlign w:val="center"/>
            <w:hideMark/>
          </w:tcPr>
          <w:p w:rsidR="0016531D" w:rsidRPr="001F6FF8" w:rsidP="00733BD8" w14:paraId="4281CE85" w14:textId="77777777">
            <w:pPr>
              <w:keepNext/>
              <w:keepLines/>
              <w:jc w:val="center"/>
              <w:rPr>
                <w:iCs/>
                <w:sz w:val="16"/>
                <w:szCs w:val="16"/>
              </w:rPr>
            </w:pPr>
            <w:r w:rsidRPr="001F6FF8">
              <w:rPr>
                <w:iCs/>
                <w:sz w:val="16"/>
                <w:szCs w:val="16"/>
              </w:rPr>
              <w:t>Full</w:t>
            </w:r>
          </w:p>
        </w:tc>
        <w:tc>
          <w:tcPr>
            <w:tcW w:w="970" w:type="dxa"/>
            <w:tcBorders>
              <w:top w:val="nil"/>
              <w:left w:val="nil"/>
              <w:bottom w:val="nil"/>
              <w:right w:val="nil"/>
            </w:tcBorders>
            <w:shd w:val="clear" w:color="auto" w:fill="auto"/>
            <w:noWrap/>
            <w:vAlign w:val="center"/>
            <w:hideMark/>
          </w:tcPr>
          <w:p w:rsidR="0016531D" w:rsidRPr="001F6FF8" w:rsidP="00733BD8" w14:paraId="08DCA281" w14:textId="77777777">
            <w:pPr>
              <w:keepNext/>
              <w:keepLines/>
              <w:jc w:val="center"/>
              <w:rPr>
                <w:iCs/>
                <w:sz w:val="16"/>
                <w:szCs w:val="16"/>
              </w:rPr>
            </w:pPr>
            <w:r w:rsidRPr="001F6FF8">
              <w:rPr>
                <w:iCs/>
                <w:sz w:val="16"/>
                <w:szCs w:val="16"/>
              </w:rPr>
              <w:t>No Defaults</w:t>
            </w:r>
          </w:p>
        </w:tc>
        <w:tc>
          <w:tcPr>
            <w:tcW w:w="970" w:type="dxa"/>
            <w:tcBorders>
              <w:top w:val="nil"/>
              <w:left w:val="nil"/>
              <w:bottom w:val="nil"/>
              <w:right w:val="nil"/>
            </w:tcBorders>
            <w:shd w:val="clear" w:color="auto" w:fill="auto"/>
            <w:noWrap/>
            <w:vAlign w:val="center"/>
            <w:hideMark/>
          </w:tcPr>
          <w:p w:rsidR="0016531D" w:rsidRPr="001F6FF8" w:rsidP="00733BD8" w14:paraId="1352EEB5" w14:textId="77777777">
            <w:pPr>
              <w:keepNext/>
              <w:keepLines/>
              <w:jc w:val="center"/>
              <w:rPr>
                <w:iCs/>
                <w:sz w:val="16"/>
                <w:szCs w:val="16"/>
              </w:rPr>
            </w:pPr>
            <w:r w:rsidRPr="001F6FF8">
              <w:rPr>
                <w:iCs/>
                <w:sz w:val="16"/>
                <w:szCs w:val="16"/>
              </w:rPr>
              <w:t>No Defaults and Only Winning Bids</w:t>
            </w:r>
          </w:p>
        </w:tc>
        <w:tc>
          <w:tcPr>
            <w:tcW w:w="969" w:type="dxa"/>
            <w:tcBorders>
              <w:top w:val="nil"/>
              <w:left w:val="nil"/>
              <w:bottom w:val="nil"/>
              <w:right w:val="nil"/>
            </w:tcBorders>
            <w:shd w:val="clear" w:color="auto" w:fill="auto"/>
            <w:noWrap/>
            <w:vAlign w:val="center"/>
            <w:hideMark/>
          </w:tcPr>
          <w:p w:rsidR="0016531D" w:rsidRPr="001F6FF8" w:rsidP="00733BD8" w14:paraId="6F9C3FF0" w14:textId="77777777">
            <w:pPr>
              <w:keepNext/>
              <w:keepLines/>
              <w:jc w:val="center"/>
              <w:rPr>
                <w:iCs/>
                <w:sz w:val="16"/>
                <w:szCs w:val="16"/>
              </w:rPr>
            </w:pPr>
            <w:r w:rsidRPr="001F6FF8">
              <w:rPr>
                <w:iCs/>
                <w:sz w:val="16"/>
                <w:szCs w:val="16"/>
              </w:rPr>
              <w:t>Full</w:t>
            </w:r>
          </w:p>
        </w:tc>
        <w:tc>
          <w:tcPr>
            <w:tcW w:w="970" w:type="dxa"/>
            <w:tcBorders>
              <w:top w:val="nil"/>
              <w:left w:val="nil"/>
              <w:bottom w:val="nil"/>
              <w:right w:val="nil"/>
            </w:tcBorders>
            <w:shd w:val="clear" w:color="auto" w:fill="auto"/>
            <w:noWrap/>
            <w:vAlign w:val="center"/>
            <w:hideMark/>
          </w:tcPr>
          <w:p w:rsidR="0016531D" w:rsidRPr="001F6FF8" w:rsidP="00733BD8" w14:paraId="584DBE24" w14:textId="77777777">
            <w:pPr>
              <w:keepNext/>
              <w:keepLines/>
              <w:jc w:val="center"/>
              <w:rPr>
                <w:iCs/>
                <w:sz w:val="16"/>
                <w:szCs w:val="16"/>
              </w:rPr>
            </w:pPr>
            <w:r w:rsidRPr="001F6FF8">
              <w:rPr>
                <w:iCs/>
                <w:sz w:val="16"/>
                <w:szCs w:val="16"/>
              </w:rPr>
              <w:t>No Defaults</w:t>
            </w:r>
          </w:p>
        </w:tc>
        <w:tc>
          <w:tcPr>
            <w:tcW w:w="970" w:type="dxa"/>
            <w:tcBorders>
              <w:top w:val="nil"/>
              <w:left w:val="nil"/>
              <w:bottom w:val="nil"/>
              <w:right w:val="nil"/>
            </w:tcBorders>
            <w:shd w:val="clear" w:color="auto" w:fill="auto"/>
            <w:noWrap/>
            <w:vAlign w:val="center"/>
            <w:hideMark/>
          </w:tcPr>
          <w:p w:rsidR="0016531D" w:rsidRPr="001F6FF8" w:rsidP="00733BD8" w14:paraId="398450E8" w14:textId="77777777">
            <w:pPr>
              <w:keepNext/>
              <w:keepLines/>
              <w:jc w:val="center"/>
              <w:rPr>
                <w:iCs/>
                <w:sz w:val="16"/>
                <w:szCs w:val="16"/>
              </w:rPr>
            </w:pPr>
            <w:r w:rsidRPr="001F6FF8">
              <w:rPr>
                <w:iCs/>
                <w:sz w:val="16"/>
                <w:szCs w:val="16"/>
              </w:rPr>
              <w:t>No Defaults and Only Winning Bids</w:t>
            </w:r>
          </w:p>
        </w:tc>
      </w:tr>
      <w:tr w14:paraId="32CAC7C9" w14:textId="77777777" w:rsidTr="00B17053">
        <w:tblPrEx>
          <w:tblW w:w="9360" w:type="dxa"/>
          <w:jc w:val="center"/>
          <w:tblLayout w:type="fixed"/>
          <w:tblLook w:val="04A0"/>
        </w:tblPrEx>
        <w:trPr>
          <w:trHeight w:val="381"/>
          <w:jc w:val="center"/>
        </w:trPr>
        <w:tc>
          <w:tcPr>
            <w:tcW w:w="3542" w:type="dxa"/>
            <w:gridSpan w:val="2"/>
            <w:tcBorders>
              <w:top w:val="nil"/>
              <w:left w:val="nil"/>
              <w:bottom w:val="nil"/>
              <w:right w:val="nil"/>
            </w:tcBorders>
            <w:shd w:val="clear" w:color="auto" w:fill="auto"/>
            <w:noWrap/>
            <w:vAlign w:val="center"/>
            <w:hideMark/>
          </w:tcPr>
          <w:p w:rsidR="0016531D" w:rsidRPr="001F6FF8" w:rsidP="00733BD8" w14:paraId="13E756E5" w14:textId="77777777">
            <w:pPr>
              <w:keepNext/>
              <w:keepLines/>
              <w:rPr>
                <w:i/>
                <w:iCs/>
                <w:sz w:val="16"/>
                <w:szCs w:val="16"/>
              </w:rPr>
            </w:pPr>
            <w:r w:rsidRPr="001F6FF8">
              <w:rPr>
                <w:i/>
                <w:iCs/>
                <w:sz w:val="16"/>
                <w:szCs w:val="16"/>
              </w:rPr>
              <w:t>Observations</w:t>
            </w:r>
          </w:p>
        </w:tc>
        <w:tc>
          <w:tcPr>
            <w:tcW w:w="969" w:type="dxa"/>
            <w:tcBorders>
              <w:top w:val="nil"/>
              <w:left w:val="nil"/>
              <w:bottom w:val="nil"/>
              <w:right w:val="nil"/>
            </w:tcBorders>
            <w:shd w:val="clear" w:color="auto" w:fill="auto"/>
            <w:noWrap/>
            <w:vAlign w:val="center"/>
            <w:hideMark/>
          </w:tcPr>
          <w:p w:rsidR="0016531D" w:rsidRPr="001F6FF8" w:rsidP="00733BD8" w14:paraId="2CFD4CA2" w14:textId="77777777">
            <w:pPr>
              <w:keepNext/>
              <w:keepLines/>
              <w:jc w:val="center"/>
              <w:rPr>
                <w:i/>
                <w:iCs/>
                <w:sz w:val="16"/>
                <w:szCs w:val="16"/>
              </w:rPr>
            </w:pPr>
            <w:r w:rsidRPr="001F6FF8">
              <w:rPr>
                <w:sz w:val="16"/>
                <w:szCs w:val="16"/>
              </w:rPr>
              <w:t>517</w:t>
            </w:r>
          </w:p>
        </w:tc>
        <w:tc>
          <w:tcPr>
            <w:tcW w:w="970" w:type="dxa"/>
            <w:tcBorders>
              <w:top w:val="nil"/>
              <w:left w:val="nil"/>
              <w:bottom w:val="nil"/>
              <w:right w:val="nil"/>
            </w:tcBorders>
            <w:shd w:val="clear" w:color="auto" w:fill="auto"/>
            <w:noWrap/>
            <w:vAlign w:val="center"/>
            <w:hideMark/>
          </w:tcPr>
          <w:p w:rsidR="0016531D" w:rsidRPr="001F6FF8" w:rsidP="00733BD8" w14:paraId="0C71BA99" w14:textId="77777777">
            <w:pPr>
              <w:keepNext/>
              <w:keepLines/>
              <w:jc w:val="center"/>
              <w:rPr>
                <w:i/>
                <w:iCs/>
                <w:sz w:val="16"/>
                <w:szCs w:val="16"/>
              </w:rPr>
            </w:pPr>
            <w:r w:rsidRPr="001F6FF8">
              <w:rPr>
                <w:sz w:val="16"/>
                <w:szCs w:val="16"/>
              </w:rPr>
              <w:t>292</w:t>
            </w:r>
          </w:p>
        </w:tc>
        <w:tc>
          <w:tcPr>
            <w:tcW w:w="970" w:type="dxa"/>
            <w:tcBorders>
              <w:top w:val="nil"/>
              <w:left w:val="nil"/>
              <w:bottom w:val="nil"/>
              <w:right w:val="nil"/>
            </w:tcBorders>
            <w:shd w:val="clear" w:color="auto" w:fill="auto"/>
            <w:noWrap/>
            <w:vAlign w:val="center"/>
            <w:hideMark/>
          </w:tcPr>
          <w:p w:rsidR="0016531D" w:rsidRPr="001F6FF8" w:rsidP="00733BD8" w14:paraId="02102799" w14:textId="77777777">
            <w:pPr>
              <w:keepNext/>
              <w:keepLines/>
              <w:jc w:val="center"/>
              <w:rPr>
                <w:i/>
                <w:iCs/>
                <w:sz w:val="16"/>
                <w:szCs w:val="16"/>
              </w:rPr>
            </w:pPr>
            <w:r w:rsidRPr="001F6FF8">
              <w:rPr>
                <w:sz w:val="16"/>
                <w:szCs w:val="16"/>
              </w:rPr>
              <w:t>216</w:t>
            </w:r>
          </w:p>
        </w:tc>
        <w:tc>
          <w:tcPr>
            <w:tcW w:w="969" w:type="dxa"/>
            <w:tcBorders>
              <w:top w:val="nil"/>
              <w:left w:val="nil"/>
              <w:bottom w:val="nil"/>
              <w:right w:val="nil"/>
            </w:tcBorders>
            <w:shd w:val="clear" w:color="auto" w:fill="auto"/>
            <w:noWrap/>
            <w:vAlign w:val="center"/>
            <w:hideMark/>
          </w:tcPr>
          <w:p w:rsidR="0016531D" w:rsidRPr="001F6FF8" w:rsidP="00733BD8" w14:paraId="40CBCBE8" w14:textId="77777777">
            <w:pPr>
              <w:keepNext/>
              <w:keepLines/>
              <w:jc w:val="center"/>
              <w:rPr>
                <w:i/>
                <w:iCs/>
                <w:sz w:val="16"/>
                <w:szCs w:val="16"/>
              </w:rPr>
            </w:pPr>
            <w:r w:rsidRPr="001F6FF8">
              <w:rPr>
                <w:sz w:val="16"/>
                <w:szCs w:val="16"/>
              </w:rPr>
              <w:t>517</w:t>
            </w:r>
          </w:p>
        </w:tc>
        <w:tc>
          <w:tcPr>
            <w:tcW w:w="970" w:type="dxa"/>
            <w:tcBorders>
              <w:top w:val="nil"/>
              <w:left w:val="nil"/>
              <w:bottom w:val="nil"/>
              <w:right w:val="nil"/>
            </w:tcBorders>
            <w:shd w:val="clear" w:color="auto" w:fill="auto"/>
            <w:noWrap/>
            <w:vAlign w:val="center"/>
            <w:hideMark/>
          </w:tcPr>
          <w:p w:rsidR="0016531D" w:rsidRPr="001F6FF8" w:rsidP="00733BD8" w14:paraId="655A6D61" w14:textId="77777777">
            <w:pPr>
              <w:keepNext/>
              <w:keepLines/>
              <w:jc w:val="center"/>
              <w:rPr>
                <w:i/>
                <w:iCs/>
                <w:sz w:val="16"/>
                <w:szCs w:val="16"/>
              </w:rPr>
            </w:pPr>
            <w:r w:rsidRPr="001F6FF8">
              <w:rPr>
                <w:sz w:val="16"/>
                <w:szCs w:val="16"/>
              </w:rPr>
              <w:t>292</w:t>
            </w:r>
          </w:p>
        </w:tc>
        <w:tc>
          <w:tcPr>
            <w:tcW w:w="970" w:type="dxa"/>
            <w:tcBorders>
              <w:top w:val="nil"/>
              <w:left w:val="nil"/>
              <w:bottom w:val="nil"/>
              <w:right w:val="nil"/>
            </w:tcBorders>
            <w:shd w:val="clear" w:color="auto" w:fill="auto"/>
            <w:noWrap/>
            <w:vAlign w:val="center"/>
            <w:hideMark/>
          </w:tcPr>
          <w:p w:rsidR="0016531D" w:rsidRPr="001F6FF8" w:rsidP="00733BD8" w14:paraId="59231ADF" w14:textId="77777777">
            <w:pPr>
              <w:keepNext/>
              <w:keepLines/>
              <w:jc w:val="center"/>
              <w:rPr>
                <w:i/>
                <w:iCs/>
                <w:sz w:val="16"/>
                <w:szCs w:val="16"/>
              </w:rPr>
            </w:pPr>
            <w:r w:rsidRPr="001F6FF8">
              <w:rPr>
                <w:sz w:val="16"/>
                <w:szCs w:val="16"/>
              </w:rPr>
              <w:t>216</w:t>
            </w:r>
          </w:p>
        </w:tc>
      </w:tr>
      <w:tr w14:paraId="639C91D5" w14:textId="77777777" w:rsidTr="00B17053">
        <w:tblPrEx>
          <w:tblW w:w="9360" w:type="dxa"/>
          <w:jc w:val="center"/>
          <w:tblLayout w:type="fixed"/>
          <w:tblLook w:val="04A0"/>
        </w:tblPrEx>
        <w:trPr>
          <w:trHeight w:val="561"/>
          <w:jc w:val="center"/>
        </w:trPr>
        <w:tc>
          <w:tcPr>
            <w:tcW w:w="3542" w:type="dxa"/>
            <w:gridSpan w:val="2"/>
            <w:tcBorders>
              <w:top w:val="nil"/>
              <w:left w:val="nil"/>
              <w:bottom w:val="single" w:sz="4" w:space="0" w:color="auto"/>
              <w:right w:val="nil"/>
            </w:tcBorders>
            <w:shd w:val="clear" w:color="auto" w:fill="auto"/>
            <w:noWrap/>
            <w:vAlign w:val="center"/>
            <w:hideMark/>
          </w:tcPr>
          <w:p w:rsidR="0016531D" w:rsidRPr="001F6FF8" w:rsidP="00733BD8" w14:paraId="285F3DA4" w14:textId="77777777">
            <w:pPr>
              <w:keepNext/>
              <w:keepLines/>
              <w:rPr>
                <w:i/>
                <w:iCs/>
                <w:sz w:val="16"/>
                <w:szCs w:val="16"/>
              </w:rPr>
            </w:pPr>
            <w:r w:rsidRPr="001F6FF8">
              <w:rPr>
                <w:i/>
                <w:iCs/>
                <w:sz w:val="16"/>
                <w:szCs w:val="16"/>
              </w:rPr>
              <w:t>R</w:t>
            </w:r>
            <w:r w:rsidRPr="001F6FF8">
              <w:rPr>
                <w:i/>
                <w:iCs/>
                <w:sz w:val="16"/>
                <w:szCs w:val="16"/>
                <w:vertAlign w:val="superscript"/>
              </w:rPr>
              <w:t>2</w:t>
            </w:r>
          </w:p>
        </w:tc>
        <w:tc>
          <w:tcPr>
            <w:tcW w:w="969" w:type="dxa"/>
            <w:tcBorders>
              <w:top w:val="nil"/>
              <w:left w:val="nil"/>
              <w:bottom w:val="single" w:sz="4" w:space="0" w:color="auto"/>
              <w:right w:val="nil"/>
            </w:tcBorders>
            <w:shd w:val="clear" w:color="auto" w:fill="auto"/>
            <w:vAlign w:val="center"/>
            <w:hideMark/>
          </w:tcPr>
          <w:p w:rsidR="0016531D" w:rsidRPr="001F6FF8" w:rsidP="00733BD8" w14:paraId="68CC8B53" w14:textId="77777777">
            <w:pPr>
              <w:keepNext/>
              <w:keepLines/>
              <w:jc w:val="center"/>
              <w:rPr>
                <w:i/>
                <w:iCs/>
                <w:sz w:val="16"/>
                <w:szCs w:val="16"/>
              </w:rPr>
            </w:pPr>
            <w:r w:rsidRPr="001F6FF8">
              <w:rPr>
                <w:sz w:val="16"/>
                <w:szCs w:val="16"/>
              </w:rPr>
              <w:t>0.30</w:t>
            </w:r>
          </w:p>
        </w:tc>
        <w:tc>
          <w:tcPr>
            <w:tcW w:w="970" w:type="dxa"/>
            <w:tcBorders>
              <w:top w:val="nil"/>
              <w:left w:val="nil"/>
              <w:bottom w:val="single" w:sz="4" w:space="0" w:color="auto"/>
              <w:right w:val="nil"/>
            </w:tcBorders>
            <w:shd w:val="clear" w:color="auto" w:fill="auto"/>
            <w:vAlign w:val="center"/>
            <w:hideMark/>
          </w:tcPr>
          <w:p w:rsidR="0016531D" w:rsidRPr="001F6FF8" w:rsidP="00733BD8" w14:paraId="0A09EBB0" w14:textId="77777777">
            <w:pPr>
              <w:keepNext/>
              <w:keepLines/>
              <w:jc w:val="center"/>
              <w:rPr>
                <w:i/>
                <w:iCs/>
                <w:sz w:val="16"/>
                <w:szCs w:val="16"/>
              </w:rPr>
            </w:pPr>
            <w:r w:rsidRPr="001F6FF8">
              <w:rPr>
                <w:sz w:val="16"/>
                <w:szCs w:val="16"/>
              </w:rPr>
              <w:t>0.46</w:t>
            </w:r>
          </w:p>
        </w:tc>
        <w:tc>
          <w:tcPr>
            <w:tcW w:w="970" w:type="dxa"/>
            <w:tcBorders>
              <w:top w:val="nil"/>
              <w:left w:val="nil"/>
              <w:bottom w:val="single" w:sz="4" w:space="0" w:color="auto"/>
              <w:right w:val="nil"/>
            </w:tcBorders>
            <w:shd w:val="clear" w:color="auto" w:fill="auto"/>
            <w:vAlign w:val="center"/>
            <w:hideMark/>
          </w:tcPr>
          <w:p w:rsidR="0016531D" w:rsidRPr="001F6FF8" w:rsidP="00733BD8" w14:paraId="39A36E11" w14:textId="77777777">
            <w:pPr>
              <w:keepNext/>
              <w:keepLines/>
              <w:jc w:val="center"/>
              <w:rPr>
                <w:i/>
                <w:iCs/>
                <w:sz w:val="16"/>
                <w:szCs w:val="16"/>
              </w:rPr>
            </w:pPr>
            <w:r w:rsidRPr="001F6FF8">
              <w:rPr>
                <w:sz w:val="16"/>
                <w:szCs w:val="16"/>
              </w:rPr>
              <w:t>0.45</w:t>
            </w:r>
          </w:p>
        </w:tc>
        <w:tc>
          <w:tcPr>
            <w:tcW w:w="969" w:type="dxa"/>
            <w:tcBorders>
              <w:top w:val="nil"/>
              <w:left w:val="nil"/>
              <w:bottom w:val="single" w:sz="4" w:space="0" w:color="auto"/>
              <w:right w:val="nil"/>
            </w:tcBorders>
            <w:shd w:val="clear" w:color="auto" w:fill="auto"/>
            <w:vAlign w:val="center"/>
            <w:hideMark/>
          </w:tcPr>
          <w:p w:rsidR="0016531D" w:rsidRPr="001F6FF8" w:rsidP="00733BD8" w14:paraId="4DC265AE" w14:textId="77777777">
            <w:pPr>
              <w:keepNext/>
              <w:keepLines/>
              <w:jc w:val="center"/>
              <w:rPr>
                <w:i/>
                <w:iCs/>
                <w:sz w:val="16"/>
                <w:szCs w:val="16"/>
              </w:rPr>
            </w:pPr>
            <w:r w:rsidRPr="001F6FF8">
              <w:rPr>
                <w:sz w:val="16"/>
                <w:szCs w:val="16"/>
              </w:rPr>
              <w:t>0.30</w:t>
            </w:r>
          </w:p>
        </w:tc>
        <w:tc>
          <w:tcPr>
            <w:tcW w:w="970" w:type="dxa"/>
            <w:tcBorders>
              <w:top w:val="nil"/>
              <w:left w:val="nil"/>
              <w:bottom w:val="single" w:sz="4" w:space="0" w:color="auto"/>
              <w:right w:val="nil"/>
            </w:tcBorders>
            <w:shd w:val="clear" w:color="auto" w:fill="auto"/>
            <w:vAlign w:val="center"/>
            <w:hideMark/>
          </w:tcPr>
          <w:p w:rsidR="0016531D" w:rsidRPr="001F6FF8" w:rsidP="00733BD8" w14:paraId="35C3A671" w14:textId="77777777">
            <w:pPr>
              <w:keepNext/>
              <w:keepLines/>
              <w:jc w:val="center"/>
              <w:rPr>
                <w:i/>
                <w:iCs/>
                <w:sz w:val="16"/>
                <w:szCs w:val="16"/>
              </w:rPr>
            </w:pPr>
            <w:r w:rsidRPr="001F6FF8">
              <w:rPr>
                <w:sz w:val="16"/>
                <w:szCs w:val="16"/>
              </w:rPr>
              <w:t>0.46</w:t>
            </w:r>
          </w:p>
        </w:tc>
        <w:tc>
          <w:tcPr>
            <w:tcW w:w="970" w:type="dxa"/>
            <w:tcBorders>
              <w:top w:val="nil"/>
              <w:left w:val="nil"/>
              <w:bottom w:val="single" w:sz="4" w:space="0" w:color="auto"/>
              <w:right w:val="nil"/>
            </w:tcBorders>
            <w:shd w:val="clear" w:color="auto" w:fill="auto"/>
            <w:vAlign w:val="center"/>
            <w:hideMark/>
          </w:tcPr>
          <w:p w:rsidR="0016531D" w:rsidRPr="001F6FF8" w:rsidP="00733BD8" w14:paraId="2DD51BE9" w14:textId="77777777">
            <w:pPr>
              <w:keepNext/>
              <w:keepLines/>
              <w:jc w:val="center"/>
              <w:rPr>
                <w:i/>
                <w:iCs/>
                <w:sz w:val="16"/>
                <w:szCs w:val="16"/>
              </w:rPr>
            </w:pPr>
            <w:r w:rsidRPr="001F6FF8">
              <w:rPr>
                <w:sz w:val="16"/>
                <w:szCs w:val="16"/>
              </w:rPr>
              <w:t>0.45</w:t>
            </w:r>
          </w:p>
        </w:tc>
      </w:tr>
      <w:tr w14:paraId="201DCBA4" w14:textId="77777777" w:rsidTr="00B17053">
        <w:tblPrEx>
          <w:tblW w:w="9360" w:type="dxa"/>
          <w:jc w:val="center"/>
          <w:tblLayout w:type="fixed"/>
          <w:tblLook w:val="04A0"/>
        </w:tblPrEx>
        <w:trPr>
          <w:trHeight w:val="608"/>
          <w:jc w:val="center"/>
        </w:trPr>
        <w:tc>
          <w:tcPr>
            <w:tcW w:w="9360" w:type="dxa"/>
            <w:gridSpan w:val="8"/>
            <w:tcBorders>
              <w:top w:val="single" w:sz="4" w:space="0" w:color="auto"/>
              <w:left w:val="nil"/>
              <w:right w:val="nil"/>
            </w:tcBorders>
            <w:shd w:val="clear" w:color="auto" w:fill="auto"/>
            <w:noWrap/>
            <w:hideMark/>
          </w:tcPr>
          <w:p w:rsidR="0016531D" w:rsidRPr="00BC5B99" w:rsidP="00B17053" w14:paraId="08939091" w14:textId="77777777">
            <w:pPr>
              <w:rPr>
                <w:sz w:val="16"/>
                <w:szCs w:val="16"/>
              </w:rPr>
            </w:pPr>
            <w:r w:rsidRPr="001F6FF8">
              <w:rPr>
                <w:sz w:val="16"/>
                <w:szCs w:val="16"/>
              </w:rPr>
              <w:t>*** p-value&lt;0.01, ** p-value &lt;0.05, * p-value &lt;0.1; standard errors clustered at the bidder level in parenthesis.</w:t>
            </w:r>
          </w:p>
        </w:tc>
      </w:tr>
    </w:tbl>
    <w:p w:rsidR="008638EC" w:rsidP="008638EC" w14:paraId="4502E447" w14:textId="4EBCB133">
      <w:pPr>
        <w:pStyle w:val="Heading1"/>
        <w:numPr>
          <w:ilvl w:val="0"/>
          <w:numId w:val="19"/>
        </w:numPr>
      </w:pPr>
      <w:r>
        <w:t>D</w:t>
      </w:r>
      <w:r>
        <w:t xml:space="preserve">ata </w:t>
      </w:r>
      <w:r>
        <w:t>S</w:t>
      </w:r>
      <w:r>
        <w:t xml:space="preserve">ources and </w:t>
      </w:r>
      <w:r>
        <w:t>V</w:t>
      </w:r>
      <w:r>
        <w:t xml:space="preserve">ariable </w:t>
      </w:r>
      <w:r>
        <w:t>C</w:t>
      </w:r>
      <w:r>
        <w:t>onstruction</w:t>
      </w:r>
    </w:p>
    <w:p w:rsidR="001B10CF" w:rsidP="00733BD8" w14:paraId="54CC5475" w14:textId="189C8533">
      <w:pPr>
        <w:pStyle w:val="ParaNum"/>
        <w:widowControl/>
        <w:tabs>
          <w:tab w:val="clear" w:pos="1080"/>
        </w:tabs>
      </w:pPr>
      <w:r>
        <w:t xml:space="preserve">In this section, we describe the data sources and variable construction for the three economic analyses informing our proposed adjustment factor values.  We note that while the three analyses use the same data source for many variables, they rely on </w:t>
      </w:r>
      <w:r w:rsidR="008E0870">
        <w:t>different</w:t>
      </w:r>
      <w:r>
        <w:t xml:space="preserve"> vintage</w:t>
      </w:r>
      <w:r w:rsidR="008E0870">
        <w:t>s</w:t>
      </w:r>
      <w:r>
        <w:t xml:space="preserve"> and geography for their specific analysis.  </w:t>
      </w:r>
      <w:r w:rsidR="004C49E4">
        <w:t xml:space="preserve">Thus, the Entry Model </w:t>
      </w:r>
      <w:r w:rsidR="00E022F9">
        <w:t xml:space="preserve">analyzes </w:t>
      </w:r>
      <w:r w:rsidR="008E0870">
        <w:t xml:space="preserve">2017 coverage </w:t>
      </w:r>
      <w:r w:rsidR="004C49E4">
        <w:t xml:space="preserve">data at </w:t>
      </w:r>
      <w:r w:rsidR="008E0870">
        <w:t>the</w:t>
      </w:r>
      <w:r w:rsidR="004C49E4">
        <w:t xml:space="preserve"> </w:t>
      </w:r>
      <w:r w:rsidR="008E0870">
        <w:t xml:space="preserve">Census </w:t>
      </w:r>
      <w:r w:rsidR="004C49E4">
        <w:t xml:space="preserve">block group </w:t>
      </w:r>
      <w:r w:rsidR="004C49E4">
        <w:t xml:space="preserve">level, while the Cell Site Density Model </w:t>
      </w:r>
      <w:r w:rsidR="008E0870">
        <w:t xml:space="preserve">analyzes </w:t>
      </w:r>
      <w:r w:rsidR="000D3196">
        <w:t xml:space="preserve">cell site </w:t>
      </w:r>
      <w:r w:rsidR="004C49E4">
        <w:t>data from 201</w:t>
      </w:r>
      <w:r w:rsidR="008E0870">
        <w:t>3</w:t>
      </w:r>
      <w:r w:rsidR="004C49E4">
        <w:t xml:space="preserve"> </w:t>
      </w:r>
      <w:r w:rsidR="008E0870">
        <w:t>at the county level</w:t>
      </w:r>
      <w:r w:rsidR="004C49E4">
        <w:t xml:space="preserve">, and the Bidding Model </w:t>
      </w:r>
      <w:r w:rsidR="008E0870">
        <w:t>analyzes 2012</w:t>
      </w:r>
      <w:r w:rsidR="004C49E4">
        <w:t xml:space="preserve"> bid data on partial areas of census tracts.  </w:t>
      </w:r>
      <w:r>
        <w:t>Fig. B-12 provides a list of the data sources while Fig. B-13 describes the variables, the data vintages, and the geographies.</w:t>
      </w:r>
    </w:p>
    <w:p w:rsidR="001B10CF" w14:paraId="3DD0E179" w14:textId="77777777">
      <w:pPr>
        <w:pStyle w:val="Heading2"/>
      </w:pPr>
      <w:r>
        <w:t>Dependent Variables</w:t>
      </w:r>
    </w:p>
    <w:p w:rsidR="001B10CF" w:rsidP="00733BD8" w14:paraId="1166B80D" w14:textId="0C3A5A4C">
      <w:pPr>
        <w:pStyle w:val="ParaNum"/>
        <w:tabs>
          <w:tab w:val="clear" w:pos="1080"/>
        </w:tabs>
      </w:pPr>
      <w:r w:rsidRPr="7EBF36DC">
        <w:rPr>
          <w:i/>
          <w:iCs/>
        </w:rPr>
        <w:t>Entry Analysis: Number of Entrants</w:t>
      </w:r>
      <w:r>
        <w:t xml:space="preserve">.  The number of entrants in a Census block group is constructed using Mosaik January 2017 coverage data.  A carrier is considered to have entered a Census block group if it covers at least 75% of the land area within the Census block group with </w:t>
      </w:r>
      <w:r w:rsidR="00BA0CB9">
        <w:t xml:space="preserve">4G </w:t>
      </w:r>
      <w:r>
        <w:t xml:space="preserve">LTE.  </w:t>
      </w:r>
    </w:p>
    <w:p w:rsidR="001B10CF" w:rsidP="00733BD8" w14:paraId="2CAF7D13" w14:textId="77777777">
      <w:pPr>
        <w:pStyle w:val="ParaNum"/>
        <w:tabs>
          <w:tab w:val="clear" w:pos="1080"/>
        </w:tabs>
      </w:pPr>
      <w:r w:rsidRPr="7EBF36DC">
        <w:rPr>
          <w:i/>
          <w:iCs/>
        </w:rPr>
        <w:t>Bidding Analysis</w:t>
      </w:r>
      <w:r>
        <w:rPr>
          <w:i/>
          <w:iCs/>
        </w:rPr>
        <w:t xml:space="preserve"> ─ </w:t>
      </w:r>
      <w:r w:rsidRPr="7EBF36DC">
        <w:rPr>
          <w:i/>
          <w:iCs/>
        </w:rPr>
        <w:t>Bid Per Road Mile</w:t>
      </w:r>
      <w:r>
        <w:t>.  Bids in Mobility Fund Phase I were submitted on a per road mile basis for specific unserved areas and are publicly available.</w:t>
      </w:r>
      <w:r>
        <w:rPr>
          <w:rStyle w:val="FootnoteReference"/>
        </w:rPr>
        <w:footnoteReference w:id="72"/>
      </w:r>
      <w:r>
        <w:t xml:space="preserve">  Total subsidy amounts for an area are equal to the winning per road mile bid times the service requirement for road miles to be covered.</w:t>
      </w:r>
    </w:p>
    <w:p w:rsidR="001B10CF" w:rsidP="00733BD8" w14:paraId="635E1E23" w14:textId="4F403A0C">
      <w:pPr>
        <w:pStyle w:val="ParaNum"/>
        <w:widowControl/>
        <w:tabs>
          <w:tab w:val="clear" w:pos="1080"/>
        </w:tabs>
      </w:pPr>
      <w:r>
        <w:rPr>
          <w:i/>
          <w:iCs/>
        </w:rPr>
        <w:t>Cell Site Density</w:t>
      </w:r>
      <w:r w:rsidRPr="7EBF36DC">
        <w:rPr>
          <w:i/>
          <w:iCs/>
        </w:rPr>
        <w:t xml:space="preserve"> Analysis</w:t>
      </w:r>
      <w:r>
        <w:rPr>
          <w:i/>
          <w:iCs/>
        </w:rPr>
        <w:t xml:space="preserve"> ─ </w:t>
      </w:r>
      <w:r w:rsidRPr="7EBF36DC">
        <w:rPr>
          <w:i/>
          <w:iCs/>
        </w:rPr>
        <w:t xml:space="preserve">Average Coverage Area Per </w:t>
      </w:r>
      <w:r>
        <w:rPr>
          <w:i/>
          <w:iCs/>
        </w:rPr>
        <w:t>Cell Site</w:t>
      </w:r>
      <w:r>
        <w:t xml:space="preserve">.  We calculate total coverage and the total number of cell sites in each county for each carrier and then divide each carrier’s coverage by the number of cell sites to determine the average coverage area per cell </w:t>
      </w:r>
      <w:r w:rsidR="002108F2">
        <w:t xml:space="preserve">site </w:t>
      </w:r>
      <w:r>
        <w:t>for each carrier.  We include only counties where carriers report positive coverage and a positive number of cell sites, which gives us a maximum of 9,863 observations in any regression sample.</w:t>
      </w:r>
      <w:r>
        <w:rPr>
          <w:rStyle w:val="FootnoteReference"/>
        </w:rPr>
        <w:footnoteReference w:id="73"/>
      </w:r>
      <w:r>
        <w:t xml:space="preserve">  </w:t>
      </w:r>
    </w:p>
    <w:p w:rsidR="001B10CF" w:rsidP="001B10CF" w14:paraId="2CB7158F" w14:textId="37E6E3CB">
      <w:pPr>
        <w:pStyle w:val="ParaNum"/>
        <w:widowControl/>
        <w:numPr>
          <w:ilvl w:val="0"/>
          <w:numId w:val="42"/>
        </w:numPr>
      </w:pPr>
      <w:r>
        <w:rPr>
          <w:i/>
        </w:rPr>
        <w:t xml:space="preserve">Coverage. </w:t>
      </w:r>
      <w:r>
        <w:t xml:space="preserve"> We use the January 2014 Mosaik dataset and for each carrier, we calculate the percentage of area of each Census block covered by any technology (e.g., 3G, </w:t>
      </w:r>
      <w:r w:rsidR="00BA0CB9">
        <w:t xml:space="preserve">4G </w:t>
      </w:r>
      <w:r>
        <w:t>LTE).  Then, we multiply the percentage of the block covered by the land area in that block to determine the total covered area and aggregate the total covered area to the county level.</w:t>
      </w:r>
      <w:r>
        <w:rPr>
          <w:rStyle w:val="FootnoteReference"/>
        </w:rPr>
        <w:footnoteReference w:id="74"/>
      </w:r>
    </w:p>
    <w:p w:rsidR="001B10CF" w:rsidP="001B10CF" w14:paraId="06C2D78F" w14:textId="77777777">
      <w:pPr>
        <w:pStyle w:val="ParaNum"/>
        <w:widowControl/>
        <w:numPr>
          <w:ilvl w:val="0"/>
          <w:numId w:val="42"/>
        </w:numPr>
      </w:pPr>
      <w:r>
        <w:rPr>
          <w:i/>
        </w:rPr>
        <w:t xml:space="preserve">Number of Cell Sites. </w:t>
      </w:r>
      <w:r>
        <w:t xml:space="preserve"> We use the December 2013 Business Data Service (BDS) Cell Site Database which contains 209,358 cell site locations (address and/or latitude-longitude coordinates) for four nationwide carriers.  To identify which county each cell site is in, we use two approaches: (1) geocode the address to a Census block group and (2) use the coordinates to find the associated Census block.</w:t>
      </w:r>
      <w:r>
        <w:rPr>
          <w:rStyle w:val="FootnoteReference"/>
        </w:rPr>
        <w:footnoteReference w:id="75"/>
      </w:r>
      <w:r>
        <w:t xml:space="preserve">  We identify the block group and/or block for each cell site, and then count the number of cell sites in each county for each carrier.</w:t>
      </w:r>
      <w:r>
        <w:rPr>
          <w:rStyle w:val="FootnoteReference"/>
        </w:rPr>
        <w:footnoteReference w:id="76"/>
      </w:r>
      <w:r>
        <w:t xml:space="preserve"> </w:t>
      </w:r>
    </w:p>
    <w:p w:rsidR="001B10CF" w14:paraId="7BD43CCC" w14:textId="77777777">
      <w:pPr>
        <w:pStyle w:val="Heading2"/>
      </w:pPr>
      <w:bookmarkStart w:id="18" w:name="_Hlk29374453"/>
      <w:r>
        <w:t>Independent Variables</w:t>
      </w:r>
    </w:p>
    <w:p w:rsidR="001B10CF" w:rsidP="00733BD8" w14:paraId="182D52A0" w14:textId="37319682">
      <w:pPr>
        <w:pStyle w:val="ParaNum"/>
        <w:widowControl/>
        <w:tabs>
          <w:tab w:val="clear" w:pos="1080"/>
        </w:tabs>
      </w:pPr>
      <w:r w:rsidRPr="7EBF36DC">
        <w:rPr>
          <w:i/>
          <w:iCs/>
        </w:rPr>
        <w:t xml:space="preserve">Terrain.  </w:t>
      </w:r>
      <w:r>
        <w:t xml:space="preserve">Due to the signal loss caused by terrain variation, propagation models use a measure of terrain </w:t>
      </w:r>
      <w:r w:rsidR="00064952">
        <w:t>roughness</w:t>
      </w:r>
      <w:r>
        <w:t xml:space="preserve"> to account for propagation losses.</w:t>
      </w:r>
      <w:r>
        <w:rPr>
          <w:rStyle w:val="FootnoteReference"/>
        </w:rPr>
        <w:footnoteReference w:id="77"/>
      </w:r>
      <w:r>
        <w:t xml:space="preserve">  As our measure of terrain roughness, we calculate the average standard deviation of terrain elevation.</w:t>
      </w:r>
      <w:r>
        <w:rPr>
          <w:rStyle w:val="FootnoteReference"/>
        </w:rPr>
        <w:footnoteReference w:id="78"/>
      </w:r>
      <w:r>
        <w:t xml:space="preserve">  To do this, we use the digital elevation model (DEM) of the conterminous U.S. and Hawaii which was published by the USGS in December 2012,</w:t>
      </w:r>
      <w:r>
        <w:rPr>
          <w:rStyle w:val="FootnoteReference"/>
        </w:rPr>
        <w:footnoteReference w:id="79"/>
      </w:r>
      <w:r>
        <w:t xml:space="preserve"> and a vector based shapefile of geographic units, </w:t>
      </w:r>
      <w:r w:rsidR="00064952">
        <w:t xml:space="preserve">which was </w:t>
      </w:r>
      <w:r>
        <w:t>either the Census Tiger Shapefile 2010 Block Groups</w:t>
      </w:r>
      <w:r>
        <w:rPr>
          <w:rStyle w:val="FootnoteReference"/>
        </w:rPr>
        <w:footnoteReference w:id="80"/>
      </w:r>
      <w:r>
        <w:t xml:space="preserve"> or a shapefile of </w:t>
      </w:r>
      <w:r w:rsidR="00E5783E">
        <w:t xml:space="preserve">Mobility Fund Phase I </w:t>
      </w:r>
      <w:r>
        <w:t>auction areas for the bidding analysis.</w:t>
      </w:r>
      <w:r>
        <w:rPr>
          <w:rStyle w:val="FootnoteReference"/>
        </w:rPr>
        <w:footnoteReference w:id="81"/>
      </w:r>
      <w:r>
        <w:t xml:space="preserve">  Most Mobility Fund Phase I auction areas (and all areas used in the Mobility Fund Phase I analysis) were constructed from U.S. Census blocks which the Commission determined lacked coverage that were then aggregated to the tract level.</w:t>
      </w:r>
      <w:r>
        <w:rPr>
          <w:rStyle w:val="FootnoteReference"/>
        </w:rPr>
        <w:footnoteReference w:id="82"/>
      </w:r>
      <w:r>
        <w:t xml:space="preserve">  In either case, we project the geographic unit geometries to match the raster dataset’s projection.</w:t>
      </w:r>
      <w:r>
        <w:rPr>
          <w:rStyle w:val="FootnoteReference"/>
        </w:rPr>
        <w:footnoteReference w:id="83"/>
      </w:r>
      <w:r>
        <w:t xml:space="preserve"> </w:t>
      </w:r>
    </w:p>
    <w:p w:rsidR="001B10CF" w:rsidP="00733BD8" w14:paraId="1DC788FD" w14:textId="77777777">
      <w:pPr>
        <w:pStyle w:val="ParaNum"/>
        <w:widowControl/>
        <w:tabs>
          <w:tab w:val="clear" w:pos="1080"/>
        </w:tabs>
      </w:pPr>
      <w:bookmarkStart w:id="22" w:name="_Hlk29374466"/>
      <w:bookmarkEnd w:id="18"/>
      <w:r>
        <w:t>To calculate the average standard deviation of elevation for each analysis’s geographic unit, we use two GIS processes.  First, for each raster we define a circular neighborhood with a 2.5-kilometer radius centered at the centroid of that raster.</w:t>
      </w:r>
      <w:r>
        <w:rPr>
          <w:rStyle w:val="FootnoteReference"/>
        </w:rPr>
        <w:footnoteReference w:id="84"/>
      </w:r>
      <w:r>
        <w:t xml:space="preserve">  We then calculate the standard deviation of elevation of all rasters whose centroids are contained within the neighborhood.</w:t>
      </w:r>
      <w:r>
        <w:rPr>
          <w:rStyle w:val="FootnoteReference"/>
        </w:rPr>
        <w:footnoteReference w:id="85"/>
      </w:r>
      <w:r>
        <w:t xml:space="preserve">  Next, we use this raster layer as input data for the second GIS process, which for a particular geographic area, such as a Census </w:t>
      </w:r>
      <w:r>
        <w:t>tract, takes the average of the standard deviations for all rasters whose centroids lie within the geographic area.</w:t>
      </w:r>
      <w:r>
        <w:rPr>
          <w:rStyle w:val="FootnoteReference"/>
        </w:rPr>
        <w:footnoteReference w:id="86"/>
      </w:r>
      <w:r>
        <w:t xml:space="preserve">  This process produces an output table that contains each geographic area’s average standard deviation of elevation based on the 2.5-kilometer circular neighborhood.</w:t>
      </w:r>
    </w:p>
    <w:bookmarkEnd w:id="22"/>
    <w:p w:rsidR="001B10CF" w:rsidP="00733BD8" w14:paraId="0ADF029E" w14:textId="77777777">
      <w:pPr>
        <w:pStyle w:val="ParaNum"/>
        <w:tabs>
          <w:tab w:val="clear" w:pos="1080"/>
        </w:tabs>
      </w:pPr>
      <w:r>
        <w:t>For the Entry Model analysis, average terrain roughness values are calculated for each block group.  For the Auction Bidding Model analysis, we calculate a terrain value for each biddable area in the auction.</w:t>
      </w:r>
      <w:r>
        <w:rPr>
          <w:rStyle w:val="FootnoteReference"/>
        </w:rPr>
        <w:footnoteReference w:id="87"/>
      </w:r>
      <w:r>
        <w:t xml:space="preserve">  For the Cell Site Density Model analysis, we calculate carrier-specific terrain because each carrier does not necessarily cover the full county or cover the same areas as other carriers within a county.  Specifically, from the block group level average standard deviation, we calculate the county level average for each carrier weighting by covered land area of each block group based on coverage data. </w:t>
      </w:r>
    </w:p>
    <w:p w:rsidR="001B10CF" w:rsidP="00733BD8" w14:paraId="28741D6C" w14:textId="77777777">
      <w:pPr>
        <w:pStyle w:val="ParaNum"/>
        <w:tabs>
          <w:tab w:val="clear" w:pos="1080"/>
        </w:tabs>
      </w:pPr>
      <w:r w:rsidRPr="7EBF36DC">
        <w:rPr>
          <w:i/>
          <w:iCs/>
        </w:rPr>
        <w:t>Terrain Categories</w:t>
      </w:r>
      <w:r>
        <w:t>.  We categorize terrain into three groups as shown in Fig. B-14 below.  To partition block groups into three groups, we use Jenks natural break clustering algorithm which minimizes within-cluster variances.</w:t>
      </w:r>
      <w:r>
        <w:rPr>
          <w:rStyle w:val="FootnoteReference"/>
        </w:rPr>
        <w:footnoteReference w:id="88"/>
      </w:r>
      <w:r>
        <w:t xml:space="preserve">  When evaluating the various analyses, we use the medians of each terrain category. </w:t>
      </w:r>
    </w:p>
    <w:p w:rsidR="001B10CF" w:rsidP="00733BD8" w14:paraId="099990A7" w14:textId="77777777">
      <w:pPr>
        <w:pStyle w:val="ParaNum"/>
        <w:widowControl/>
        <w:tabs>
          <w:tab w:val="clear" w:pos="1080"/>
        </w:tabs>
      </w:pPr>
      <w:r w:rsidRPr="7EBF36DC">
        <w:rPr>
          <w:i/>
          <w:iCs/>
        </w:rPr>
        <w:t xml:space="preserve">Population Density.  </w:t>
      </w:r>
      <w:r>
        <w:t>For the Entry Model analysis, we use 2017 staff estimates to calculate population density by aggregating the total block level population to the block group and dividing by the total block group level land area.</w:t>
      </w:r>
      <w:r>
        <w:rPr>
          <w:rStyle w:val="FootnoteReference"/>
        </w:rPr>
        <w:footnoteReference w:id="89"/>
      </w:r>
      <w:r>
        <w:t xml:space="preserve"> </w:t>
      </w:r>
      <w:r w:rsidRPr="003E171A">
        <w:t xml:space="preserve"> </w:t>
      </w:r>
      <w:r>
        <w:t>For the Auction Bidding Model analysis, we aggregate the 2010 Census block level population and land area across all blocks in an area and divide to calculate the population density.</w:t>
      </w:r>
      <w:r>
        <w:rPr>
          <w:rStyle w:val="FootnoteReference"/>
        </w:rPr>
        <w:footnoteReference w:id="90"/>
      </w:r>
      <w:r>
        <w:t xml:space="preserve">  For the Cell Site Density Model analysis, we use 2014 county level Census population estimates and divide by the total land area to calculate the county level population density. </w:t>
      </w:r>
    </w:p>
    <w:p w:rsidR="001B10CF" w:rsidP="00733BD8" w14:paraId="634F1708" w14:textId="77777777">
      <w:pPr>
        <w:pStyle w:val="ParaNum"/>
        <w:tabs>
          <w:tab w:val="clear" w:pos="1080"/>
        </w:tabs>
      </w:pPr>
      <w:r w:rsidRPr="7EBF36DC">
        <w:rPr>
          <w:i/>
          <w:iCs/>
        </w:rPr>
        <w:t>Road Mile Density</w:t>
      </w:r>
      <w:r>
        <w:t xml:space="preserve">.  </w:t>
      </w:r>
      <w:r w:rsidRPr="001370D8">
        <w:t>We</w:t>
      </w:r>
      <w:r>
        <w:t xml:space="preserve"> use a previously developed dataset of the number of road miles per Census block which includes the following Census categories: Primary Road (S1100), Secondary Road (S1200), Local Neighborhood Road, Rural Road, City Street (S1400), Vehicular Trail [4WD] (S1500), Service Drive usually along a limited access highway (S1640), and Private Road for Service Vehicles (S1740).</w:t>
      </w:r>
      <w:r>
        <w:rPr>
          <w:rStyle w:val="FootnoteReference"/>
        </w:rPr>
        <w:footnoteReference w:id="91"/>
      </w:r>
      <w:r>
        <w:t xml:space="preserve">  In calculating the number of road miles associated with each Census block, we used two tables (“Faces” and “Edges”), published by the Census as part of the TIGER database.</w:t>
      </w:r>
      <w:r>
        <w:rPr>
          <w:rStyle w:val="FootnoteReference"/>
        </w:rPr>
        <w:footnoteReference w:id="92"/>
      </w:r>
      <w:r>
        <w:t xml:space="preserve">  We then sum the number of total road miles to higher geographies and divide by the land area to calculate the road mile density (number of road miles per square mile). </w:t>
      </w:r>
    </w:p>
    <w:p w:rsidR="001B10CF" w:rsidRPr="00C4322D" w:rsidP="007D1CB8" w14:paraId="6C3368DE" w14:textId="77777777">
      <w:pPr>
        <w:pStyle w:val="ParaNum"/>
        <w:widowControl/>
        <w:tabs>
          <w:tab w:val="clear" w:pos="1080"/>
        </w:tabs>
      </w:pPr>
      <w:r w:rsidRPr="7EBF36DC">
        <w:rPr>
          <w:i/>
          <w:iCs/>
        </w:rPr>
        <w:t xml:space="preserve">GDP Density.  </w:t>
      </w:r>
      <w:r>
        <w:t>We use the Bureau of Economic Analysis (BEA) Gross Domestic Product (GDP) by county dataset to derive county level GDP per square mile.</w:t>
      </w:r>
      <w:r>
        <w:rPr>
          <w:rStyle w:val="FootnoteReference"/>
        </w:rPr>
        <w:footnoteReference w:id="93"/>
      </w:r>
      <w:r>
        <w:t xml:space="preserve">  These data provide GDP for most counties individually.</w:t>
      </w:r>
      <w:r>
        <w:rPr>
          <w:rStyle w:val="FootnoteReference"/>
        </w:rPr>
        <w:footnoteReference w:id="94"/>
      </w:r>
      <w:r>
        <w:t xml:space="preserve">  For the Entry Model analysis, we divide the annual real GDP by the total land area to get the GDP per square mile.</w:t>
      </w:r>
    </w:p>
    <w:p w:rsidR="001B10CF" w:rsidP="007D1CB8" w14:paraId="0B4AFA1F" w14:textId="77777777">
      <w:pPr>
        <w:pStyle w:val="ParaNum"/>
        <w:tabs>
          <w:tab w:val="clear" w:pos="1080"/>
        </w:tabs>
      </w:pPr>
      <w:r w:rsidRPr="7EBF36DC">
        <w:rPr>
          <w:i/>
          <w:iCs/>
        </w:rPr>
        <w:t>Establishment Density</w:t>
      </w:r>
      <w:r>
        <w:t xml:space="preserve">.  </w:t>
      </w:r>
      <w:r w:rsidRPr="001370D8">
        <w:t>We</w:t>
      </w:r>
      <w:r>
        <w:t xml:space="preserve"> use the Census Bureau’s County Business Patterns (CBP) dataset containing the number of establishments.</w:t>
      </w:r>
      <w:r>
        <w:rPr>
          <w:rStyle w:val="FootnoteReference"/>
        </w:rPr>
        <w:footnoteReference w:id="95"/>
      </w:r>
      <w:r>
        <w:t xml:space="preserve">  An establishment is defined as a single physical location at which business is conducted or services or industrial operations are performed.</w:t>
      </w:r>
      <w:r>
        <w:rPr>
          <w:rStyle w:val="FootnoteReference"/>
        </w:rPr>
        <w:footnoteReference w:id="96"/>
      </w:r>
      <w:r>
        <w:t xml:space="preserve">  For the Cell Site Density Model, we divide the total number of establishments by the total land area in each county.</w:t>
      </w:r>
      <w:r>
        <w:rPr>
          <w:rStyle w:val="FootnoteReference"/>
        </w:rPr>
        <w:footnoteReference w:id="97"/>
      </w:r>
      <w:r>
        <w:t xml:space="preserve"> </w:t>
      </w:r>
    </w:p>
    <w:p w:rsidR="001B10CF" w:rsidP="007D1CB8" w14:paraId="566A3946" w14:textId="77777777">
      <w:pPr>
        <w:pStyle w:val="ParaNum"/>
        <w:tabs>
          <w:tab w:val="clear" w:pos="1080"/>
        </w:tabs>
      </w:pPr>
      <w:r w:rsidRPr="00B315A2">
        <w:rPr>
          <w:i/>
          <w:iCs/>
        </w:rPr>
        <w:t>Median Household Income</w:t>
      </w:r>
      <w:r w:rsidRPr="005944B6">
        <w:t>.</w:t>
      </w:r>
      <w:r>
        <w:t xml:space="preserve">  We use the American Community Survey (ACS) five year estimates database published by the Census Bureau to derive median household income.</w:t>
      </w:r>
      <w:r>
        <w:rPr>
          <w:rStyle w:val="FootnoteReference"/>
        </w:rPr>
        <w:footnoteReference w:id="98"/>
      </w:r>
      <w:r>
        <w:t xml:space="preserve">  For each analysis, we use the vintage of data for which the final year of the ACS estimates matches with the relevant year in the analysis.</w:t>
      </w:r>
      <w:r>
        <w:rPr>
          <w:rStyle w:val="FootnoteReference"/>
        </w:rPr>
        <w:footnoteReference w:id="99"/>
      </w:r>
    </w:p>
    <w:p w:rsidR="001B10CF" w:rsidP="007D1CB8" w14:paraId="44240D3E" w14:textId="77777777">
      <w:pPr>
        <w:pStyle w:val="ParaNum"/>
        <w:widowControl/>
        <w:tabs>
          <w:tab w:val="clear" w:pos="1080"/>
        </w:tabs>
      </w:pPr>
      <w:r w:rsidRPr="7EBF36DC">
        <w:rPr>
          <w:i/>
          <w:iCs/>
        </w:rPr>
        <w:t xml:space="preserve">Subscribers Per Deployed </w:t>
      </w:r>
      <w:r>
        <w:rPr>
          <w:i/>
          <w:iCs/>
        </w:rPr>
        <w:t xml:space="preserve">MHz </w:t>
      </w:r>
      <w:r w:rsidRPr="7EBF36DC">
        <w:rPr>
          <w:i/>
          <w:iCs/>
        </w:rPr>
        <w:t>Spectrum (CMA Level).</w:t>
      </w:r>
      <w:r>
        <w:t xml:space="preserve">  In order to calculate the number of subscribers per deployed megahertz of spectrum for the Cell Site Density Model, we first analyze the December 2014 Form 477 data that indicates whether each carrier has deployed particular spectrum bands with at least one technology (e.g., LTE) in each county.</w:t>
      </w:r>
      <w:r>
        <w:rPr>
          <w:rStyle w:val="FootnoteReference"/>
        </w:rPr>
        <w:footnoteReference w:id="100"/>
      </w:r>
      <w:r>
        <w:t xml:space="preserve">  Second, we use Universal Licensing System (ULS) data which provides the amount of spectrum holdings (megahertz) for each carrier in each county and its associated radio service code.</w:t>
      </w:r>
      <w:r>
        <w:rPr>
          <w:rStyle w:val="FootnoteReference"/>
        </w:rPr>
        <w:footnoteReference w:id="101"/>
      </w:r>
      <w:r>
        <w:t xml:space="preserve">  We match the radio service codes with the Form 477 spectrum codes and sum the spectrum holdings over the radio service codes (see Fig. B-15 below).  We then merge this with the Form 477 data from the first step.  This produces a dataset that shows whether the carrier deploys on a given spectrum band (on any technology) in the county and the amount of spectrum holdings the carrier has in that particular spectrum band in that county.</w:t>
      </w:r>
      <w:r>
        <w:rPr>
          <w:rStyle w:val="FootnoteReference"/>
        </w:rPr>
        <w:footnoteReference w:id="102"/>
      </w:r>
      <w:r>
        <w:t xml:space="preserve"> </w:t>
      </w:r>
    </w:p>
    <w:p w:rsidR="001B10CF" w:rsidP="007D1CB8" w14:paraId="0D3F80A2" w14:textId="4EABA18E">
      <w:pPr>
        <w:pStyle w:val="ParaNum"/>
        <w:widowControl/>
        <w:tabs>
          <w:tab w:val="clear" w:pos="1080"/>
        </w:tabs>
      </w:pPr>
      <w:r>
        <w:t>To approximate the total deployed spectrum, we multiply the spectrum holdings by a binary variable that indicates if the carrier deploys on the given spectrum band in a given county.</w:t>
      </w:r>
      <w:r>
        <w:rPr>
          <w:rStyle w:val="FootnoteReference"/>
        </w:rPr>
        <w:footnoteReference w:id="103"/>
      </w:r>
      <w:r>
        <w:t xml:space="preserve">  Finally, we average total deployed spectrum to the CMA level weighting by 2014 county population.</w:t>
      </w:r>
      <w:r w:rsidR="0000552F">
        <w:t xml:space="preserve">  </w:t>
      </w:r>
      <w:r>
        <w:t>The final step uses Number Resource Utilization and Forecast (NRUF) data on the number of subscribers for each carrier in each county.  Given issues associated with the use of NRUF data at the county level,</w:t>
      </w:r>
      <w:r>
        <w:rPr>
          <w:rStyle w:val="FootnoteReference"/>
        </w:rPr>
        <w:footnoteReference w:id="104"/>
      </w:r>
      <w:r>
        <w:t xml:space="preserve"> we aggregate to the CMA level and merge this with the total deployed spectrum and divide by the number of subscribers.  This calculation produces an estimate of the subscribers per total deployed spectrum at the CMA level. </w:t>
      </w:r>
    </w:p>
    <w:p w:rsidR="001B10CF" w:rsidP="007D1CB8" w14:paraId="58367395" w14:textId="36BA61F5">
      <w:pPr>
        <w:pStyle w:val="ParaNum"/>
        <w:tabs>
          <w:tab w:val="clear" w:pos="1080"/>
        </w:tabs>
      </w:pPr>
      <w:r>
        <w:rPr>
          <w:i/>
          <w:iCs/>
        </w:rPr>
        <w:t>Low Band Spectrum Flag.</w:t>
      </w:r>
      <w:r>
        <w:t xml:space="preserve">  </w:t>
      </w:r>
      <w:r w:rsidR="00D90ADC">
        <w:t>For the Cell Site Density Model, w</w:t>
      </w:r>
      <w:r>
        <w:t xml:space="preserve">e use the December 2014 Form 477 data to determine Census blocks </w:t>
      </w:r>
      <w:r w:rsidR="009E3DA1">
        <w:t xml:space="preserve">in which </w:t>
      </w:r>
      <w:r>
        <w:t xml:space="preserve">each carrier deploys low band spectrum </w:t>
      </w:r>
      <w:r w:rsidR="00603D77">
        <w:t xml:space="preserve">using </w:t>
      </w:r>
      <w:r>
        <w:t xml:space="preserve">any technology. </w:t>
      </w:r>
      <w:r w:rsidR="00177D46">
        <w:t xml:space="preserve"> </w:t>
      </w:r>
      <w:r>
        <w:t xml:space="preserve">We use the centroid method to identify which blocks are covered by low band. </w:t>
      </w:r>
      <w:r w:rsidR="00177D46">
        <w:t xml:space="preserve"> </w:t>
      </w:r>
      <w:r>
        <w:t xml:space="preserve">Then, we create a binary flag variable which equals one if the carrier deploys low band at the geographic centroid of at least one block in the county. </w:t>
      </w:r>
    </w:p>
    <w:p w:rsidR="001B10CF" w:rsidP="007D1CB8" w14:paraId="3BFD05D4" w14:textId="77777777">
      <w:pPr>
        <w:pStyle w:val="ParaNum"/>
        <w:tabs>
          <w:tab w:val="clear" w:pos="1080"/>
        </w:tabs>
      </w:pPr>
      <w:r w:rsidRPr="00E9779D">
        <w:rPr>
          <w:i/>
          <w:iCs/>
        </w:rPr>
        <w:t>Percentage of Area Covered.</w:t>
      </w:r>
      <w:r>
        <w:t xml:space="preserve">  Our coverage percentage data is constructed using Mosaik data by calculating coverage for each model’s geographic unit of interest and then dividing it by the total area of the geographic unit.  For the Cell Site Density Model analysis, we calculate the total area in each county covered by LTE by each carrier in January 2014.  For the Auction Bidding Model, we use January 2012 Mosaik data.</w:t>
      </w:r>
      <w:r>
        <w:rPr>
          <w:rStyle w:val="FootnoteReference"/>
        </w:rPr>
        <w:footnoteReference w:id="105"/>
      </w:r>
      <w:r>
        <w:t xml:space="preserve"> </w:t>
      </w:r>
      <w:r w:rsidRPr="0035247E">
        <w:t xml:space="preserve"> </w:t>
      </w:r>
      <w:r>
        <w:t>In contrast to the Entry Model and Cell Site Density Model analyses, we use a “centroid-based” method to measure coverage in the Auction Bidding Model analysis.  In line with the way coverage was measured in Auction 901, an entire Census block is counted as covered if the geographic centroid is covered.</w:t>
      </w:r>
      <w:r>
        <w:rPr>
          <w:rStyle w:val="FootnoteReference"/>
        </w:rPr>
        <w:footnoteReference w:id="106"/>
      </w:r>
      <w:r>
        <w:t xml:space="preserve">  In addition, “uncovered” areas in the Auction Bidding Model analysis sometimes</w:t>
      </w:r>
      <w:r w:rsidRPr="0035247E">
        <w:t xml:space="preserve"> do have coverage since an older vintage of </w:t>
      </w:r>
      <w:r>
        <w:t>Mosaik</w:t>
      </w:r>
      <w:r w:rsidRPr="0035247E">
        <w:t xml:space="preserve"> data was used to select the eligible blocks; and we use all</w:t>
      </w:r>
      <w:r>
        <w:t xml:space="preserve"> types of</w:t>
      </w:r>
      <w:r w:rsidRPr="0035247E">
        <w:t xml:space="preserve"> coverage and not just 3G coverage as in the selection process of </w:t>
      </w:r>
      <w:r>
        <w:t>Mobility Fund Phase I.</w:t>
      </w:r>
      <w:r w:rsidRPr="0035247E">
        <w:t xml:space="preserve">  </w:t>
      </w:r>
      <w:r>
        <w:t>Some eligible blocks in MF-I were also included (or removed) due to challenges from commenters that revealed on-the-ground discrepancies in coverage compared with the Mosaik data.</w:t>
      </w:r>
      <w:r>
        <w:rPr>
          <w:rStyle w:val="FootnoteReference"/>
        </w:rPr>
        <w:footnoteReference w:id="107"/>
      </w:r>
      <w:r>
        <w:t xml:space="preserve"> We aggregated block area coverage to auction areas by adding the total land area of covered blocks within an auction area. We construct percentage coverage both for any carrier, by counting a block covered if it is covered by any carrier, and for each bidding carrier in the bid data, individually. </w:t>
      </w:r>
    </w:p>
    <w:p w:rsidR="001B10CF" w:rsidP="007D1CB8" w14:paraId="74D562AA" w14:textId="77777777">
      <w:pPr>
        <w:pStyle w:val="ParaNum"/>
        <w:tabs>
          <w:tab w:val="clear" w:pos="1080"/>
        </w:tabs>
      </w:pPr>
      <w:r w:rsidRPr="00E9779D">
        <w:rPr>
          <w:i/>
          <w:iCs/>
        </w:rPr>
        <w:t xml:space="preserve">Percentage of Road Miles Covered.  </w:t>
      </w:r>
      <w:r>
        <w:t>For the Auction Bidding Model, we calculated road miles covered analogously to the way area covered was calculated using the same road miles data used to calculate road mile density. Using any block we considered covered in the area calculation, we develop auction area coverage by adding road miles in these blocks, and dividing this figure by the total road miles in the auction area.  Also like the area percentage coverage, we calculated this figure both for any carrier, by counting a block covered if it is covered by any carrier, and for each bidding carrier in the bid data, individually.</w:t>
      </w:r>
    </w:p>
    <w:p w:rsidR="001B10CF" w:rsidP="007D1CB8" w14:paraId="39370CFE" w14:textId="12090AED">
      <w:pPr>
        <w:pStyle w:val="ParaNum"/>
        <w:tabs>
          <w:tab w:val="clear" w:pos="1080"/>
        </w:tabs>
      </w:pPr>
      <w:r w:rsidRPr="00E9779D">
        <w:rPr>
          <w:i/>
          <w:iCs/>
        </w:rPr>
        <w:t>Download Speed.</w:t>
      </w:r>
      <w:r>
        <w:t xml:space="preserve">  For the Cell Site Density Model, we use July through December 2014 Ookla Speedtest data to calculate average download speeds for each county for each carrier.  First, we drop any test with non-positive download or upload speeds, tests taken over a WiFi connection, and tests </w:t>
      </w:r>
      <w:r>
        <w:t>with locations determined GEO-IP.</w:t>
      </w:r>
      <w:r>
        <w:rPr>
          <w:rStyle w:val="FootnoteReference"/>
        </w:rPr>
        <w:footnoteReference w:id="108"/>
      </w:r>
      <w:r>
        <w:t xml:space="preserve">  We then associate latitude and longitude coordinates to 2010 Census counties.  Next, we calculate an average download speed for each device in each month and county</w:t>
      </w:r>
      <w:r w:rsidR="00617F7F">
        <w:t xml:space="preserve"> for both Android and iPhone devices</w:t>
      </w:r>
      <w:r>
        <w:t>.</w:t>
      </w:r>
      <w:r>
        <w:rPr>
          <w:rStyle w:val="FootnoteReference"/>
        </w:rPr>
        <w:footnoteReference w:id="109"/>
      </w:r>
      <w:r>
        <w:t xml:space="preserve">  Finally, we calculate an overall carrier-county level average download speed weighting by the number of devices.</w:t>
      </w:r>
    </w:p>
    <w:p w:rsidR="001B10CF" w:rsidP="007D1CB8" w14:paraId="0FFA4238" w14:textId="6B0C7F55">
      <w:pPr>
        <w:pStyle w:val="ParaNum"/>
        <w:tabs>
          <w:tab w:val="clear" w:pos="1080"/>
        </w:tabs>
      </w:pPr>
      <w:bookmarkStart w:id="24" w:name="_Hlk39245204"/>
      <w:r>
        <w:rPr>
          <w:i/>
          <w:iCs/>
        </w:rPr>
        <w:t>Tower</w:t>
      </w:r>
      <w:r w:rsidRPr="7EBF36DC">
        <w:rPr>
          <w:i/>
          <w:iCs/>
        </w:rPr>
        <w:t xml:space="preserve"> Height.  </w:t>
      </w:r>
      <w:r w:rsidR="00072E85">
        <w:t>In the BDS data, tower height was not available, so t</w:t>
      </w:r>
      <w:r w:rsidRPr="0069489A">
        <w:t xml:space="preserve">o estimate the </w:t>
      </w:r>
      <w:r w:rsidR="00072E85">
        <w:t>height of each tower in our sample, we compiled tower height information from publicly available tower company sources.</w:t>
      </w:r>
      <w:r>
        <w:rPr>
          <w:rStyle w:val="FootnoteReference"/>
        </w:rPr>
        <w:footnoteReference w:id="110"/>
      </w:r>
      <w:r w:rsidR="00072E85">
        <w:t xml:space="preserve"> </w:t>
      </w:r>
      <w:r w:rsidR="00177D46">
        <w:t xml:space="preserve"> </w:t>
      </w:r>
      <w:r w:rsidR="00072E85">
        <w:t xml:space="preserve">To calculate the </w:t>
      </w:r>
      <w:r w:rsidRPr="0069489A">
        <w:t xml:space="preserve">average </w:t>
      </w:r>
      <w:r>
        <w:t>tower</w:t>
      </w:r>
      <w:r w:rsidRPr="0069489A">
        <w:t xml:space="preserve"> height in each county for each carrier, we first drop all </w:t>
      </w:r>
      <w:r>
        <w:t>towers</w:t>
      </w:r>
      <w:r w:rsidRPr="0069489A">
        <w:t xml:space="preserve"> with</w:t>
      </w:r>
      <w:r w:rsidR="00072E85">
        <w:t xml:space="preserve"> missing height information or</w:t>
      </w:r>
      <w:r w:rsidRPr="0069489A">
        <w:t xml:space="preserve"> a listed height over 500 feet and then match the </w:t>
      </w:r>
      <w:r>
        <w:t>towers</w:t>
      </w:r>
      <w:r w:rsidRPr="0069489A">
        <w:t xml:space="preserve"> in our sample to the closest </w:t>
      </w:r>
      <w:r>
        <w:t>towers</w:t>
      </w:r>
      <w:r w:rsidRPr="0069489A">
        <w:t xml:space="preserve"> in the public dataset.  We then assign the </w:t>
      </w:r>
      <w:r>
        <w:t>tower</w:t>
      </w:r>
      <w:r w:rsidRPr="0069489A">
        <w:t xml:space="preserve"> height of the closest matched </w:t>
      </w:r>
      <w:r>
        <w:t>tower</w:t>
      </w:r>
      <w:r w:rsidRPr="0069489A">
        <w:t xml:space="preserve"> as long as that </w:t>
      </w:r>
      <w:r>
        <w:t>cell site</w:t>
      </w:r>
      <w:r w:rsidRPr="0069489A">
        <w:t xml:space="preserve"> lies within 1 kilometer of the </w:t>
      </w:r>
      <w:r>
        <w:t>tower</w:t>
      </w:r>
      <w:r w:rsidRPr="0069489A">
        <w:t xml:space="preserve"> from the original data sample.  For </w:t>
      </w:r>
      <w:r>
        <w:t>tower</w:t>
      </w:r>
      <w:r w:rsidRPr="0069489A">
        <w:t xml:space="preserve">s that do not match within 1 kilometer, we assign the average </w:t>
      </w:r>
      <w:r>
        <w:t>tower</w:t>
      </w:r>
      <w:r w:rsidRPr="0069489A">
        <w:t xml:space="preserve"> height of the matched </w:t>
      </w:r>
      <w:r>
        <w:t>tower</w:t>
      </w:r>
      <w:r w:rsidRPr="0069489A">
        <w:t xml:space="preserve">s in the county for that carrier. Then, we calculate the average </w:t>
      </w:r>
      <w:r>
        <w:t>tower</w:t>
      </w:r>
      <w:r w:rsidRPr="0069489A">
        <w:t xml:space="preserve"> height for each county for each carrier.</w:t>
      </w:r>
    </w:p>
    <w:bookmarkEnd w:id="24"/>
    <w:p w:rsidR="001B10CF" w:rsidP="007D1CB8" w14:paraId="0ECB1EEF" w14:textId="77777777">
      <w:pPr>
        <w:pStyle w:val="ParaNum"/>
        <w:tabs>
          <w:tab w:val="clear" w:pos="1080"/>
        </w:tabs>
      </w:pPr>
      <w:r w:rsidRPr="7EBF36DC">
        <w:rPr>
          <w:i/>
          <w:iCs/>
        </w:rPr>
        <w:t>Land Cover (Clutter)</w:t>
      </w:r>
      <w:r>
        <w:t>.  We use land cover data from the USGS 2011 National Land Cover Database (NLCD) to account for the role of clutter in radio wave propagation.</w:t>
      </w:r>
      <w:r>
        <w:rPr>
          <w:rStyle w:val="FootnoteReference"/>
        </w:rPr>
        <w:footnoteReference w:id="111"/>
      </w:r>
      <w:r>
        <w:t xml:space="preserve">  As we expect that most man-made clutter will be adequately proxied by population and establishment density, we only include a variable for naturally occurring dense clutter.</w:t>
      </w:r>
      <w:r>
        <w:rPr>
          <w:rStyle w:val="FootnoteReference"/>
        </w:rPr>
        <w:footnoteReference w:id="112"/>
      </w:r>
      <w:r>
        <w:t xml:space="preserve">  </w:t>
      </w:r>
      <w:bookmarkStart w:id="26" w:name="_Hlk38378916"/>
      <w:r>
        <w:t>We condense the NLCD land use categories to create a natural “dense clutter” variable, based in part on the Commission’s recommendations in the broadcast incentive auction.</w:t>
      </w:r>
      <w:r>
        <w:rPr>
          <w:rStyle w:val="FootnoteReference"/>
        </w:rPr>
        <w:footnoteReference w:id="113"/>
      </w:r>
      <w:r>
        <w:t xml:space="preserve">  </w:t>
      </w:r>
      <w:bookmarkEnd w:id="26"/>
      <w:r>
        <w:t>The dense clutter category consists of the deciduous forest, evergreen forest, mixed forest, woody wetlands, and emergent herbaceous wetlands NLCD classifications.  For each analysis we use the percentage of land area covered by these categories within the relevant geography.  Each analysis uses 2011 NLCD data.</w:t>
      </w:r>
    </w:p>
    <w:p w:rsidR="001B10CF" w:rsidP="007D1CB8" w14:paraId="216E8055" w14:textId="77777777">
      <w:pPr>
        <w:pStyle w:val="ParaNum"/>
        <w:widowControl/>
        <w:tabs>
          <w:tab w:val="clear" w:pos="1080"/>
        </w:tabs>
      </w:pPr>
      <w:r w:rsidRPr="7EBF36DC">
        <w:rPr>
          <w:i/>
          <w:iCs/>
        </w:rPr>
        <w:t>USF Funding.</w:t>
      </w:r>
      <w:r>
        <w:t xml:space="preserve">  The Universal Service Fund (USF) distributes funding to subsidize mobile broadband service in high cost areas.  To estimate areas that received funding in a particular area, we use internal Commission and USAC data to connect block groups to areas receiving Frozen High Cost Support or Mobility Fund Phase I support.  </w:t>
      </w:r>
      <w:bookmarkStart w:id="27" w:name="_Hlk39245451"/>
      <w:r>
        <w:t>Frozen High Cost Support is paid to firms via wire centers which do not have official geographic boundaries, so we use boundaries estimated by TomTom.</w:t>
      </w:r>
      <w:r>
        <w:rPr>
          <w:rStyle w:val="FootnoteReference"/>
        </w:rPr>
        <w:footnoteReference w:id="114"/>
      </w:r>
      <w:r>
        <w:t xml:space="preserve">  </w:t>
      </w:r>
      <w:bookmarkEnd w:id="27"/>
      <w:r>
        <w:t xml:space="preserve">Mobility Fund Phase I areas included in our bidding analysis were defined by the Commission as part of </w:t>
      </w:r>
      <w:r>
        <w:t>the auction.</w:t>
      </w:r>
      <w:r>
        <w:rPr>
          <w:rStyle w:val="FootnoteReference"/>
        </w:rPr>
        <w:footnoteReference w:id="115"/>
      </w:r>
      <w:r>
        <w:t xml:space="preserve">  Any block group whose centroid is within the boundary of a high cost wire center was counted as “subsidized.”</w:t>
      </w:r>
    </w:p>
    <w:p w:rsidR="001B10CF" w:rsidRPr="005B627D" w:rsidP="00531B9B" w14:paraId="273DF7A0" w14:textId="77777777">
      <w:pPr>
        <w:pStyle w:val="ParaNum"/>
        <w:tabs>
          <w:tab w:val="clear" w:pos="1080"/>
        </w:tabs>
      </w:pPr>
      <w:r>
        <w:rPr>
          <w:i/>
          <w:iCs/>
        </w:rPr>
        <w:t>Carrier</w:t>
      </w:r>
      <w:r w:rsidRPr="7EBF36DC">
        <w:rPr>
          <w:i/>
          <w:iCs/>
        </w:rPr>
        <w:t xml:space="preserve"> Count</w:t>
      </w:r>
      <w:r>
        <w:t>.  For the Auction Bidding Model analysis, we include the log of the weighted average of the number of carriers by tract.  Using January 2012 America Roamer (now Mosaik) data, we determined the number of carriers covering the centroid of every Census block.  We then calculated the weighted average of this number for each tract, weighting by either the block land area or road miles.</w:t>
      </w:r>
      <w:r>
        <w:rPr>
          <w:rStyle w:val="FootnoteReference"/>
        </w:rPr>
        <w:footnoteReference w:id="116"/>
      </w:r>
      <w:r>
        <w:t xml:space="preserve"> </w:t>
      </w:r>
    </w:p>
    <w:p w:rsidR="001B10CF" w:rsidRPr="00A26AC3" w:rsidP="00531B9B" w14:paraId="0F517830" w14:textId="1110F0B9">
      <w:pPr>
        <w:pStyle w:val="ParaNum"/>
        <w:tabs>
          <w:tab w:val="clear" w:pos="1080"/>
        </w:tabs>
      </w:pPr>
      <w:r w:rsidRPr="7EBF36DC">
        <w:rPr>
          <w:rFonts w:eastAsiaTheme="minorEastAsia"/>
          <w:i/>
          <w:iCs/>
        </w:rPr>
        <w:t>Number of Potential Bidders</w:t>
      </w:r>
      <w:r w:rsidRPr="7EBF36DC">
        <w:rPr>
          <w:rFonts w:eastAsiaTheme="minorEastAsia"/>
        </w:rPr>
        <w:t xml:space="preserve">.  The bidding analysis </w:t>
      </w:r>
      <w:r>
        <w:rPr>
          <w:rFonts w:eastAsiaTheme="minorEastAsia"/>
        </w:rPr>
        <w:t xml:space="preserve">also </w:t>
      </w:r>
      <w:r w:rsidRPr="7EBF36DC">
        <w:rPr>
          <w:rFonts w:eastAsiaTheme="minorEastAsia"/>
        </w:rPr>
        <w:t xml:space="preserve">includes the </w:t>
      </w:r>
      <w:r w:rsidRPr="7EBF36DC">
        <w:rPr>
          <w:rFonts w:eastAsiaTheme="minorEastAsia"/>
          <w:i/>
          <w:iCs/>
        </w:rPr>
        <w:t>potential</w:t>
      </w:r>
      <w:r w:rsidRPr="7EBF36DC">
        <w:rPr>
          <w:rFonts w:eastAsiaTheme="minorEastAsia"/>
        </w:rPr>
        <w:t xml:space="preserve"> number of bidders as a covariate.  To calculate the number of potential bidders</w:t>
      </w:r>
      <w:r>
        <w:rPr>
          <w:rFonts w:eastAsiaTheme="minorEastAsia"/>
        </w:rPr>
        <w:t xml:space="preserve"> for each item</w:t>
      </w:r>
      <w:r w:rsidRPr="7EBF36DC">
        <w:rPr>
          <w:rFonts w:eastAsiaTheme="minorEastAsia"/>
        </w:rPr>
        <w:t xml:space="preserve">, we use bidder applications submitted to the Commission before the </w:t>
      </w:r>
      <w:r>
        <w:rPr>
          <w:rFonts w:eastAsiaTheme="minorEastAsia"/>
        </w:rPr>
        <w:t xml:space="preserve">Mobility Fund Phase I </w:t>
      </w:r>
      <w:r w:rsidRPr="7EBF36DC">
        <w:rPr>
          <w:rFonts w:eastAsiaTheme="minorEastAsia"/>
        </w:rPr>
        <w:t>auction</w:t>
      </w:r>
      <w:r>
        <w:rPr>
          <w:rFonts w:eastAsiaTheme="minorEastAsia"/>
        </w:rPr>
        <w:t xml:space="preserve"> in which they indicate the areas they were interested in bidding</w:t>
      </w:r>
      <w:r w:rsidRPr="7EBF36DC">
        <w:rPr>
          <w:rFonts w:eastAsiaTheme="minorEastAsia"/>
        </w:rPr>
        <w:t>.</w:t>
      </w:r>
      <w:r>
        <w:rPr>
          <w:rStyle w:val="FootnoteReference"/>
          <w:rFonts w:eastAsiaTheme="minorEastAsia"/>
        </w:rPr>
        <w:footnoteReference w:id="117"/>
      </w:r>
    </w:p>
    <w:p w:rsidR="00A26AC3" w:rsidP="00A26AC3" w14:paraId="51EF9CFB" w14:textId="706636BA">
      <w:pPr>
        <w:pStyle w:val="ParaNum"/>
        <w:numPr>
          <w:ilvl w:val="0"/>
          <w:numId w:val="0"/>
        </w:numPr>
      </w:pPr>
    </w:p>
    <w:p w:rsidR="00A26AC3" w:rsidRPr="00A26AC3" w:rsidP="000F2784" w14:paraId="725D82E1" w14:textId="59105822">
      <w:pPr>
        <w:keepNext/>
        <w:keepLines/>
        <w:spacing w:before="120" w:after="120"/>
        <w:jc w:val="center"/>
        <w:rPr>
          <w:b/>
          <w:bCs/>
          <w:sz w:val="22"/>
          <w:szCs w:val="22"/>
        </w:rPr>
      </w:pPr>
      <w:r w:rsidRPr="00A26AC3">
        <w:rPr>
          <w:b/>
          <w:bCs/>
          <w:sz w:val="22"/>
          <w:szCs w:val="22"/>
        </w:rPr>
        <w:t>Fig. B-12: Data Sources</w:t>
      </w:r>
    </w:p>
    <w:tbl>
      <w:tblPr>
        <w:tblStyle w:val="TableGrid"/>
        <w:tblW w:w="0" w:type="auto"/>
        <w:tblLook w:val="04A0"/>
      </w:tblPr>
      <w:tblGrid>
        <w:gridCol w:w="1885"/>
        <w:gridCol w:w="2894"/>
        <w:gridCol w:w="4571"/>
      </w:tblGrid>
      <w:tr w14:paraId="4344A3EF" w14:textId="77777777" w:rsidTr="000F2784">
        <w:tblPrEx>
          <w:tblW w:w="0" w:type="auto"/>
          <w:tblLook w:val="04A0"/>
        </w:tblPrEx>
        <w:trPr>
          <w:cantSplit/>
          <w:tblHeader/>
        </w:trPr>
        <w:tc>
          <w:tcPr>
            <w:tcW w:w="1885" w:type="dxa"/>
          </w:tcPr>
          <w:p w:rsidR="000F2784" w:rsidRPr="000F2784" w:rsidP="000F2784" w14:paraId="28AFCAF4" w14:textId="2389A788">
            <w:pPr>
              <w:keepNext/>
              <w:keepLines/>
              <w:spacing w:before="120" w:after="120"/>
              <w:rPr>
                <w:b/>
                <w:bCs/>
                <w:sz w:val="20"/>
                <w:szCs w:val="20"/>
              </w:rPr>
            </w:pPr>
            <w:r w:rsidRPr="000F2784">
              <w:rPr>
                <w:b/>
                <w:bCs/>
                <w:sz w:val="20"/>
                <w:szCs w:val="20"/>
              </w:rPr>
              <w:t>Data</w:t>
            </w:r>
          </w:p>
        </w:tc>
        <w:tc>
          <w:tcPr>
            <w:tcW w:w="2894" w:type="dxa"/>
          </w:tcPr>
          <w:p w:rsidR="000F2784" w:rsidRPr="000F2784" w:rsidP="000F2784" w14:paraId="7B09B852" w14:textId="096268B7">
            <w:pPr>
              <w:keepNext/>
              <w:keepLines/>
              <w:spacing w:before="120" w:after="120"/>
              <w:rPr>
                <w:b/>
                <w:bCs/>
                <w:sz w:val="20"/>
                <w:szCs w:val="20"/>
              </w:rPr>
            </w:pPr>
            <w:r w:rsidRPr="000F2784">
              <w:rPr>
                <w:b/>
                <w:bCs/>
                <w:sz w:val="20"/>
                <w:szCs w:val="20"/>
              </w:rPr>
              <w:t>Source Names</w:t>
            </w:r>
          </w:p>
        </w:tc>
        <w:tc>
          <w:tcPr>
            <w:tcW w:w="4571" w:type="dxa"/>
          </w:tcPr>
          <w:p w:rsidR="000F2784" w:rsidRPr="000F2784" w:rsidP="000F2784" w14:paraId="3EF11F25" w14:textId="11AA84A2">
            <w:pPr>
              <w:keepNext/>
              <w:keepLines/>
              <w:spacing w:before="120" w:after="120"/>
              <w:rPr>
                <w:b/>
                <w:bCs/>
                <w:sz w:val="20"/>
                <w:szCs w:val="20"/>
              </w:rPr>
            </w:pPr>
            <w:r w:rsidRPr="000F2784">
              <w:rPr>
                <w:b/>
                <w:bCs/>
                <w:sz w:val="20"/>
                <w:szCs w:val="20"/>
              </w:rPr>
              <w:t>Source URL</w:t>
            </w:r>
          </w:p>
        </w:tc>
      </w:tr>
      <w:tr w14:paraId="17A5DE15" w14:textId="77777777" w:rsidTr="000F2784">
        <w:tblPrEx>
          <w:tblW w:w="0" w:type="auto"/>
          <w:tblLook w:val="04A0"/>
        </w:tblPrEx>
        <w:tc>
          <w:tcPr>
            <w:tcW w:w="1885" w:type="dxa"/>
            <w:vAlign w:val="center"/>
          </w:tcPr>
          <w:p w:rsidR="000F2784" w:rsidRPr="000F2784" w:rsidP="000F2784" w14:paraId="3B51EB54" w14:textId="60D2491A">
            <w:pPr>
              <w:keepLines/>
              <w:spacing w:after="40"/>
              <w:rPr>
                <w:b/>
                <w:bCs/>
                <w:sz w:val="20"/>
                <w:szCs w:val="20"/>
              </w:rPr>
            </w:pPr>
            <w:r w:rsidRPr="000F2784">
              <w:rPr>
                <w:sz w:val="20"/>
                <w:szCs w:val="20"/>
              </w:rPr>
              <w:t>Terrain</w:t>
            </w:r>
          </w:p>
        </w:tc>
        <w:tc>
          <w:tcPr>
            <w:tcW w:w="2894" w:type="dxa"/>
            <w:vAlign w:val="center"/>
          </w:tcPr>
          <w:p w:rsidR="000F2784" w:rsidRPr="000F2784" w:rsidP="000F2784" w14:paraId="50BDD7BF" w14:textId="2D3E4BB7">
            <w:pPr>
              <w:keepLines/>
              <w:spacing w:after="40"/>
              <w:rPr>
                <w:b/>
                <w:bCs/>
                <w:sz w:val="20"/>
                <w:szCs w:val="20"/>
              </w:rPr>
            </w:pPr>
            <w:r w:rsidRPr="000F2784">
              <w:rPr>
                <w:sz w:val="20"/>
                <w:szCs w:val="20"/>
              </w:rPr>
              <w:t>USGS - National Elevation Dataset</w:t>
            </w:r>
          </w:p>
        </w:tc>
        <w:tc>
          <w:tcPr>
            <w:tcW w:w="4571" w:type="dxa"/>
            <w:vAlign w:val="center"/>
          </w:tcPr>
          <w:p w:rsidR="000F2784" w:rsidRPr="000F2784" w:rsidP="000F2784" w14:paraId="1E0A9940" w14:textId="2DD3E167">
            <w:pPr>
              <w:keepLines/>
              <w:spacing w:after="40"/>
              <w:rPr>
                <w:b/>
                <w:bCs/>
                <w:sz w:val="20"/>
                <w:szCs w:val="20"/>
              </w:rPr>
            </w:pPr>
            <w:r w:rsidRPr="000F2784">
              <w:rPr>
                <w:color w:val="000000"/>
                <w:sz w:val="20"/>
                <w:szCs w:val="20"/>
              </w:rPr>
              <w:t>https://nationalmap.gov/small_scale/mld/elev100.html</w:t>
            </w:r>
          </w:p>
        </w:tc>
      </w:tr>
      <w:tr w14:paraId="5E314994" w14:textId="77777777" w:rsidTr="000F2784">
        <w:tblPrEx>
          <w:tblW w:w="0" w:type="auto"/>
          <w:tblLook w:val="04A0"/>
        </w:tblPrEx>
        <w:tc>
          <w:tcPr>
            <w:tcW w:w="1885" w:type="dxa"/>
            <w:vAlign w:val="center"/>
          </w:tcPr>
          <w:p w:rsidR="000F2784" w:rsidRPr="000F2784" w:rsidP="000F2784" w14:paraId="51457716" w14:textId="23589CE6">
            <w:pPr>
              <w:keepLines/>
              <w:spacing w:after="40"/>
              <w:rPr>
                <w:b/>
                <w:bCs/>
                <w:sz w:val="20"/>
                <w:szCs w:val="20"/>
              </w:rPr>
            </w:pPr>
            <w:r w:rsidRPr="000F2784">
              <w:rPr>
                <w:sz w:val="20"/>
                <w:szCs w:val="20"/>
              </w:rPr>
              <w:t>Population</w:t>
            </w:r>
          </w:p>
        </w:tc>
        <w:tc>
          <w:tcPr>
            <w:tcW w:w="2894" w:type="dxa"/>
            <w:vAlign w:val="center"/>
          </w:tcPr>
          <w:p w:rsidR="000F2784" w:rsidRPr="000F2784" w:rsidP="000F2784" w14:paraId="70F66E51" w14:textId="54AEF4B0">
            <w:pPr>
              <w:keepLines/>
              <w:spacing w:after="40"/>
              <w:rPr>
                <w:b/>
                <w:bCs/>
                <w:sz w:val="20"/>
                <w:szCs w:val="20"/>
              </w:rPr>
            </w:pPr>
            <w:r w:rsidRPr="000F2784">
              <w:rPr>
                <w:sz w:val="20"/>
                <w:szCs w:val="20"/>
              </w:rPr>
              <w:t xml:space="preserve">Census, FCC Staff Block Estimates </w:t>
            </w:r>
          </w:p>
        </w:tc>
        <w:tc>
          <w:tcPr>
            <w:tcW w:w="4571" w:type="dxa"/>
            <w:vAlign w:val="center"/>
          </w:tcPr>
          <w:p w:rsidR="000F2784" w:rsidRPr="000F2784" w:rsidP="000F2784" w14:paraId="38F305C6" w14:textId="60FCAE13">
            <w:pPr>
              <w:keepLines/>
              <w:spacing w:after="40"/>
              <w:rPr>
                <w:b/>
                <w:bCs/>
                <w:sz w:val="20"/>
                <w:szCs w:val="20"/>
              </w:rPr>
            </w:pPr>
            <w:r w:rsidRPr="000F2784">
              <w:rPr>
                <w:color w:val="000000"/>
                <w:sz w:val="20"/>
                <w:szCs w:val="20"/>
              </w:rPr>
              <w:t>https://www.fcc.gov/reports-research/data/staff-block-estimates</w:t>
            </w:r>
          </w:p>
        </w:tc>
      </w:tr>
      <w:tr w14:paraId="05115797" w14:textId="77777777" w:rsidTr="000F2784">
        <w:tblPrEx>
          <w:tblW w:w="0" w:type="auto"/>
          <w:tblLook w:val="04A0"/>
        </w:tblPrEx>
        <w:tc>
          <w:tcPr>
            <w:tcW w:w="1885" w:type="dxa"/>
            <w:vAlign w:val="center"/>
          </w:tcPr>
          <w:p w:rsidR="000F2784" w:rsidRPr="000F2784" w:rsidP="000F2784" w14:paraId="23E0AC00" w14:textId="1987ED10">
            <w:pPr>
              <w:keepLines/>
              <w:spacing w:after="40"/>
              <w:rPr>
                <w:b/>
                <w:bCs/>
                <w:sz w:val="20"/>
                <w:szCs w:val="20"/>
              </w:rPr>
            </w:pPr>
            <w:r w:rsidRPr="000F2784">
              <w:rPr>
                <w:sz w:val="20"/>
                <w:szCs w:val="20"/>
              </w:rPr>
              <w:t>Employment*</w:t>
            </w:r>
          </w:p>
        </w:tc>
        <w:tc>
          <w:tcPr>
            <w:tcW w:w="2894" w:type="dxa"/>
            <w:vAlign w:val="center"/>
          </w:tcPr>
          <w:p w:rsidR="000F2784" w:rsidRPr="000F2784" w:rsidP="000F2784" w14:paraId="7D3351CA" w14:textId="56EDF24E">
            <w:pPr>
              <w:keepLines/>
              <w:spacing w:after="40"/>
              <w:rPr>
                <w:b/>
                <w:bCs/>
                <w:sz w:val="20"/>
                <w:szCs w:val="20"/>
              </w:rPr>
            </w:pPr>
            <w:r w:rsidRPr="000F2784">
              <w:rPr>
                <w:sz w:val="20"/>
                <w:szCs w:val="20"/>
              </w:rPr>
              <w:t>Census - County Business Patterns</w:t>
            </w:r>
          </w:p>
        </w:tc>
        <w:tc>
          <w:tcPr>
            <w:tcW w:w="4571" w:type="dxa"/>
            <w:vAlign w:val="center"/>
          </w:tcPr>
          <w:p w:rsidR="000F2784" w:rsidRPr="000F2784" w:rsidP="000F2784" w14:paraId="34D5B1C3" w14:textId="58AF0C08">
            <w:pPr>
              <w:keepLines/>
              <w:spacing w:after="40"/>
              <w:rPr>
                <w:b/>
                <w:bCs/>
                <w:sz w:val="20"/>
                <w:szCs w:val="20"/>
              </w:rPr>
            </w:pPr>
            <w:r w:rsidRPr="000F2784">
              <w:rPr>
                <w:color w:val="000000"/>
                <w:sz w:val="20"/>
                <w:szCs w:val="20"/>
              </w:rPr>
              <w:t>https://www.census.gov/programs-surveys/cbp.html</w:t>
            </w:r>
          </w:p>
        </w:tc>
      </w:tr>
      <w:tr w14:paraId="11E791E7" w14:textId="77777777" w:rsidTr="000F2784">
        <w:tblPrEx>
          <w:tblW w:w="0" w:type="auto"/>
          <w:tblLook w:val="04A0"/>
        </w:tblPrEx>
        <w:tc>
          <w:tcPr>
            <w:tcW w:w="1885" w:type="dxa"/>
            <w:vAlign w:val="center"/>
          </w:tcPr>
          <w:p w:rsidR="000F2784" w:rsidRPr="000F2784" w:rsidP="000F2784" w14:paraId="0559F5DB" w14:textId="0E9E398F">
            <w:pPr>
              <w:keepLines/>
              <w:spacing w:after="40"/>
              <w:rPr>
                <w:b/>
                <w:bCs/>
                <w:sz w:val="20"/>
                <w:szCs w:val="20"/>
              </w:rPr>
            </w:pPr>
            <w:r w:rsidRPr="000F2784">
              <w:rPr>
                <w:sz w:val="20"/>
                <w:szCs w:val="20"/>
              </w:rPr>
              <w:t>Road Miles</w:t>
            </w:r>
          </w:p>
        </w:tc>
        <w:tc>
          <w:tcPr>
            <w:tcW w:w="2894" w:type="dxa"/>
            <w:vAlign w:val="center"/>
          </w:tcPr>
          <w:p w:rsidR="000F2784" w:rsidRPr="000F2784" w:rsidP="000F2784" w14:paraId="6739764C" w14:textId="01758989">
            <w:pPr>
              <w:keepLines/>
              <w:spacing w:after="40"/>
              <w:rPr>
                <w:b/>
                <w:bCs/>
                <w:sz w:val="20"/>
                <w:szCs w:val="20"/>
              </w:rPr>
            </w:pPr>
            <w:r w:rsidRPr="000F2784">
              <w:rPr>
                <w:sz w:val="20"/>
                <w:szCs w:val="20"/>
              </w:rPr>
              <w:t>Internal FCC Analysis of Census TIGER Data</w:t>
            </w:r>
          </w:p>
        </w:tc>
        <w:tc>
          <w:tcPr>
            <w:tcW w:w="4571" w:type="dxa"/>
            <w:vAlign w:val="center"/>
          </w:tcPr>
          <w:p w:rsidR="000F2784" w:rsidRPr="000F2784" w:rsidP="000F2784" w14:paraId="227C341A" w14:textId="4E6D75C8">
            <w:pPr>
              <w:keepLines/>
              <w:spacing w:after="40"/>
              <w:rPr>
                <w:b/>
                <w:bCs/>
                <w:sz w:val="20"/>
                <w:szCs w:val="20"/>
              </w:rPr>
            </w:pPr>
            <w:r w:rsidRPr="000F2784">
              <w:rPr>
                <w:sz w:val="20"/>
                <w:szCs w:val="20"/>
              </w:rPr>
              <w:t> </w:t>
            </w:r>
          </w:p>
        </w:tc>
      </w:tr>
      <w:tr w14:paraId="5502AE8F" w14:textId="77777777" w:rsidTr="000F2784">
        <w:tblPrEx>
          <w:tblW w:w="0" w:type="auto"/>
          <w:tblLook w:val="04A0"/>
        </w:tblPrEx>
        <w:tc>
          <w:tcPr>
            <w:tcW w:w="1885" w:type="dxa"/>
            <w:vAlign w:val="center"/>
          </w:tcPr>
          <w:p w:rsidR="000F2784" w:rsidRPr="000F2784" w:rsidP="000F2784" w14:paraId="7BD51731" w14:textId="6712E602">
            <w:pPr>
              <w:keepLines/>
              <w:spacing w:after="40"/>
              <w:rPr>
                <w:b/>
                <w:bCs/>
                <w:sz w:val="20"/>
                <w:szCs w:val="20"/>
              </w:rPr>
            </w:pPr>
            <w:r w:rsidRPr="000F2784">
              <w:rPr>
                <w:sz w:val="20"/>
                <w:szCs w:val="20"/>
              </w:rPr>
              <w:t>Gross Domestic Product</w:t>
            </w:r>
          </w:p>
        </w:tc>
        <w:tc>
          <w:tcPr>
            <w:tcW w:w="2894" w:type="dxa"/>
            <w:vAlign w:val="center"/>
          </w:tcPr>
          <w:p w:rsidR="000F2784" w:rsidRPr="000F2784" w:rsidP="000F2784" w14:paraId="38E7AF8F" w14:textId="1529EF2A">
            <w:pPr>
              <w:keepLines/>
              <w:spacing w:after="40"/>
              <w:rPr>
                <w:b/>
                <w:bCs/>
                <w:sz w:val="20"/>
                <w:szCs w:val="20"/>
              </w:rPr>
            </w:pPr>
            <w:r w:rsidRPr="000F2784">
              <w:rPr>
                <w:sz w:val="20"/>
                <w:szCs w:val="20"/>
              </w:rPr>
              <w:t>Bureau of Economic Analysis</w:t>
            </w:r>
          </w:p>
        </w:tc>
        <w:tc>
          <w:tcPr>
            <w:tcW w:w="4571" w:type="dxa"/>
            <w:vAlign w:val="center"/>
          </w:tcPr>
          <w:p w:rsidR="000F2784" w:rsidRPr="000F2784" w:rsidP="000F2784" w14:paraId="2B46C510" w14:textId="584C628E">
            <w:pPr>
              <w:keepLines/>
              <w:spacing w:after="40"/>
              <w:rPr>
                <w:b/>
                <w:bCs/>
                <w:sz w:val="20"/>
                <w:szCs w:val="20"/>
              </w:rPr>
            </w:pPr>
            <w:r w:rsidRPr="000F2784">
              <w:rPr>
                <w:color w:val="000000"/>
                <w:sz w:val="20"/>
                <w:szCs w:val="20"/>
              </w:rPr>
              <w:t>https://www.bea.gov/data/gdp/gdp-county-metro-and-other-areas</w:t>
            </w:r>
          </w:p>
        </w:tc>
      </w:tr>
      <w:tr w14:paraId="72150F24" w14:textId="77777777" w:rsidTr="000F2784">
        <w:tblPrEx>
          <w:tblW w:w="0" w:type="auto"/>
          <w:tblLook w:val="04A0"/>
        </w:tblPrEx>
        <w:tc>
          <w:tcPr>
            <w:tcW w:w="1885" w:type="dxa"/>
            <w:vAlign w:val="center"/>
          </w:tcPr>
          <w:p w:rsidR="000F2784" w:rsidRPr="000F2784" w:rsidP="000F2784" w14:paraId="62EF832E" w14:textId="5B0ECA5E">
            <w:pPr>
              <w:keepLines/>
              <w:spacing w:after="40"/>
              <w:rPr>
                <w:b/>
                <w:bCs/>
                <w:sz w:val="20"/>
                <w:szCs w:val="20"/>
              </w:rPr>
            </w:pPr>
            <w:r w:rsidRPr="000F2784">
              <w:rPr>
                <w:sz w:val="20"/>
                <w:szCs w:val="20"/>
              </w:rPr>
              <w:t>Median Household Income</w:t>
            </w:r>
          </w:p>
        </w:tc>
        <w:tc>
          <w:tcPr>
            <w:tcW w:w="2894" w:type="dxa"/>
            <w:vAlign w:val="center"/>
          </w:tcPr>
          <w:p w:rsidR="000F2784" w:rsidRPr="000F2784" w:rsidP="000F2784" w14:paraId="198876BF" w14:textId="04C8E00D">
            <w:pPr>
              <w:keepLines/>
              <w:spacing w:after="40"/>
              <w:rPr>
                <w:b/>
                <w:bCs/>
                <w:sz w:val="20"/>
                <w:szCs w:val="20"/>
              </w:rPr>
            </w:pPr>
            <w:r w:rsidRPr="000F2784">
              <w:rPr>
                <w:sz w:val="20"/>
                <w:szCs w:val="20"/>
              </w:rPr>
              <w:t>Census - American Community Survey</w:t>
            </w:r>
          </w:p>
        </w:tc>
        <w:tc>
          <w:tcPr>
            <w:tcW w:w="4571" w:type="dxa"/>
            <w:vAlign w:val="center"/>
          </w:tcPr>
          <w:p w:rsidR="000F2784" w:rsidRPr="000F2784" w:rsidP="000F2784" w14:paraId="23403A9B" w14:textId="056DC6D1">
            <w:pPr>
              <w:keepLines/>
              <w:spacing w:after="40"/>
              <w:rPr>
                <w:b/>
                <w:bCs/>
                <w:sz w:val="20"/>
                <w:szCs w:val="20"/>
              </w:rPr>
            </w:pPr>
            <w:r w:rsidRPr="000F2784">
              <w:rPr>
                <w:color w:val="000000"/>
                <w:sz w:val="20"/>
                <w:szCs w:val="20"/>
              </w:rPr>
              <w:t>https://www.census.gov/programs-surveys/acs</w:t>
            </w:r>
          </w:p>
        </w:tc>
      </w:tr>
      <w:tr w14:paraId="2915E17B" w14:textId="77777777" w:rsidTr="000F2784">
        <w:tblPrEx>
          <w:tblW w:w="0" w:type="auto"/>
          <w:tblLook w:val="04A0"/>
        </w:tblPrEx>
        <w:tc>
          <w:tcPr>
            <w:tcW w:w="1885" w:type="dxa"/>
            <w:vAlign w:val="center"/>
          </w:tcPr>
          <w:p w:rsidR="000F2784" w:rsidRPr="000F2784" w:rsidP="000F2784" w14:paraId="2CF2D92E" w14:textId="61766AB6">
            <w:pPr>
              <w:keepLines/>
              <w:spacing w:after="40"/>
              <w:rPr>
                <w:b/>
                <w:bCs/>
                <w:sz w:val="20"/>
                <w:szCs w:val="20"/>
              </w:rPr>
            </w:pPr>
            <w:r w:rsidRPr="000F2784">
              <w:rPr>
                <w:sz w:val="20"/>
                <w:szCs w:val="20"/>
              </w:rPr>
              <w:t>Land Cover*</w:t>
            </w:r>
          </w:p>
        </w:tc>
        <w:tc>
          <w:tcPr>
            <w:tcW w:w="2894" w:type="dxa"/>
            <w:vAlign w:val="center"/>
          </w:tcPr>
          <w:p w:rsidR="000F2784" w:rsidRPr="000F2784" w:rsidP="000F2784" w14:paraId="7B829259" w14:textId="2947FDC5">
            <w:pPr>
              <w:keepLines/>
              <w:spacing w:after="40"/>
              <w:rPr>
                <w:b/>
                <w:bCs/>
                <w:sz w:val="20"/>
                <w:szCs w:val="20"/>
              </w:rPr>
            </w:pPr>
            <w:r w:rsidRPr="000F2784">
              <w:rPr>
                <w:sz w:val="20"/>
                <w:szCs w:val="20"/>
              </w:rPr>
              <w:t>USGS - National Land Cover Database</w:t>
            </w:r>
          </w:p>
        </w:tc>
        <w:tc>
          <w:tcPr>
            <w:tcW w:w="4571" w:type="dxa"/>
            <w:vAlign w:val="center"/>
          </w:tcPr>
          <w:p w:rsidR="000F2784" w:rsidRPr="000F2784" w:rsidP="000F2784" w14:paraId="5B355BF6" w14:textId="5F71029C">
            <w:pPr>
              <w:keepLines/>
              <w:spacing w:after="40"/>
              <w:rPr>
                <w:b/>
                <w:bCs/>
                <w:sz w:val="20"/>
                <w:szCs w:val="20"/>
              </w:rPr>
            </w:pPr>
            <w:r w:rsidRPr="000F2784">
              <w:rPr>
                <w:color w:val="000000"/>
                <w:sz w:val="20"/>
                <w:szCs w:val="20"/>
              </w:rPr>
              <w:t>https://www.mrlc.gov/data</w:t>
            </w:r>
          </w:p>
        </w:tc>
      </w:tr>
      <w:tr w14:paraId="33ACAD48" w14:textId="77777777" w:rsidTr="000F2784">
        <w:tblPrEx>
          <w:tblW w:w="0" w:type="auto"/>
          <w:tblLook w:val="04A0"/>
        </w:tblPrEx>
        <w:tc>
          <w:tcPr>
            <w:tcW w:w="1885" w:type="dxa"/>
            <w:vAlign w:val="center"/>
          </w:tcPr>
          <w:p w:rsidR="000F2784" w:rsidRPr="000F2784" w:rsidP="000F2784" w14:paraId="477801DA" w14:textId="16E8BDE8">
            <w:pPr>
              <w:keepLines/>
              <w:spacing w:after="40"/>
              <w:rPr>
                <w:b/>
                <w:bCs/>
                <w:sz w:val="20"/>
                <w:szCs w:val="20"/>
              </w:rPr>
            </w:pPr>
            <w:r w:rsidRPr="000F2784">
              <w:rPr>
                <w:sz w:val="20"/>
                <w:szCs w:val="20"/>
              </w:rPr>
              <w:t>Mobile Coverage</w:t>
            </w:r>
          </w:p>
        </w:tc>
        <w:tc>
          <w:tcPr>
            <w:tcW w:w="2894" w:type="dxa"/>
            <w:vAlign w:val="center"/>
          </w:tcPr>
          <w:p w:rsidR="000F2784" w:rsidRPr="000F2784" w:rsidP="000F2784" w14:paraId="61EBDDB0" w14:textId="49DF42C0">
            <w:pPr>
              <w:keepLines/>
              <w:spacing w:after="40"/>
              <w:rPr>
                <w:b/>
                <w:bCs/>
                <w:sz w:val="20"/>
                <w:szCs w:val="20"/>
              </w:rPr>
            </w:pPr>
            <w:r w:rsidRPr="000F2784">
              <w:rPr>
                <w:sz w:val="20"/>
                <w:szCs w:val="20"/>
              </w:rPr>
              <w:t>USGS - National Elevation Dataset</w:t>
            </w:r>
          </w:p>
        </w:tc>
        <w:tc>
          <w:tcPr>
            <w:tcW w:w="4571" w:type="dxa"/>
            <w:vAlign w:val="center"/>
          </w:tcPr>
          <w:p w:rsidR="000F2784" w:rsidRPr="000F2784" w:rsidP="000F2784" w14:paraId="30A48C72" w14:textId="0D7E0DD7">
            <w:pPr>
              <w:keepLines/>
              <w:spacing w:after="40"/>
              <w:rPr>
                <w:b/>
                <w:bCs/>
                <w:sz w:val="20"/>
                <w:szCs w:val="20"/>
              </w:rPr>
            </w:pPr>
            <w:r w:rsidRPr="000F2784">
              <w:rPr>
                <w:color w:val="000000"/>
                <w:sz w:val="20"/>
                <w:szCs w:val="20"/>
              </w:rPr>
              <w:t>https://www.mosaik.com/network-experience-solutions/coverage/</w:t>
            </w:r>
          </w:p>
        </w:tc>
      </w:tr>
      <w:tr w14:paraId="1B7CF92C" w14:textId="77777777" w:rsidTr="000F2784">
        <w:tblPrEx>
          <w:tblW w:w="0" w:type="auto"/>
          <w:tblLook w:val="04A0"/>
        </w:tblPrEx>
        <w:tc>
          <w:tcPr>
            <w:tcW w:w="1885" w:type="dxa"/>
            <w:vAlign w:val="center"/>
          </w:tcPr>
          <w:p w:rsidR="000F2784" w:rsidRPr="000F2784" w:rsidP="000F2784" w14:paraId="02808205" w14:textId="79CA356F">
            <w:pPr>
              <w:keepLines/>
              <w:spacing w:after="40"/>
              <w:rPr>
                <w:b/>
                <w:bCs/>
                <w:sz w:val="20"/>
                <w:szCs w:val="20"/>
              </w:rPr>
            </w:pPr>
            <w:r w:rsidRPr="000F2784">
              <w:rPr>
                <w:sz w:val="20"/>
                <w:szCs w:val="20"/>
              </w:rPr>
              <w:t>Land Area</w:t>
            </w:r>
          </w:p>
        </w:tc>
        <w:tc>
          <w:tcPr>
            <w:tcW w:w="2894" w:type="dxa"/>
            <w:vAlign w:val="center"/>
          </w:tcPr>
          <w:p w:rsidR="000F2784" w:rsidRPr="000F2784" w:rsidP="000F2784" w14:paraId="1708ABA6" w14:textId="366CF3D3">
            <w:pPr>
              <w:keepLines/>
              <w:spacing w:after="40"/>
              <w:rPr>
                <w:b/>
                <w:bCs/>
                <w:sz w:val="20"/>
                <w:szCs w:val="20"/>
              </w:rPr>
            </w:pPr>
            <w:r w:rsidRPr="000F2784">
              <w:rPr>
                <w:sz w:val="20"/>
                <w:szCs w:val="20"/>
              </w:rPr>
              <w:t xml:space="preserve">Census, FCC Staff Block Estimates </w:t>
            </w:r>
          </w:p>
        </w:tc>
        <w:tc>
          <w:tcPr>
            <w:tcW w:w="4571" w:type="dxa"/>
            <w:vAlign w:val="center"/>
          </w:tcPr>
          <w:p w:rsidR="000F2784" w:rsidRPr="000F2784" w:rsidP="000F2784" w14:paraId="42ADAAC4" w14:textId="37E5AB8D">
            <w:pPr>
              <w:keepLines/>
              <w:spacing w:after="40"/>
              <w:rPr>
                <w:b/>
                <w:bCs/>
                <w:sz w:val="20"/>
                <w:szCs w:val="20"/>
              </w:rPr>
            </w:pPr>
            <w:r w:rsidRPr="000F2784">
              <w:rPr>
                <w:color w:val="000000"/>
                <w:sz w:val="20"/>
                <w:szCs w:val="20"/>
              </w:rPr>
              <w:t>https://www.census.gov/geographies/mapping-files/time-series/geo/tiger-line-file.2010.html</w:t>
            </w:r>
          </w:p>
        </w:tc>
      </w:tr>
      <w:tr w14:paraId="2853AFE9" w14:textId="77777777" w:rsidTr="000F2784">
        <w:tblPrEx>
          <w:tblW w:w="0" w:type="auto"/>
          <w:tblLook w:val="04A0"/>
        </w:tblPrEx>
        <w:tc>
          <w:tcPr>
            <w:tcW w:w="1885" w:type="dxa"/>
            <w:vAlign w:val="center"/>
          </w:tcPr>
          <w:p w:rsidR="000F2784" w:rsidRPr="000F2784" w:rsidP="000F2784" w14:paraId="0CBC20B5" w14:textId="2D904EF1">
            <w:pPr>
              <w:keepLines/>
              <w:spacing w:after="40"/>
              <w:rPr>
                <w:sz w:val="20"/>
                <w:szCs w:val="20"/>
              </w:rPr>
            </w:pPr>
            <w:r w:rsidRPr="000F2784">
              <w:rPr>
                <w:sz w:val="20"/>
                <w:szCs w:val="20"/>
              </w:rPr>
              <w:t>Federal Land</w:t>
            </w:r>
          </w:p>
        </w:tc>
        <w:tc>
          <w:tcPr>
            <w:tcW w:w="2894" w:type="dxa"/>
            <w:vAlign w:val="center"/>
          </w:tcPr>
          <w:p w:rsidR="000F2784" w:rsidRPr="000F2784" w:rsidP="000F2784" w14:paraId="283F8331" w14:textId="0CD2AE43">
            <w:pPr>
              <w:keepLines/>
              <w:spacing w:after="40"/>
              <w:rPr>
                <w:b/>
                <w:bCs/>
                <w:sz w:val="20"/>
                <w:szCs w:val="20"/>
              </w:rPr>
            </w:pPr>
            <w:r w:rsidRPr="000F2784">
              <w:rPr>
                <w:sz w:val="20"/>
                <w:szCs w:val="20"/>
              </w:rPr>
              <w:t>Census - County Business Patterns</w:t>
            </w:r>
          </w:p>
        </w:tc>
        <w:tc>
          <w:tcPr>
            <w:tcW w:w="4571" w:type="dxa"/>
            <w:vAlign w:val="center"/>
          </w:tcPr>
          <w:p w:rsidR="000F2784" w:rsidRPr="000F2784" w:rsidP="000F2784" w14:paraId="2798B490" w14:textId="00F30DC7">
            <w:pPr>
              <w:keepLines/>
              <w:spacing w:after="40"/>
              <w:rPr>
                <w:b/>
                <w:bCs/>
                <w:sz w:val="20"/>
                <w:szCs w:val="20"/>
              </w:rPr>
            </w:pPr>
            <w:r w:rsidRPr="000F2784">
              <w:rPr>
                <w:sz w:val="20"/>
                <w:szCs w:val="20"/>
              </w:rPr>
              <w:t>http://www.nationalatlas.gov/mld/fedlanp.html</w:t>
            </w:r>
          </w:p>
        </w:tc>
      </w:tr>
      <w:tr w14:paraId="3D12073C" w14:textId="77777777" w:rsidTr="000F2784">
        <w:tblPrEx>
          <w:tblW w:w="0" w:type="auto"/>
          <w:tblLook w:val="04A0"/>
        </w:tblPrEx>
        <w:tc>
          <w:tcPr>
            <w:tcW w:w="1885" w:type="dxa"/>
            <w:vAlign w:val="center"/>
          </w:tcPr>
          <w:p w:rsidR="000F2784" w:rsidRPr="000F2784" w:rsidP="000F2784" w14:paraId="403EB6DE" w14:textId="77AC64A8">
            <w:pPr>
              <w:keepLines/>
              <w:spacing w:after="40"/>
              <w:rPr>
                <w:sz w:val="20"/>
                <w:szCs w:val="20"/>
              </w:rPr>
            </w:pPr>
            <w:r w:rsidRPr="000F2784">
              <w:rPr>
                <w:sz w:val="20"/>
                <w:szCs w:val="20"/>
              </w:rPr>
              <w:t>Spectrum Holdings</w:t>
            </w:r>
          </w:p>
        </w:tc>
        <w:tc>
          <w:tcPr>
            <w:tcW w:w="2894" w:type="dxa"/>
            <w:vAlign w:val="center"/>
          </w:tcPr>
          <w:p w:rsidR="000F2784" w:rsidRPr="000F2784" w:rsidP="000F2784" w14:paraId="40FA378B" w14:textId="0973F432">
            <w:pPr>
              <w:keepLines/>
              <w:spacing w:after="40"/>
              <w:rPr>
                <w:b/>
                <w:bCs/>
                <w:sz w:val="20"/>
                <w:szCs w:val="20"/>
              </w:rPr>
            </w:pPr>
            <w:r w:rsidRPr="000F2784">
              <w:rPr>
                <w:sz w:val="20"/>
                <w:szCs w:val="20"/>
              </w:rPr>
              <w:t>Internal FCC Analysis of Census TIGER Data</w:t>
            </w:r>
          </w:p>
        </w:tc>
        <w:tc>
          <w:tcPr>
            <w:tcW w:w="4571" w:type="dxa"/>
            <w:vAlign w:val="center"/>
          </w:tcPr>
          <w:p w:rsidR="000F2784" w:rsidRPr="000F2784" w:rsidP="000F2784" w14:paraId="5A31A19E" w14:textId="07643EB3">
            <w:pPr>
              <w:keepLines/>
              <w:spacing w:after="40"/>
              <w:rPr>
                <w:b/>
                <w:bCs/>
                <w:sz w:val="20"/>
                <w:szCs w:val="20"/>
              </w:rPr>
            </w:pPr>
            <w:r w:rsidRPr="000F2784">
              <w:rPr>
                <w:sz w:val="20"/>
                <w:szCs w:val="20"/>
              </w:rPr>
              <w:t>https://www.fcc.gov/wireless/systems-utilities/universal-licensing-system</w:t>
            </w:r>
          </w:p>
        </w:tc>
      </w:tr>
      <w:tr w14:paraId="7D12119B" w14:textId="77777777" w:rsidTr="000F2784">
        <w:tblPrEx>
          <w:tblW w:w="0" w:type="auto"/>
          <w:tblLook w:val="04A0"/>
        </w:tblPrEx>
        <w:tc>
          <w:tcPr>
            <w:tcW w:w="1885" w:type="dxa"/>
            <w:vAlign w:val="center"/>
          </w:tcPr>
          <w:p w:rsidR="000F2784" w:rsidRPr="000F2784" w:rsidP="000F2784" w14:paraId="3EDD8BA0" w14:textId="393A51A2">
            <w:pPr>
              <w:keepLines/>
              <w:spacing w:after="40"/>
              <w:rPr>
                <w:sz w:val="20"/>
                <w:szCs w:val="20"/>
              </w:rPr>
            </w:pPr>
            <w:r w:rsidRPr="000F2784">
              <w:rPr>
                <w:sz w:val="20"/>
                <w:szCs w:val="20"/>
              </w:rPr>
              <w:t>Subscribers</w:t>
            </w:r>
          </w:p>
        </w:tc>
        <w:tc>
          <w:tcPr>
            <w:tcW w:w="2894" w:type="dxa"/>
            <w:vAlign w:val="center"/>
          </w:tcPr>
          <w:p w:rsidR="000F2784" w:rsidRPr="000F2784" w:rsidP="000F2784" w14:paraId="54425895" w14:textId="406BC9F4">
            <w:pPr>
              <w:keepLines/>
              <w:spacing w:after="40"/>
              <w:rPr>
                <w:b/>
                <w:bCs/>
                <w:sz w:val="20"/>
                <w:szCs w:val="20"/>
              </w:rPr>
            </w:pPr>
            <w:r w:rsidRPr="000F2784">
              <w:rPr>
                <w:sz w:val="20"/>
                <w:szCs w:val="20"/>
              </w:rPr>
              <w:t>Bureau of Economic Analysis</w:t>
            </w:r>
          </w:p>
        </w:tc>
        <w:tc>
          <w:tcPr>
            <w:tcW w:w="4571" w:type="dxa"/>
            <w:vAlign w:val="center"/>
          </w:tcPr>
          <w:p w:rsidR="000F2784" w:rsidRPr="000F2784" w:rsidP="000F2784" w14:paraId="104D35B5" w14:textId="2BC5FD5F">
            <w:pPr>
              <w:keepLines/>
              <w:spacing w:after="40"/>
              <w:rPr>
                <w:b/>
                <w:bCs/>
                <w:sz w:val="20"/>
                <w:szCs w:val="20"/>
              </w:rPr>
            </w:pPr>
            <w:r w:rsidRPr="000F2784">
              <w:rPr>
                <w:sz w:val="20"/>
                <w:szCs w:val="20"/>
              </w:rPr>
              <w:t>Confidential FCC Data</w:t>
            </w:r>
          </w:p>
        </w:tc>
      </w:tr>
      <w:tr w14:paraId="2B5F9AC3" w14:textId="77777777" w:rsidTr="000F2784">
        <w:tblPrEx>
          <w:tblW w:w="0" w:type="auto"/>
          <w:tblLook w:val="04A0"/>
        </w:tblPrEx>
        <w:tc>
          <w:tcPr>
            <w:tcW w:w="1885" w:type="dxa"/>
            <w:vAlign w:val="center"/>
          </w:tcPr>
          <w:p w:rsidR="000F2784" w:rsidRPr="000F2784" w:rsidP="000F2784" w14:paraId="465F2E1A" w14:textId="0DC0F5C6">
            <w:pPr>
              <w:keepLines/>
              <w:spacing w:after="40"/>
              <w:rPr>
                <w:sz w:val="20"/>
                <w:szCs w:val="20"/>
              </w:rPr>
            </w:pPr>
            <w:r w:rsidRPr="000F2784">
              <w:rPr>
                <w:sz w:val="20"/>
                <w:szCs w:val="20"/>
              </w:rPr>
              <w:t>USF Funding</w:t>
            </w:r>
          </w:p>
        </w:tc>
        <w:tc>
          <w:tcPr>
            <w:tcW w:w="2894" w:type="dxa"/>
            <w:vAlign w:val="center"/>
          </w:tcPr>
          <w:p w:rsidR="000F2784" w:rsidRPr="000F2784" w:rsidP="000F2784" w14:paraId="4C7883F8" w14:textId="022F5A6E">
            <w:pPr>
              <w:keepLines/>
              <w:spacing w:after="40"/>
              <w:rPr>
                <w:b/>
                <w:bCs/>
                <w:sz w:val="20"/>
                <w:szCs w:val="20"/>
              </w:rPr>
            </w:pPr>
            <w:r w:rsidRPr="000F2784">
              <w:rPr>
                <w:sz w:val="20"/>
                <w:szCs w:val="20"/>
              </w:rPr>
              <w:t>Census - American Community Survey</w:t>
            </w:r>
          </w:p>
        </w:tc>
        <w:tc>
          <w:tcPr>
            <w:tcW w:w="4571" w:type="dxa"/>
            <w:vAlign w:val="center"/>
          </w:tcPr>
          <w:p w:rsidR="000F2784" w:rsidRPr="000F2784" w:rsidP="000F2784" w14:paraId="466BA9D8" w14:textId="6595E829">
            <w:pPr>
              <w:keepLines/>
              <w:spacing w:after="40"/>
              <w:rPr>
                <w:b/>
                <w:bCs/>
                <w:sz w:val="20"/>
                <w:szCs w:val="20"/>
              </w:rPr>
            </w:pPr>
            <w:r w:rsidRPr="000F2784">
              <w:rPr>
                <w:sz w:val="20"/>
                <w:szCs w:val="20"/>
              </w:rPr>
              <w:t> </w:t>
            </w:r>
          </w:p>
        </w:tc>
      </w:tr>
      <w:tr w14:paraId="6707D621" w14:textId="77777777" w:rsidTr="000F2784">
        <w:tblPrEx>
          <w:tblW w:w="0" w:type="auto"/>
          <w:tblLook w:val="04A0"/>
        </w:tblPrEx>
        <w:tc>
          <w:tcPr>
            <w:tcW w:w="1885" w:type="dxa"/>
            <w:vAlign w:val="center"/>
          </w:tcPr>
          <w:p w:rsidR="000F2784" w:rsidRPr="000F2784" w:rsidP="000F2784" w14:paraId="1983B853" w14:textId="32AEA3D4">
            <w:pPr>
              <w:keepLines/>
              <w:spacing w:after="40"/>
              <w:rPr>
                <w:sz w:val="20"/>
                <w:szCs w:val="20"/>
              </w:rPr>
            </w:pPr>
            <w:r w:rsidRPr="000F2784">
              <w:rPr>
                <w:sz w:val="20"/>
                <w:szCs w:val="20"/>
              </w:rPr>
              <w:t>MF I Auction Information</w:t>
            </w:r>
          </w:p>
        </w:tc>
        <w:tc>
          <w:tcPr>
            <w:tcW w:w="2894" w:type="dxa"/>
            <w:vAlign w:val="center"/>
          </w:tcPr>
          <w:p w:rsidR="000F2784" w:rsidRPr="000F2784" w:rsidP="000F2784" w14:paraId="6D430FB5" w14:textId="6DACD7B2">
            <w:pPr>
              <w:keepLines/>
              <w:spacing w:after="40"/>
              <w:rPr>
                <w:b/>
                <w:bCs/>
                <w:sz w:val="20"/>
                <w:szCs w:val="20"/>
              </w:rPr>
            </w:pPr>
            <w:r w:rsidRPr="000F2784">
              <w:rPr>
                <w:sz w:val="20"/>
                <w:szCs w:val="20"/>
              </w:rPr>
              <w:t>USGS - National Land Cover Database</w:t>
            </w:r>
          </w:p>
        </w:tc>
        <w:tc>
          <w:tcPr>
            <w:tcW w:w="4571" w:type="dxa"/>
            <w:vAlign w:val="center"/>
          </w:tcPr>
          <w:p w:rsidR="000F2784" w:rsidRPr="000F2784" w:rsidP="000F2784" w14:paraId="40BE7E80" w14:textId="42F84965">
            <w:pPr>
              <w:keepLines/>
              <w:spacing w:after="40"/>
              <w:rPr>
                <w:b/>
                <w:bCs/>
                <w:sz w:val="20"/>
                <w:szCs w:val="20"/>
              </w:rPr>
            </w:pPr>
            <w:r w:rsidRPr="000F2784">
              <w:rPr>
                <w:sz w:val="20"/>
                <w:szCs w:val="20"/>
              </w:rPr>
              <w:t>https://www.fcc.gov/auction/901</w:t>
            </w:r>
          </w:p>
        </w:tc>
      </w:tr>
      <w:tr w14:paraId="7E559C50" w14:textId="77777777" w:rsidTr="000F2784">
        <w:tblPrEx>
          <w:tblW w:w="0" w:type="auto"/>
          <w:tblLook w:val="04A0"/>
        </w:tblPrEx>
        <w:tc>
          <w:tcPr>
            <w:tcW w:w="1885" w:type="dxa"/>
            <w:vAlign w:val="center"/>
          </w:tcPr>
          <w:p w:rsidR="000F2784" w:rsidRPr="000F2784" w:rsidP="000F2784" w14:paraId="3ACB0DE5" w14:textId="355AA5F8">
            <w:pPr>
              <w:keepLines/>
              <w:spacing w:after="40"/>
              <w:rPr>
                <w:sz w:val="20"/>
                <w:szCs w:val="20"/>
              </w:rPr>
            </w:pPr>
            <w:r w:rsidRPr="000F2784">
              <w:rPr>
                <w:sz w:val="20"/>
                <w:szCs w:val="20"/>
              </w:rPr>
              <w:t>Cell Site Counts</w:t>
            </w:r>
          </w:p>
        </w:tc>
        <w:tc>
          <w:tcPr>
            <w:tcW w:w="2894" w:type="dxa"/>
            <w:vAlign w:val="center"/>
          </w:tcPr>
          <w:p w:rsidR="000F2784" w:rsidRPr="000F2784" w:rsidP="000F2784" w14:paraId="1AE0CEAE" w14:textId="1ADBA82D">
            <w:pPr>
              <w:keepLines/>
              <w:spacing w:after="40"/>
              <w:rPr>
                <w:b/>
                <w:bCs/>
                <w:sz w:val="20"/>
                <w:szCs w:val="20"/>
              </w:rPr>
            </w:pPr>
            <w:r w:rsidRPr="000F2784">
              <w:rPr>
                <w:sz w:val="20"/>
                <w:szCs w:val="20"/>
              </w:rPr>
              <w:t>USGS - National Elevation Dataset</w:t>
            </w:r>
          </w:p>
        </w:tc>
        <w:tc>
          <w:tcPr>
            <w:tcW w:w="4571" w:type="dxa"/>
            <w:vAlign w:val="center"/>
          </w:tcPr>
          <w:p w:rsidR="000F2784" w:rsidRPr="000F2784" w:rsidP="000F2784" w14:paraId="3D659D70" w14:textId="4A24776A">
            <w:pPr>
              <w:keepLines/>
              <w:spacing w:after="40"/>
              <w:rPr>
                <w:b/>
                <w:bCs/>
                <w:sz w:val="20"/>
                <w:szCs w:val="20"/>
              </w:rPr>
            </w:pPr>
            <w:r w:rsidRPr="000F2784">
              <w:rPr>
                <w:sz w:val="20"/>
                <w:szCs w:val="20"/>
              </w:rPr>
              <w:t>Confidential FCC Data</w:t>
            </w:r>
          </w:p>
        </w:tc>
      </w:tr>
      <w:tr w14:paraId="5C40C242" w14:textId="77777777" w:rsidTr="000F2784">
        <w:tblPrEx>
          <w:tblW w:w="0" w:type="auto"/>
          <w:tblLook w:val="04A0"/>
        </w:tblPrEx>
        <w:tc>
          <w:tcPr>
            <w:tcW w:w="1885" w:type="dxa"/>
            <w:vAlign w:val="center"/>
          </w:tcPr>
          <w:p w:rsidR="000F2784" w:rsidRPr="000F2784" w:rsidP="000F2784" w14:paraId="339FE6EC" w14:textId="3B694BD2">
            <w:pPr>
              <w:keepLines/>
              <w:spacing w:after="40"/>
              <w:rPr>
                <w:sz w:val="20"/>
                <w:szCs w:val="20"/>
              </w:rPr>
            </w:pPr>
            <w:r w:rsidRPr="000F2784">
              <w:rPr>
                <w:sz w:val="20"/>
                <w:szCs w:val="20"/>
              </w:rPr>
              <w:t>Download Speed</w:t>
            </w:r>
          </w:p>
        </w:tc>
        <w:tc>
          <w:tcPr>
            <w:tcW w:w="2894" w:type="dxa"/>
            <w:vAlign w:val="center"/>
          </w:tcPr>
          <w:p w:rsidR="000F2784" w:rsidRPr="000F2784" w:rsidP="000F2784" w14:paraId="186AC43A" w14:textId="70B1C098">
            <w:pPr>
              <w:keepLines/>
              <w:spacing w:after="40"/>
              <w:rPr>
                <w:b/>
                <w:bCs/>
                <w:sz w:val="20"/>
                <w:szCs w:val="20"/>
              </w:rPr>
            </w:pPr>
            <w:r w:rsidRPr="000F2784">
              <w:rPr>
                <w:sz w:val="20"/>
                <w:szCs w:val="20"/>
              </w:rPr>
              <w:t xml:space="preserve">Census, FCC Staff Block Estimates </w:t>
            </w:r>
          </w:p>
        </w:tc>
        <w:tc>
          <w:tcPr>
            <w:tcW w:w="4571" w:type="dxa"/>
            <w:vAlign w:val="center"/>
          </w:tcPr>
          <w:p w:rsidR="000F2784" w:rsidRPr="000F2784" w:rsidP="000F2784" w14:paraId="52F6AC67" w14:textId="74060189">
            <w:pPr>
              <w:keepLines/>
              <w:spacing w:after="40"/>
              <w:rPr>
                <w:b/>
                <w:bCs/>
                <w:sz w:val="20"/>
                <w:szCs w:val="20"/>
              </w:rPr>
            </w:pPr>
            <w:r w:rsidRPr="000F2784">
              <w:rPr>
                <w:sz w:val="20"/>
                <w:szCs w:val="20"/>
              </w:rPr>
              <w:t> </w:t>
            </w:r>
          </w:p>
        </w:tc>
      </w:tr>
      <w:tr w14:paraId="39316ECD" w14:textId="77777777" w:rsidTr="000F2784">
        <w:tblPrEx>
          <w:tblW w:w="0" w:type="auto"/>
          <w:tblLook w:val="04A0"/>
        </w:tblPrEx>
        <w:tc>
          <w:tcPr>
            <w:tcW w:w="1885" w:type="dxa"/>
            <w:tcBorders>
              <w:bottom w:val="single" w:sz="4" w:space="0" w:color="auto"/>
            </w:tcBorders>
            <w:vAlign w:val="center"/>
          </w:tcPr>
          <w:p w:rsidR="000F2784" w:rsidRPr="000F2784" w:rsidP="000F2784" w14:paraId="5B1096D9" w14:textId="3874834B">
            <w:pPr>
              <w:keepNext/>
              <w:keepLines/>
              <w:spacing w:after="40"/>
              <w:rPr>
                <w:sz w:val="20"/>
                <w:szCs w:val="20"/>
              </w:rPr>
            </w:pPr>
            <w:r w:rsidRPr="000F2784">
              <w:rPr>
                <w:sz w:val="20"/>
                <w:szCs w:val="20"/>
              </w:rPr>
              <w:t>Tower Heights</w:t>
            </w:r>
          </w:p>
        </w:tc>
        <w:tc>
          <w:tcPr>
            <w:tcW w:w="2894" w:type="dxa"/>
            <w:tcBorders>
              <w:bottom w:val="single" w:sz="4" w:space="0" w:color="auto"/>
            </w:tcBorders>
            <w:vAlign w:val="center"/>
          </w:tcPr>
          <w:p w:rsidR="000F2784" w:rsidRPr="000F2784" w:rsidP="000F2784" w14:paraId="2677E5AA" w14:textId="6E3673A3">
            <w:pPr>
              <w:keepNext/>
              <w:keepLines/>
              <w:spacing w:after="40"/>
              <w:rPr>
                <w:b/>
                <w:bCs/>
                <w:sz w:val="20"/>
                <w:szCs w:val="20"/>
              </w:rPr>
            </w:pPr>
            <w:r w:rsidRPr="000F2784">
              <w:rPr>
                <w:sz w:val="20"/>
                <w:szCs w:val="20"/>
              </w:rPr>
              <w:t>Census - County Business Patterns</w:t>
            </w:r>
          </w:p>
        </w:tc>
        <w:tc>
          <w:tcPr>
            <w:tcW w:w="4571" w:type="dxa"/>
            <w:tcBorders>
              <w:bottom w:val="single" w:sz="4" w:space="0" w:color="auto"/>
            </w:tcBorders>
            <w:vAlign w:val="center"/>
          </w:tcPr>
          <w:p w:rsidR="000F2784" w:rsidRPr="000F2784" w:rsidP="000F2784" w14:paraId="60B274A3" w14:textId="2575D16B">
            <w:pPr>
              <w:keepNext/>
              <w:keepLines/>
              <w:spacing w:after="40"/>
              <w:rPr>
                <w:b/>
                <w:bCs/>
                <w:sz w:val="20"/>
                <w:szCs w:val="20"/>
              </w:rPr>
            </w:pPr>
            <w:r w:rsidRPr="000F2784">
              <w:rPr>
                <w:sz w:val="20"/>
                <w:szCs w:val="20"/>
              </w:rPr>
              <w:t> </w:t>
            </w:r>
          </w:p>
        </w:tc>
      </w:tr>
      <w:tr w14:paraId="478B631F" w14:textId="77777777" w:rsidTr="000F2784">
        <w:tblPrEx>
          <w:tblW w:w="0" w:type="auto"/>
          <w:tblLook w:val="04A0"/>
        </w:tblPrEx>
        <w:tc>
          <w:tcPr>
            <w:tcW w:w="9350" w:type="dxa"/>
            <w:gridSpan w:val="3"/>
            <w:tcBorders>
              <w:left w:val="nil"/>
              <w:bottom w:val="nil"/>
              <w:right w:val="nil"/>
            </w:tcBorders>
            <w:vAlign w:val="center"/>
          </w:tcPr>
          <w:p w:rsidR="000F2784" w:rsidRPr="000F2784" w:rsidP="000F2784" w14:paraId="6C8F10FB" w14:textId="19B3F993">
            <w:pPr>
              <w:keepNext/>
              <w:keepLines/>
              <w:spacing w:after="40"/>
              <w:rPr>
                <w:sz w:val="20"/>
                <w:szCs w:val="20"/>
              </w:rPr>
            </w:pPr>
            <w:r>
              <w:rPr>
                <w:color w:val="000000"/>
                <w:sz w:val="20"/>
                <w:szCs w:val="20"/>
              </w:rPr>
              <w:t>*Dataset downloaded from IPUMS NHGIS:  Steven Manson, Jonathan Schroeder, David Van Riper, and Steven Ruggles. IPUMS National Historical Geographic Information System: Version 14.0 [Database]. Minneapolis, MN: IPUMS. 2019. http://doi.org/10.18128/D050.V14.0</w:t>
            </w:r>
          </w:p>
        </w:tc>
      </w:tr>
    </w:tbl>
    <w:p w:rsidR="00A26AC3" w:rsidRPr="005944B6" w:rsidP="00A26AC3" w14:paraId="2611D628" w14:textId="77777777">
      <w:pPr>
        <w:pStyle w:val="ParaNum"/>
        <w:numPr>
          <w:ilvl w:val="0"/>
          <w:numId w:val="0"/>
        </w:numPr>
      </w:pPr>
    </w:p>
    <w:p w:rsidR="007A4DB3" w14:paraId="246712A6" w14:textId="52F003C4">
      <w:pPr>
        <w:pStyle w:val="ParaNum"/>
        <w:keepNext/>
        <w:keepLines/>
        <w:numPr>
          <w:ilvl w:val="0"/>
          <w:numId w:val="0"/>
        </w:numPr>
        <w:spacing w:before="120"/>
        <w:ind w:left="-576"/>
        <w:jc w:val="center"/>
        <w:rPr>
          <w:b/>
          <w:bCs/>
          <w:szCs w:val="22"/>
        </w:rPr>
      </w:pPr>
      <w:r w:rsidRPr="00DB71F9">
        <w:rPr>
          <w:b/>
          <w:bCs/>
          <w:szCs w:val="22"/>
        </w:rPr>
        <w:t>Fig. B-13: Variables Used in Analyses</w:t>
      </w:r>
    </w:p>
    <w:p w:rsidR="00A26AC3" w:rsidP="000B42A4" w14:paraId="5CCD49BF" w14:textId="566403B3">
      <w:pPr>
        <w:pStyle w:val="ParaNum"/>
        <w:keepNext/>
        <w:keepLines/>
        <w:numPr>
          <w:ilvl w:val="0"/>
          <w:numId w:val="0"/>
        </w:numPr>
        <w:spacing w:before="120"/>
        <w:jc w:val="center"/>
      </w:pPr>
      <w:r>
        <w:rPr>
          <w:noProof/>
          <w:snapToGrid/>
        </w:rPr>
        <w:object>
          <v:shape id="_x0000_i1026" type="#_x0000_t75" style="width:484.24pt;height:255pt;mso-height-percent:0;mso-width-percent:0" o:oleicon="f" o:ole="" o:bordertopcolor="this" o:borderleftcolor="this" o:borderbottomcolor="this" o:borderrightcolor="this">
            <v:imagedata r:id="rId12" o:title=""/>
            <w10:bordertop type="single" width="6"/>
            <w10:borderleft type="single" width="6"/>
            <w10:borderbottom type="single" width="6"/>
            <w10:borderright type="single" width="6"/>
          </v:shape>
          <o:OLEObject Type="Embed" ProgID="Excel.Sheet.12" ShapeID="_x0000_i1026" DrawAspect="Content" ObjectID="_1652865134" r:id="rId13"/>
        </w:object>
      </w:r>
    </w:p>
    <w:p w:rsidR="00B63AB1" w:rsidRPr="00EC5402" w:rsidP="000B42A4" w14:paraId="0B61FB6B" w14:textId="77777777">
      <w:pPr>
        <w:pStyle w:val="ParaNum"/>
        <w:keepNext/>
        <w:keepLines/>
        <w:numPr>
          <w:ilvl w:val="0"/>
          <w:numId w:val="0"/>
        </w:numPr>
        <w:spacing w:before="120"/>
        <w:jc w:val="center"/>
        <w:rPr>
          <w:b/>
          <w:bCs/>
          <w:szCs w:val="22"/>
        </w:rPr>
      </w:pPr>
    </w:p>
    <w:p w:rsidR="001B10CF" w:rsidRPr="000B42A4" w:rsidP="000B42A4" w14:paraId="26233B2F" w14:textId="77777777">
      <w:pPr>
        <w:keepNext/>
        <w:keepLines/>
        <w:spacing w:before="120" w:after="120"/>
        <w:jc w:val="center"/>
        <w:rPr>
          <w:b/>
          <w:bCs/>
          <w:sz w:val="22"/>
          <w:szCs w:val="22"/>
        </w:rPr>
      </w:pPr>
      <w:r w:rsidRPr="000B42A4">
        <w:rPr>
          <w:b/>
          <w:bCs/>
          <w:sz w:val="22"/>
          <w:szCs w:val="22"/>
        </w:rPr>
        <w:t>Fig. B-14: Terrain Categories</w:t>
      </w:r>
    </w:p>
    <w:bookmarkStart w:id="28" w:name="_Hlk40707852"/>
    <w:p w:rsidR="000B42A4" w:rsidP="00B63AB1" w14:paraId="424DA9EA" w14:textId="55EEDED7">
      <w:pPr>
        <w:pStyle w:val="ParaNum"/>
        <w:numPr>
          <w:ilvl w:val="0"/>
          <w:numId w:val="0"/>
        </w:numPr>
        <w:jc w:val="center"/>
        <w:rPr>
          <w:b/>
          <w:bCs/>
        </w:rPr>
      </w:pPr>
      <w:r>
        <w:rPr>
          <w:noProof/>
          <w:snapToGrid/>
        </w:rPr>
        <w:object>
          <v:shape id="_x0000_i1027" type="#_x0000_t75" style="width:190.5pt;height:84pt;mso-height-percent:0;mso-width-percent:0" o:oleicon="f" o:ole="">
            <v:imagedata r:id="rId14" o:title=""/>
          </v:shape>
          <o:OLEObject Type="Embed" ProgID="Excel.Sheet.12" ShapeID="_x0000_i1027" DrawAspect="Content" ObjectID="_1652865135" r:id="rId15"/>
        </w:object>
      </w:r>
      <w:bookmarkEnd w:id="28"/>
    </w:p>
    <w:p w:rsidR="000B42A4" w:rsidP="000B42A4" w14:paraId="11192BA6" w14:textId="77777777">
      <w:pPr>
        <w:pStyle w:val="ParaNum"/>
        <w:numPr>
          <w:ilvl w:val="0"/>
          <w:numId w:val="0"/>
        </w:numPr>
        <w:rPr>
          <w:b/>
          <w:bCs/>
        </w:rPr>
      </w:pPr>
    </w:p>
    <w:p w:rsidR="001B10CF" w:rsidRPr="00B63AB1" w:rsidP="00B63AB1" w14:paraId="1949AD84" w14:textId="77777777">
      <w:pPr>
        <w:keepNext/>
        <w:keepLines/>
        <w:spacing w:before="120" w:after="120"/>
        <w:jc w:val="center"/>
        <w:rPr>
          <w:b/>
          <w:bCs/>
          <w:sz w:val="22"/>
          <w:szCs w:val="22"/>
        </w:rPr>
      </w:pPr>
      <w:r w:rsidRPr="00B63AB1">
        <w:rPr>
          <w:b/>
          <w:bCs/>
          <w:sz w:val="22"/>
          <w:szCs w:val="22"/>
        </w:rPr>
        <w:t>Fig. B-15: Relevant Form 477 Spectrum Codes and ULS Radio Service Codes</w:t>
      </w:r>
    </w:p>
    <w:p w:rsidR="001B10CF" w:rsidRPr="00DC25EF" w:rsidP="000B42A4" w14:paraId="10F8C076" w14:textId="47E7BEC3">
      <w:pPr>
        <w:pStyle w:val="Heading1"/>
        <w:numPr>
          <w:ilvl w:val="0"/>
          <w:numId w:val="0"/>
        </w:numPr>
        <w:ind w:left="720" w:hanging="720"/>
        <w:rPr>
          <w:b w:val="0"/>
          <w:bCs/>
        </w:rPr>
      </w:pPr>
      <w:r>
        <w:rPr>
          <w:noProof/>
          <w:snapToGrid/>
        </w:rPr>
        <w:object>
          <v:shape id="_x0000_i1028" type="#_x0000_t75" style="width:471pt;height:117.75pt;mso-height-percent:0;mso-width-percent:0" o:oleicon="f" o:ole="" o:bordertopcolor="this" o:borderleftcolor="this" o:borderbottomcolor="this" o:borderrightcolor="this">
            <v:imagedata r:id="rId16" o:title=""/>
            <w10:bordertop type="single" width="6"/>
            <w10:borderleft type="single" width="6"/>
            <w10:borderbottom type="single" width="6"/>
            <w10:borderright type="single" width="6"/>
          </v:shape>
          <o:OLEObject Type="Embed" ProgID="Excel.Sheet.12" ShapeID="_x0000_i1028" DrawAspect="Content" ObjectID="_1652865136" r:id="rId17"/>
        </w:object>
      </w:r>
    </w:p>
    <w:sectPr w:rsidSect="00EE53B3">
      <w:headerReference w:type="default" r:id="rId18"/>
      <w:headerReference w:type="first" r:id="rId19"/>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F2B" w:rsidP="00DB3ED9" w14:paraId="1072841E" w14:textId="26DC53E6">
    <w:pPr>
      <w:pStyle w:val="Footer"/>
      <w:jc w:val="center"/>
    </w:pPr>
    <w:r>
      <w:fldChar w:fldCharType="begin"/>
    </w:r>
    <w:r>
      <w:instrText xml:space="preserve"> PAGE   \* MERGEFORMAT </w:instrText>
    </w:r>
    <w:r>
      <w:fldChar w:fldCharType="separate"/>
    </w:r>
    <w: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7F51" w14:paraId="1FD77966" w14:textId="77777777">
      <w:r>
        <w:separator/>
      </w:r>
    </w:p>
  </w:footnote>
  <w:footnote w:type="continuationSeparator" w:id="1">
    <w:p w:rsidR="00257F51" w14:paraId="7A83DA0E" w14:textId="77777777">
      <w:pPr>
        <w:rPr>
          <w:sz w:val="20"/>
        </w:rPr>
      </w:pPr>
      <w:r>
        <w:rPr>
          <w:sz w:val="20"/>
        </w:rPr>
        <w:t xml:space="preserve">(Continued from previous page)  </w:t>
      </w:r>
      <w:r>
        <w:rPr>
          <w:sz w:val="20"/>
        </w:rPr>
        <w:separator/>
      </w:r>
    </w:p>
  </w:footnote>
  <w:footnote w:type="continuationNotice" w:id="2">
    <w:p w:rsidR="00257F51" w:rsidP="00910F12" w14:paraId="59584EF2" w14:textId="77777777">
      <w:pPr>
        <w:jc w:val="right"/>
        <w:rPr>
          <w:sz w:val="20"/>
        </w:rPr>
      </w:pPr>
      <w:r>
        <w:rPr>
          <w:sz w:val="20"/>
        </w:rPr>
        <w:t>(continued….)</w:t>
      </w:r>
    </w:p>
  </w:footnote>
  <w:footnote w:id="3">
    <w:p w:rsidR="00BD6868" w:rsidRPr="00F85A6C" w:rsidP="00BD0059" w14:paraId="359C1092" w14:textId="77777777">
      <w:pPr>
        <w:pStyle w:val="FootnoteText"/>
      </w:pPr>
      <w:r>
        <w:rPr>
          <w:rStyle w:val="FootnoteReference"/>
        </w:rPr>
        <w:footnoteRef/>
      </w:r>
      <w:r>
        <w:t xml:space="preserve"> </w:t>
      </w:r>
      <w:r>
        <w:rPr>
          <w:i/>
        </w:rPr>
        <w:t>5G Fund NPRM and Order</w:t>
      </w:r>
      <w:r>
        <w:rPr>
          <w:iCs/>
        </w:rPr>
        <w:t xml:space="preserve"> </w:t>
      </w:r>
      <w:r w:rsidRPr="00F85A6C">
        <w:rPr>
          <w:iCs/>
        </w:rPr>
        <w:t>at 22</w:t>
      </w:r>
      <w:r w:rsidRPr="00F85A6C">
        <w:t>, 67, paras. 66, 201-03.</w:t>
      </w:r>
    </w:p>
  </w:footnote>
  <w:footnote w:id="4">
    <w:p w:rsidR="00BD6868" w:rsidRPr="00F85A6C" w:rsidP="00BD0059" w14:paraId="3F348808" w14:textId="581EBD1F">
      <w:pPr>
        <w:pStyle w:val="FootnoteText"/>
      </w:pPr>
      <w:r w:rsidRPr="00F85A6C">
        <w:rPr>
          <w:rStyle w:val="FootnoteReference"/>
        </w:rPr>
        <w:footnoteRef/>
      </w:r>
      <w:r w:rsidRPr="00F85A6C">
        <w:t xml:space="preserve"> </w:t>
      </w:r>
      <w:r w:rsidRPr="00F85A6C">
        <w:rPr>
          <w:i/>
        </w:rPr>
        <w:t>Id.</w:t>
      </w:r>
      <w:r w:rsidRPr="00F85A6C">
        <w:rPr>
          <w:iCs/>
        </w:rPr>
        <w:t xml:space="preserve"> at 22</w:t>
      </w:r>
      <w:r w:rsidRPr="00F85A6C">
        <w:t>, para. 66.</w:t>
      </w:r>
    </w:p>
  </w:footnote>
  <w:footnote w:id="5">
    <w:p w:rsidR="00BD6868" w:rsidRPr="00F85A6C" w:rsidP="00BD0059" w14:paraId="5D537053" w14:textId="2E4A4147">
      <w:pPr>
        <w:pStyle w:val="FootnoteText"/>
      </w:pPr>
      <w:r w:rsidRPr="00F85A6C">
        <w:rPr>
          <w:rStyle w:val="FootnoteReference"/>
        </w:rPr>
        <w:footnoteRef/>
      </w:r>
      <w:r w:rsidRPr="00F85A6C">
        <w:t xml:space="preserve"> </w:t>
      </w:r>
      <w:r w:rsidRPr="00F85A6C">
        <w:rPr>
          <w:i/>
        </w:rPr>
        <w:t>Id.</w:t>
      </w:r>
      <w:r w:rsidRPr="00F85A6C">
        <w:rPr>
          <w:iCs/>
        </w:rPr>
        <w:t xml:space="preserve"> at </w:t>
      </w:r>
      <w:r w:rsidRPr="00F85A6C">
        <w:t>67, paras. 201-03.</w:t>
      </w:r>
    </w:p>
  </w:footnote>
  <w:footnote w:id="6">
    <w:p w:rsidR="00BD6868" w:rsidRPr="00F85A6C" w:rsidP="00A47720" w14:paraId="76620679" w14:textId="63E5335B">
      <w:pPr>
        <w:pStyle w:val="NormalWeb"/>
        <w:tabs>
          <w:tab w:val="left" w:pos="7100"/>
        </w:tabs>
        <w:spacing w:after="120"/>
        <w:rPr>
          <w:rFonts w:ascii="Times New Roman" w:hAnsi="Times New Roman" w:cs="Times New Roman"/>
          <w:sz w:val="20"/>
          <w:szCs w:val="20"/>
        </w:rPr>
      </w:pPr>
      <w:r w:rsidRPr="00F85A6C">
        <w:rPr>
          <w:rStyle w:val="FootnoteReference"/>
          <w:rFonts w:cs="Times New Roman"/>
          <w:sz w:val="20"/>
          <w:szCs w:val="20"/>
        </w:rPr>
        <w:footnoteRef/>
      </w:r>
      <w:r w:rsidRPr="00F85A6C">
        <w:rPr>
          <w:rFonts w:ascii="Times New Roman" w:hAnsi="Times New Roman" w:cs="Times New Roman"/>
          <w:sz w:val="20"/>
          <w:szCs w:val="20"/>
        </w:rPr>
        <w:t xml:space="preserve"> </w:t>
      </w:r>
      <w:r w:rsidRPr="00F85A6C">
        <w:rPr>
          <w:rFonts w:ascii="Times New Roman" w:hAnsi="Times New Roman" w:cs="Times New Roman"/>
          <w:i/>
          <w:iCs/>
          <w:sz w:val="20"/>
          <w:szCs w:val="20"/>
        </w:rPr>
        <w:t>See, e.g.</w:t>
      </w:r>
      <w:r w:rsidRPr="00F85A6C">
        <w:rPr>
          <w:rFonts w:ascii="Times New Roman" w:hAnsi="Times New Roman" w:cs="Times New Roman"/>
          <w:sz w:val="20"/>
          <w:szCs w:val="20"/>
        </w:rPr>
        <w:t xml:space="preserve">, Andreu </w:t>
      </w:r>
      <w:bookmarkStart w:id="0" w:name="_Hlk39143532"/>
      <w:r w:rsidRPr="00F85A6C">
        <w:rPr>
          <w:rFonts w:ascii="Times New Roman" w:hAnsi="Times New Roman" w:cs="Times New Roman"/>
          <w:sz w:val="20"/>
          <w:szCs w:val="20"/>
        </w:rPr>
        <w:t>Mas-Colell, Michael D. Whinston &amp; Jerry R. Green, Microeconomic Theory 405-11 (1995).</w:t>
      </w:r>
    </w:p>
    <w:bookmarkEnd w:id="0"/>
  </w:footnote>
  <w:footnote w:id="7">
    <w:p w:rsidR="00BD6868" w:rsidRPr="00F85A6C" w:rsidP="00A47720" w14:paraId="299F45E5" w14:textId="77777777">
      <w:pPr>
        <w:pStyle w:val="FootnoteText"/>
        <w:rPr>
          <w:i/>
          <w:iCs/>
        </w:rPr>
      </w:pPr>
      <w:r w:rsidRPr="00F85A6C">
        <w:rPr>
          <w:rStyle w:val="FootnoteReference"/>
        </w:rPr>
        <w:footnoteRef/>
      </w:r>
      <w:r w:rsidRPr="00F85A6C">
        <w:t xml:space="preserve"> </w:t>
      </w:r>
      <w:r w:rsidRPr="00F85A6C">
        <w:rPr>
          <w:i/>
          <w:iCs/>
        </w:rPr>
        <w:t xml:space="preserve">See infra </w:t>
      </w:r>
      <w:r w:rsidRPr="00F85A6C">
        <w:t>Appx. B.IV: Data Sources and Variable Construction for information on the data sources and construction of the variables.</w:t>
      </w:r>
    </w:p>
  </w:footnote>
  <w:footnote w:id="8">
    <w:p w:rsidR="00BD6868" w:rsidP="00A47720" w14:paraId="5E49386F" w14:textId="77777777">
      <w:pPr>
        <w:pStyle w:val="FootnoteText"/>
      </w:pPr>
      <w:r>
        <w:rPr>
          <w:rStyle w:val="FootnoteReference"/>
        </w:rPr>
        <w:footnoteRef/>
      </w:r>
      <w:r>
        <w:t xml:space="preserve"> Ideally, the analysis would use a unit observation geography that is small enough to reveal a firm’s site-by-site coverage decisions.  We found that a census block group was the smallest geography for which the data we required could be constructed.  </w:t>
      </w:r>
    </w:p>
  </w:footnote>
  <w:footnote w:id="9">
    <w:p w:rsidR="00BD6868" w:rsidRPr="004D437E" w:rsidP="00043DED" w14:paraId="3A06D6C9" w14:textId="0D0958C4">
      <w:pPr>
        <w:pStyle w:val="FootnoteText"/>
      </w:pPr>
      <w:r>
        <w:rPr>
          <w:rStyle w:val="FootnoteReference"/>
        </w:rPr>
        <w:footnoteRef/>
      </w:r>
      <w:r>
        <w:t xml:space="preserve"> We note that questions have arisen in various proceedings with respect to the accuracy and reliability of mobile broadband coverage data.  </w:t>
      </w:r>
      <w:r w:rsidRPr="00450C67">
        <w:rPr>
          <w:i/>
          <w:iCs/>
        </w:rPr>
        <w:t>See</w:t>
      </w:r>
      <w:r>
        <w:rPr>
          <w:i/>
          <w:iCs/>
        </w:rPr>
        <w:t xml:space="preserve"> generally</w:t>
      </w:r>
      <w:r w:rsidRPr="00450C67">
        <w:rPr>
          <w:i/>
          <w:iCs/>
        </w:rPr>
        <w:t xml:space="preserve"> Establishing the Digital Opportunity Data Collection; Modernizing the FCC Form 477 Data Program</w:t>
      </w:r>
      <w:r w:rsidRPr="00450C67">
        <w:t>, Report and Order and Second Further Notice of Proposed Rulemaking, 34 FCC Rcd 7505</w:t>
      </w:r>
      <w:r>
        <w:t xml:space="preserve"> </w:t>
      </w:r>
      <w:r w:rsidRPr="00450C67">
        <w:t>(2019)</w:t>
      </w:r>
      <w:r>
        <w:t>;</w:t>
      </w:r>
      <w:r w:rsidRPr="00450C67">
        <w:t xml:space="preserve"> </w:t>
      </w:r>
      <w:r>
        <w:rPr>
          <w:i/>
          <w:iCs/>
        </w:rPr>
        <w:t>s</w:t>
      </w:r>
      <w:r w:rsidRPr="00351A19">
        <w:rPr>
          <w:i/>
          <w:iCs/>
        </w:rPr>
        <w:t>ee</w:t>
      </w:r>
      <w:r>
        <w:rPr>
          <w:i/>
          <w:iCs/>
        </w:rPr>
        <w:t xml:space="preserve"> also</w:t>
      </w:r>
      <w:r>
        <w:t xml:space="preserve"> </w:t>
      </w:r>
      <w:r w:rsidRPr="00FD24F8">
        <w:rPr>
          <w:i/>
        </w:rPr>
        <w:t>Connect America Fund; Universal Service Reform</w:t>
      </w:r>
      <w:r>
        <w:rPr>
          <w:i/>
        </w:rPr>
        <w:t>—</w:t>
      </w:r>
      <w:r w:rsidRPr="00FD24F8">
        <w:rPr>
          <w:i/>
        </w:rPr>
        <w:t>Mobility Fund</w:t>
      </w:r>
      <w:r>
        <w:t>, Report and Order and Further Notice of Proposed Rulemaking, 32 FCC Rcd 2152, 2175-2176, paras. 55-58 (2017) (</w:t>
      </w:r>
      <w:r>
        <w:rPr>
          <w:i/>
          <w:iCs/>
        </w:rPr>
        <w:t>Mobility Fund Phase II Report and Order)</w:t>
      </w:r>
      <w:r>
        <w:t xml:space="preserve">; </w:t>
      </w:r>
      <w:r w:rsidRPr="001B3581">
        <w:rPr>
          <w:i/>
        </w:rPr>
        <w:t>Rural Broadband Auctions Task Force Releases Mobility Fund Phase II Coverage Maps Investigation Staff Report</w:t>
      </w:r>
      <w:r>
        <w:t xml:space="preserve">, GN Docket No. 19-367, Report, (OET, EB, WCB, OEA, WTB 2019).  </w:t>
      </w:r>
      <w:bookmarkStart w:id="1" w:name="_Hlk39492885"/>
      <w:bookmarkStart w:id="2" w:name="_Hlk39488051"/>
      <w:r w:rsidRPr="0064043E">
        <w:t>We use Mosaik mobile wireless coverage data by carrier and technology in all three economic analyse</w:t>
      </w:r>
      <w:r>
        <w:t>s to maintain consistency of data used</w:t>
      </w:r>
      <w:r w:rsidRPr="0064043E">
        <w:t xml:space="preserve">.  </w:t>
      </w:r>
      <w:bookmarkEnd w:id="1"/>
      <w:r w:rsidRPr="0064043E">
        <w:t xml:space="preserve">Although the Commission collects similar coverage data through Form 477, we chose to rely upon Mosaik data for several reasons.  First, the Commission did not begin collecting mobile coverage data until December 2014, which is after the timeframes of the other data used in the Auction Bidding (2012) and Cell Site Density (2013) models.  Thus, using the Mosaik data </w:t>
      </w:r>
      <w:r>
        <w:t>i</w:t>
      </w:r>
      <w:r w:rsidRPr="0064043E">
        <w:t>s consistent with the tim</w:t>
      </w:r>
      <w:r>
        <w:t>eframe</w:t>
      </w:r>
      <w:r w:rsidRPr="0064043E">
        <w:t xml:space="preserve"> of the other data sources.  Second, we acknowledge that the Commission and other parties have raised concerns about the accuracy of the Mosaik data in other contexts.  </w:t>
      </w:r>
      <w:r>
        <w:rPr>
          <w:i/>
          <w:iCs/>
        </w:rPr>
        <w:t>See, e.g.,</w:t>
      </w:r>
      <w:r w:rsidRPr="0064043E">
        <w:t xml:space="preserve">  </w:t>
      </w:r>
      <w:r w:rsidRPr="0064043E">
        <w:rPr>
          <w:i/>
          <w:iCs/>
        </w:rPr>
        <w:t>Mobility Fund Phase II Report and Order</w:t>
      </w:r>
      <w:r w:rsidRPr="0064043E">
        <w:t xml:space="preserve">, 32 FCC Rcd at 2177-78, para. 59.  However, we have no evidence that these concerns would impact our estimated adjustment factors in any meaningful way.  If coverage were overstated in the Mosaik data, it would likely be overstated in both flat and </w:t>
      </w:r>
      <w:r>
        <w:t>hillier</w:t>
      </w:r>
      <w:r w:rsidRPr="0064043E">
        <w:t xml:space="preserve"> terrain areas to similar degrees.  </w:t>
      </w:r>
      <w:r>
        <w:t xml:space="preserve">The adjustment factor estimates will only be biased if the coverage data is systematically overstated in favor of one of the terrain categories.  </w:t>
      </w:r>
      <w:r w:rsidRPr="0064043E">
        <w:t xml:space="preserve">Since the adjustment factors </w:t>
      </w:r>
      <w:r>
        <w:t>reflect</w:t>
      </w:r>
      <w:r w:rsidRPr="0064043E">
        <w:t xml:space="preserve"> relative differences in costs across different areas, coverage being similarly overstated across these areas would have no effect on the relative differences.  Third, </w:t>
      </w:r>
      <w:r>
        <w:t>while all three</w:t>
      </w:r>
      <w:r w:rsidRPr="0064043E">
        <w:t xml:space="preserve"> analyses </w:t>
      </w:r>
      <w:r>
        <w:t xml:space="preserve">are </w:t>
      </w:r>
      <w:r w:rsidRPr="0064043E">
        <w:t xml:space="preserve">based on historic Mosaik coverage data of different vintages, we conclude that these analyses form a reasonable basis for setting current mobile wireless adjustment factors because the underlying economic and engineering principles on which these analyses are based </w:t>
      </w:r>
      <w:r>
        <w:t>are</w:t>
      </w:r>
      <w:r w:rsidRPr="0064043E">
        <w:t xml:space="preserve"> unlikely to have changed (i.e.</w:t>
      </w:r>
      <w:r>
        <w:t>,</w:t>
      </w:r>
      <w:r w:rsidRPr="0064043E">
        <w:t xml:space="preserve"> the determinants of wireless signal propagation and economic profitability). </w:t>
      </w:r>
      <w:r>
        <w:t xml:space="preserve"> </w:t>
      </w:r>
      <w:r w:rsidRPr="0064043E">
        <w:t>Finally, extensive robustness checks on all three models, including alternative model specifications and using historic and more recent Form 477 data in place of Mosaik data</w:t>
      </w:r>
      <w:r>
        <w:t>,</w:t>
      </w:r>
      <w:r w:rsidRPr="0064043E">
        <w:t xml:space="preserve"> confirm these conclusions.</w:t>
      </w:r>
      <w:bookmarkEnd w:id="2"/>
    </w:p>
  </w:footnote>
  <w:footnote w:id="10">
    <w:p w:rsidR="00BD6868" w:rsidRPr="00E53090" w:rsidP="00D5760C" w14:paraId="336ABC68" w14:textId="7DC28FF7">
      <w:pPr>
        <w:autoSpaceDE w:val="0"/>
        <w:autoSpaceDN w:val="0"/>
        <w:adjustRightInd w:val="0"/>
        <w:spacing w:after="120"/>
        <w:rPr>
          <w:sz w:val="20"/>
        </w:rPr>
      </w:pPr>
      <w:r w:rsidRPr="00E53090">
        <w:rPr>
          <w:rStyle w:val="FootnoteReference"/>
          <w:sz w:val="20"/>
        </w:rPr>
        <w:footnoteRef/>
      </w:r>
      <w:r w:rsidRPr="00E53090">
        <w:rPr>
          <w:sz w:val="20"/>
        </w:rPr>
        <w:t xml:space="preserve"> In this analysis, we use January 2017 Mosaik 4G LTE coverage data.  We use 4G LTE coverage data because as of that time, it is the baseline industry standard for the marketing of mobile broadband service.  </w:t>
      </w:r>
      <w:r w:rsidRPr="00E53090">
        <w:rPr>
          <w:i/>
          <w:iCs/>
          <w:sz w:val="20"/>
        </w:rPr>
        <w:t>Implementation of Section 6002(b) of the Omnibus Budget Reconciliation Act of 1993; Annual Report and Analysis of</w:t>
      </w:r>
      <w:r>
        <w:rPr>
          <w:i/>
          <w:iCs/>
          <w:sz w:val="20"/>
        </w:rPr>
        <w:t xml:space="preserve"> </w:t>
      </w:r>
      <w:r w:rsidRPr="00E53090">
        <w:rPr>
          <w:i/>
          <w:iCs/>
          <w:sz w:val="20"/>
        </w:rPr>
        <w:t xml:space="preserve">Competitive Market Conditions </w:t>
      </w:r>
      <w:r>
        <w:rPr>
          <w:i/>
          <w:iCs/>
          <w:sz w:val="20"/>
        </w:rPr>
        <w:t>w</w:t>
      </w:r>
      <w:r w:rsidRPr="00E53090">
        <w:rPr>
          <w:i/>
          <w:iCs/>
          <w:sz w:val="20"/>
        </w:rPr>
        <w:t>ith Respect to Mobile Wireless, Including Commercial Mobile Services</w:t>
      </w:r>
      <w:r w:rsidRPr="00E53090">
        <w:rPr>
          <w:sz w:val="20"/>
        </w:rPr>
        <w:t>, Eighteenth Report, 30</w:t>
      </w:r>
      <w:r>
        <w:rPr>
          <w:sz w:val="20"/>
        </w:rPr>
        <w:t xml:space="preserve"> FCC Rcd, 14515, 1</w:t>
      </w:r>
      <w:r w:rsidRPr="00E53090">
        <w:rPr>
          <w:color w:val="231F20"/>
          <w:sz w:val="20"/>
        </w:rPr>
        <w:t xml:space="preserve">4538-39, para. 35 (WTB 2015).  </w:t>
      </w:r>
      <w:r w:rsidRPr="00E53090">
        <w:rPr>
          <w:sz w:val="20"/>
        </w:rPr>
        <w:t>We have also used Form 477 coverage data from December 2016 and June 2017 as robustness checks and found similar results.  To simplify the analysis, our baseline specification focuses on the four nationwide carriers</w:t>
      </w:r>
      <w:r>
        <w:rPr>
          <w:sz w:val="20"/>
        </w:rPr>
        <w:t xml:space="preserve"> at that time:  AT&amp;T, Sprint, T-Mobile, and Verizon</w:t>
      </w:r>
      <w:r w:rsidRPr="00E53090">
        <w:rPr>
          <w:sz w:val="20"/>
        </w:rPr>
        <w:t>.  However, in alternative specifications, we model the union of regional carriers’ coverage as a fifth nationwide carrier and find that the qualitative results are largely unchanged.  In all specifications, we also account for the presence of subsidized competitors in our estimation.  Our baseline specification uses a coverage threshold of 75%, which generates roughly 750,000 square miles of uncovered area.  It is unclear ex ante where the coverage threshold should be set, but to be certain that our analysis is not sensitive to the 75% threshold, we estimate the model using entrance thresholds of 50% and 90% in robustness checks.  The 90% threshold is very strict and leads to significantly more area being considered uncovered, which should at least partially counteract any overstated coverage in the data.</w:t>
      </w:r>
    </w:p>
  </w:footnote>
  <w:footnote w:id="11">
    <w:p w:rsidR="00BD6868" w:rsidRPr="00EF3963" w:rsidP="0064043E" w14:paraId="05986FA2" w14:textId="5ABCD2D6">
      <w:pPr>
        <w:spacing w:after="120"/>
        <w:rPr>
          <w:sz w:val="20"/>
        </w:rPr>
      </w:pPr>
      <w:r w:rsidRPr="00EF3963">
        <w:rPr>
          <w:rStyle w:val="FootnoteReference"/>
          <w:sz w:val="20"/>
        </w:rPr>
        <w:footnoteRef/>
      </w:r>
      <w:r w:rsidRPr="00EF3963">
        <w:rPr>
          <w:sz w:val="20"/>
        </w:rPr>
        <w:t xml:space="preserve"> </w:t>
      </w:r>
      <w:r w:rsidRPr="00EF3963">
        <w:rPr>
          <w:color w:val="000000"/>
          <w:sz w:val="20"/>
        </w:rPr>
        <w:t xml:space="preserve">The U.S. Census Bureau designates rurality at the block level, which </w:t>
      </w:r>
      <w:r>
        <w:rPr>
          <w:color w:val="000000"/>
          <w:sz w:val="20"/>
        </w:rPr>
        <w:t>r</w:t>
      </w:r>
      <w:r w:rsidRPr="00EF3963">
        <w:rPr>
          <w:color w:val="000000"/>
          <w:sz w:val="20"/>
        </w:rPr>
        <w:t xml:space="preserve">esults in </w:t>
      </w:r>
      <w:r>
        <w:rPr>
          <w:color w:val="000000"/>
          <w:sz w:val="20"/>
        </w:rPr>
        <w:t xml:space="preserve">Census </w:t>
      </w:r>
      <w:r w:rsidRPr="00EF3963">
        <w:rPr>
          <w:color w:val="000000"/>
          <w:sz w:val="20"/>
        </w:rPr>
        <w:t>block groups that are made up of both rural and non-rural blocks</w:t>
      </w:r>
      <w:r>
        <w:rPr>
          <w:color w:val="000000"/>
          <w:sz w:val="20"/>
        </w:rPr>
        <w:t xml:space="preserve">.  </w:t>
      </w:r>
      <w:r w:rsidRPr="00EF3963">
        <w:rPr>
          <w:color w:val="000000"/>
          <w:sz w:val="20"/>
        </w:rPr>
        <w:t xml:space="preserve">We selected a 50% rurality threshold to focus our analysis on block groups that are </w:t>
      </w:r>
      <w:r>
        <w:rPr>
          <w:color w:val="000000"/>
          <w:sz w:val="20"/>
        </w:rPr>
        <w:t xml:space="preserve">in the </w:t>
      </w:r>
      <w:r w:rsidRPr="00EF3963">
        <w:rPr>
          <w:color w:val="000000"/>
          <w:sz w:val="20"/>
        </w:rPr>
        <w:t xml:space="preserve">majority rural.  As a robustness check, we have also conducted the analysis including and excluding all </w:t>
      </w:r>
      <w:r>
        <w:rPr>
          <w:color w:val="000000"/>
          <w:sz w:val="20"/>
        </w:rPr>
        <w:t xml:space="preserve">Census </w:t>
      </w:r>
      <w:r w:rsidRPr="00EF3963">
        <w:rPr>
          <w:color w:val="000000"/>
          <w:sz w:val="20"/>
        </w:rPr>
        <w:t>block groups with at least one rural block.</w:t>
      </w:r>
    </w:p>
  </w:footnote>
  <w:footnote w:id="12">
    <w:p w:rsidR="00BD6868" w:rsidP="00A47720" w14:paraId="20CA9E07" w14:textId="2C19EDA5">
      <w:pPr>
        <w:pStyle w:val="FootnoteText"/>
      </w:pPr>
      <w:r w:rsidRPr="00EF3963">
        <w:rPr>
          <w:rStyle w:val="FootnoteReference"/>
          <w:sz w:val="20"/>
        </w:rPr>
        <w:footnoteRef/>
      </w:r>
      <w:r w:rsidRPr="00EF3963">
        <w:t xml:space="preserve"> For certain purposes, the Commission has previously characterized rural markets as having fewer than 100</w:t>
      </w:r>
      <w:r w:rsidRPr="00691052">
        <w:t xml:space="preserve"> people per square mile.  </w:t>
      </w:r>
      <w:r>
        <w:rPr>
          <w:i/>
          <w:iCs/>
        </w:rPr>
        <w:t xml:space="preserve">See, e.g., </w:t>
      </w:r>
      <w:r w:rsidRPr="00691052">
        <w:rPr>
          <w:i/>
        </w:rPr>
        <w:t xml:space="preserve">Facilitating the Provision of Spectrum-Based Services to Rural Areas and Promoting Opportunities for Rural Telephone Companies </w:t>
      </w:r>
      <w:r>
        <w:rPr>
          <w:i/>
        </w:rPr>
        <w:t>t</w:t>
      </w:r>
      <w:r w:rsidRPr="00691052">
        <w:rPr>
          <w:i/>
        </w:rPr>
        <w:t>o Provide Spectrum-Based Services et al.</w:t>
      </w:r>
      <w:r w:rsidRPr="00691052">
        <w:t xml:space="preserve">, </w:t>
      </w:r>
      <w:r w:rsidRPr="00691052">
        <w:rPr>
          <w:iCs/>
        </w:rPr>
        <w:t>Report and Order and Further Notice of Proposed Rulemaking</w:t>
      </w:r>
      <w:r w:rsidRPr="00691052">
        <w:t>, 19 FCC Rcd 19078, 19086-88, paras. 10-12 (2004).</w:t>
      </w:r>
      <w:r>
        <w:t xml:space="preserve"> </w:t>
      </w:r>
    </w:p>
  </w:footnote>
  <w:footnote w:id="13">
    <w:p w:rsidR="00BD6868" w:rsidP="00A47720" w14:paraId="181D2785" w14:textId="2D91D6DC">
      <w:pPr>
        <w:pStyle w:val="FootnoteText"/>
      </w:pPr>
      <w:r w:rsidRPr="001A5B25">
        <w:rPr>
          <w:rStyle w:val="FootnoteReference"/>
        </w:rPr>
        <w:footnoteRef/>
      </w:r>
      <w:r w:rsidRPr="001A5B25">
        <w:t xml:space="preserve"> </w:t>
      </w:r>
      <w:bookmarkStart w:id="3" w:name="_Hlk39149087"/>
      <w:r w:rsidRPr="001A5B25">
        <w:t xml:space="preserve">The GDP restriction removes 123 </w:t>
      </w:r>
      <w:r>
        <w:t xml:space="preserve">Census </w:t>
      </w:r>
      <w:r w:rsidRPr="001A5B25">
        <w:t>block groups that are significant outliers.</w:t>
      </w:r>
      <w:r>
        <w:t xml:space="preserve">  </w:t>
      </w:r>
      <w:r>
        <w:rPr>
          <w:snapToGrid w:val="0"/>
          <w:color w:val="000000"/>
        </w:rPr>
        <w:t xml:space="preserve">These block groups are generally in close proximity to major cities and as such are not likely to be informative about areas that have historically lacked coverage or required universal service support to entice entry.  </w:t>
      </w:r>
      <w:r>
        <w:t xml:space="preserve">For reference, the mean GDP per square mile of the Census block groups in the final sample is $3.73 million.  </w:t>
      </w:r>
      <w:bookmarkEnd w:id="3"/>
      <w:r>
        <w:rPr>
          <w:snapToGrid w:val="0"/>
          <w:color w:val="000000"/>
        </w:rPr>
        <w:t>We found that removing areas with GDP densities greater than $100 million produced a sample that was sufficient for estimating the effects of high levels of economic activity, while removing observations which may cause issues in the estimation procedure.  </w:t>
      </w:r>
    </w:p>
  </w:footnote>
  <w:footnote w:id="14">
    <w:p w:rsidR="00BD6868" w:rsidP="00A47720" w14:paraId="3181DCE7" w14:textId="345A0E97">
      <w:pPr>
        <w:pStyle w:val="FootnoteText"/>
      </w:pPr>
      <w:r>
        <w:rPr>
          <w:rStyle w:val="FootnoteReference"/>
        </w:rPr>
        <w:footnoteRef/>
      </w:r>
      <w:r>
        <w:t xml:space="preserve"> We limit the dataset to sparsely populated rural areas to better reflect the areas under consideration in this proceeding.  Firms’ entry decisions in densely populated areas are unlikely to offer useful information about their decisions in areas that have historically lacked coverage or required universal service funding to incentivize entry.  Nonetheless, we also present estimates with no population constraints.  Further, we present estimates from a dataset that only contains observations from Census block groups with population densities less than 20 persons per square mile</w:t>
      </w:r>
      <w:r w:rsidRPr="00FD24F8">
        <w:rPr>
          <w:i/>
        </w:rPr>
        <w:t>.</w:t>
      </w:r>
      <w:r>
        <w:rPr>
          <w:i/>
        </w:rPr>
        <w:t xml:space="preserve"> </w:t>
      </w:r>
      <w:r w:rsidRPr="00FD24F8">
        <w:rPr>
          <w:i/>
        </w:rPr>
        <w:t xml:space="preserve"> </w:t>
      </w:r>
      <w:r>
        <w:t xml:space="preserve">We have previously described areas with less than 20 persons per square mile as “very rural.”  </w:t>
      </w:r>
      <w:r w:rsidRPr="005573F2">
        <w:rPr>
          <w:i/>
          <w:iCs/>
        </w:rPr>
        <w:t>See</w:t>
      </w:r>
      <w:r>
        <w:t xml:space="preserve"> </w:t>
      </w:r>
      <w:r>
        <w:rPr>
          <w:i/>
          <w:iCs/>
        </w:rPr>
        <w:t xml:space="preserve">e.g., </w:t>
      </w:r>
      <w:r w:rsidRPr="00FD24F8">
        <w:rPr>
          <w:i/>
        </w:rPr>
        <w:t>Application of AT&amp;T Mobility Spectrum LLC and Fuego Wireless, LLC For Consent to Assign Licenses</w:t>
      </w:r>
      <w:r>
        <w:t xml:space="preserve">, </w:t>
      </w:r>
      <w:r w:rsidRPr="00E36A04">
        <w:t>Memorandum Opinion and Order</w:t>
      </w:r>
      <w:r>
        <w:t xml:space="preserve">, </w:t>
      </w:r>
      <w:r w:rsidRPr="00E36A04">
        <w:t>31 FCC Rcd 133</w:t>
      </w:r>
      <w:r>
        <w:t xml:space="preserve">89, 13396, para. 18 (WTB 2016). </w:t>
      </w:r>
    </w:p>
  </w:footnote>
  <w:footnote w:id="15">
    <w:p w:rsidR="00BD6868" w:rsidP="00A47720" w14:paraId="5E045D9D" w14:textId="77777777">
      <w:pPr>
        <w:pStyle w:val="FootnoteText"/>
      </w:pPr>
      <w:r>
        <w:rPr>
          <w:rStyle w:val="FootnoteReference"/>
        </w:rPr>
        <w:footnoteRef/>
      </w:r>
      <w:r>
        <w:t xml:space="preserve"> We also estimate an alternative binary choice model where the dependent variable is simply a dummy for whether an area is covered by any carrier.  However, the additional information conveyed by the number of entrants is valuable when estimating block group attractiveness</w:t>
      </w:r>
    </w:p>
  </w:footnote>
  <w:footnote w:id="16">
    <w:p w:rsidR="00BD6868" w:rsidP="00A47720" w14:paraId="688825C0" w14:textId="1D057519">
      <w:pPr>
        <w:pStyle w:val="FootnoteText"/>
      </w:pPr>
      <w:r>
        <w:rPr>
          <w:rStyle w:val="FootnoteReference"/>
        </w:rPr>
        <w:footnoteRef/>
      </w:r>
      <w:r>
        <w:t xml:space="preserve"> For an introduction to ordered choice regression models, </w:t>
      </w:r>
      <w:r w:rsidRPr="00043DED">
        <w:t>see</w:t>
      </w:r>
      <w:r w:rsidRPr="00997003">
        <w:rPr>
          <w:i/>
          <w:iCs/>
        </w:rPr>
        <w:t xml:space="preserve"> </w:t>
      </w:r>
      <w:r>
        <w:t xml:space="preserve">William H. </w:t>
      </w:r>
      <w:r w:rsidRPr="005063BD">
        <w:t>Greene,</w:t>
      </w:r>
      <w:r>
        <w:t xml:space="preserve"> </w:t>
      </w:r>
      <w:r w:rsidRPr="00043DED">
        <w:rPr>
          <w:iCs/>
        </w:rPr>
        <w:t>Econometric Analysis</w:t>
      </w:r>
      <w:r>
        <w:t xml:space="preserve"> 784-90 (2003) (Greene (2003)). </w:t>
      </w:r>
    </w:p>
  </w:footnote>
  <w:footnote w:id="17">
    <w:p w:rsidR="00BD6868" w:rsidRPr="001E39A4" w:rsidP="000E20ED" w14:paraId="4A1D2F29" w14:textId="3FA5275B">
      <w:pPr>
        <w:spacing w:after="120"/>
        <w:rPr>
          <w:sz w:val="20"/>
        </w:rPr>
      </w:pPr>
      <w:r w:rsidRPr="001E39A4">
        <w:rPr>
          <w:rStyle w:val="FootnoteReference"/>
          <w:sz w:val="20"/>
        </w:rPr>
        <w:footnoteRef/>
      </w:r>
      <w:r w:rsidRPr="001E39A4">
        <w:rPr>
          <w:sz w:val="20"/>
        </w:rPr>
        <w:t xml:space="preserve"> </w:t>
      </w:r>
      <w:bookmarkStart w:id="5" w:name="_Hlk39233524"/>
      <w:bookmarkStart w:id="6" w:name="_Hlk39149213"/>
      <w:r w:rsidRPr="001E39A4">
        <w:rPr>
          <w:sz w:val="20"/>
        </w:rPr>
        <w:t xml:space="preserve">Universal service funding is currently distributed on a wire center basis.  </w:t>
      </w:r>
      <w:bookmarkEnd w:id="5"/>
      <w:r w:rsidRPr="001E39A4">
        <w:rPr>
          <w:i/>
          <w:iCs/>
          <w:color w:val="201F1E"/>
          <w:sz w:val="20"/>
          <w:shd w:val="clear" w:color="auto" w:fill="FFFFFF"/>
        </w:rPr>
        <w:t>Federal-State Joint Board on Universal Service</w:t>
      </w:r>
      <w:r w:rsidRPr="001E39A4">
        <w:rPr>
          <w:color w:val="201F1E"/>
          <w:sz w:val="20"/>
          <w:shd w:val="clear" w:color="auto" w:fill="FFFFFF"/>
        </w:rPr>
        <w:t xml:space="preserve">, Report and Order, CC Docket No. 96-45, 20 FCC Rcd 6371, 6806, para. 77 (2005).  </w:t>
      </w:r>
      <w:r w:rsidRPr="001E39A4">
        <w:rPr>
          <w:i/>
          <w:iCs/>
          <w:color w:val="201F1E"/>
          <w:sz w:val="20"/>
          <w:shd w:val="clear" w:color="auto" w:fill="FFFFFF"/>
        </w:rPr>
        <w:t>Federal-State Joint Board on Universal Service; Highland Cellular, Inc. Petition for Designation as an Eligible Telecommunications Carrier for the Commonwealth of Virginia</w:t>
      </w:r>
      <w:r w:rsidRPr="001E39A4">
        <w:rPr>
          <w:color w:val="201F1E"/>
          <w:sz w:val="20"/>
          <w:shd w:val="clear" w:color="auto" w:fill="FFFFFF"/>
        </w:rPr>
        <w:t xml:space="preserve">, Memorandum Opinion and Order, CC Docket No. 96-45, 19 FCC Rcd 6422, 6438, para. 33 (2004).  </w:t>
      </w:r>
      <w:r w:rsidRPr="001E39A4">
        <w:rPr>
          <w:sz w:val="20"/>
        </w:rPr>
        <w:t>We designate a Census block group as receiving funding if at least 50% of the Census block group’s land area falls within a wire center that receives funding.  Because of the way funding is currently distributed, we cannot allocate funding levels directly to Census block groups and thus use dummy variables instead of directly using funding amounts</w:t>
      </w:r>
      <w:bookmarkEnd w:id="6"/>
      <w:r w:rsidRPr="001E39A4">
        <w:rPr>
          <w:sz w:val="20"/>
        </w:rPr>
        <w:t xml:space="preserve">. </w:t>
      </w:r>
    </w:p>
  </w:footnote>
  <w:footnote w:id="18">
    <w:p w:rsidR="00BD6868" w:rsidRPr="00AA49BE" w:rsidP="00A47720" w14:paraId="5CA70DC3" w14:textId="77777777">
      <w:pPr>
        <w:pStyle w:val="FootnoteText"/>
      </w:pPr>
      <w:r>
        <w:rPr>
          <w:rStyle w:val="FootnoteReference"/>
        </w:rPr>
        <w:footnoteRef/>
      </w:r>
      <w:r>
        <w:t xml:space="preserve"> </w:t>
      </w:r>
      <w:r>
        <w:rPr>
          <w:i/>
          <w:iCs/>
        </w:rPr>
        <w:t>See generally</w:t>
      </w:r>
      <w:r>
        <w:t xml:space="preserve"> Appx. A: Terrain Elevation.</w:t>
      </w:r>
    </w:p>
  </w:footnote>
  <w:footnote w:id="19">
    <w:p w:rsidR="00BD6868" w:rsidP="00A47720" w14:paraId="0FC7D1D4" w14:textId="77777777">
      <w:pPr>
        <w:pStyle w:val="FootnoteText"/>
      </w:pPr>
      <w:r>
        <w:rPr>
          <w:rStyle w:val="FootnoteReference"/>
        </w:rPr>
        <w:footnoteRef/>
      </w:r>
      <w:r>
        <w:t xml:space="preserve"> The ideal dataset would have the same variables at a uniformly sized geography.  The largest Census block groups may require multiple cell sites to provide service to the entire area, while the land area of the smallest Census block group could be covered many times from a single site. </w:t>
      </w:r>
    </w:p>
  </w:footnote>
  <w:footnote w:id="20">
    <w:p w:rsidR="00BD6868" w:rsidP="00A47720" w14:paraId="7FC95946" w14:textId="77777777">
      <w:pPr>
        <w:pStyle w:val="FootnoteText"/>
      </w:pPr>
      <w:r>
        <w:rPr>
          <w:rStyle w:val="FootnoteReference"/>
        </w:rPr>
        <w:footnoteRef/>
      </w:r>
      <w:r>
        <w:t xml:space="preserve"> A category is defined as a terrain level, income level combination.  Since we consider three levels of terrain and three levels of income, there are nine categories.  An alternative, but equivalent, way of thinking about the adjustment factor is that it represents the factor by which demand needs to be increased in order to offset the effects of terrain and income across categories, holding land area fixed.</w:t>
      </w:r>
    </w:p>
  </w:footnote>
  <w:footnote w:id="21">
    <w:p w:rsidR="00BD6868" w:rsidP="00A47720" w14:paraId="6A72D986" w14:textId="77777777">
      <w:pPr>
        <w:pStyle w:val="FootnoteText"/>
      </w:pPr>
      <w:r>
        <w:rPr>
          <w:rStyle w:val="FootnoteReference"/>
        </w:rPr>
        <w:footnoteRef/>
      </w:r>
      <w:r>
        <w:t xml:space="preserve"> In practice, the flat terrain-high median household income category has the highest predicted attractiveness value due to its large potential revenues and low costs of deployment.  By setting </w:t>
      </w:r>
      <m:oMath>
        <m:sSup>
          <m:sSupPr>
            <m:ctrlPr>
              <w:rPr>
                <w:rFonts w:ascii="Cambria Math" w:hAnsi="Cambria Math"/>
                <w:i/>
              </w:rPr>
            </m:ctrlPr>
          </m:sSupPr>
          <m:e>
            <m:r>
              <w:rPr>
                <w:rFonts w:ascii="Cambria Math" w:hAnsi="Cambria Math"/>
              </w:rPr>
              <m:t>A</m:t>
            </m:r>
          </m:e>
          <m:sup>
            <m:r>
              <w:rPr>
                <w:rFonts w:ascii="Cambria Math" w:hAnsi="Cambria Math"/>
              </w:rPr>
              <m:t>*</m:t>
            </m:r>
          </m:sup>
        </m:sSup>
      </m:oMath>
      <w:r>
        <w:t xml:space="preserve"> equal to the largest </w:t>
      </w:r>
      <m:oMath>
        <m:acc>
          <m:accPr>
            <m:ctrlPr>
              <w:rPr>
                <w:rFonts w:ascii="Cambria Math" w:hAnsi="Cambria Math"/>
                <w:i/>
              </w:rPr>
            </m:ctrlPr>
          </m:accPr>
          <m:e>
            <m:sSub>
              <m:sSubPr>
                <m:ctrlPr>
                  <w:rPr>
                    <w:rFonts w:ascii="Cambria Math" w:hAnsi="Cambria Math" w:eastAsiaTheme="minorEastAsia"/>
                    <w:i/>
                  </w:rPr>
                </m:ctrlPr>
              </m:sSubPr>
              <m:e>
                <m:r>
                  <w:rPr>
                    <w:rFonts w:ascii="Cambria Math" w:hAnsi="Cambria Math" w:eastAsiaTheme="minorEastAsia"/>
                  </w:rPr>
                  <m:t>A</m:t>
                </m:r>
              </m:e>
              <m:sub>
                <m:r>
                  <w:rPr>
                    <w:rFonts w:ascii="Cambria Math" w:hAnsi="Cambria Math" w:eastAsiaTheme="minorEastAsia"/>
                  </w:rPr>
                  <m:t>i</m:t>
                </m:r>
              </m:sub>
            </m:sSub>
          </m:e>
        </m:acc>
      </m:oMath>
      <w:r>
        <w:t xml:space="preserve">, we normalize the weight of the most attractive area to 1. </w:t>
      </w:r>
    </w:p>
  </w:footnote>
  <w:footnote w:id="22">
    <w:p w:rsidR="00BD6868" w:rsidP="00A47720" w14:paraId="530FD6B3" w14:textId="35E424F5">
      <w:pPr>
        <w:pStyle w:val="FootnoteText"/>
      </w:pPr>
      <w:r>
        <w:rPr>
          <w:rStyle w:val="FootnoteReference"/>
        </w:rPr>
        <w:footnoteRef/>
      </w:r>
      <w:r>
        <w:t xml:space="preserve"> We note that while the universal service dummy variables are theoretically included in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we set the dummies to zero for the representative block groups and thus do not affect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w:t>
      </w:r>
    </w:p>
  </w:footnote>
  <w:footnote w:id="23">
    <w:p w:rsidR="00BD6868" w:rsidP="00A47720" w14:paraId="21AC75E2" w14:textId="41392CDE">
      <w:pPr>
        <w:pStyle w:val="FootnoteText"/>
      </w:pPr>
      <w:r>
        <w:rPr>
          <w:rStyle w:val="FootnoteReference"/>
        </w:rPr>
        <w:footnoteRef/>
      </w:r>
      <w:r>
        <w:t xml:space="preserve"> Note that the estimates in Fig. B-2 do not include a constant term; this is because the first cut point serves as a constant term in the model.  An equivalent approach would be to report a constant term in the regression results and normalize the first cut point to zero.  </w:t>
      </w:r>
      <w:r w:rsidRPr="001B3581">
        <w:rPr>
          <w:i/>
          <w:iCs/>
        </w:rPr>
        <w:t>See</w:t>
      </w:r>
      <w:r>
        <w:t xml:space="preserve"> Greene (2003) at 787-88. </w:t>
      </w:r>
    </w:p>
  </w:footnote>
  <w:footnote w:id="24">
    <w:p w:rsidR="00BD6868" w:rsidRPr="00D61AD1" w:rsidP="00A47720" w14:paraId="7033254F" w14:textId="76C5243E">
      <w:pPr>
        <w:pStyle w:val="FootnoteText"/>
      </w:pPr>
      <w:r>
        <w:rPr>
          <w:rStyle w:val="FootnoteReference"/>
        </w:rPr>
        <w:footnoteRef/>
      </w:r>
      <w:r>
        <w:t xml:space="preserve"> We bootstrap the standard errors to generate the 95% confidence intervals.  </w:t>
      </w:r>
      <w:r>
        <w:rPr>
          <w:i/>
          <w:iCs/>
        </w:rPr>
        <w:t xml:space="preserve">See </w:t>
      </w:r>
      <w:r>
        <w:t>Greene (2003) at 652-55.</w:t>
      </w:r>
    </w:p>
  </w:footnote>
  <w:footnote w:id="25">
    <w:p w:rsidR="00BD6868" w:rsidP="00A47720" w14:paraId="752B291A" w14:textId="77777777">
      <w:pPr>
        <w:pStyle w:val="FootnoteText"/>
      </w:pPr>
      <w:r>
        <w:rPr>
          <w:rStyle w:val="FootnoteReference"/>
        </w:rPr>
        <w:footnoteRef/>
      </w:r>
      <w:r>
        <w:t xml:space="preserve"> 10m, 70m, and 150m are the land area weighted standard deviation of elevation medians of the terrain </w:t>
      </w:r>
      <w:r w:rsidRPr="00365F6D">
        <w:t>bins</w:t>
      </w:r>
      <w:r>
        <w:t xml:space="preserve">.  </w:t>
      </w:r>
      <w:r w:rsidRPr="001A5B25">
        <w:t>Likewise, $25,000, $35,000, and $65,000 are the approximate median values of the income bins.</w:t>
      </w:r>
    </w:p>
  </w:footnote>
  <w:footnote w:id="26">
    <w:p w:rsidR="00BD6868" w:rsidP="006747B8" w14:paraId="36BE1D73" w14:textId="04BC2737">
      <w:pPr>
        <w:pStyle w:val="FootnoteText"/>
      </w:pPr>
      <w:r w:rsidRPr="007E3170">
        <w:rPr>
          <w:rStyle w:val="FootnoteReference"/>
        </w:rPr>
        <w:footnoteRef/>
      </w:r>
      <w:r w:rsidRPr="007E3170">
        <w:t xml:space="preserve"> </w:t>
      </w:r>
      <w:r w:rsidRPr="006455B2">
        <w:t>Campbell Scientific</w:t>
      </w:r>
      <w:r>
        <w:t xml:space="preserve"> Inc., </w:t>
      </w:r>
      <w:r w:rsidRPr="001A5B25">
        <w:rPr>
          <w:i/>
          <w:iCs/>
        </w:rPr>
        <w:t>The Link Budget and Fade Margin</w:t>
      </w:r>
      <w:r w:rsidRPr="006455B2">
        <w:t xml:space="preserve">, </w:t>
      </w:r>
      <w:r>
        <w:t xml:space="preserve">(Sep. </w:t>
      </w:r>
      <w:r w:rsidRPr="006455B2">
        <w:t>2016</w:t>
      </w:r>
      <w:r>
        <w:t xml:space="preserve">), </w:t>
      </w:r>
      <w:r w:rsidRPr="00043DED">
        <w:rPr>
          <w:i/>
          <w:iCs/>
        </w:rPr>
        <w:t>available at</w:t>
      </w:r>
      <w:r>
        <w:t xml:space="preserve"> </w:t>
      </w:r>
      <w:hyperlink r:id="rId1" w:history="1">
        <w:r w:rsidRPr="006455B2">
          <w:rPr>
            <w:snapToGrid w:val="0"/>
            <w:color w:val="0000FF"/>
            <w:kern w:val="28"/>
            <w:u w:val="single"/>
          </w:rPr>
          <w:t>https://s.campbellsci.com/documents/us/technical-papers/link-budget.pdf</w:t>
        </w:r>
      </w:hyperlink>
      <w:r>
        <w:t xml:space="preserve">; William C. Jakes, </w:t>
      </w:r>
      <w:r w:rsidRPr="00043DED">
        <w:t>Microwave Mobile Communications</w:t>
      </w:r>
      <w:r>
        <w:t xml:space="preserve"> 126-28 (IEEE Press 1993); Rappaport (2002) at 141-43.</w:t>
      </w:r>
    </w:p>
  </w:footnote>
  <w:footnote w:id="27">
    <w:p w:rsidR="00BD6868" w:rsidP="006747B8" w14:paraId="367C9E8B" w14:textId="77777777">
      <w:pPr>
        <w:pStyle w:val="FootnoteText"/>
      </w:pPr>
      <w:r>
        <w:rPr>
          <w:rStyle w:val="FootnoteReference"/>
        </w:rPr>
        <w:footnoteRef/>
      </w:r>
      <w:r>
        <w:t xml:space="preserve"> </w:t>
      </w:r>
      <w:r w:rsidRPr="00C64B03">
        <w:t xml:space="preserve">Our measure of terrain is the average standard deviation of elevation. </w:t>
      </w:r>
      <w:r>
        <w:t xml:space="preserve"> </w:t>
      </w:r>
      <w:r w:rsidRPr="00647ED0">
        <w:rPr>
          <w:i/>
          <w:iCs/>
        </w:rPr>
        <w:t>See</w:t>
      </w:r>
      <w:r w:rsidRPr="00647ED0">
        <w:t xml:space="preserve"> Appx. </w:t>
      </w:r>
      <w:r>
        <w:t>A</w:t>
      </w:r>
      <w:r w:rsidRPr="00647ED0">
        <w:t xml:space="preserve">: </w:t>
      </w:r>
      <w:r>
        <w:t>Terrain Elevation for more details.</w:t>
      </w:r>
    </w:p>
  </w:footnote>
  <w:footnote w:id="28">
    <w:p w:rsidR="00BD6868" w:rsidP="006747B8" w14:paraId="65DB0533" w14:textId="77777777">
      <w:pPr>
        <w:pStyle w:val="FootnoteText"/>
      </w:pPr>
      <w:r>
        <w:rPr>
          <w:rStyle w:val="FootnoteReference"/>
        </w:rPr>
        <w:footnoteRef/>
      </w:r>
      <w:r>
        <w:t xml:space="preserve"> </w:t>
      </w:r>
      <w:r>
        <w:rPr>
          <w:szCs w:val="22"/>
        </w:rPr>
        <w:t>If site construction, backhaul, and spectrum acquisition costs do vary by terrain, our estimated factors may not fully capture the effect of terrain on deployment costs.</w:t>
      </w:r>
    </w:p>
  </w:footnote>
  <w:footnote w:id="29">
    <w:p w:rsidR="00BD6868" w:rsidP="006747B8" w14:paraId="1E63530A" w14:textId="77777777">
      <w:pPr>
        <w:pStyle w:val="FootnoteText"/>
      </w:pPr>
      <w:r>
        <w:rPr>
          <w:rStyle w:val="FootnoteReference"/>
        </w:rPr>
        <w:footnoteRef/>
      </w:r>
      <w:r>
        <w:t xml:space="preserve"> </w:t>
      </w:r>
      <w:r>
        <w:rPr>
          <w:i/>
          <w:iCs/>
        </w:rPr>
        <w:t xml:space="preserve">See infra </w:t>
      </w:r>
      <w:r>
        <w:t>Fig. B-9.</w:t>
      </w:r>
    </w:p>
  </w:footnote>
  <w:footnote w:id="30">
    <w:p w:rsidR="00BD6868" w:rsidP="006747B8" w14:paraId="6375747B" w14:textId="77777777">
      <w:pPr>
        <w:pStyle w:val="FootnoteText"/>
      </w:pPr>
      <w:r>
        <w:rPr>
          <w:rStyle w:val="FootnoteReference"/>
        </w:rPr>
        <w:footnoteRef/>
      </w:r>
      <w:r>
        <w:t xml:space="preserve"> </w:t>
      </w:r>
      <w:r w:rsidRPr="00647ED0">
        <w:rPr>
          <w:i/>
          <w:iCs/>
        </w:rPr>
        <w:t>See</w:t>
      </w:r>
      <w:r w:rsidRPr="00647ED0">
        <w:t xml:space="preserve"> Appx. B.IV: Data Sources</w:t>
      </w:r>
      <w:r>
        <w:t xml:space="preserve"> and Variable Construction for more details.  Our analysis is restricted to 3,114 counties in the 48 states of the continental U.S., Hawaii, and Washington, D.C.  Since our analysis includes the four largest mobile wireless carriers, we have a potential maximum of 12,456 observations in our sample.  We also anonymize carriers as carrier A, carrier B, carrier C, and carrier D.</w:t>
      </w:r>
    </w:p>
  </w:footnote>
  <w:footnote w:id="31">
    <w:p w:rsidR="00BD6868" w:rsidP="006747B8" w14:paraId="2C028853" w14:textId="77777777">
      <w:pPr>
        <w:pStyle w:val="FootnoteText"/>
      </w:pPr>
      <w:r>
        <w:rPr>
          <w:rStyle w:val="FootnoteReference"/>
        </w:rPr>
        <w:footnoteRef/>
      </w:r>
      <w:r>
        <w:t xml:space="preserve"> </w:t>
      </w:r>
      <w:r w:rsidRPr="0017525A">
        <w:rPr>
          <w:i/>
          <w:iCs/>
        </w:rPr>
        <w:t>See</w:t>
      </w:r>
      <w:r>
        <w:t xml:space="preserve"> Appx. </w:t>
      </w:r>
      <w:r w:rsidRPr="00647ED0">
        <w:t>B.IV: Data Sources</w:t>
      </w:r>
      <w:r>
        <w:t xml:space="preserve"> and Variable Construction for more details.</w:t>
      </w:r>
      <w:r>
        <w:t xml:space="preserve"> </w:t>
      </w:r>
      <w:r>
        <w:t xml:space="preserve"> We calculate terrain variation by carrier since the terrain in the actual land area covered by each carrier in a county may be very different.</w:t>
      </w:r>
    </w:p>
  </w:footnote>
  <w:footnote w:id="32">
    <w:p w:rsidR="00BD6868" w:rsidP="006747B8" w14:paraId="7834925E" w14:textId="77777777">
      <w:pPr>
        <w:pStyle w:val="FootnoteText"/>
      </w:pPr>
      <w:r>
        <w:rPr>
          <w:rStyle w:val="FootnoteReference"/>
        </w:rPr>
        <w:footnoteRef/>
      </w:r>
      <w:r>
        <w:t xml:space="preserve"> </w:t>
      </w:r>
      <w:r w:rsidRPr="00206EF2">
        <w:rPr>
          <w:i/>
          <w:iCs/>
        </w:rPr>
        <w:t>See</w:t>
      </w:r>
      <w:r>
        <w:t xml:space="preserve"> </w:t>
      </w:r>
      <w:r w:rsidRPr="000F7876">
        <w:rPr>
          <w:i/>
        </w:rPr>
        <w:t>T-Mobile-Sprint Order</w:t>
      </w:r>
      <w:r>
        <w:t xml:space="preserve">, </w:t>
      </w:r>
      <w:r w:rsidRPr="000F7876">
        <w:t xml:space="preserve">34 FCC Rcd </w:t>
      </w:r>
      <w:r>
        <w:t xml:space="preserve">at </w:t>
      </w:r>
      <w:r w:rsidRPr="000F7876">
        <w:t>10</w:t>
      </w:r>
      <w:r>
        <w:t>764</w:t>
      </w:r>
      <w:r w:rsidRPr="000F7876">
        <w:t xml:space="preserve">, </w:t>
      </w:r>
      <w:r>
        <w:t xml:space="preserve">Appx. F: Technical Appendix, para. 11. </w:t>
      </w:r>
    </w:p>
  </w:footnote>
  <w:footnote w:id="33">
    <w:p w:rsidR="00BD6868" w:rsidP="006747B8" w14:paraId="13E02586" w14:textId="77777777">
      <w:pPr>
        <w:pStyle w:val="FootnoteText"/>
      </w:pPr>
      <w:r>
        <w:rPr>
          <w:rStyle w:val="FootnoteReference"/>
        </w:rPr>
        <w:footnoteRef/>
      </w:r>
      <w:r>
        <w:t xml:space="preserve"> </w:t>
      </w:r>
      <w:r w:rsidRPr="000B3133">
        <w:rPr>
          <w:i/>
          <w:iCs/>
        </w:rPr>
        <w:t>OBI Technical Paper No. 1</w:t>
      </w:r>
      <w:r>
        <w:t>, Exh. 4-Q.</w:t>
      </w:r>
    </w:p>
  </w:footnote>
  <w:footnote w:id="34">
    <w:p w:rsidR="00BD6868" w:rsidP="006747B8" w14:paraId="190C4572" w14:textId="77777777">
      <w:pPr>
        <w:pStyle w:val="FootnoteText"/>
      </w:pPr>
      <w:r>
        <w:rPr>
          <w:rStyle w:val="FootnoteReference"/>
        </w:rPr>
        <w:footnoteRef/>
      </w:r>
      <w:r>
        <w:t xml:space="preserve"> </w:t>
      </w:r>
      <w:r w:rsidRPr="000B3133">
        <w:rPr>
          <w:i/>
          <w:iCs/>
        </w:rPr>
        <w:t>OBI Technical Paper No. 1</w:t>
      </w:r>
      <w:r>
        <w:t>, at.63.</w:t>
      </w:r>
    </w:p>
  </w:footnote>
  <w:footnote w:id="35">
    <w:p w:rsidR="00BD6868" w:rsidP="006747B8" w14:paraId="06D0EFFF" w14:textId="77777777">
      <w:pPr>
        <w:pStyle w:val="FootnoteText"/>
      </w:pPr>
      <w:r>
        <w:rPr>
          <w:rStyle w:val="FootnoteReference"/>
        </w:rPr>
        <w:footnoteRef/>
      </w:r>
      <w:r>
        <w:t xml:space="preserve"> </w:t>
      </w:r>
      <w:r w:rsidRPr="00FF11F6">
        <w:rPr>
          <w:i/>
          <w:iCs/>
        </w:rPr>
        <w:t>Id</w:t>
      </w:r>
      <w:r>
        <w:t>.</w:t>
      </w:r>
    </w:p>
  </w:footnote>
  <w:footnote w:id="36">
    <w:p w:rsidR="00BD6868" w:rsidRPr="00FD6C0C" w:rsidP="006747B8" w14:paraId="1893CB5A" w14:textId="77777777">
      <w:pPr>
        <w:pStyle w:val="ParaNum"/>
        <w:numPr>
          <w:ilvl w:val="0"/>
          <w:numId w:val="0"/>
        </w:numPr>
        <w:rPr>
          <w:sz w:val="20"/>
        </w:rPr>
      </w:pPr>
      <w:r w:rsidRPr="00FD6C0C">
        <w:rPr>
          <w:rStyle w:val="FootnoteReference"/>
          <w:sz w:val="20"/>
        </w:rPr>
        <w:footnoteRef/>
      </w:r>
      <w:r w:rsidRPr="00FD6C0C">
        <w:rPr>
          <w:sz w:val="20"/>
        </w:rPr>
        <w:t xml:space="preserve"> </w:t>
      </w:r>
      <w:r w:rsidRPr="003407FA">
        <w:rPr>
          <w:i/>
          <w:iCs/>
          <w:sz w:val="20"/>
        </w:rPr>
        <w:t>See</w:t>
      </w:r>
      <w:r w:rsidRPr="003407FA">
        <w:rPr>
          <w:sz w:val="20"/>
        </w:rPr>
        <w:t xml:space="preserve"> Applications of T-Mobile USA, Inc., and Sprint Corporation for Consent To Transfer Control of Licenses and Authorizations, ULS File No. 0008224209 (Lead Application) (filed June 18, 2018, amended July 5, 2018), Exh. 1—Description of the Transaction, Public Interest Statement, and Related Demonstrations at 30. </w:t>
      </w:r>
      <w:r>
        <w:rPr>
          <w:sz w:val="20"/>
        </w:rPr>
        <w:t xml:space="preserve"> </w:t>
      </w:r>
      <w:r w:rsidRPr="003407FA">
        <w:rPr>
          <w:sz w:val="20"/>
        </w:rPr>
        <w:t>This formula implies that</w:t>
      </w:r>
      <w:r>
        <w:rPr>
          <w:sz w:val="20"/>
        </w:rPr>
        <w:t xml:space="preserve"> </w:t>
      </w:r>
      <w:r w:rsidRPr="003407FA">
        <w:rPr>
          <w:sz w:val="20"/>
        </w:rPr>
        <w:t>if the number of sites, bandwidth per site or spectral efficiency doubles, then the</w:t>
      </w:r>
      <w:r w:rsidRPr="00FD6C0C">
        <w:rPr>
          <w:sz w:val="20"/>
        </w:rPr>
        <w:t xml:space="preserve"> overall network capacity </w:t>
      </w:r>
      <w:r>
        <w:rPr>
          <w:sz w:val="20"/>
        </w:rPr>
        <w:t>would</w:t>
      </w:r>
      <w:r w:rsidRPr="00FD6C0C">
        <w:rPr>
          <w:sz w:val="20"/>
        </w:rPr>
        <w:t xml:space="preserve"> double as well.  </w:t>
      </w:r>
    </w:p>
  </w:footnote>
  <w:footnote w:id="37">
    <w:p w:rsidR="00BD6868" w:rsidP="006747B8" w14:paraId="78ECFAA2" w14:textId="57997A9F">
      <w:pPr>
        <w:pStyle w:val="FootnoteText"/>
      </w:pPr>
      <w:r>
        <w:rPr>
          <w:rStyle w:val="FootnoteReference"/>
        </w:rPr>
        <w:footnoteRef/>
      </w:r>
      <w:r>
        <w:t xml:space="preserve"> Network load is defined here as the product of the number of subscribers served by the site and their usage per subscriber.</w:t>
      </w:r>
      <w:r w:rsidR="00352E0F">
        <w:t xml:space="preserve"> </w:t>
      </w:r>
      <w:r>
        <w:t xml:space="preserve"> For a discussion of how average usage per subscriber maps into busy hour offered load, </w:t>
      </w:r>
      <w:r w:rsidRPr="00FF11F6">
        <w:rPr>
          <w:i/>
          <w:iCs/>
        </w:rPr>
        <w:t>see</w:t>
      </w:r>
      <w:r>
        <w:t xml:space="preserve"> </w:t>
      </w:r>
      <w:r w:rsidRPr="000B3133">
        <w:rPr>
          <w:i/>
          <w:iCs/>
        </w:rPr>
        <w:t>OBI Technical Paper No. 1</w:t>
      </w:r>
      <w:r>
        <w:t>, at 111.</w:t>
      </w:r>
    </w:p>
  </w:footnote>
  <w:footnote w:id="38">
    <w:p w:rsidR="00BD6868" w:rsidP="006747B8" w14:paraId="365808DF" w14:textId="77777777">
      <w:pPr>
        <w:pStyle w:val="FootnoteText"/>
      </w:pPr>
      <w:r>
        <w:rPr>
          <w:rStyle w:val="FootnoteReference"/>
        </w:rPr>
        <w:footnoteRef/>
      </w:r>
      <w:r>
        <w:t xml:space="preserve"> </w:t>
      </w:r>
      <w:r w:rsidRPr="000B3133">
        <w:rPr>
          <w:i/>
          <w:iCs/>
        </w:rPr>
        <w:t>OBI Technical Paper No. 1</w:t>
      </w:r>
      <w:r>
        <w:t>, at p.109-111.</w:t>
      </w:r>
    </w:p>
  </w:footnote>
  <w:footnote w:id="39">
    <w:p w:rsidR="00BD6868" w:rsidP="006747B8" w14:paraId="6A591BC4" w14:textId="77777777">
      <w:pPr>
        <w:pStyle w:val="FootnoteText"/>
      </w:pPr>
      <w:r>
        <w:rPr>
          <w:rStyle w:val="FootnoteReference"/>
        </w:rPr>
        <w:footnoteRef/>
      </w:r>
      <w:r>
        <w:t xml:space="preserve"> </w:t>
      </w:r>
      <w:r w:rsidRPr="004D2922">
        <w:rPr>
          <w:i/>
          <w:iCs/>
        </w:rPr>
        <w:t>See</w:t>
      </w:r>
      <w:r>
        <w:t xml:space="preserve"> </w:t>
      </w:r>
      <w:r w:rsidRPr="000F7876">
        <w:rPr>
          <w:i/>
        </w:rPr>
        <w:t>T-Mobile-Sprint Order</w:t>
      </w:r>
      <w:r>
        <w:t xml:space="preserve">, </w:t>
      </w:r>
      <w:r w:rsidRPr="000F7876">
        <w:t xml:space="preserve">34 FCC Rcd </w:t>
      </w:r>
      <w:r>
        <w:t xml:space="preserve">at </w:t>
      </w:r>
      <w:r w:rsidRPr="000F7876">
        <w:t>10</w:t>
      </w:r>
      <w:r>
        <w:t>765</w:t>
      </w:r>
      <w:r w:rsidRPr="000F7876">
        <w:t xml:space="preserve">, </w:t>
      </w:r>
      <w:r>
        <w:t>Appx. F: Technical Appendix, para. 14.</w:t>
      </w:r>
    </w:p>
  </w:footnote>
  <w:footnote w:id="40">
    <w:p w:rsidR="00BD6868" w:rsidP="006747B8" w14:paraId="778B165A" w14:textId="77777777">
      <w:pPr>
        <w:pStyle w:val="FootnoteText"/>
      </w:pPr>
      <w:r>
        <w:rPr>
          <w:rStyle w:val="FootnoteReference"/>
        </w:rPr>
        <w:footnoteRef/>
      </w:r>
      <w:r>
        <w:t xml:space="preserve"> </w:t>
      </w:r>
      <w:r w:rsidRPr="00647ED0">
        <w:rPr>
          <w:i/>
          <w:iCs/>
        </w:rPr>
        <w:t>See</w:t>
      </w:r>
      <w:r w:rsidRPr="00647ED0">
        <w:t xml:space="preserve"> Appx. B.IV: Data Sources</w:t>
      </w:r>
      <w:r>
        <w:t xml:space="preserve"> and Variable Construction for more details.</w:t>
      </w:r>
    </w:p>
  </w:footnote>
  <w:footnote w:id="41">
    <w:p w:rsidR="00BD6868" w:rsidP="006747B8" w14:paraId="2DE566F8" w14:textId="68C1384B">
      <w:pPr>
        <w:pStyle w:val="FootnoteText"/>
      </w:pPr>
      <w:r>
        <w:rPr>
          <w:rStyle w:val="FootnoteReference"/>
        </w:rPr>
        <w:footnoteRef/>
      </w:r>
      <w:r>
        <w:t xml:space="preserve"> We expect income to be correlated with per subscriber usage, and to be an effective proxy variable, it must also satisfy the untestable assumption that the regressors are now uncorrelated with the error term once the income variable is included in the regression. </w:t>
      </w:r>
      <w:r w:rsidR="00352E0F">
        <w:t xml:space="preserve"> </w:t>
      </w:r>
      <w:r w:rsidRPr="003806F4">
        <w:rPr>
          <w:i/>
          <w:iCs/>
        </w:rPr>
        <w:t>See</w:t>
      </w:r>
      <w:r w:rsidRPr="00410EEA">
        <w:t xml:space="preserve"> </w:t>
      </w:r>
      <w:r>
        <w:t>Jeffrey M. Wooldridge,</w:t>
      </w:r>
      <w:r w:rsidRPr="000D5763">
        <w:t xml:space="preserve"> Introductory Econometrics: A Modern Approach</w:t>
      </w:r>
      <w:r>
        <w:t xml:space="preserve"> (Wooldridge (2008)).  If income does not sufficiently proxy for usage, the unobserved usage per subscriber variable could bias our estimated adjustment factors either upwards or downwards, depending on how usage varies with terrain.  If usage is greater in flatter areas than mountainous areas, conditional on our other controls, then our model would not account for the greater usage shrinking cell coverage in flat areas, and this would tend to bias the estimated adjustment factor upwards.  The </w:t>
      </w:r>
      <w:r>
        <w:t xml:space="preserve">terrain </w:t>
      </w:r>
      <w:r>
        <w:t xml:space="preserve">adjustment factor would be biased downwards if hillier terrain had higher usage than flatter areas.  </w:t>
      </w:r>
    </w:p>
  </w:footnote>
  <w:footnote w:id="42">
    <w:p w:rsidR="00BD6868" w:rsidP="00E5783E" w14:paraId="54ABFDB4" w14:textId="6477D78F">
      <w:pPr>
        <w:pStyle w:val="FootnoteText"/>
        <w:widowControl w:val="0"/>
      </w:pPr>
      <w:r>
        <w:rPr>
          <w:rStyle w:val="FootnoteReference"/>
        </w:rPr>
        <w:footnoteRef/>
      </w:r>
      <w:r>
        <w:t xml:space="preserve"> </w:t>
      </w:r>
      <w:r w:rsidRPr="006A57C1">
        <w:rPr>
          <w:i/>
          <w:iCs/>
        </w:rPr>
        <w:t>See</w:t>
      </w:r>
      <w:r>
        <w:t xml:space="preserve"> Tony J. Rouphael, </w:t>
      </w:r>
      <w:r w:rsidRPr="000D5763">
        <w:t>RF and Digital Signal Processing for Software-Defined Radio</w:t>
      </w:r>
      <w:r w:rsidRPr="00DD6D72">
        <w:t xml:space="preserve"> at Section 4.2.1</w:t>
      </w:r>
      <w:r>
        <w:t xml:space="preserve"> (2009)</w:t>
      </w:r>
      <w:r w:rsidRPr="00DD6D72">
        <w:t>.</w:t>
      </w:r>
      <w:r>
        <w:t xml:space="preserve">  </w:t>
      </w:r>
      <w:r w:rsidRPr="00DD6D72">
        <w:t xml:space="preserve">For free space where lambda=2, </w:t>
      </w:r>
      <w:r w:rsidRPr="000D5763">
        <w:t>see</w:t>
      </w:r>
      <w:r w:rsidRPr="00DD6D72">
        <w:t xml:space="preserve"> </w:t>
      </w:r>
      <w:r>
        <w:t xml:space="preserve">Christopher Haslett, </w:t>
      </w:r>
      <w:r w:rsidRPr="000D5763">
        <w:t>Essentials of Radio Wave Propagation</w:t>
      </w:r>
      <w:r w:rsidRPr="00DD6D72">
        <w:t xml:space="preserve"> at 5-7</w:t>
      </w:r>
      <w:r>
        <w:t xml:space="preserve"> (2009)</w:t>
      </w:r>
      <w:r w:rsidRPr="00DD6D72">
        <w:t xml:space="preserve">.  </w:t>
      </w:r>
      <w:r>
        <w:rPr>
          <w:i/>
          <w:iCs/>
        </w:rPr>
        <w:t>S</w:t>
      </w:r>
      <w:r w:rsidRPr="006A57C1">
        <w:rPr>
          <w:i/>
          <w:iCs/>
        </w:rPr>
        <w:t>ee</w:t>
      </w:r>
      <w:r>
        <w:rPr>
          <w:i/>
          <w:iCs/>
        </w:rPr>
        <w:t xml:space="preserve"> also </w:t>
      </w:r>
      <w:r>
        <w:t xml:space="preserve">Jyrki T.J. </w:t>
      </w:r>
      <w:r w:rsidRPr="00DD6D72">
        <w:t>Penttinen</w:t>
      </w:r>
      <w:r>
        <w:t>,</w:t>
      </w:r>
      <w:r w:rsidRPr="00DD6D72">
        <w:t xml:space="preserve"> </w:t>
      </w:r>
      <w:r w:rsidRPr="000D5763">
        <w:t>The Telecommunications Handbook, Engineering Guidelines for Fixed, Mobile and Satellite Systems</w:t>
      </w:r>
      <w:r w:rsidRPr="00DD6D72">
        <w:t xml:space="preserve"> at 596</w:t>
      </w:r>
      <w:r>
        <w:t xml:space="preserve"> (2015)</w:t>
      </w:r>
      <w:r w:rsidRPr="00DD6D72">
        <w:t>.</w:t>
      </w:r>
    </w:p>
  </w:footnote>
  <w:footnote w:id="43">
    <w:p w:rsidR="00BD6868" w:rsidP="006747B8" w14:paraId="6530B269" w14:textId="77777777">
      <w:pPr>
        <w:pStyle w:val="FootnoteText"/>
      </w:pPr>
      <w:r>
        <w:rPr>
          <w:rStyle w:val="FootnoteReference"/>
        </w:rPr>
        <w:footnoteRef/>
      </w:r>
      <w:r>
        <w:t xml:space="preserve"> The dB scale is expressed in base-10 logarithms, but we use natural logarithms in our regression analysis.  To convert our estimated regression equations to base-10 logarithms, we would just multiply both sides by ln(10)=2.303 and this would have no effect on our estimated adjustment factors.  </w:t>
      </w:r>
    </w:p>
  </w:footnote>
  <w:footnote w:id="44">
    <w:p w:rsidR="00BD6868" w:rsidP="006747B8" w14:paraId="1839660D" w14:textId="7CCA0389">
      <w:pPr>
        <w:pStyle w:val="FootnoteText"/>
      </w:pPr>
      <w:r>
        <w:rPr>
          <w:rStyle w:val="FootnoteReference"/>
        </w:rPr>
        <w:footnoteRef/>
      </w:r>
      <w:r>
        <w:t xml:space="preserve"> V. </w:t>
      </w:r>
      <w:r w:rsidRPr="003B3BAE">
        <w:t>Erceg</w:t>
      </w:r>
      <w:r>
        <w:t xml:space="preserve"> et al., </w:t>
      </w:r>
      <w:r w:rsidRPr="000D5763">
        <w:rPr>
          <w:i/>
          <w:iCs/>
        </w:rPr>
        <w:t>An empirically based path loss model for wireless channels in suburban environments</w:t>
      </w:r>
      <w:r>
        <w:t xml:space="preserve"> 17 </w:t>
      </w:r>
      <w:r w:rsidRPr="000D5763">
        <w:t>IEEE J. Select. Areas Comm</w:t>
      </w:r>
      <w:r w:rsidRPr="009828D2">
        <w:t>.</w:t>
      </w:r>
      <w:r w:rsidRPr="003B3BAE">
        <w:t xml:space="preserve"> 1205</w:t>
      </w:r>
      <w:r>
        <w:t xml:space="preserve"> (1999)</w:t>
      </w:r>
      <w:r w:rsidRPr="003B3BAE">
        <w:t>.</w:t>
      </w:r>
    </w:p>
  </w:footnote>
  <w:footnote w:id="45">
    <w:p w:rsidR="00BD6868" w:rsidRPr="0022179F" w:rsidP="006747B8" w14:paraId="6D0CB685" w14:textId="77777777">
      <w:pPr>
        <w:pStyle w:val="FootnoteText"/>
      </w:pPr>
      <w:r w:rsidRPr="0022179F">
        <w:rPr>
          <w:rStyle w:val="FootnoteReference"/>
        </w:rPr>
        <w:footnoteRef/>
      </w:r>
      <w:r w:rsidRPr="0022179F">
        <w:t xml:space="preserve"> </w:t>
      </w:r>
      <w:r w:rsidRPr="001A5B25">
        <w:rPr>
          <w:i/>
          <w:iCs/>
        </w:rPr>
        <w:t>See OBI Technical Working Paper No. 1</w:t>
      </w:r>
      <w:r>
        <w:t>,</w:t>
      </w:r>
      <w:r w:rsidRPr="00146778">
        <w:t xml:space="preserve"> at 68</w:t>
      </w:r>
      <w:r>
        <w:t>.</w:t>
      </w:r>
    </w:p>
  </w:footnote>
  <w:footnote w:id="46">
    <w:p w:rsidR="00BD6868" w:rsidRPr="001138FE" w:rsidP="006747B8" w14:paraId="1BC2F631" w14:textId="77777777">
      <w:pPr>
        <w:pStyle w:val="FootnoteText"/>
      </w:pPr>
      <w:r w:rsidRPr="0022179F">
        <w:rPr>
          <w:rStyle w:val="FootnoteReference"/>
        </w:rPr>
        <w:footnoteRef/>
      </w:r>
      <w:r w:rsidRPr="0022179F">
        <w:t xml:space="preserve"> In addition to propagation, these variables may also be controlling for differences in demand that are not fully accounted for by our inclusion of </w:t>
      </w:r>
      <w:r>
        <w:t xml:space="preserve">CMA subscribers and the </w:t>
      </w:r>
      <w:r w:rsidRPr="0022179F">
        <w:t>other demand measures</w:t>
      </w:r>
      <w:r>
        <w:t xml:space="preserve"> noted above</w:t>
      </w:r>
      <w:r w:rsidRPr="0022179F">
        <w:t>.</w:t>
      </w:r>
      <w:r>
        <w:t xml:space="preserve"> </w:t>
      </w:r>
      <w:r w:rsidRPr="0022179F">
        <w:t xml:space="preserve"> These effects reinforce the propagation effects since we would also expect areas with greater</w:t>
      </w:r>
      <w:r w:rsidRPr="001138FE">
        <w:t xml:space="preserve"> demand to require more </w:t>
      </w:r>
      <w:r>
        <w:t>site</w:t>
      </w:r>
      <w:r w:rsidRPr="001138FE">
        <w:t xml:space="preserve">s. </w:t>
      </w:r>
    </w:p>
  </w:footnote>
  <w:footnote w:id="47">
    <w:p w:rsidR="00BD6868" w:rsidP="006747B8" w14:paraId="216B829B" w14:textId="77777777">
      <w:pPr>
        <w:pStyle w:val="FootnoteText"/>
      </w:pPr>
      <w:r>
        <w:rPr>
          <w:rStyle w:val="FootnoteReference"/>
        </w:rPr>
        <w:footnoteRef/>
      </w:r>
      <w:r>
        <w:t xml:space="preserve"> </w:t>
      </w:r>
      <w:r w:rsidRPr="001A5B25">
        <w:rPr>
          <w:i/>
          <w:iCs/>
        </w:rPr>
        <w:t>See OBI Technical Working Paper No. 1</w:t>
      </w:r>
      <w:r>
        <w:t>,</w:t>
      </w:r>
      <w:r w:rsidRPr="00146778">
        <w:t xml:space="preserve"> at 6</w:t>
      </w:r>
      <w:r>
        <w:t>7.</w:t>
      </w:r>
    </w:p>
  </w:footnote>
  <w:footnote w:id="48">
    <w:p w:rsidR="00BD6868" w:rsidP="006747B8" w14:paraId="347E2EC1" w14:textId="6CF6A0EB">
      <w:pPr>
        <w:pStyle w:val="FootnoteText"/>
      </w:pPr>
      <w:r>
        <w:rPr>
          <w:rStyle w:val="FootnoteReference"/>
        </w:rPr>
        <w:footnoteRef/>
      </w:r>
      <w:r>
        <w:t xml:space="preserve"> </w:t>
      </w:r>
      <w:r w:rsidRPr="006E3C27">
        <w:t xml:space="preserve">Tower site information was downloaded from 44 tower providers’ websites in </w:t>
      </w:r>
      <w:r>
        <w:t>May</w:t>
      </w:r>
      <w:r w:rsidRPr="006E3C27">
        <w:t xml:space="preserve"> 201</w:t>
      </w:r>
      <w:r>
        <w:t xml:space="preserve">8.  </w:t>
      </w:r>
      <w:r w:rsidRPr="00BE3771">
        <w:t xml:space="preserve">Wireless Estimator, </w:t>
      </w:r>
      <w:r w:rsidRPr="000D5763">
        <w:rPr>
          <w:i/>
          <w:iCs/>
        </w:rPr>
        <w:t>Top 100 Tower Companies in the U.S.</w:t>
      </w:r>
      <w:r w:rsidRPr="00BE3771">
        <w:t xml:space="preserve">, </w:t>
      </w:r>
      <w:hyperlink r:id="rId2" w:history="1">
        <w:r w:rsidRPr="00BE3771">
          <w:rPr>
            <w:rStyle w:val="Hyperlink"/>
          </w:rPr>
          <w:t>http://www.wirelessestimator.com/t_content.cfm?pagename=US-Cell-Tower-Companies-Complete-List</w:t>
        </w:r>
      </w:hyperlink>
      <w:r>
        <w:t xml:space="preserve"> (last visited May 15, 2020).</w:t>
      </w:r>
      <w:r w:rsidRPr="00BE3771">
        <w:t xml:space="preserve"> </w:t>
      </w:r>
      <w:r>
        <w:t xml:space="preserve"> Publicly available tower data with height information for the same time period as the BDS data was not available.  However, we do not expect this to have much effect on our analysis since we are matching towers to themselves, and it is unlikely that many towers have been decommissioned in the intervening four years.</w:t>
      </w:r>
    </w:p>
  </w:footnote>
  <w:footnote w:id="49">
    <w:p w:rsidR="00BD6868" w:rsidP="006747B8" w14:paraId="67D46FA9" w14:textId="77777777">
      <w:pPr>
        <w:pStyle w:val="FootnoteText"/>
      </w:pPr>
      <w:r>
        <w:rPr>
          <w:rStyle w:val="FootnoteReference"/>
        </w:rPr>
        <w:footnoteRef/>
      </w:r>
      <w:r>
        <w:t xml:space="preserve"> A 1-kilometer buffer is used since differences in geocoding between the two data sources may result in a tower not matching exactly to itself.  With this buffer, our match rate for towers within 1 km was approximately 82%.</w:t>
      </w:r>
    </w:p>
  </w:footnote>
  <w:footnote w:id="50">
    <w:p w:rsidR="00BD6868" w:rsidRPr="001138FE" w:rsidP="006747B8" w14:paraId="5BCCA685" w14:textId="77777777">
      <w:pPr>
        <w:pStyle w:val="FootnoteText"/>
      </w:pPr>
      <w:r w:rsidRPr="001138FE">
        <w:rPr>
          <w:rStyle w:val="FootnoteReference"/>
        </w:rPr>
        <w:footnoteRef/>
      </w:r>
      <w:r w:rsidRPr="001138FE">
        <w:t xml:space="preserve"> We chose the county as our geographic unit of analysis because we do not observe the actual geographic </w:t>
      </w:r>
      <w:r>
        <w:t>service area</w:t>
      </w:r>
      <w:r w:rsidRPr="001138FE">
        <w:t xml:space="preserve"> of each </w:t>
      </w:r>
      <w:r>
        <w:t>site</w:t>
      </w:r>
      <w:r w:rsidRPr="001138FE">
        <w:t xml:space="preserve">. </w:t>
      </w:r>
      <w:r>
        <w:t xml:space="preserve"> </w:t>
      </w:r>
      <w:r w:rsidRPr="001138FE">
        <w:t xml:space="preserve">The choice of county minimizes the number of </w:t>
      </w:r>
      <w:r>
        <w:t>site</w:t>
      </w:r>
      <w:r w:rsidRPr="001138FE">
        <w:t xml:space="preserve">s with coverage that crosses the geographic boundary while still maintaining necessary terrain variation. </w:t>
      </w:r>
    </w:p>
  </w:footnote>
  <w:footnote w:id="51">
    <w:p w:rsidR="00BD6868" w:rsidP="006747B8" w14:paraId="551D2D62" w14:textId="77777777">
      <w:pPr>
        <w:pStyle w:val="FootnoteText"/>
      </w:pPr>
      <w:r>
        <w:rPr>
          <w:rStyle w:val="FootnoteReference"/>
        </w:rPr>
        <w:footnoteRef/>
      </w:r>
      <w:r>
        <w:t xml:space="preserve"> The estimated adjustment factors are all measured relative to coverage per site in a flat area.  For this reason, the values of the control variables at which we choose to predict the model generally do not affect the estimated adjustment factors.  However, the low band indicator variable and subscribers per megahertz are interacted with terrain in the model so that the values chosen for these variables in predicting site service areas in each of the terrain categories do affect the estimated adjustment factors. </w:t>
      </w:r>
    </w:p>
  </w:footnote>
  <w:footnote w:id="52">
    <w:p w:rsidR="00BD6868" w:rsidP="006747B8" w14:paraId="5B62E61C" w14:textId="40F89666">
      <w:pPr>
        <w:pStyle w:val="FootnoteText"/>
      </w:pPr>
      <w:r>
        <w:rPr>
          <w:rStyle w:val="FootnoteReference"/>
        </w:rPr>
        <w:footnoteRef/>
      </w:r>
      <w:r>
        <w:t xml:space="preserve"> </w:t>
      </w:r>
      <w:r w:rsidRPr="007157E9">
        <w:rPr>
          <w:i/>
          <w:iCs/>
        </w:rPr>
        <w:t xml:space="preserve">See </w:t>
      </w:r>
      <w:r>
        <w:t xml:space="preserve">Arthur S. Goldberger, </w:t>
      </w:r>
      <w:r w:rsidRPr="000D5763">
        <w:rPr>
          <w:i/>
          <w:iCs/>
        </w:rPr>
        <w:t>The Interpretation and Estimation of Cobb-Douglas Functions</w:t>
      </w:r>
      <w:r>
        <w:t xml:space="preserve">. 36 </w:t>
      </w:r>
      <w:r w:rsidRPr="00B63AB1">
        <w:t>Econometrica</w:t>
      </w:r>
      <w:r>
        <w:rPr>
          <w:i/>
          <w:iCs/>
        </w:rPr>
        <w:t xml:space="preserve"> </w:t>
      </w:r>
      <w:r w:rsidRPr="00460FE7">
        <w:t>464</w:t>
      </w:r>
      <w:r>
        <w:t xml:space="preserve"> (1968).</w:t>
      </w:r>
    </w:p>
  </w:footnote>
  <w:footnote w:id="53">
    <w:p w:rsidR="00BD6868" w:rsidRPr="003806F4" w:rsidP="006747B8" w14:paraId="7C22B462" w14:textId="04F9F0AB">
      <w:pPr>
        <w:pStyle w:val="FootnoteText"/>
      </w:pPr>
      <w:r>
        <w:rPr>
          <w:rStyle w:val="FootnoteReference"/>
        </w:rPr>
        <w:footnoteRef/>
      </w:r>
      <w:r>
        <w:t xml:space="preserve"> </w:t>
      </w:r>
      <w:r w:rsidRPr="003806F4">
        <w:rPr>
          <w:i/>
          <w:iCs/>
        </w:rPr>
        <w:t>See</w:t>
      </w:r>
      <w:r w:rsidRPr="00410EEA">
        <w:t xml:space="preserve"> </w:t>
      </w:r>
      <w:r>
        <w:t>Wooldridge (2008) at 210.</w:t>
      </w:r>
    </w:p>
  </w:footnote>
  <w:footnote w:id="54">
    <w:p w:rsidR="00BD6868" w:rsidP="006747B8" w14:paraId="5A6F093D" w14:textId="77777777">
      <w:pPr>
        <w:pStyle w:val="FootnoteText"/>
      </w:pPr>
      <w:r>
        <w:rPr>
          <w:rStyle w:val="FootnoteReference"/>
        </w:rPr>
        <w:footnoteRef/>
      </w:r>
      <w:r>
        <w:t xml:space="preserve"> We use a bootstrap procedure to calculate the confidence intervals for the adjustment factors.  This procedure drew 1000 bootstrap replicates with replacement from the data and then re-estimated the regression model to estimate the sampling distribution from which we calculate the confidence intervals of the unknown parameters.</w:t>
      </w:r>
    </w:p>
  </w:footnote>
  <w:footnote w:id="55">
    <w:p w:rsidR="00BD6868" w:rsidP="0016531D" w14:paraId="131DCEDD" w14:textId="18CC991D">
      <w:pPr>
        <w:pStyle w:val="FootnoteText"/>
      </w:pPr>
      <w:r>
        <w:rPr>
          <w:rStyle w:val="FootnoteReference"/>
        </w:rPr>
        <w:footnoteRef/>
      </w:r>
      <w:r>
        <w:t xml:space="preserve"> </w:t>
      </w:r>
      <w:r w:rsidRPr="00C93248">
        <w:rPr>
          <w:i/>
        </w:rPr>
        <w:t xml:space="preserve">Mobility Fund Phase I Auction Scheduled for September 27, 2012, Notice </w:t>
      </w:r>
      <w:r w:rsidRPr="00072BE6">
        <w:rPr>
          <w:i/>
        </w:rPr>
        <w:t>a</w:t>
      </w:r>
      <w:r w:rsidRPr="00C93248">
        <w:rPr>
          <w:i/>
        </w:rPr>
        <w:t xml:space="preserve">nd Filing Requirements </w:t>
      </w:r>
      <w:r>
        <w:rPr>
          <w:i/>
        </w:rPr>
        <w:t>a</w:t>
      </w:r>
      <w:r w:rsidRPr="00C93248">
        <w:rPr>
          <w:i/>
        </w:rPr>
        <w:t>nd Other Procedures For Auction 901</w:t>
      </w:r>
      <w:r w:rsidRPr="00C93248">
        <w:t xml:space="preserve">, Public Notice, </w:t>
      </w:r>
      <w:r w:rsidRPr="00173E13">
        <w:rPr>
          <w:rFonts w:eastAsiaTheme="minorEastAsia"/>
        </w:rPr>
        <w:t>27 FCC Rcd 4725, 47</w:t>
      </w:r>
      <w:r>
        <w:rPr>
          <w:rFonts w:eastAsiaTheme="minorEastAsia"/>
        </w:rPr>
        <w:t>29</w:t>
      </w:r>
      <w:r w:rsidRPr="00173E13">
        <w:rPr>
          <w:rFonts w:eastAsiaTheme="minorEastAsia"/>
        </w:rPr>
        <w:t xml:space="preserve">, para. </w:t>
      </w:r>
      <w:r>
        <w:rPr>
          <w:rFonts w:eastAsiaTheme="minorEastAsia"/>
        </w:rPr>
        <w:t>8</w:t>
      </w:r>
      <w:r w:rsidRPr="00173E13">
        <w:rPr>
          <w:rFonts w:eastAsiaTheme="minorEastAsia"/>
        </w:rPr>
        <w:t xml:space="preserve"> </w:t>
      </w:r>
      <w:r>
        <w:rPr>
          <w:rFonts w:eastAsiaTheme="minorEastAsia"/>
        </w:rPr>
        <w:t xml:space="preserve">(2012) </w:t>
      </w:r>
      <w:r w:rsidRPr="00173E13">
        <w:rPr>
          <w:rFonts w:eastAsiaTheme="minorEastAsia"/>
        </w:rPr>
        <w:t>(</w:t>
      </w:r>
      <w:r>
        <w:rPr>
          <w:rFonts w:eastAsiaTheme="minorEastAsia"/>
          <w:i/>
          <w:iCs/>
        </w:rPr>
        <w:t>Auction 901</w:t>
      </w:r>
      <w:r w:rsidRPr="00173E13">
        <w:rPr>
          <w:rFonts w:eastAsiaTheme="minorEastAsia"/>
          <w:i/>
          <w:iCs/>
        </w:rPr>
        <w:t xml:space="preserve"> Procedures Public Notice</w:t>
      </w:r>
      <w:r w:rsidRPr="00173E13">
        <w:rPr>
          <w:rFonts w:eastAsiaTheme="minorEastAsia"/>
        </w:rPr>
        <w:t>).</w:t>
      </w:r>
    </w:p>
  </w:footnote>
  <w:footnote w:id="56">
    <w:p w:rsidR="00BD6868" w:rsidP="0016531D" w14:paraId="7995ABF4" w14:textId="77777777">
      <w:pPr>
        <w:pStyle w:val="FootnoteText"/>
      </w:pPr>
      <w:r>
        <w:rPr>
          <w:rStyle w:val="FootnoteReference"/>
        </w:rPr>
        <w:footnoteRef/>
      </w:r>
      <w:r>
        <w:t xml:space="preserve"> We estimate the </w:t>
      </w:r>
      <w:r w:rsidRPr="7EBF36DC">
        <w:rPr>
          <w:rFonts w:eastAsiaTheme="minorEastAsia"/>
        </w:rPr>
        <w:t xml:space="preserve">elasticity of bids </w:t>
      </w:r>
      <w:r>
        <w:rPr>
          <w:rFonts w:eastAsiaTheme="minorEastAsia"/>
        </w:rPr>
        <w:t xml:space="preserve">amount </w:t>
      </w:r>
      <w:r w:rsidRPr="7EBF36DC">
        <w:rPr>
          <w:rFonts w:eastAsiaTheme="minorEastAsia"/>
        </w:rPr>
        <w:t xml:space="preserve">to our measure of terrain roughness </w:t>
      </w:r>
      <w:r>
        <w:rPr>
          <w:rFonts w:eastAsiaTheme="minorEastAsia"/>
        </w:rPr>
        <w:t>to be</w:t>
      </w:r>
      <w:r w:rsidRPr="7EBF36DC">
        <w:rPr>
          <w:rFonts w:eastAsiaTheme="minorEastAsia"/>
        </w:rPr>
        <w:t xml:space="preserve"> </w:t>
      </w:r>
      <w:r>
        <w:rPr>
          <w:rFonts w:eastAsiaTheme="minorEastAsia"/>
        </w:rPr>
        <w:t>between 0.16-0.23.</w:t>
      </w:r>
      <w:r w:rsidRPr="00A21C52">
        <w:rPr>
          <w:rFonts w:eastAsiaTheme="minorEastAsia"/>
        </w:rPr>
        <w:t xml:space="preserve"> </w:t>
      </w:r>
      <w:r>
        <w:rPr>
          <w:rFonts w:eastAsiaTheme="minorEastAsia"/>
        </w:rPr>
        <w:t xml:space="preserve"> </w:t>
      </w:r>
      <w:r w:rsidRPr="7EBF36DC">
        <w:rPr>
          <w:rFonts w:eastAsiaTheme="minorEastAsia"/>
        </w:rPr>
        <w:t>The small sample limits our ability</w:t>
      </w:r>
      <w:r>
        <w:rPr>
          <w:rFonts w:eastAsiaTheme="minorEastAsia"/>
        </w:rPr>
        <w:t xml:space="preserve"> </w:t>
      </w:r>
      <w:r w:rsidRPr="7EBF36DC">
        <w:rPr>
          <w:rFonts w:eastAsiaTheme="minorEastAsia"/>
        </w:rPr>
        <w:t xml:space="preserve">to draw strong conclusions about </w:t>
      </w:r>
      <w:r>
        <w:rPr>
          <w:rFonts w:eastAsiaTheme="minorEastAsia"/>
        </w:rPr>
        <w:t xml:space="preserve">the impact of </w:t>
      </w:r>
      <w:r w:rsidRPr="7EBF36DC">
        <w:rPr>
          <w:rFonts w:eastAsiaTheme="minorEastAsia"/>
        </w:rPr>
        <w:t>other factors</w:t>
      </w:r>
      <w:r>
        <w:rPr>
          <w:rFonts w:eastAsiaTheme="minorEastAsia"/>
        </w:rPr>
        <w:t xml:space="preserve"> on bid amount</w:t>
      </w:r>
      <w:r w:rsidRPr="7EBF36DC">
        <w:rPr>
          <w:rFonts w:eastAsiaTheme="minorEastAsia"/>
        </w:rPr>
        <w:t>.</w:t>
      </w:r>
    </w:p>
  </w:footnote>
  <w:footnote w:id="57">
    <w:p w:rsidR="00BD6868" w:rsidRPr="008905F3" w:rsidP="0016531D" w14:paraId="7DF2AE44" w14:textId="257A37EF">
      <w:pPr>
        <w:pStyle w:val="FootnoteText"/>
      </w:pPr>
      <w:r w:rsidRPr="0035247E">
        <w:rPr>
          <w:rStyle w:val="FootnoteReference"/>
        </w:rPr>
        <w:footnoteRef/>
      </w:r>
      <w:r w:rsidRPr="0035247E">
        <w:t xml:space="preserve"> </w:t>
      </w:r>
      <w:r w:rsidRPr="008905F3">
        <w:rPr>
          <w:rFonts w:eastAsiaTheme="minorEastAsia"/>
        </w:rPr>
        <w:t xml:space="preserve">Auction 901 </w:t>
      </w:r>
      <w:r>
        <w:rPr>
          <w:rFonts w:eastAsiaTheme="minorEastAsia"/>
        </w:rPr>
        <w:t xml:space="preserve">occurred </w:t>
      </w:r>
      <w:r w:rsidRPr="008905F3">
        <w:rPr>
          <w:rFonts w:eastAsiaTheme="minorEastAsia"/>
        </w:rPr>
        <w:t xml:space="preserve">for most areas on September 27, 2012 with a budget of $300 million, and Auction 902 </w:t>
      </w:r>
      <w:r>
        <w:rPr>
          <w:rFonts w:eastAsiaTheme="minorEastAsia"/>
        </w:rPr>
        <w:t>occurred specifically for</w:t>
      </w:r>
      <w:r w:rsidRPr="008905F3">
        <w:rPr>
          <w:rFonts w:eastAsiaTheme="minorEastAsia"/>
        </w:rPr>
        <w:t xml:space="preserve"> </w:t>
      </w:r>
      <w:r>
        <w:rPr>
          <w:rFonts w:eastAsiaTheme="minorEastAsia"/>
        </w:rPr>
        <w:t>T</w:t>
      </w:r>
      <w:r w:rsidRPr="008905F3">
        <w:rPr>
          <w:rFonts w:eastAsiaTheme="minorEastAsia"/>
        </w:rPr>
        <w:t xml:space="preserve">ribal </w:t>
      </w:r>
      <w:r>
        <w:rPr>
          <w:rFonts w:eastAsiaTheme="minorEastAsia"/>
        </w:rPr>
        <w:t>areas</w:t>
      </w:r>
      <w:r w:rsidRPr="008905F3">
        <w:rPr>
          <w:rFonts w:eastAsiaTheme="minorEastAsia"/>
        </w:rPr>
        <w:t xml:space="preserve"> on February 25, 2014 with a budget of $50 million. </w:t>
      </w:r>
      <w:r>
        <w:rPr>
          <w:rFonts w:eastAsiaTheme="minorEastAsia"/>
        </w:rPr>
        <w:t xml:space="preserve"> </w:t>
      </w:r>
      <w:r>
        <w:rPr>
          <w:rFonts w:eastAsiaTheme="minorEastAsia"/>
          <w:i/>
          <w:iCs/>
        </w:rPr>
        <w:t xml:space="preserve">See </w:t>
      </w:r>
      <w:r w:rsidRPr="0035247E">
        <w:rPr>
          <w:i/>
        </w:rPr>
        <w:t>Connect America Fund</w:t>
      </w:r>
      <w:r>
        <w:rPr>
          <w:i/>
        </w:rPr>
        <w:t xml:space="preserve"> et al.</w:t>
      </w:r>
      <w:r w:rsidRPr="00B1049D">
        <w:t xml:space="preserve">, </w:t>
      </w:r>
      <w:r w:rsidRPr="008905F3">
        <w:t>Report and Order and Further Notice of Proposed Rulemaking, 26 FCC Rcd 17663</w:t>
      </w:r>
      <w:r>
        <w:t>,</w:t>
      </w:r>
      <w:r w:rsidRPr="008905F3">
        <w:t xml:space="preserve"> </w:t>
      </w:r>
      <w:r>
        <w:t xml:space="preserve">17675, para. 28 (2011) </w:t>
      </w:r>
      <w:r w:rsidRPr="008905F3">
        <w:t>(</w:t>
      </w:r>
      <w:r w:rsidRPr="008905F3">
        <w:rPr>
          <w:i/>
        </w:rPr>
        <w:t>USF/ICC Transformation Order</w:t>
      </w:r>
      <w:r w:rsidRPr="008905F3">
        <w:t>)</w:t>
      </w:r>
      <w:r>
        <w:t xml:space="preserve">; </w:t>
      </w:r>
      <w:r w:rsidRPr="00BF1DEE">
        <w:rPr>
          <w:rFonts w:eastAsiaTheme="minorEastAsia"/>
          <w:i/>
          <w:iCs/>
        </w:rPr>
        <w:t>Auction 901 Procedures P</w:t>
      </w:r>
      <w:r>
        <w:rPr>
          <w:rFonts w:eastAsiaTheme="minorEastAsia"/>
          <w:i/>
          <w:iCs/>
        </w:rPr>
        <w:t>ublic Notice</w:t>
      </w:r>
      <w:r>
        <w:rPr>
          <w:rFonts w:eastAsiaTheme="minorEastAsia"/>
        </w:rPr>
        <w:t xml:space="preserve">, </w:t>
      </w:r>
      <w:r w:rsidRPr="008905F3">
        <w:t>2</w:t>
      </w:r>
      <w:r>
        <w:t>7</w:t>
      </w:r>
      <w:r w:rsidRPr="008905F3">
        <w:t xml:space="preserve"> FCC </w:t>
      </w:r>
      <w:r w:rsidRPr="00D749E3">
        <w:t xml:space="preserve">Rcd </w:t>
      </w:r>
      <w:r w:rsidRPr="00865174">
        <w:rPr>
          <w:sz w:val="19"/>
          <w:szCs w:val="19"/>
          <w:shd w:val="clear" w:color="auto" w:fill="FFFFFF"/>
        </w:rPr>
        <w:t xml:space="preserve">at </w:t>
      </w:r>
      <w:r w:rsidRPr="00D749E3">
        <w:rPr>
          <w:rFonts w:eastAsiaTheme="minorEastAsia"/>
        </w:rPr>
        <w:t>4727</w:t>
      </w:r>
      <w:r w:rsidRPr="008905F3">
        <w:t>, para. 1</w:t>
      </w:r>
      <w:r>
        <w:t xml:space="preserve">; </w:t>
      </w:r>
      <w:r w:rsidRPr="00EA169A">
        <w:rPr>
          <w:i/>
          <w:iCs/>
        </w:rPr>
        <w:t xml:space="preserve">Tribal Mobility Fund Phase I Auction Rescheduled </w:t>
      </w:r>
      <w:r>
        <w:rPr>
          <w:i/>
          <w:iCs/>
        </w:rPr>
        <w:t>f</w:t>
      </w:r>
      <w:r w:rsidRPr="00EA169A">
        <w:rPr>
          <w:i/>
          <w:iCs/>
        </w:rPr>
        <w:t xml:space="preserve">or February 25, 2014 Notice </w:t>
      </w:r>
      <w:r>
        <w:rPr>
          <w:i/>
          <w:iCs/>
        </w:rPr>
        <w:t>o</w:t>
      </w:r>
      <w:r w:rsidRPr="00EA169A">
        <w:rPr>
          <w:i/>
          <w:iCs/>
        </w:rPr>
        <w:t xml:space="preserve">f Changes </w:t>
      </w:r>
      <w:r>
        <w:rPr>
          <w:i/>
          <w:iCs/>
        </w:rPr>
        <w:t>t</w:t>
      </w:r>
      <w:r w:rsidRPr="00EA169A">
        <w:rPr>
          <w:i/>
          <w:iCs/>
        </w:rPr>
        <w:t xml:space="preserve">o Auction 902 Schedule Following Resumption </w:t>
      </w:r>
      <w:r>
        <w:rPr>
          <w:i/>
          <w:iCs/>
        </w:rPr>
        <w:t>o</w:t>
      </w:r>
      <w:r w:rsidRPr="00EA169A">
        <w:rPr>
          <w:i/>
          <w:iCs/>
        </w:rPr>
        <w:t>f Normal Commission Operations</w:t>
      </w:r>
      <w:r>
        <w:t>, Public Notice, 28 FCC Rcd 14656, 14656, para. 1 (2013)</w:t>
      </w:r>
      <w:r>
        <w:rPr>
          <w:rFonts w:eastAsiaTheme="minorEastAsia"/>
        </w:rPr>
        <w:t>.</w:t>
      </w:r>
      <w:r w:rsidRPr="008905F3">
        <w:t xml:space="preserve">  </w:t>
      </w:r>
      <w:r w:rsidRPr="00BF5C69">
        <w:rPr>
          <w:rFonts w:eastAsiaTheme="minorEastAsia"/>
        </w:rPr>
        <w:t xml:space="preserve">We do not consider </w:t>
      </w:r>
      <w:r w:rsidRPr="005413C3">
        <w:rPr>
          <w:rFonts w:eastAsiaTheme="minorEastAsia"/>
        </w:rPr>
        <w:t>A</w:t>
      </w:r>
      <w:r w:rsidRPr="00BF5C69">
        <w:rPr>
          <w:rFonts w:eastAsiaTheme="minorEastAsia"/>
        </w:rPr>
        <w:t xml:space="preserve">uction 902 because </w:t>
      </w:r>
      <w:r>
        <w:rPr>
          <w:rFonts w:eastAsiaTheme="minorEastAsia"/>
        </w:rPr>
        <w:t>T</w:t>
      </w:r>
      <w:r w:rsidRPr="005413C3">
        <w:rPr>
          <w:rFonts w:eastAsiaTheme="minorEastAsia"/>
        </w:rPr>
        <w:t xml:space="preserve">ribal entities received bidding credits for </w:t>
      </w:r>
      <w:r>
        <w:rPr>
          <w:rFonts w:eastAsiaTheme="minorEastAsia"/>
        </w:rPr>
        <w:t>T</w:t>
      </w:r>
      <w:r w:rsidRPr="005413C3">
        <w:rPr>
          <w:rFonts w:eastAsiaTheme="minorEastAsia"/>
        </w:rPr>
        <w:t>ribal areas, which would complicate the analysis</w:t>
      </w:r>
      <w:r>
        <w:rPr>
          <w:rFonts w:eastAsiaTheme="minorEastAsia"/>
        </w:rPr>
        <w:t>, and we exclude Tribal areas in Auction 901 for the same reason.</w:t>
      </w:r>
    </w:p>
  </w:footnote>
  <w:footnote w:id="58">
    <w:p w:rsidR="00BD6868" w:rsidRPr="00173E13" w:rsidP="0016531D" w14:paraId="62146601" w14:textId="77777777">
      <w:pPr>
        <w:pStyle w:val="FootnoteText"/>
        <w:rPr>
          <w:rFonts w:eastAsiaTheme="minorEastAsia"/>
        </w:rPr>
      </w:pPr>
      <w:r w:rsidRPr="00C93248">
        <w:rPr>
          <w:rStyle w:val="FootnoteReference"/>
        </w:rPr>
        <w:footnoteRef/>
      </w:r>
      <w:r w:rsidRPr="00C93248">
        <w:t xml:space="preserve"> </w:t>
      </w:r>
      <w:r>
        <w:rPr>
          <w:i/>
        </w:rPr>
        <w:t xml:space="preserve">Auction 901 Procedures </w:t>
      </w:r>
      <w:r w:rsidRPr="00173E13">
        <w:rPr>
          <w:rFonts w:eastAsiaTheme="minorEastAsia"/>
          <w:i/>
          <w:iCs/>
        </w:rPr>
        <w:t>Public Notice</w:t>
      </w:r>
      <w:r w:rsidRPr="00C93248">
        <w:t xml:space="preserve">, </w:t>
      </w:r>
      <w:r w:rsidRPr="00173E13">
        <w:rPr>
          <w:rFonts w:eastAsiaTheme="minorEastAsia"/>
        </w:rPr>
        <w:t>27 FCC Rcd</w:t>
      </w:r>
      <w:r>
        <w:rPr>
          <w:rFonts w:eastAsiaTheme="minorEastAsia"/>
        </w:rPr>
        <w:t xml:space="preserve"> at</w:t>
      </w:r>
      <w:r w:rsidRPr="00173E13">
        <w:rPr>
          <w:rFonts w:eastAsiaTheme="minorEastAsia"/>
        </w:rPr>
        <w:t xml:space="preserve"> 4761-6</w:t>
      </w:r>
      <w:r>
        <w:rPr>
          <w:rFonts w:eastAsiaTheme="minorEastAsia"/>
        </w:rPr>
        <w:t>5</w:t>
      </w:r>
      <w:r w:rsidRPr="00173E13">
        <w:rPr>
          <w:rFonts w:eastAsiaTheme="minorEastAsia"/>
        </w:rPr>
        <w:t>, paras. 131-141.</w:t>
      </w:r>
    </w:p>
  </w:footnote>
  <w:footnote w:id="59">
    <w:p w:rsidR="00BD6868" w:rsidRPr="00173E13" w:rsidP="0016531D" w14:paraId="439A2594" w14:textId="77777777">
      <w:pPr>
        <w:pStyle w:val="FootnoteText"/>
        <w:rPr>
          <w:rFonts w:eastAsiaTheme="minorEastAsia"/>
        </w:rPr>
      </w:pPr>
      <w:r w:rsidRPr="00173E13">
        <w:rPr>
          <w:rFonts w:eastAsiaTheme="minorEastAsia"/>
          <w:vertAlign w:val="superscript"/>
        </w:rPr>
        <w:footnoteRef/>
      </w:r>
      <w:r w:rsidRPr="00173E13">
        <w:rPr>
          <w:rFonts w:eastAsiaTheme="minorEastAsia"/>
        </w:rPr>
        <w:t xml:space="preserve"> Eligible areas were U.S. Census blocks that lacked 3G or better mobile coverage at the centroid of the block and contained road miles in any of six road categories.  These blocks were identified by analyzing American Roamer coverage data (now called Mosaik). </w:t>
      </w:r>
      <w:bookmarkStart w:id="15" w:name="_Hlk36653565"/>
      <w:r w:rsidRPr="00173E13">
        <w:rPr>
          <w:rFonts w:eastAsiaTheme="minorEastAsia"/>
        </w:rPr>
        <w:t xml:space="preserve"> </w:t>
      </w:r>
      <w:r w:rsidRPr="00173E13">
        <w:rPr>
          <w:rFonts w:eastAsiaTheme="minorEastAsia"/>
          <w:i/>
          <w:iCs/>
        </w:rPr>
        <w:t>USF/ICC Transformation Order</w:t>
      </w:r>
      <w:r w:rsidRPr="00173E13">
        <w:rPr>
          <w:rFonts w:eastAsiaTheme="minorEastAsia"/>
        </w:rPr>
        <w:t>, 26 FCC Rcd at 17783-84</w:t>
      </w:r>
      <w:r>
        <w:rPr>
          <w:rFonts w:eastAsiaTheme="minorEastAsia"/>
        </w:rPr>
        <w:t>,</w:t>
      </w:r>
      <w:r w:rsidRPr="00173E13">
        <w:rPr>
          <w:rFonts w:eastAsiaTheme="minorEastAsia"/>
        </w:rPr>
        <w:t xml:space="preserve"> paras. 332, 334.</w:t>
      </w:r>
      <w:bookmarkEnd w:id="15"/>
    </w:p>
  </w:footnote>
  <w:footnote w:id="60">
    <w:p w:rsidR="00BD6868" w:rsidRPr="008905F3" w:rsidP="0016531D" w14:paraId="0BA08A37" w14:textId="37F6DD8F">
      <w:pPr>
        <w:pStyle w:val="FootnoteText"/>
      </w:pPr>
      <w:r w:rsidRPr="0035247E">
        <w:rPr>
          <w:rStyle w:val="FootnoteReference"/>
        </w:rPr>
        <w:footnoteRef/>
      </w:r>
      <w:r w:rsidRPr="0035247E">
        <w:t xml:space="preserve">  </w:t>
      </w:r>
      <w:r>
        <w:t>The algorithm considered the lowest bids in an area to be tentatively winning bids.</w:t>
      </w:r>
      <w:r w:rsidRPr="0035247E">
        <w:t xml:space="preserve">  </w:t>
      </w:r>
      <w:r>
        <w:t xml:space="preserve">The algorithm then ranked the areas in ascending order by their tentatively winning bids on a per-road mile basis.  As it went through the ranking, the algorithm awarded subsidies (equal to the per-road mile bid times the road mile service requirement) if that item had not been previously assigned and the total requested subsidies did not exceed the Mobility Fund Phase I budget. </w:t>
      </w:r>
      <w:r>
        <w:rPr>
          <w:i/>
        </w:rPr>
        <w:t>Auction 901</w:t>
      </w:r>
      <w:r w:rsidRPr="008905F3">
        <w:rPr>
          <w:i/>
        </w:rPr>
        <w:t xml:space="preserve"> Procedures Public Notice</w:t>
      </w:r>
      <w:r w:rsidRPr="008905F3">
        <w:t>, 2</w:t>
      </w:r>
      <w:r>
        <w:t>7</w:t>
      </w:r>
      <w:r w:rsidRPr="008905F3">
        <w:t xml:space="preserve"> FCC Rcd </w:t>
      </w:r>
      <w:r w:rsidRPr="008905F3">
        <w:rPr>
          <w:color w:val="1D2B3E"/>
          <w:sz w:val="19"/>
          <w:szCs w:val="19"/>
          <w:shd w:val="clear" w:color="auto" w:fill="FFFFFF"/>
        </w:rPr>
        <w:t xml:space="preserve">at </w:t>
      </w:r>
      <w:r w:rsidRPr="008905F3">
        <w:t>4765-66, paras. 143-44.</w:t>
      </w:r>
    </w:p>
  </w:footnote>
  <w:footnote w:id="61">
    <w:p w:rsidR="00BD6868" w:rsidP="0016531D" w14:paraId="28E32597" w14:textId="7B6D4840">
      <w:pPr>
        <w:pStyle w:val="FootnoteText"/>
      </w:pPr>
      <w:r>
        <w:rPr>
          <w:rStyle w:val="FootnoteReference"/>
        </w:rPr>
        <w:footnoteRef/>
      </w:r>
      <w:r>
        <w:t xml:space="preserve"> Data on all Auction 901 results are available online.  </w:t>
      </w:r>
      <w:r w:rsidRPr="00865174">
        <w:rPr>
          <w:i/>
          <w:iCs/>
        </w:rPr>
        <w:t>Auction 901: Mobility Fund Phase</w:t>
      </w:r>
      <w:r>
        <w:rPr>
          <w:i/>
          <w:iCs/>
        </w:rPr>
        <w:t xml:space="preserve"> I</w:t>
      </w:r>
      <w:r>
        <w:t xml:space="preserve">, </w:t>
      </w:r>
      <w:hyperlink r:id="rId3" w:history="1">
        <w:r w:rsidRPr="00441AA4">
          <w:rPr>
            <w:rStyle w:val="Hyperlink"/>
          </w:rPr>
          <w:t>https://www.fcc.gov/auction/901</w:t>
        </w:r>
      </w:hyperlink>
      <w:r>
        <w:t xml:space="preserve"> </w:t>
      </w:r>
      <w:r w:rsidRPr="00350A3E">
        <w:t>(</w:t>
      </w:r>
      <w:r>
        <w:t>l</w:t>
      </w:r>
      <w:r w:rsidRPr="00350A3E">
        <w:t xml:space="preserve">ast visited </w:t>
      </w:r>
      <w:r>
        <w:t>May 15</w:t>
      </w:r>
      <w:r w:rsidRPr="00350A3E">
        <w:t>, 2020).</w:t>
      </w:r>
      <w:r>
        <w:t xml:space="preserve">  </w:t>
      </w:r>
      <w:r>
        <w:rPr>
          <w:rFonts w:eastAsiaTheme="minorEastAsia"/>
        </w:rPr>
        <w:t>Specifically, the sample excludes</w:t>
      </w:r>
      <w:r w:rsidRPr="7EBF36DC">
        <w:rPr>
          <w:rFonts w:eastAsiaTheme="minorEastAsia"/>
        </w:rPr>
        <w:t xml:space="preserve">:  </w:t>
      </w:r>
      <w:r>
        <w:rPr>
          <w:rFonts w:eastAsiaTheme="minorEastAsia"/>
        </w:rPr>
        <w:t>(</w:t>
      </w:r>
      <w:r w:rsidRPr="7EBF36DC">
        <w:rPr>
          <w:rFonts w:eastAsiaTheme="minorEastAsia"/>
        </w:rPr>
        <w:t xml:space="preserve">1) </w:t>
      </w:r>
      <w:r>
        <w:rPr>
          <w:rFonts w:eastAsiaTheme="minorEastAsia"/>
        </w:rPr>
        <w:t xml:space="preserve">areas in </w:t>
      </w:r>
      <w:r w:rsidRPr="7EBF36DC">
        <w:rPr>
          <w:rFonts w:eastAsiaTheme="minorEastAsia"/>
        </w:rPr>
        <w:t>Alaska since these are especially large and not tract based</w:t>
      </w:r>
      <w:r>
        <w:rPr>
          <w:rFonts w:eastAsiaTheme="minorEastAsia"/>
        </w:rPr>
        <w:t>; (</w:t>
      </w:r>
      <w:r w:rsidRPr="7EBF36DC">
        <w:rPr>
          <w:rFonts w:eastAsiaTheme="minorEastAsia"/>
        </w:rPr>
        <w:t>2)</w:t>
      </w:r>
      <w:r>
        <w:rPr>
          <w:rFonts w:eastAsiaTheme="minorEastAsia"/>
        </w:rPr>
        <w:t xml:space="preserve"> awards to T</w:t>
      </w:r>
      <w:r w:rsidRPr="7EBF36DC">
        <w:rPr>
          <w:rFonts w:eastAsiaTheme="minorEastAsia"/>
        </w:rPr>
        <w:t>ribal entities</w:t>
      </w:r>
      <w:r>
        <w:rPr>
          <w:rFonts w:eastAsiaTheme="minorEastAsia"/>
        </w:rPr>
        <w:t>, since they</w:t>
      </w:r>
      <w:r w:rsidRPr="7EBF36DC">
        <w:rPr>
          <w:rFonts w:eastAsiaTheme="minorEastAsia"/>
        </w:rPr>
        <w:t xml:space="preserve"> received bidding credits for </w:t>
      </w:r>
      <w:r>
        <w:rPr>
          <w:rFonts w:eastAsiaTheme="minorEastAsia"/>
        </w:rPr>
        <w:t>T</w:t>
      </w:r>
      <w:r w:rsidRPr="7EBF36DC">
        <w:rPr>
          <w:rFonts w:eastAsiaTheme="minorEastAsia"/>
        </w:rPr>
        <w:t xml:space="preserve">ribal </w:t>
      </w:r>
      <w:r>
        <w:rPr>
          <w:rFonts w:eastAsiaTheme="minorEastAsia"/>
        </w:rPr>
        <w:t>areas;</w:t>
      </w:r>
      <w:r w:rsidRPr="7EBF36DC">
        <w:rPr>
          <w:rFonts w:eastAsiaTheme="minorEastAsia"/>
        </w:rPr>
        <w:t xml:space="preserve"> </w:t>
      </w:r>
      <w:r>
        <w:rPr>
          <w:rFonts w:eastAsiaTheme="minorEastAsia"/>
        </w:rPr>
        <w:t>(</w:t>
      </w:r>
      <w:r w:rsidRPr="7EBF36DC">
        <w:rPr>
          <w:rFonts w:eastAsiaTheme="minorEastAsia"/>
        </w:rPr>
        <w:t xml:space="preserve">3) </w:t>
      </w:r>
      <w:r>
        <w:rPr>
          <w:rFonts w:eastAsiaTheme="minorEastAsia"/>
        </w:rPr>
        <w:t>areas in Guam and the Northern Mariana Islands</w:t>
      </w:r>
      <w:r w:rsidRPr="7EBF36DC">
        <w:rPr>
          <w:rFonts w:eastAsiaTheme="minorEastAsia"/>
        </w:rPr>
        <w:t xml:space="preserve"> </w:t>
      </w:r>
      <w:r>
        <w:rPr>
          <w:rFonts w:eastAsiaTheme="minorEastAsia"/>
        </w:rPr>
        <w:t>because</w:t>
      </w:r>
      <w:r w:rsidRPr="7EBF36DC">
        <w:rPr>
          <w:rFonts w:eastAsiaTheme="minorEastAsia"/>
        </w:rPr>
        <w:t xml:space="preserve"> we do not have terrain data there; </w:t>
      </w:r>
      <w:r>
        <w:rPr>
          <w:rFonts w:eastAsiaTheme="minorEastAsia"/>
        </w:rPr>
        <w:t>(</w:t>
      </w:r>
      <w:r w:rsidRPr="7EBF36DC">
        <w:rPr>
          <w:rFonts w:eastAsiaTheme="minorEastAsia"/>
        </w:rPr>
        <w:t xml:space="preserve">4) </w:t>
      </w:r>
      <w:r>
        <w:rPr>
          <w:rFonts w:eastAsiaTheme="minorEastAsia"/>
        </w:rPr>
        <w:t>one very small area, T37171930102,</w:t>
      </w:r>
      <w:r w:rsidRPr="7EBF36DC">
        <w:rPr>
          <w:rFonts w:eastAsiaTheme="minorEastAsia"/>
        </w:rPr>
        <w:t xml:space="preserve"> </w:t>
      </w:r>
      <w:r>
        <w:rPr>
          <w:rFonts w:eastAsiaTheme="minorEastAsia"/>
        </w:rPr>
        <w:t>for which it is difficult to calculate terrain roughness</w:t>
      </w:r>
      <w:r w:rsidRPr="7EBF36DC">
        <w:rPr>
          <w:rFonts w:eastAsiaTheme="minorEastAsia"/>
        </w:rPr>
        <w:t xml:space="preserve">; and </w:t>
      </w:r>
      <w:r>
        <w:rPr>
          <w:rFonts w:eastAsiaTheme="minorEastAsia"/>
        </w:rPr>
        <w:t>(</w:t>
      </w:r>
      <w:r w:rsidRPr="7EBF36DC">
        <w:rPr>
          <w:rFonts w:eastAsiaTheme="minorEastAsia"/>
        </w:rPr>
        <w:t xml:space="preserve">5) </w:t>
      </w:r>
      <w:r>
        <w:rPr>
          <w:rFonts w:eastAsiaTheme="minorEastAsia"/>
        </w:rPr>
        <w:t xml:space="preserve">area </w:t>
      </w:r>
      <w:r w:rsidRPr="7EBF36DC">
        <w:rPr>
          <w:rFonts w:eastAsiaTheme="minorEastAsia"/>
        </w:rPr>
        <w:t xml:space="preserve">T37171930101 </w:t>
      </w:r>
      <w:r>
        <w:rPr>
          <w:rFonts w:eastAsiaTheme="minorEastAsia"/>
        </w:rPr>
        <w:t>in North Carolina because</w:t>
      </w:r>
      <w:r w:rsidRPr="7EBF36DC">
        <w:rPr>
          <w:rFonts w:eastAsiaTheme="minorEastAsia"/>
        </w:rPr>
        <w:t xml:space="preserve"> </w:t>
      </w:r>
      <w:r>
        <w:rPr>
          <w:rFonts w:eastAsiaTheme="minorEastAsia"/>
        </w:rPr>
        <w:t>it</w:t>
      </w:r>
      <w:r w:rsidRPr="7EBF36DC">
        <w:rPr>
          <w:rFonts w:eastAsiaTheme="minorEastAsia"/>
        </w:rPr>
        <w:t xml:space="preserve"> is made up of 3 disjoint and small parts</w:t>
      </w:r>
      <w:r>
        <w:rPr>
          <w:rFonts w:eastAsiaTheme="minorEastAsia"/>
        </w:rPr>
        <w:t xml:space="preserve">. </w:t>
      </w:r>
      <w:r>
        <w:rPr>
          <w:i/>
        </w:rPr>
        <w:t xml:space="preserve"> Auction 901 Procedures Public Notice, </w:t>
      </w:r>
      <w:r w:rsidRPr="00294B5E">
        <w:rPr>
          <w:iCs/>
        </w:rPr>
        <w:t>27 FCC Rcd</w:t>
      </w:r>
      <w:r w:rsidRPr="008905F3">
        <w:rPr>
          <w:color w:val="1D2B3E"/>
          <w:sz w:val="19"/>
          <w:szCs w:val="19"/>
          <w:shd w:val="clear" w:color="auto" w:fill="FFFFFF"/>
        </w:rPr>
        <w:t xml:space="preserve"> at </w:t>
      </w:r>
      <w:r w:rsidRPr="008905F3">
        <w:t>476</w:t>
      </w:r>
      <w:r>
        <w:t>3</w:t>
      </w:r>
      <w:r w:rsidRPr="008905F3">
        <w:t>-6</w:t>
      </w:r>
      <w:r>
        <w:t>4</w:t>
      </w:r>
      <w:r w:rsidRPr="008905F3">
        <w:t>, paras. 1</w:t>
      </w:r>
      <w:r>
        <w:t>38</w:t>
      </w:r>
      <w:r w:rsidRPr="008905F3">
        <w:t>-4</w:t>
      </w:r>
      <w:r>
        <w:t>0.</w:t>
      </w:r>
    </w:p>
  </w:footnote>
  <w:footnote w:id="62">
    <w:p w:rsidR="00BD6868" w:rsidRPr="00F575EE" w:rsidP="0016531D" w14:paraId="2D25E1E1" w14:textId="5D4F67F5">
      <w:pPr>
        <w:pStyle w:val="FootnoteText"/>
      </w:pPr>
      <w:r>
        <w:rPr>
          <w:rStyle w:val="FootnoteReference"/>
        </w:rPr>
        <w:footnoteRef/>
      </w:r>
      <w:r>
        <w:t xml:space="preserve"> </w:t>
      </w:r>
      <w:r w:rsidRPr="00F575EE">
        <w:t>The direction of the bias on estimated coefficients is only known under special circumstances.</w:t>
      </w:r>
      <w:r>
        <w:t xml:space="preserve">  </w:t>
      </w:r>
      <w:r w:rsidRPr="00F575EE">
        <w:rPr>
          <w:i/>
        </w:rPr>
        <w:t xml:space="preserve">See </w:t>
      </w:r>
      <w:r>
        <w:rPr>
          <w:iCs/>
        </w:rPr>
        <w:t xml:space="preserve">Arthur S. </w:t>
      </w:r>
      <w:r w:rsidRPr="00F575EE">
        <w:rPr>
          <w:color w:val="222222"/>
          <w:shd w:val="clear" w:color="auto" w:fill="FFFFFF"/>
        </w:rPr>
        <w:t xml:space="preserve">Goldberger, </w:t>
      </w:r>
      <w:r w:rsidRPr="00371778">
        <w:rPr>
          <w:i/>
          <w:iCs/>
          <w:color w:val="222222"/>
          <w:shd w:val="clear" w:color="auto" w:fill="FFFFFF"/>
        </w:rPr>
        <w:t>Linear regression after selection</w:t>
      </w:r>
      <w:r>
        <w:rPr>
          <w:color w:val="222222"/>
          <w:shd w:val="clear" w:color="auto" w:fill="FFFFFF"/>
        </w:rPr>
        <w:t>, 15 J. Econometrics</w:t>
      </w:r>
      <w:r w:rsidRPr="00F575EE">
        <w:rPr>
          <w:color w:val="222222"/>
          <w:shd w:val="clear" w:color="auto" w:fill="FFFFFF"/>
        </w:rPr>
        <w:t xml:space="preserve"> 357</w:t>
      </w:r>
      <w:r>
        <w:rPr>
          <w:color w:val="222222"/>
          <w:shd w:val="clear" w:color="auto" w:fill="FFFFFF"/>
        </w:rPr>
        <w:t xml:space="preserve"> (1981)</w:t>
      </w:r>
      <w:r w:rsidRPr="00F575EE">
        <w:rPr>
          <w:color w:val="222222"/>
          <w:shd w:val="clear" w:color="auto" w:fill="FFFFFF"/>
        </w:rPr>
        <w:t>.</w:t>
      </w:r>
    </w:p>
  </w:footnote>
  <w:footnote w:id="63">
    <w:p w:rsidR="00BD6868" w:rsidRPr="00D42EB2" w:rsidP="0016531D" w14:paraId="21574E48" w14:textId="77777777">
      <w:pPr>
        <w:pStyle w:val="FootnoteText"/>
      </w:pPr>
      <w:r w:rsidRPr="00D42EB2">
        <w:rPr>
          <w:rStyle w:val="FootnoteReference"/>
        </w:rPr>
        <w:footnoteRef/>
      </w:r>
      <w:r w:rsidRPr="00D42EB2">
        <w:t xml:space="preserve"> </w:t>
      </w:r>
      <w:r>
        <w:rPr>
          <w:i/>
          <w:iCs/>
        </w:rPr>
        <w:t xml:space="preserve">See infra </w:t>
      </w:r>
      <w:r w:rsidRPr="001B3581">
        <w:t>Appx</w:t>
      </w:r>
      <w:r>
        <w:t>. B.IV: Data Sources and Variable Construction for information on the data sources and construction of the variables.</w:t>
      </w:r>
    </w:p>
  </w:footnote>
  <w:footnote w:id="64">
    <w:p w:rsidR="00BD6868" w:rsidP="0016531D" w14:paraId="2D62D5F5" w14:textId="72D5B626">
      <w:pPr>
        <w:pStyle w:val="FootnoteText"/>
      </w:pPr>
      <w:r>
        <w:rPr>
          <w:rStyle w:val="FootnoteReference"/>
        </w:rPr>
        <w:footnoteRef/>
      </w:r>
      <w:r>
        <w:t xml:space="preserve"> </w:t>
      </w:r>
      <w:r>
        <w:rPr>
          <w:i/>
          <w:iCs/>
        </w:rPr>
        <w:t>Id.</w:t>
      </w:r>
    </w:p>
  </w:footnote>
  <w:footnote w:id="65">
    <w:p w:rsidR="00BD6868" w:rsidRPr="008905F3" w:rsidP="0016531D" w14:paraId="43B6DB84" w14:textId="77777777">
      <w:pPr>
        <w:pStyle w:val="FootnoteText"/>
      </w:pPr>
      <w:r w:rsidRPr="0035247E">
        <w:rPr>
          <w:rStyle w:val="FootnoteReference"/>
        </w:rPr>
        <w:footnoteRef/>
      </w:r>
      <w:r w:rsidRPr="0035247E">
        <w:t xml:space="preserve"> </w:t>
      </w:r>
      <w:r w:rsidRPr="0037153C">
        <w:rPr>
          <w:i/>
          <w:iCs/>
        </w:rPr>
        <w:t>Id</w:t>
      </w:r>
      <w:r>
        <w:t>.</w:t>
      </w:r>
    </w:p>
  </w:footnote>
  <w:footnote w:id="66">
    <w:p w:rsidR="00BD6868" w:rsidRPr="008905F3" w:rsidP="0016531D" w14:paraId="591023AE" w14:textId="77777777">
      <w:pPr>
        <w:pStyle w:val="FootnoteText"/>
      </w:pPr>
      <w:r w:rsidRPr="0035247E">
        <w:rPr>
          <w:rStyle w:val="FootnoteReference"/>
        </w:rPr>
        <w:footnoteRef/>
      </w:r>
      <w:r w:rsidRPr="0035247E">
        <w:t xml:space="preserve"> </w:t>
      </w:r>
      <w:r w:rsidRPr="0037153C">
        <w:rPr>
          <w:i/>
          <w:iCs/>
        </w:rPr>
        <w:t>Id</w:t>
      </w:r>
      <w:r>
        <w:t>.</w:t>
      </w:r>
    </w:p>
  </w:footnote>
  <w:footnote w:id="67">
    <w:p w:rsidR="00BD6868" w:rsidP="0016531D" w14:paraId="5B35A40C" w14:textId="77777777">
      <w:pPr>
        <w:pStyle w:val="FootnoteText"/>
      </w:pPr>
      <w:r>
        <w:rPr>
          <w:rStyle w:val="FootnoteReference"/>
        </w:rPr>
        <w:footnoteRef/>
      </w:r>
      <w:r>
        <w:t xml:space="preserve"> </w:t>
      </w:r>
      <w:r w:rsidRPr="0037153C">
        <w:rPr>
          <w:i/>
          <w:iCs/>
        </w:rPr>
        <w:t>Id</w:t>
      </w:r>
      <w:r>
        <w:t>.</w:t>
      </w:r>
    </w:p>
  </w:footnote>
  <w:footnote w:id="68">
    <w:p w:rsidR="00BD6868" w:rsidP="0016531D" w14:paraId="33E35865" w14:textId="77777777">
      <w:pPr>
        <w:pStyle w:val="FootnoteText"/>
      </w:pPr>
      <w:r>
        <w:rPr>
          <w:rStyle w:val="FootnoteReference"/>
        </w:rPr>
        <w:footnoteRef/>
      </w:r>
      <w:r w:rsidRPr="0037153C">
        <w:rPr>
          <w:i/>
          <w:iCs/>
        </w:rPr>
        <w:t xml:space="preserve"> Id</w:t>
      </w:r>
      <w:r>
        <w:t>.</w:t>
      </w:r>
    </w:p>
  </w:footnote>
  <w:footnote w:id="69">
    <w:p w:rsidR="00BD6868" w:rsidRPr="008905F3" w:rsidP="0016531D" w14:paraId="33C2F415" w14:textId="77777777">
      <w:pPr>
        <w:pStyle w:val="FootnoteText"/>
      </w:pPr>
      <w:r w:rsidRPr="0035247E">
        <w:rPr>
          <w:rStyle w:val="FootnoteReference"/>
        </w:rPr>
        <w:footnoteRef/>
      </w:r>
      <w:r w:rsidRPr="0035247E">
        <w:t xml:space="preserve"> Log count of </w:t>
      </w:r>
      <w:r>
        <w:t>carrier</w:t>
      </w:r>
      <w:r w:rsidRPr="0035247E">
        <w:t>s was calculated as a log of the weighted average count, not the weighted average of l</w:t>
      </w:r>
      <w:r w:rsidRPr="008905F3">
        <w:t>ogs.</w:t>
      </w:r>
    </w:p>
  </w:footnote>
  <w:footnote w:id="70">
    <w:p w:rsidR="00BD6868" w:rsidP="0016531D" w14:paraId="591A97DA" w14:textId="149E931D">
      <w:pPr>
        <w:pStyle w:val="FootnoteText"/>
      </w:pPr>
      <w:r>
        <w:rPr>
          <w:rStyle w:val="FootnoteReference"/>
        </w:rPr>
        <w:footnoteRef/>
      </w:r>
      <w:r>
        <w:t xml:space="preserve"> </w:t>
      </w:r>
      <w:r w:rsidRPr="00FA1F08">
        <w:t xml:space="preserve">These </w:t>
      </w:r>
      <w:r>
        <w:t>categories</w:t>
      </w:r>
      <w:r w:rsidRPr="00FA1F08">
        <w:t xml:space="preserve"> are consistent with the earlier categories </w:t>
      </w:r>
      <w:r>
        <w:t>used in</w:t>
      </w:r>
      <w:r w:rsidRPr="00FA1F08">
        <w:t xml:space="preserve"> the Entry Model and the </w:t>
      </w:r>
      <w:r>
        <w:t>Cell Site Density</w:t>
      </w:r>
      <w:r w:rsidRPr="00FA1F08">
        <w:t xml:space="preserve"> Model.</w:t>
      </w:r>
      <w:r>
        <w:t xml:space="preserve">  </w:t>
      </w:r>
      <w:r w:rsidRPr="00975977">
        <w:rPr>
          <w:i/>
          <w:iCs/>
        </w:rPr>
        <w:t>See supra</w:t>
      </w:r>
      <w:r>
        <w:t xml:space="preserve"> Appx. B.I: Entry Model Adjustment Factor and App. B II: Cell Site Density Model Adjustment Factor.</w:t>
      </w:r>
    </w:p>
  </w:footnote>
  <w:footnote w:id="71">
    <w:p w:rsidR="00BD6868" w:rsidP="0016531D" w14:paraId="6C40784F" w14:textId="77777777">
      <w:pPr>
        <w:pStyle w:val="FootnoteText"/>
      </w:pPr>
      <w:r>
        <w:rPr>
          <w:rStyle w:val="FootnoteReference"/>
        </w:rPr>
        <w:footnoteRef/>
      </w:r>
      <w:r w:rsidRPr="0035247E">
        <w:t xml:space="preserve"> </w:t>
      </w:r>
      <w:r>
        <w:t xml:space="preserve">If T is the terrain roughness in the comparison category, and </w:t>
      </w:r>
      <m:oMath>
        <m:r>
          <w:rPr>
            <w:rFonts w:ascii="Cambria Math" w:hAnsi="Cambria Math"/>
          </w:rPr>
          <m:t>α</m:t>
        </m:r>
      </m:oMath>
      <w:r>
        <w:t xml:space="preserve"> is the coefficient on the natural logarithm of terrain roughness, then the adjustment factor for this category is the expectation of the ratio between what a given bid would be if we changed the terrain roughness to </w:t>
      </w:r>
      <m:oMath>
        <m:r>
          <w:rPr>
            <w:rFonts w:ascii="Cambria Math" w:hAnsi="Cambria Math"/>
          </w:rPr>
          <m:t>T</m:t>
        </m:r>
      </m:oMath>
      <w:r>
        <w:t xml:space="preserve"> meters over that bid if we changed the terrain roughness to 10 meters: </w:t>
      </w:r>
      <m:oMath>
        <m:r>
          <w:rPr>
            <w:rFonts w:ascii="Cambria Math" w:hAnsi="Cambria Math"/>
          </w:rPr>
          <m:t>E</m:t>
        </m:r>
        <m:d>
          <m:dPr>
            <m:begChr m:val="["/>
            <m:endChr m:val="]"/>
            <m:ctrlPr>
              <w:rPr>
                <w:rFonts w:ascii="Cambria Math" w:hAnsi="Cambria Math"/>
                <w:i/>
              </w:rPr>
            </m:ctrlPr>
          </m:dPr>
          <m:e>
            <m:f>
              <m:fPr>
                <m:ctrlPr>
                  <w:rPr>
                    <w:rFonts w:ascii="Cambria Math" w:hAnsi="Cambria Math"/>
                    <w:i/>
                  </w:rPr>
                </m:ctrlPr>
              </m:fPr>
              <m:num>
                <m:r>
                  <w:rPr>
                    <w:rFonts w:ascii="Cambria Math" w:hAnsi="Cambria Math"/>
                  </w:rPr>
                  <m:t>Bi</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 xml:space="preserve"> at T m</m:t>
                </m:r>
              </m:num>
              <m:den>
                <m:r>
                  <w:rPr>
                    <w:rFonts w:ascii="Cambria Math" w:hAnsi="Cambria Math"/>
                  </w:rPr>
                  <m:t>Bi</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 xml:space="preserve"> at 10 m</m:t>
                </m:r>
              </m:den>
            </m:f>
          </m:e>
        </m:d>
        <m:r>
          <w:rPr>
            <w:rFonts w:ascii="Cambria Math" w:hAnsi="Cambria Math"/>
          </w:rPr>
          <m:t>=E</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α</m:t>
                    </m:r>
                  </m:sup>
                </m:sSup>
                <m:r>
                  <w:rPr>
                    <w:rFonts w:ascii="Cambria Math" w:hAnsi="Cambria Math"/>
                  </w:rPr>
                  <m:t xml:space="preserve">  exp</m:t>
                </m:r>
                <m:d>
                  <m:dPr>
                    <m:ctrlPr>
                      <w:rPr>
                        <w:rFonts w:ascii="Cambria Math" w:hAnsi="Cambria Math"/>
                        <w:i/>
                      </w:rPr>
                    </m:ctrlPr>
                  </m:dPr>
                  <m:e>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-α</m:t>
                    </m:r>
                    <m:func>
                      <m:funcPr>
                        <m:ctrlPr>
                          <w:rPr>
                            <w:rFonts w:ascii="Cambria Math" w:hAnsi="Cambria Math"/>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T</m:t>
                            </m:r>
                          </m:e>
                          <m:sub>
                            <m:r>
                              <w:rPr>
                                <w:rFonts w:ascii="Cambria Math" w:hAnsi="Cambria Math"/>
                              </w:rPr>
                              <m:t>ij</m:t>
                            </m:r>
                          </m:sub>
                        </m:sSub>
                      </m:e>
                    </m:func>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ij</m:t>
                        </m:r>
                      </m:sub>
                    </m:sSub>
                  </m:e>
                </m:d>
                <m:r>
                  <w:rPr>
                    <w:rFonts w:ascii="Cambria Math" w:hAnsi="Cambria Math"/>
                  </w:rPr>
                  <m:t xml:space="preserve"> </m:t>
                </m:r>
              </m:num>
              <m:den>
                <m:sSup>
                  <m:sSupPr>
                    <m:ctrlPr>
                      <w:rPr>
                        <w:rFonts w:ascii="Cambria Math" w:hAnsi="Cambria Math"/>
                        <w:i/>
                      </w:rPr>
                    </m:ctrlPr>
                  </m:sSupPr>
                  <m:e>
                    <m:r>
                      <w:rPr>
                        <w:rFonts w:ascii="Cambria Math" w:hAnsi="Cambria Math"/>
                      </w:rPr>
                      <m:t>10</m:t>
                    </m:r>
                  </m:e>
                  <m:sup>
                    <m:r>
                      <w:rPr>
                        <w:rFonts w:ascii="Cambria Math" w:hAnsi="Cambria Math"/>
                      </w:rPr>
                      <m:t>α</m:t>
                    </m:r>
                  </m:sup>
                </m:sSup>
                <m:r>
                  <w:rPr>
                    <w:rFonts w:ascii="Cambria Math" w:hAnsi="Cambria Math"/>
                  </w:rPr>
                  <m:t xml:space="preserve">  exp</m:t>
                </m:r>
                <m:d>
                  <m:dPr>
                    <m:ctrlPr>
                      <w:rPr>
                        <w:rFonts w:ascii="Cambria Math" w:hAnsi="Cambria Math"/>
                        <w:i/>
                      </w:rPr>
                    </m:ctrlPr>
                  </m:dPr>
                  <m:e>
                    <m:r>
                      <w:rPr>
                        <w:rFonts w:ascii="Cambria Math" w:hAnsi="Cambria Math"/>
                      </w:rPr>
                      <m:t>β</m:t>
                    </m:r>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-α</m:t>
                    </m:r>
                    <m:sSub>
                      <m:sSubPr>
                        <m:ctrlPr>
                          <w:rPr>
                            <w:rFonts w:ascii="Cambria Math" w:hAnsi="Cambria Math"/>
                            <w:i/>
                          </w:rPr>
                        </m:ctrlPr>
                      </m:sSubPr>
                      <m:e>
                        <m:func>
                          <m:funcPr>
                            <m:ctrlPr>
                              <w:rPr>
                                <w:rFonts w:ascii="Cambria Math" w:hAnsi="Cambria Math"/>
                              </w:rPr>
                            </m:ctrlPr>
                          </m:funcPr>
                          <m:fName>
                            <m:r>
                              <m:rPr>
                                <m:sty m:val="p"/>
                              </m:rPr>
                              <w:rPr>
                                <w:rFonts w:ascii="Cambria Math" w:hAnsi="Cambria Math"/>
                              </w:rPr>
                              <m:t>ln</m:t>
                            </m:r>
                          </m:fName>
                          <m:e>
                            <m:r>
                              <w:rPr>
                                <w:rFonts w:ascii="Cambria Math" w:hAnsi="Cambria Math"/>
                              </w:rPr>
                              <m:t>(T</m:t>
                            </m:r>
                          </m:e>
                        </m:func>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ij</m:t>
                        </m:r>
                      </m:sub>
                    </m:sSub>
                  </m:e>
                </m:d>
              </m:den>
            </m:f>
          </m:e>
        </m:d>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10</m:t>
                    </m:r>
                  </m:den>
                </m:f>
              </m:e>
            </m:d>
          </m:e>
          <m:sup>
            <m:r>
              <w:rPr>
                <w:rFonts w:ascii="Cambria Math" w:hAnsi="Cambria Math"/>
              </w:rPr>
              <m:t>α</m:t>
            </m:r>
          </m:sup>
        </m:sSup>
      </m:oMath>
      <w:r>
        <w:t>.</w:t>
      </w:r>
    </w:p>
  </w:footnote>
  <w:footnote w:id="72">
    <w:p w:rsidR="00BD6868" w:rsidRPr="00350A3E" w:rsidP="001B10CF" w14:paraId="466DF96B" w14:textId="153F1135">
      <w:pPr>
        <w:spacing w:after="120"/>
      </w:pPr>
      <w:r w:rsidRPr="00350A3E">
        <w:rPr>
          <w:rStyle w:val="FootnoteReference"/>
        </w:rPr>
        <w:footnoteRef/>
      </w:r>
      <w:r w:rsidRPr="00350A3E">
        <w:rPr>
          <w:sz w:val="20"/>
        </w:rPr>
        <w:t xml:space="preserve"> </w:t>
      </w:r>
      <w:r w:rsidRPr="00733BD8">
        <w:rPr>
          <w:i/>
          <w:iCs/>
          <w:sz w:val="20"/>
        </w:rPr>
        <w:t>Auction 901: Mobility Fund Phase II</w:t>
      </w:r>
      <w:r>
        <w:rPr>
          <w:sz w:val="20"/>
        </w:rPr>
        <w:t xml:space="preserve">, </w:t>
      </w:r>
      <w:hyperlink r:id="rId3" w:history="1">
        <w:r w:rsidRPr="00441AA4">
          <w:rPr>
            <w:rStyle w:val="Hyperlink"/>
            <w:sz w:val="20"/>
          </w:rPr>
          <w:t>https://www.fcc.gov/auction/901</w:t>
        </w:r>
      </w:hyperlink>
      <w:r>
        <w:rPr>
          <w:sz w:val="20"/>
        </w:rPr>
        <w:t xml:space="preserve"> </w:t>
      </w:r>
      <w:r w:rsidRPr="00350A3E">
        <w:rPr>
          <w:sz w:val="20"/>
        </w:rPr>
        <w:t>(</w:t>
      </w:r>
      <w:r>
        <w:rPr>
          <w:sz w:val="20"/>
        </w:rPr>
        <w:t>last visited May 15, 2020</w:t>
      </w:r>
      <w:r w:rsidRPr="00350A3E">
        <w:rPr>
          <w:sz w:val="20"/>
        </w:rPr>
        <w:t>).</w:t>
      </w:r>
    </w:p>
  </w:footnote>
  <w:footnote w:id="73">
    <w:p w:rsidR="00BD6868" w:rsidRPr="00932E1C" w:rsidP="001B10CF" w14:paraId="04064E33" w14:textId="77777777">
      <w:pPr>
        <w:pStyle w:val="FootnoteText"/>
      </w:pPr>
      <w:r w:rsidRPr="00932E1C">
        <w:rPr>
          <w:rStyle w:val="FootnoteReference"/>
        </w:rPr>
        <w:footnoteRef/>
      </w:r>
      <w:r w:rsidRPr="00932E1C">
        <w:t xml:space="preserve"> </w:t>
      </w:r>
      <w:bookmarkStart w:id="16" w:name="_Hlk37239147"/>
      <w:r w:rsidRPr="00932E1C">
        <w:t>1,</w:t>
      </w:r>
      <w:r>
        <w:t>410</w:t>
      </w:r>
      <w:r w:rsidRPr="00932E1C">
        <w:t xml:space="preserve"> observations have positive coverage but zero </w:t>
      </w:r>
      <w:r>
        <w:t>cell site</w:t>
      </w:r>
      <w:r w:rsidRPr="00932E1C">
        <w:t xml:space="preserve">s which suggests that </w:t>
      </w:r>
      <w:r>
        <w:t>cell site</w:t>
      </w:r>
      <w:r w:rsidRPr="00932E1C">
        <w:t xml:space="preserve">s outside the county are covering areas in the county or that we are missing </w:t>
      </w:r>
      <w:r>
        <w:t>cell site</w:t>
      </w:r>
      <w:r w:rsidRPr="00932E1C">
        <w:t>s in that particular county.</w:t>
      </w:r>
      <w:r>
        <w:t xml:space="preserve">  Three</w:t>
      </w:r>
      <w:r w:rsidRPr="00932E1C">
        <w:t xml:space="preserve"> observations have zero coverage and a positive number of </w:t>
      </w:r>
      <w:r>
        <w:t>cell site</w:t>
      </w:r>
      <w:r w:rsidRPr="00932E1C">
        <w:t xml:space="preserve">s which suggests that these </w:t>
      </w:r>
      <w:r>
        <w:t>cell site</w:t>
      </w:r>
      <w:r w:rsidRPr="00932E1C">
        <w:t xml:space="preserve">s may not be in service or that they have been assigned to the wrong county. </w:t>
      </w:r>
      <w:r>
        <w:t xml:space="preserve"> </w:t>
      </w:r>
      <w:r w:rsidRPr="00932E1C">
        <w:t>1,</w:t>
      </w:r>
      <w:r>
        <w:t>183</w:t>
      </w:r>
      <w:r w:rsidRPr="00932E1C">
        <w:t xml:space="preserve"> observations have zero coverage and zero </w:t>
      </w:r>
      <w:r>
        <w:t>cell site</w:t>
      </w:r>
      <w:r w:rsidRPr="00932E1C">
        <w:t xml:space="preserve">s. </w:t>
      </w:r>
      <w:bookmarkEnd w:id="16"/>
    </w:p>
  </w:footnote>
  <w:footnote w:id="74">
    <w:p w:rsidR="00BD6868" w:rsidRPr="00932E1C" w:rsidP="001B10CF" w14:paraId="00F2A338" w14:textId="77777777">
      <w:pPr>
        <w:pStyle w:val="FootnoteText"/>
      </w:pPr>
      <w:r w:rsidRPr="00932E1C">
        <w:rPr>
          <w:rStyle w:val="FootnoteReference"/>
        </w:rPr>
        <w:footnoteRef/>
      </w:r>
      <w:r w:rsidRPr="00932E1C">
        <w:t xml:space="preserve"> We consider any technology because the BDS data</w:t>
      </w:r>
      <w:r>
        <w:t>set</w:t>
      </w:r>
      <w:r w:rsidRPr="00932E1C">
        <w:t xml:space="preserve"> do</w:t>
      </w:r>
      <w:r>
        <w:t>es</w:t>
      </w:r>
      <w:r w:rsidRPr="00932E1C">
        <w:t xml:space="preserve"> not include the technologies deployed on each </w:t>
      </w:r>
      <w:r>
        <w:t>cell site</w:t>
      </w:r>
      <w:r w:rsidRPr="00932E1C">
        <w:t xml:space="preserve">. </w:t>
      </w:r>
    </w:p>
  </w:footnote>
  <w:footnote w:id="75">
    <w:p w:rsidR="00BD6868" w:rsidRPr="000A3145" w:rsidP="001B10CF" w14:paraId="776C40A8" w14:textId="5AA4CB4E">
      <w:pPr>
        <w:spacing w:after="120"/>
        <w:rPr>
          <w:sz w:val="20"/>
        </w:rPr>
      </w:pPr>
      <w:r w:rsidRPr="00932E1C">
        <w:rPr>
          <w:rStyle w:val="FootnoteReference"/>
        </w:rPr>
        <w:footnoteRef/>
      </w:r>
      <w:r w:rsidRPr="00932E1C">
        <w:t xml:space="preserve"> </w:t>
      </w:r>
      <w:r w:rsidRPr="000A3145">
        <w:rPr>
          <w:sz w:val="20"/>
        </w:rPr>
        <w:t>Specifically, we used the Census Geocoder at “Find Geographies Using – Address Batch” with the “</w:t>
      </w:r>
      <w:bookmarkStart w:id="17" w:name="_Hlk37241572"/>
      <w:r w:rsidRPr="000A3145">
        <w:rPr>
          <w:sz w:val="20"/>
        </w:rPr>
        <w:t>Public_AR_Census2010” Benchmark and the “Census2010_Census2010</w:t>
      </w:r>
      <w:bookmarkEnd w:id="17"/>
      <w:r w:rsidRPr="000A3145">
        <w:rPr>
          <w:sz w:val="20"/>
        </w:rPr>
        <w:t xml:space="preserve">” Vintage which reported either a match, non-match, or tie for each inputted address.  If the Geocoder produced a match, we assigned the associated county; if not, we relied on the BDS-reported coordinates to identify the county, using </w:t>
      </w:r>
      <w:r>
        <w:rPr>
          <w:sz w:val="20"/>
        </w:rPr>
        <w:t>Geographic Information System (</w:t>
      </w:r>
      <w:r w:rsidRPr="000A3145">
        <w:rPr>
          <w:sz w:val="20"/>
        </w:rPr>
        <w:t>GIS</w:t>
      </w:r>
      <w:r>
        <w:rPr>
          <w:sz w:val="20"/>
        </w:rPr>
        <w:t>)</w:t>
      </w:r>
      <w:r w:rsidRPr="000A3145">
        <w:rPr>
          <w:sz w:val="20"/>
        </w:rPr>
        <w:t xml:space="preserve"> to join the 2010 Census block group shapefile with the coordinates of each </w:t>
      </w:r>
      <w:r>
        <w:rPr>
          <w:sz w:val="20"/>
        </w:rPr>
        <w:t>cell site</w:t>
      </w:r>
      <w:r w:rsidRPr="000A3145">
        <w:rPr>
          <w:sz w:val="20"/>
        </w:rPr>
        <w:t xml:space="preserve">.  </w:t>
      </w:r>
      <w:r w:rsidRPr="00733BD8">
        <w:rPr>
          <w:i/>
          <w:iCs/>
          <w:sz w:val="20"/>
        </w:rPr>
        <w:t>Census Geocoder Documentation</w:t>
      </w:r>
      <w:r w:rsidRPr="000A3145">
        <w:rPr>
          <w:sz w:val="20"/>
        </w:rPr>
        <w:t xml:space="preserve">, </w:t>
      </w:r>
      <w:hyperlink r:id="rId4" w:history="1">
        <w:r w:rsidRPr="000A3145">
          <w:rPr>
            <w:rStyle w:val="Hyperlink"/>
            <w:sz w:val="20"/>
          </w:rPr>
          <w:t>https://www.census.gov/programs-surveys/geography/technical-documentation/complete-technical-documentation/census-geocoder.html</w:t>
        </w:r>
      </w:hyperlink>
      <w:r>
        <w:rPr>
          <w:sz w:val="20"/>
        </w:rPr>
        <w:t xml:space="preserve"> </w:t>
      </w:r>
      <w:r w:rsidRPr="000A3145">
        <w:rPr>
          <w:sz w:val="20"/>
        </w:rPr>
        <w:t>(</w:t>
      </w:r>
      <w:r>
        <w:rPr>
          <w:sz w:val="20"/>
        </w:rPr>
        <w:t>last visited May 15, 2020</w:t>
      </w:r>
      <w:r w:rsidRPr="000A3145">
        <w:rPr>
          <w:sz w:val="20"/>
        </w:rPr>
        <w:t>).</w:t>
      </w:r>
    </w:p>
  </w:footnote>
  <w:footnote w:id="76">
    <w:p w:rsidR="00BD6868" w:rsidRPr="00932E1C" w:rsidP="001B10CF" w14:paraId="0EF95868" w14:textId="2F83E8A9">
      <w:pPr>
        <w:pStyle w:val="FootnoteText"/>
      </w:pPr>
      <w:r w:rsidRPr="00932E1C">
        <w:rPr>
          <w:rStyle w:val="FootnoteReference"/>
        </w:rPr>
        <w:footnoteRef/>
      </w:r>
      <w:r w:rsidRPr="00932E1C">
        <w:t xml:space="preserve"> Unfortunately, there are some cases where the two approaches assign different counties which could be due to inaccuracies with the BDS data (i.e.</w:t>
      </w:r>
      <w:r>
        <w:t>,</w:t>
      </w:r>
      <w:r w:rsidRPr="00932E1C">
        <w:t xml:space="preserve"> the reported address does not properly correspond with the reported coordinates), assuming the incorrect coordinate system for </w:t>
      </w:r>
      <w:r>
        <w:t>associating the coordinates to Census geographies</w:t>
      </w:r>
      <w:r w:rsidRPr="00932E1C">
        <w:t xml:space="preserve">, or we are not using the proper Census Geocoder Benchmark and/or Vintage. </w:t>
      </w:r>
      <w:r>
        <w:t xml:space="preserve"> </w:t>
      </w:r>
      <w:r w:rsidRPr="00932E1C">
        <w:t xml:space="preserve">Because of these inconsistencies, we assign the county based on the geocoding and only used the result from the </w:t>
      </w:r>
      <w:r>
        <w:t>other approach</w:t>
      </w:r>
      <w:r w:rsidRPr="00932E1C">
        <w:t xml:space="preserve"> if the geocoding failed. </w:t>
      </w:r>
      <w:r>
        <w:t xml:space="preserve"> Cell site</w:t>
      </w:r>
      <w:r w:rsidRPr="00932E1C">
        <w:t>s that we could not assign to a Census geography via either approach are excluded from the analysis.</w:t>
      </w:r>
      <w:r>
        <w:t xml:space="preserve"> </w:t>
      </w:r>
      <w:r w:rsidRPr="00932E1C">
        <w:t xml:space="preserve"> This could result in an overstatement of the average coverage area per </w:t>
      </w:r>
      <w:r>
        <w:t>cell site</w:t>
      </w:r>
      <w:r w:rsidRPr="00932E1C">
        <w:t xml:space="preserve"> in counties with missing </w:t>
      </w:r>
      <w:r>
        <w:t>cell site</w:t>
      </w:r>
      <w:r w:rsidRPr="00932E1C">
        <w:t xml:space="preserve">s. </w:t>
      </w:r>
    </w:p>
  </w:footnote>
  <w:footnote w:id="77">
    <w:p w:rsidR="00BD6868" w:rsidP="001B10CF" w14:paraId="0EC1580A" w14:textId="77777777">
      <w:pPr>
        <w:pStyle w:val="FootnoteText"/>
      </w:pPr>
      <w:r>
        <w:rPr>
          <w:rStyle w:val="FootnoteReference"/>
        </w:rPr>
        <w:footnoteRef/>
      </w:r>
      <w:r>
        <w:t xml:space="preserve"> </w:t>
      </w:r>
      <w:r w:rsidRPr="002317B9">
        <w:rPr>
          <w:i/>
        </w:rPr>
        <w:t>See</w:t>
      </w:r>
      <w:r w:rsidRPr="00932E1C">
        <w:t xml:space="preserve"> </w:t>
      </w:r>
      <w:r>
        <w:rPr>
          <w:i/>
          <w:iCs/>
        </w:rPr>
        <w:t xml:space="preserve">OBI Technical Paper No. </w:t>
      </w:r>
      <w:r w:rsidRPr="001A5B25">
        <w:t>1</w:t>
      </w:r>
      <w:r>
        <w:t>, at 50.</w:t>
      </w:r>
    </w:p>
  </w:footnote>
  <w:footnote w:id="78">
    <w:p w:rsidR="00BD6868" w:rsidRPr="00932E1C" w:rsidP="001B10CF" w14:paraId="2A5B2B56" w14:textId="77777777">
      <w:pPr>
        <w:pStyle w:val="FootnoteText"/>
      </w:pPr>
      <w:r w:rsidRPr="00932E1C">
        <w:rPr>
          <w:rStyle w:val="FootnoteReference"/>
        </w:rPr>
        <w:footnoteRef/>
      </w:r>
      <w:r w:rsidRPr="00932E1C">
        <w:t xml:space="preserve"> </w:t>
      </w:r>
      <w:bookmarkStart w:id="19" w:name="_Hlk29374486"/>
      <w:bookmarkStart w:id="20" w:name="_Hlk29375855"/>
      <w:bookmarkStart w:id="21" w:name="_Hlk37242710"/>
      <w:r w:rsidRPr="00932E1C">
        <w:t xml:space="preserve">This approach is similar to the approach taken </w:t>
      </w:r>
      <w:r>
        <w:t>in</w:t>
      </w:r>
      <w:r w:rsidRPr="00932E1C">
        <w:t xml:space="preserve"> the National Broadband Plan (NBP) which calculated the standard deviation of elevation for block groups</w:t>
      </w:r>
      <w:r>
        <w:t xml:space="preserve">.  </w:t>
      </w:r>
      <w:r>
        <w:rPr>
          <w:i/>
          <w:iCs/>
        </w:rPr>
        <w:t xml:space="preserve">OBI Technical Paper No. </w:t>
      </w:r>
      <w:r w:rsidRPr="009938F4">
        <w:t>1</w:t>
      </w:r>
      <w:r>
        <w:t xml:space="preserve">, </w:t>
      </w:r>
      <w:r w:rsidRPr="001A5B25">
        <w:rPr>
          <w:rStyle w:val="Hyperlink"/>
          <w:color w:val="auto"/>
          <w:u w:val="none"/>
        </w:rPr>
        <w:t>at 50-5</w:t>
      </w:r>
      <w:r>
        <w:rPr>
          <w:rStyle w:val="Hyperlink"/>
          <w:color w:val="auto"/>
          <w:u w:val="none"/>
        </w:rPr>
        <w:t xml:space="preserve">2.  </w:t>
      </w:r>
      <w:r w:rsidRPr="00932E1C">
        <w:t>Our approach differs from the NBP approach in that we calculate standard deviation</w:t>
      </w:r>
      <w:r>
        <w:t>s</w:t>
      </w:r>
      <w:r w:rsidRPr="00932E1C">
        <w:t xml:space="preserve"> over uniform geographic areas (in particular, we use a circular neighborhood of 2.5</w:t>
      </w:r>
      <w:r>
        <w:t xml:space="preserve"> </w:t>
      </w:r>
      <w:r w:rsidRPr="00932E1C">
        <w:t xml:space="preserve">kilometers) </w:t>
      </w:r>
      <w:r>
        <w:t xml:space="preserve">in order to </w:t>
      </w:r>
      <w:r w:rsidRPr="00932E1C">
        <w:t>produce a consistent measure across areas of different geographic size</w:t>
      </w:r>
      <w:r>
        <w:t xml:space="preserve">. </w:t>
      </w:r>
      <w:r w:rsidRPr="00932E1C">
        <w:t xml:space="preserve"> </w:t>
      </w:r>
      <w:r>
        <w:t>We then calculate the</w:t>
      </w:r>
      <w:r w:rsidRPr="00932E1C">
        <w:t xml:space="preserve"> average </w:t>
      </w:r>
      <w:r>
        <w:t>standard deviations in</w:t>
      </w:r>
      <w:r w:rsidRPr="00932E1C">
        <w:t xml:space="preserve"> these areas (e.g.</w:t>
      </w:r>
      <w:r>
        <w:t>,</w:t>
      </w:r>
      <w:r w:rsidRPr="00932E1C">
        <w:t xml:space="preserve"> block groups, counties).</w:t>
      </w:r>
      <w:bookmarkEnd w:id="19"/>
      <w:bookmarkEnd w:id="20"/>
    </w:p>
    <w:bookmarkEnd w:id="21"/>
  </w:footnote>
  <w:footnote w:id="79">
    <w:p w:rsidR="00BD6868" w:rsidRPr="00932E1C" w:rsidP="001B10CF" w14:paraId="069A4276" w14:textId="6DA1CDF6">
      <w:pPr>
        <w:pStyle w:val="FootnoteText"/>
      </w:pPr>
      <w:r w:rsidRPr="00932E1C">
        <w:rPr>
          <w:rStyle w:val="FootnoteReference"/>
        </w:rPr>
        <w:footnoteRef/>
      </w:r>
      <w:r w:rsidRPr="00932E1C">
        <w:t xml:space="preserve"> </w:t>
      </w:r>
      <w:r>
        <w:t xml:space="preserve">These elevation data were derived from the National Elevation Dataset (NED) and are represented as a grid of 100-meter by 100-meter cells, called rasters, in the Albers Equal-Area Conic projection.  Each raster is associated with an elevation, allowing us to measure very fine variations in terrain.  </w:t>
      </w:r>
      <w:r w:rsidRPr="00F82AE7">
        <w:t>In these data, all large water bodies such as oceans and the Great Lakes have elevation</w:t>
      </w:r>
      <w:r>
        <w:t xml:space="preserve"> of zero meters above sea level; however, we know the Great Lakes elevations are above sea level.  </w:t>
      </w:r>
      <w:r w:rsidRPr="00733BD8">
        <w:rPr>
          <w:i/>
          <w:iCs/>
        </w:rPr>
        <w:t>USGS National Elevation Dataset</w:t>
      </w:r>
      <w:r>
        <w:t xml:space="preserve">, </w:t>
      </w:r>
      <w:hyperlink r:id="rId5" w:history="1">
        <w:r>
          <w:rPr>
            <w:rStyle w:val="Hyperlink"/>
          </w:rPr>
          <w:t>https://catalog.data.gov/dataset/usgs-national-elevation-dataset-ned</w:t>
        </w:r>
      </w:hyperlink>
      <w:r>
        <w:t xml:space="preserve"> (last visited May 15, 2020).  To minimize false variability in terrain because of the Great Lakes’ zero elevation and their shores’ relatively higher elevation, we exclude raster cells that have zero elevation.  </w:t>
      </w:r>
      <w:r w:rsidRPr="00F82AE7">
        <w:rPr>
          <w:color w:val="333333"/>
          <w:shd w:val="clear" w:color="auto" w:fill="FFFFFF"/>
        </w:rPr>
        <w:t>USGS</w:t>
      </w:r>
      <w:r>
        <w:rPr>
          <w:color w:val="333333"/>
          <w:shd w:val="clear" w:color="auto" w:fill="FFFFFF"/>
        </w:rPr>
        <w:t xml:space="preserve">, </w:t>
      </w:r>
      <w:r w:rsidRPr="00733BD8">
        <w:rPr>
          <w:i/>
          <w:iCs/>
        </w:rPr>
        <w:t>Small Scale Data</w:t>
      </w:r>
      <w:r>
        <w:t xml:space="preserve">, </w:t>
      </w:r>
      <w:hyperlink r:id="rId6" w:history="1">
        <w:r w:rsidRPr="00F82AE7">
          <w:rPr>
            <w:rStyle w:val="Hyperlink"/>
          </w:rPr>
          <w:t>https://nationalmap.gov/small_scale/mld/elev100.html</w:t>
        </w:r>
      </w:hyperlink>
      <w:r w:rsidRPr="001A5B25">
        <w:rPr>
          <w:rStyle w:val="Hyperlink"/>
          <w:color w:val="auto"/>
          <w:u w:val="none"/>
        </w:rPr>
        <w:t xml:space="preserve"> (</w:t>
      </w:r>
      <w:r>
        <w:rPr>
          <w:rStyle w:val="Hyperlink"/>
          <w:color w:val="auto"/>
          <w:u w:val="none"/>
        </w:rPr>
        <w:t>last visited May 15, 2020</w:t>
      </w:r>
      <w:r w:rsidRPr="001A5B25">
        <w:rPr>
          <w:rStyle w:val="Hyperlink"/>
          <w:color w:val="auto"/>
          <w:u w:val="none"/>
        </w:rPr>
        <w:t>)</w:t>
      </w:r>
      <w:r w:rsidRPr="00F82AE7">
        <w:t xml:space="preserve">.  </w:t>
      </w:r>
    </w:p>
  </w:footnote>
  <w:footnote w:id="80">
    <w:p w:rsidR="00BD6868" w:rsidP="001B10CF" w14:paraId="66F44F87" w14:textId="6B6E0CC9">
      <w:pPr>
        <w:pStyle w:val="FootnoteText"/>
      </w:pPr>
      <w:r>
        <w:rPr>
          <w:rStyle w:val="FootnoteReference"/>
        </w:rPr>
        <w:footnoteRef/>
      </w:r>
      <w:r>
        <w:t xml:space="preserve"> US Census Bureau, </w:t>
      </w:r>
      <w:r w:rsidRPr="00733BD8">
        <w:rPr>
          <w:i/>
          <w:iCs/>
        </w:rPr>
        <w:t>TIGER/Line Shapefiles</w:t>
      </w:r>
      <w:r>
        <w:t xml:space="preserve">, </w:t>
      </w:r>
      <w:hyperlink r:id="rId7" w:history="1">
        <w:r w:rsidRPr="009B76D7">
          <w:rPr>
            <w:rStyle w:val="Hyperlink"/>
          </w:rPr>
          <w:t>https://www.census.gov/geographies/mapping-files/time-series/geo/tiger-line-file.2010.html</w:t>
        </w:r>
      </w:hyperlink>
      <w:r>
        <w:t xml:space="preserve"> (last visited May 15, 2020).</w:t>
      </w:r>
    </w:p>
  </w:footnote>
  <w:footnote w:id="81">
    <w:p w:rsidR="00BD6868" w:rsidRPr="002317B9" w:rsidP="001B10CF" w14:paraId="459BE3C1" w14:textId="7D598074">
      <w:pPr>
        <w:pStyle w:val="FootnoteText"/>
      </w:pPr>
      <w:r w:rsidRPr="002317B9">
        <w:rPr>
          <w:rStyle w:val="FootnoteReference"/>
        </w:rPr>
        <w:footnoteRef/>
      </w:r>
      <w:r w:rsidRPr="002317B9">
        <w:t xml:space="preserve"> </w:t>
      </w:r>
      <w:r>
        <w:t xml:space="preserve">The shapefiles were created by staff based on available online data.  </w:t>
      </w:r>
      <w:r w:rsidRPr="00733BD8">
        <w:rPr>
          <w:i/>
          <w:iCs/>
        </w:rPr>
        <w:t xml:space="preserve">Auction 901: Mobility Fund Phase </w:t>
      </w:r>
      <w:r>
        <w:rPr>
          <w:i/>
          <w:iCs/>
        </w:rPr>
        <w:t>I</w:t>
      </w:r>
      <w:r>
        <w:t xml:space="preserve">, </w:t>
      </w:r>
      <w:hyperlink r:id="rId3" w:history="1">
        <w:r w:rsidRPr="00441AA4">
          <w:rPr>
            <w:rStyle w:val="Hyperlink"/>
          </w:rPr>
          <w:t>https://www.fcc.gov/auction/901</w:t>
        </w:r>
      </w:hyperlink>
      <w:r>
        <w:t xml:space="preserve"> </w:t>
      </w:r>
      <w:r w:rsidRPr="00350A3E">
        <w:t>(</w:t>
      </w:r>
      <w:r>
        <w:t>last visited May 15, 2020</w:t>
      </w:r>
      <w:r w:rsidRPr="00350A3E">
        <w:t>).</w:t>
      </w:r>
    </w:p>
  </w:footnote>
  <w:footnote w:id="82">
    <w:p w:rsidR="00BD6868" w:rsidP="001B10CF" w14:paraId="087D4AAB" w14:textId="192E87E8">
      <w:pPr>
        <w:pStyle w:val="FootnoteText"/>
      </w:pPr>
      <w:r w:rsidRPr="002317B9">
        <w:rPr>
          <w:rStyle w:val="FootnoteReference"/>
        </w:rPr>
        <w:footnoteRef/>
      </w:r>
      <w:r w:rsidRPr="002317B9">
        <w:t xml:space="preserve"> </w:t>
      </w:r>
      <w:r>
        <w:rPr>
          <w:shd w:val="clear" w:color="auto" w:fill="FFFFFF"/>
        </w:rPr>
        <w:t xml:space="preserve"> </w:t>
      </w:r>
      <w:r w:rsidRPr="00796524">
        <w:rPr>
          <w:i/>
          <w:iCs/>
        </w:rPr>
        <w:t>Auction 901 Procedure</w:t>
      </w:r>
      <w:r>
        <w:rPr>
          <w:i/>
          <w:iCs/>
        </w:rPr>
        <w:t>s Public Notice</w:t>
      </w:r>
      <w:r>
        <w:t xml:space="preserve">, </w:t>
      </w:r>
      <w:r w:rsidRPr="00173E13">
        <w:rPr>
          <w:rFonts w:eastAsiaTheme="minorEastAsia"/>
        </w:rPr>
        <w:t>27 FCC Rcd</w:t>
      </w:r>
      <w:r>
        <w:t xml:space="preserve"> at 4761-65, paras. 131-42.</w:t>
      </w:r>
    </w:p>
  </w:footnote>
  <w:footnote w:id="83">
    <w:p w:rsidR="00BD6868" w:rsidP="001B10CF" w14:paraId="49A636A5" w14:textId="77777777">
      <w:pPr>
        <w:pStyle w:val="FootnoteText"/>
      </w:pPr>
      <w:r>
        <w:rPr>
          <w:rStyle w:val="FootnoteReference"/>
        </w:rPr>
        <w:footnoteRef/>
      </w:r>
      <w:r>
        <w:t xml:space="preserve"> We used ArcGIS to recalculate the coordinate systems of the different geographic units to achieve the new projection.</w:t>
      </w:r>
    </w:p>
  </w:footnote>
  <w:footnote w:id="84">
    <w:p w:rsidR="00BD6868" w:rsidP="001B10CF" w14:paraId="088B3E72" w14:textId="73060323">
      <w:pPr>
        <w:pStyle w:val="FootnoteText"/>
      </w:pPr>
      <w:r>
        <w:rPr>
          <w:rStyle w:val="FootnoteReference"/>
        </w:rPr>
        <w:footnoteRef/>
      </w:r>
      <w:r>
        <w:t xml:space="preserve"> We chose a 2.5-kilometer radius because we wanted to measure terrain roughness over an area large enough to have some level of elevation variation but not too large to capture terrain that is irrelevant to a hypothetical cell site at the centroid of the raster.  Since the immediate terrain surrounding a cell site is most relevant for propagation, we use a 2.5-kilometer radius as a conservative approach. </w:t>
      </w:r>
      <w:bookmarkStart w:id="23" w:name="_Hlk36730201"/>
      <w:r>
        <w:t xml:space="preserve"> As robustness checks, we also considered 1-kilometer, 5-kilometer, and 10-kilometer radii in the Entry Model and Cell Site Density Model and found similar results. </w:t>
      </w:r>
      <w:bookmarkEnd w:id="23"/>
    </w:p>
  </w:footnote>
  <w:footnote w:id="85">
    <w:p w:rsidR="00BD6868" w:rsidP="001B10CF" w14:paraId="60E76178" w14:textId="73673EE4">
      <w:pPr>
        <w:pStyle w:val="FootnoteText"/>
      </w:pPr>
      <w:r>
        <w:rPr>
          <w:rStyle w:val="FootnoteReference"/>
        </w:rPr>
        <w:footnoteRef/>
      </w:r>
      <w:r>
        <w:t xml:space="preserve"> We use the “Focal Statistics Tool,” in ArcGIS to calculate this standard deviation.</w:t>
      </w:r>
      <w:r w:rsidRPr="00932E1C">
        <w:t xml:space="preserve"> </w:t>
      </w:r>
      <w:r>
        <w:t xml:space="preserve"> </w:t>
      </w:r>
      <w:r>
        <w:rPr>
          <w:i/>
          <w:iCs/>
        </w:rPr>
        <w:t>See</w:t>
      </w:r>
      <w:r>
        <w:t xml:space="preserve"> ESRI, </w:t>
      </w:r>
      <w:r w:rsidRPr="00733BD8">
        <w:rPr>
          <w:i/>
          <w:iCs/>
        </w:rPr>
        <w:t>How Focal Statistics Works</w:t>
      </w:r>
      <w:r>
        <w:t xml:space="preserve">, </w:t>
      </w:r>
      <w:hyperlink r:id="rId8" w:history="1">
        <w:r w:rsidRPr="004E162F">
          <w:rPr>
            <w:rStyle w:val="Hyperlink"/>
          </w:rPr>
          <w:t>http://desktop.arcgis.com/en/arcmap/10.3/tools/spatial-analyst-toolbox/how-focal-statistics-works.htm</w:t>
        </w:r>
      </w:hyperlink>
      <w:r>
        <w:t xml:space="preserve"> (last visited May 15, 2020).</w:t>
      </w:r>
    </w:p>
  </w:footnote>
  <w:footnote w:id="86">
    <w:p w:rsidR="00BD6868" w:rsidRPr="00932E1C" w:rsidP="001B10CF" w14:paraId="2793326E" w14:textId="158FDDBD">
      <w:pPr>
        <w:pStyle w:val="FootnoteText"/>
      </w:pPr>
      <w:r w:rsidRPr="00932E1C">
        <w:rPr>
          <w:rStyle w:val="FootnoteReference"/>
        </w:rPr>
        <w:footnoteRef/>
      </w:r>
      <w:r w:rsidRPr="00932E1C">
        <w:t xml:space="preserve"> </w:t>
      </w:r>
      <w:r>
        <w:t>We use the “Zonal Statistics Tool” in ArcGIS to calculate this average.</w:t>
      </w:r>
      <w:r w:rsidRPr="00932E1C">
        <w:t xml:space="preserve"> </w:t>
      </w:r>
      <w:r>
        <w:t xml:space="preserve"> </w:t>
      </w:r>
      <w:r>
        <w:rPr>
          <w:i/>
          <w:iCs/>
        </w:rPr>
        <w:t>See</w:t>
      </w:r>
      <w:r>
        <w:t xml:space="preserve"> ESRI, </w:t>
      </w:r>
      <w:r w:rsidRPr="007D1CB8">
        <w:rPr>
          <w:i/>
          <w:iCs/>
        </w:rPr>
        <w:t>How Zonal Statistics Works,</w:t>
      </w:r>
      <w:r>
        <w:t xml:space="preserve"> </w:t>
      </w:r>
      <w:hyperlink r:id="rId9" w:history="1">
        <w:r w:rsidRPr="004E162F">
          <w:rPr>
            <w:rStyle w:val="Hyperlink"/>
          </w:rPr>
          <w:t>http://desktop.arcgis.com/en/arcmap/10.3/tools/spatial-analyst-toolbox/h-how-zonal-statistics-works.htm</w:t>
        </w:r>
      </w:hyperlink>
      <w:r>
        <w:t xml:space="preserve"> (last visited May 15, 2020).</w:t>
      </w:r>
    </w:p>
  </w:footnote>
  <w:footnote w:id="87">
    <w:p w:rsidR="00BD6868" w:rsidP="001B10CF" w14:paraId="550266C6" w14:textId="77777777">
      <w:pPr>
        <w:pStyle w:val="FootnoteText"/>
      </w:pPr>
      <w:r>
        <w:rPr>
          <w:rStyle w:val="FootnoteReference"/>
        </w:rPr>
        <w:footnoteRef/>
      </w:r>
      <w:r>
        <w:t xml:space="preserve"> The raster-level standard deviations of elevations within a 2.5-kilometer circular neighborhood were calculated for all raster cells in an area, and then the average taken for each area.</w:t>
      </w:r>
    </w:p>
  </w:footnote>
  <w:footnote w:id="88">
    <w:p w:rsidR="00BD6868" w:rsidP="001B10CF" w14:paraId="582D9857" w14:textId="77777777">
      <w:pPr>
        <w:pStyle w:val="FootnoteText"/>
      </w:pPr>
      <w:r>
        <w:rPr>
          <w:rStyle w:val="FootnoteReference"/>
        </w:rPr>
        <w:footnoteRef/>
      </w:r>
      <w:r>
        <w:t xml:space="preserve"> We weight block groups by land area and use a Euclidean distance (L2) measure. </w:t>
      </w:r>
      <w:r w:rsidRPr="009B5798">
        <w:t xml:space="preserve">Makles, A. </w:t>
      </w:r>
      <w:r>
        <w:t xml:space="preserve"> (</w:t>
      </w:r>
      <w:r w:rsidRPr="009B5798">
        <w:t>2012</w:t>
      </w:r>
      <w:r>
        <w:t>)</w:t>
      </w:r>
      <w:r w:rsidRPr="009B5798">
        <w:t xml:space="preserve">. Stata tip 110: How to get the optimal k-means cluster solution. </w:t>
      </w:r>
      <w:r>
        <w:t xml:space="preserve"> </w:t>
      </w:r>
      <w:r w:rsidRPr="004C1BCC">
        <w:rPr>
          <w:i/>
          <w:iCs/>
        </w:rPr>
        <w:t>Stata Journal</w:t>
      </w:r>
      <w:r>
        <w:t xml:space="preserve">. </w:t>
      </w:r>
      <w:r w:rsidRPr="009B5798">
        <w:t xml:space="preserve"> 12: 347–351.</w:t>
      </w:r>
    </w:p>
  </w:footnote>
  <w:footnote w:id="89">
    <w:p w:rsidR="00BD6868" w:rsidRPr="008F6DF1" w:rsidP="001B10CF" w14:paraId="683A1659" w14:textId="0DACBD7B">
      <w:pPr>
        <w:pStyle w:val="FootnoteText"/>
      </w:pPr>
      <w:r w:rsidRPr="00932E1C">
        <w:rPr>
          <w:rStyle w:val="FootnoteReference"/>
        </w:rPr>
        <w:footnoteRef/>
      </w:r>
      <w:r w:rsidRPr="00932E1C">
        <w:t xml:space="preserve"> </w:t>
      </w:r>
      <w:r>
        <w:t>S</w:t>
      </w:r>
      <w:r w:rsidRPr="00932E1C">
        <w:t>taff create</w:t>
      </w:r>
      <w:r>
        <w:t>s</w:t>
      </w:r>
      <w:r w:rsidRPr="00932E1C">
        <w:t xml:space="preserve"> these estimates by taking annual </w:t>
      </w:r>
      <w:r>
        <w:t xml:space="preserve">Census </w:t>
      </w:r>
      <w:r w:rsidRPr="00932E1C">
        <w:t xml:space="preserve">county level estimates of population and housing units and distributing any increases or </w:t>
      </w:r>
      <w:r w:rsidRPr="008F6DF1">
        <w:t xml:space="preserve">decreases along eligible roads. </w:t>
      </w:r>
      <w:r>
        <w:t xml:space="preserve"> </w:t>
      </w:r>
      <w:r w:rsidRPr="007D1CB8">
        <w:rPr>
          <w:i/>
          <w:iCs/>
        </w:rPr>
        <w:t>Staff Block Estimates</w:t>
      </w:r>
      <w:r>
        <w:t xml:space="preserve">, </w:t>
      </w:r>
      <w:hyperlink r:id="rId10" w:history="1">
        <w:r w:rsidRPr="004E162F">
          <w:rPr>
            <w:rStyle w:val="Hyperlink"/>
          </w:rPr>
          <w:t>https://www.fcc.gov/reports-research/data/staff-block-estimates</w:t>
        </w:r>
      </w:hyperlink>
      <w:r>
        <w:rPr>
          <w:rStyle w:val="Hyperlink"/>
          <w:color w:val="auto"/>
          <w:u w:val="none"/>
        </w:rPr>
        <w:t xml:space="preserve"> (last updated Jan. 23, 2020).</w:t>
      </w:r>
    </w:p>
  </w:footnote>
  <w:footnote w:id="90">
    <w:p w:rsidR="00BD6868" w:rsidP="001B10CF" w14:paraId="17783EE2" w14:textId="3B66E80E">
      <w:pPr>
        <w:pStyle w:val="FootnoteText"/>
      </w:pPr>
      <w:r>
        <w:rPr>
          <w:rStyle w:val="FootnoteReference"/>
        </w:rPr>
        <w:footnoteRef/>
      </w:r>
      <w:r>
        <w:t xml:space="preserve"> US Census Bureau, </w:t>
      </w:r>
      <w:r w:rsidRPr="007D1CB8">
        <w:rPr>
          <w:i/>
          <w:iCs/>
        </w:rPr>
        <w:t>Explore Census Data</w:t>
      </w:r>
      <w:r>
        <w:t xml:space="preserve">, available at </w:t>
      </w:r>
      <w:hyperlink r:id="rId11" w:history="1">
        <w:r w:rsidRPr="00CF609E">
          <w:rPr>
            <w:rStyle w:val="Hyperlink"/>
          </w:rPr>
          <w:t>https://data.census.gov/cedsci/</w:t>
        </w:r>
      </w:hyperlink>
      <w:r>
        <w:t xml:space="preserve"> (last visited May 15, 2020).</w:t>
      </w:r>
    </w:p>
  </w:footnote>
  <w:footnote w:id="91">
    <w:p w:rsidR="00BD6868" w:rsidRPr="00932E1C" w:rsidP="001B10CF" w14:paraId="7B1122D0" w14:textId="5A0DE748">
      <w:pPr>
        <w:pStyle w:val="FootnoteText"/>
      </w:pPr>
      <w:r w:rsidRPr="00932E1C">
        <w:rPr>
          <w:rStyle w:val="FootnoteReference"/>
        </w:rPr>
        <w:footnoteRef/>
      </w:r>
      <w:r w:rsidRPr="00932E1C">
        <w:t xml:space="preserve"> </w:t>
      </w:r>
      <w:r>
        <w:t>US Census Bureau</w:t>
      </w:r>
      <w:r w:rsidRPr="00932E1C">
        <w:t>,</w:t>
      </w:r>
      <w:r>
        <w:t xml:space="preserve"> </w:t>
      </w:r>
      <w:r w:rsidRPr="007D1CB8">
        <w:rPr>
          <w:i/>
          <w:iCs/>
        </w:rPr>
        <w:t>TIGER/Line</w:t>
      </w:r>
      <w:r w:rsidRPr="007D1CB8">
        <w:rPr>
          <w:i/>
          <w:iCs/>
          <w:vertAlign w:val="superscript"/>
        </w:rPr>
        <w:t>®</w:t>
      </w:r>
      <w:r w:rsidRPr="007D1CB8">
        <w:rPr>
          <w:i/>
          <w:iCs/>
        </w:rPr>
        <w:t xml:space="preserve"> Shapefiles: Technical Documentation 2010</w:t>
      </w:r>
      <w:r w:rsidRPr="00932E1C">
        <w:t xml:space="preserve"> </w:t>
      </w:r>
      <w:r>
        <w:t>at</w:t>
      </w:r>
      <w:r w:rsidRPr="00932E1C">
        <w:t xml:space="preserve"> F-1</w:t>
      </w:r>
      <w:r>
        <w:t xml:space="preserve">92-3 (2012), </w:t>
      </w:r>
      <w:r>
        <w:rPr>
          <w:i/>
          <w:iCs/>
        </w:rPr>
        <w:t xml:space="preserve">available at </w:t>
      </w:r>
      <w:hyperlink r:id="rId12" w:history="1">
        <w:r w:rsidRPr="00E54FEF">
          <w:rPr>
            <w:rStyle w:val="Hyperlink"/>
          </w:rPr>
          <w:t>https://www2.census.gov/geo/pdfs/maps-data/data/tiger/tgrshp2010/TGRSHP10SF1.pdf</w:t>
        </w:r>
      </w:hyperlink>
      <w:r w:rsidRPr="00932E1C">
        <w:t xml:space="preserve">. </w:t>
      </w:r>
    </w:p>
  </w:footnote>
  <w:footnote w:id="92">
    <w:p w:rsidR="00BD6868" w:rsidRPr="00932E1C" w:rsidP="001B10CF" w14:paraId="5B71870A" w14:textId="668303C7">
      <w:pPr>
        <w:pStyle w:val="FootnoteText"/>
      </w:pPr>
      <w:r w:rsidRPr="00932E1C">
        <w:rPr>
          <w:rStyle w:val="FootnoteReference"/>
        </w:rPr>
        <w:footnoteRef/>
      </w:r>
      <w:r w:rsidRPr="00932E1C">
        <w:t xml:space="preserve"> A description of these relationship tables can be found at</w:t>
      </w:r>
      <w:r>
        <w:t xml:space="preserve"> US Census Bureau, </w:t>
      </w:r>
      <w:r w:rsidRPr="007D1CB8">
        <w:rPr>
          <w:i/>
          <w:iCs/>
        </w:rPr>
        <w:t>Description of the Relationship Tables</w:t>
      </w:r>
      <w:r>
        <w:t>,</w:t>
      </w:r>
      <w:r w:rsidRPr="00932E1C">
        <w:t xml:space="preserve"> </w:t>
      </w:r>
      <w:hyperlink r:id="rId13" w:history="1">
        <w:r w:rsidRPr="004E162F">
          <w:rPr>
            <w:rStyle w:val="Hyperlink"/>
          </w:rPr>
          <w:t>https://web.archive.org/web/20120526031804/http://www.census.gov/geo/www/tiger/rel_file_desc.pdf</w:t>
        </w:r>
      </w:hyperlink>
      <w:r>
        <w:t xml:space="preserve"> (last visited May 15, 2020).  </w:t>
      </w:r>
      <w:r w:rsidRPr="00932E1C">
        <w:t>The datasets themselves are available in the FACES and EDGES directories</w:t>
      </w:r>
      <w:r>
        <w:t>,</w:t>
      </w:r>
      <w:r w:rsidRPr="00932E1C">
        <w:t xml:space="preserve"> </w:t>
      </w:r>
      <w:r>
        <w:t xml:space="preserve">US Census Bureau, FTP, </w:t>
      </w:r>
      <w:hyperlink r:id="rId14" w:history="1">
        <w:r w:rsidRPr="00441AA4">
          <w:rPr>
            <w:rStyle w:val="Hyperlink"/>
          </w:rPr>
          <w:t>ftp://ftp2.census.gov/geo/tiger/TIGER2010/</w:t>
        </w:r>
      </w:hyperlink>
      <w:r w:rsidRPr="001A5B25">
        <w:rPr>
          <w:rStyle w:val="Hyperlink"/>
          <w:u w:val="none"/>
        </w:rPr>
        <w:t xml:space="preserve"> </w:t>
      </w:r>
      <w:r w:rsidRPr="001A5B25">
        <w:rPr>
          <w:rStyle w:val="Hyperlink"/>
          <w:color w:val="auto"/>
          <w:u w:val="none"/>
        </w:rPr>
        <w:t>(</w:t>
      </w:r>
      <w:r>
        <w:rPr>
          <w:rStyle w:val="Hyperlink"/>
          <w:color w:val="auto"/>
          <w:u w:val="none"/>
        </w:rPr>
        <w:t>last visited May 15, 2020</w:t>
      </w:r>
      <w:r w:rsidRPr="001A5B25">
        <w:rPr>
          <w:rStyle w:val="Hyperlink"/>
          <w:color w:val="auto"/>
          <w:u w:val="none"/>
        </w:rPr>
        <w:t>)</w:t>
      </w:r>
      <w:r w:rsidRPr="00D0036D">
        <w:t>.</w:t>
      </w:r>
    </w:p>
  </w:footnote>
  <w:footnote w:id="93">
    <w:p w:rsidR="00BD6868" w:rsidRPr="00932E1C" w:rsidP="001B10CF" w14:paraId="2D565FAE" w14:textId="18D757C8">
      <w:pPr>
        <w:pStyle w:val="FootnoteText"/>
      </w:pPr>
      <w:r w:rsidRPr="00932E1C">
        <w:rPr>
          <w:rStyle w:val="FootnoteReference"/>
        </w:rPr>
        <w:footnoteRef/>
      </w:r>
      <w:r w:rsidRPr="00932E1C">
        <w:t xml:space="preserve"> </w:t>
      </w:r>
      <w:r>
        <w:t>Specifically, we use Real GDP (2012 Chained Dollars) of private industries only.</w:t>
      </w:r>
      <w:r>
        <w:rPr>
          <w:i/>
          <w:iCs/>
        </w:rPr>
        <w:t xml:space="preserve">  </w:t>
      </w:r>
      <w:r>
        <w:t xml:space="preserve">Bureau of Economic Analysis, </w:t>
      </w:r>
      <w:r w:rsidRPr="007D1CB8">
        <w:rPr>
          <w:i/>
          <w:iCs/>
        </w:rPr>
        <w:t>GDP by County, Metro and Other Areas</w:t>
      </w:r>
      <w:r>
        <w:t xml:space="preserve"> </w:t>
      </w:r>
      <w:r w:rsidRPr="00932E1C">
        <w:t>(</w:t>
      </w:r>
      <w:r>
        <w:t>Dec. 12,</w:t>
      </w:r>
      <w:r w:rsidRPr="00932E1C">
        <w:t xml:space="preserve"> 2019)</w:t>
      </w:r>
      <w:r>
        <w:t xml:space="preserve">, </w:t>
      </w:r>
      <w:hyperlink r:id="rId15" w:history="1">
        <w:r w:rsidRPr="00CF609E">
          <w:rPr>
            <w:rStyle w:val="Hyperlink"/>
          </w:rPr>
          <w:t>https://www.bea.gov/data/gdp/gdp-county-metro-and-other-areas</w:t>
        </w:r>
      </w:hyperlink>
      <w:r>
        <w:t xml:space="preserve"> (last visited May 15, 2020).</w:t>
      </w:r>
    </w:p>
  </w:footnote>
  <w:footnote w:id="94">
    <w:p w:rsidR="00BD6868" w:rsidP="001B10CF" w14:paraId="65A14FE7" w14:textId="477F9E9A">
      <w:pPr>
        <w:pStyle w:val="FootnoteText"/>
      </w:pPr>
      <w:r>
        <w:rPr>
          <w:rStyle w:val="FootnoteReference"/>
        </w:rPr>
        <w:footnoteRef/>
      </w:r>
      <w:r>
        <w:t xml:space="preserve"> For some counties, however, BEA combines several counties or other jurisdictions for its estimates (e.g., Fairfax County, VA; Fairfax City, VA; and Falls Church, VA are a single BEA county</w:t>
      </w:r>
      <w:r w:rsidRPr="00C4322D">
        <w:t xml:space="preserve">). </w:t>
      </w:r>
      <w:r>
        <w:t xml:space="preserve"> </w:t>
      </w:r>
      <w:hyperlink r:id="rId16" w:history="1">
        <w:r>
          <w:rPr>
            <w:rStyle w:val="Hyperlink"/>
          </w:rPr>
          <w:t>https://apps.bea.gov/regional/pdf/FIPSModifications.pdf</w:t>
        </w:r>
      </w:hyperlink>
      <w:r>
        <w:t xml:space="preserve">.  </w:t>
      </w:r>
      <w:r w:rsidRPr="00C4322D">
        <w:t xml:space="preserve">For those counties, we assume uniform GDP </w:t>
      </w:r>
      <w:r>
        <w:t>p</w:t>
      </w:r>
      <w:r w:rsidRPr="00C4322D">
        <w:t xml:space="preserve">er </w:t>
      </w:r>
      <w:r>
        <w:t>c</w:t>
      </w:r>
      <w:r w:rsidRPr="00C4322D">
        <w:t>apita across the combined counties.</w:t>
      </w:r>
      <w:r>
        <w:t xml:space="preserve"> </w:t>
      </w:r>
      <w:r w:rsidRPr="00C4322D">
        <w:t xml:space="preserve"> </w:t>
      </w:r>
    </w:p>
  </w:footnote>
  <w:footnote w:id="95">
    <w:p w:rsidR="00BD6868" w:rsidRPr="00932E1C" w:rsidP="001B10CF" w14:paraId="78834BDF" w14:textId="10E0E7D1">
      <w:pPr>
        <w:pStyle w:val="FootnoteText"/>
      </w:pPr>
      <w:r w:rsidRPr="00932E1C">
        <w:rPr>
          <w:rStyle w:val="FootnoteReference"/>
        </w:rPr>
        <w:footnoteRef/>
      </w:r>
      <w:r w:rsidRPr="00932E1C">
        <w:t xml:space="preserve"> </w:t>
      </w:r>
      <w:r w:rsidRPr="001A5B25">
        <w:t>US Census Bureau</w:t>
      </w:r>
      <w:r>
        <w:t xml:space="preserve">, </w:t>
      </w:r>
      <w:r w:rsidRPr="007D1CB8">
        <w:rPr>
          <w:i/>
          <w:iCs/>
        </w:rPr>
        <w:t>County Business Patterns: 2014</w:t>
      </w:r>
      <w:r>
        <w:t xml:space="preserve">, (Apr. 24, 2016), </w:t>
      </w:r>
      <w:r w:rsidRPr="007D1CB8">
        <w:rPr>
          <w:i/>
          <w:iCs/>
        </w:rPr>
        <w:t>available at</w:t>
      </w:r>
      <w:r>
        <w:t xml:space="preserve"> </w:t>
      </w:r>
      <w:hyperlink r:id="rId17" w:history="1">
        <w:r w:rsidRPr="004E162F">
          <w:rPr>
            <w:rStyle w:val="Hyperlink"/>
          </w:rPr>
          <w:t>https://www.census.gov/data/datasets/2014/econ/cbp/2014-cbp.html</w:t>
        </w:r>
      </w:hyperlink>
      <w:r>
        <w:t>.</w:t>
      </w:r>
    </w:p>
  </w:footnote>
  <w:footnote w:id="96">
    <w:p w:rsidR="00BD6868" w:rsidP="001B10CF" w14:paraId="6002ACFC" w14:textId="1D32764D">
      <w:pPr>
        <w:pStyle w:val="FootnoteText"/>
      </w:pPr>
      <w:r>
        <w:rPr>
          <w:rStyle w:val="FootnoteReference"/>
        </w:rPr>
        <w:footnoteRef/>
      </w:r>
      <w:r>
        <w:t xml:space="preserve"> A more detailed definition</w:t>
      </w:r>
      <w:r w:rsidRPr="001A5B25">
        <w:t xml:space="preserve"> is available at</w:t>
      </w:r>
      <w:r>
        <w:t xml:space="preserve"> US Census Bureau, </w:t>
      </w:r>
      <w:r w:rsidRPr="007D1CB8">
        <w:rPr>
          <w:i/>
          <w:iCs/>
        </w:rPr>
        <w:t>Glossary</w:t>
      </w:r>
      <w:r>
        <w:t xml:space="preserve">, </w:t>
      </w:r>
      <w:hyperlink r:id="rId18" w:history="1">
        <w:r w:rsidRPr="00CF609E">
          <w:rPr>
            <w:rStyle w:val="Hyperlink"/>
          </w:rPr>
          <w:t>https://www.census.gov/programs-surveys/cbp/about/glossary.html</w:t>
        </w:r>
      </w:hyperlink>
      <w:r>
        <w:t xml:space="preserve"> (last visited May 15, 2020).</w:t>
      </w:r>
    </w:p>
  </w:footnote>
  <w:footnote w:id="97">
    <w:p w:rsidR="00BD6868" w:rsidP="001B10CF" w14:paraId="61B32CDE" w14:textId="77777777">
      <w:pPr>
        <w:pStyle w:val="FootnoteText"/>
      </w:pPr>
      <w:r>
        <w:rPr>
          <w:rStyle w:val="FootnoteReference"/>
        </w:rPr>
        <w:footnoteRef/>
      </w:r>
      <w:r>
        <w:t xml:space="preserve"> As there are no observations for King County, Texas, we assume that there are zero establishments in this county. </w:t>
      </w:r>
    </w:p>
  </w:footnote>
  <w:footnote w:id="98">
    <w:p w:rsidR="00BD6868" w:rsidRPr="00AE64DF" w:rsidP="001B10CF" w14:paraId="31CD1B03" w14:textId="4890A495">
      <w:pPr>
        <w:pStyle w:val="FootnoteText"/>
      </w:pPr>
      <w:r>
        <w:rPr>
          <w:rStyle w:val="FootnoteReference"/>
        </w:rPr>
        <w:footnoteRef/>
      </w:r>
      <w:r>
        <w:t xml:space="preserve"> US Census Bureau, </w:t>
      </w:r>
      <w:r w:rsidRPr="007D1CB8">
        <w:rPr>
          <w:i/>
          <w:iCs/>
        </w:rPr>
        <w:t>American Community Survey (ACS)</w:t>
      </w:r>
      <w:r>
        <w:t xml:space="preserve">, </w:t>
      </w:r>
      <w:hyperlink r:id="rId19" w:history="1">
        <w:r w:rsidRPr="00CF609E">
          <w:rPr>
            <w:rStyle w:val="Hyperlink"/>
          </w:rPr>
          <w:t>https://www.census.gov/programs-surveys/acs</w:t>
        </w:r>
      </w:hyperlink>
      <w:r>
        <w:t xml:space="preserve"> (last visited May 15, 2020).</w:t>
      </w:r>
    </w:p>
  </w:footnote>
  <w:footnote w:id="99">
    <w:p w:rsidR="00BD6868" w:rsidP="001B10CF" w14:paraId="24921E2E" w14:textId="77777777">
      <w:pPr>
        <w:pStyle w:val="FootnoteText"/>
      </w:pPr>
      <w:r>
        <w:rPr>
          <w:rStyle w:val="FootnoteReference"/>
        </w:rPr>
        <w:footnoteRef/>
      </w:r>
      <w:r>
        <w:t xml:space="preserve"> For example, if the dependent variable in the model is from 2011, we would use the 2006-2011 ACS database.</w:t>
      </w:r>
    </w:p>
  </w:footnote>
  <w:footnote w:id="100">
    <w:p w:rsidR="00BD6868" w:rsidP="001B10CF" w14:paraId="149C8742" w14:textId="77777777">
      <w:pPr>
        <w:pStyle w:val="FootnoteText"/>
      </w:pPr>
      <w:r>
        <w:rPr>
          <w:rStyle w:val="FootnoteReference"/>
        </w:rPr>
        <w:footnoteRef/>
      </w:r>
      <w:r>
        <w:t xml:space="preserve"> Because Mosaik does not provide data on where carriers have deployed specific spectrum bands, we use Form 477 data which does, on the other hand, indicate where carriers have deployed using different spectrum bands.</w:t>
      </w:r>
    </w:p>
  </w:footnote>
  <w:footnote w:id="101">
    <w:p w:rsidR="00BD6868" w:rsidRPr="00932E1C" w:rsidP="001B10CF" w14:paraId="53FD9976" w14:textId="5DD51549">
      <w:pPr>
        <w:pStyle w:val="FootnoteText"/>
      </w:pPr>
      <w:r w:rsidRPr="00932E1C">
        <w:rPr>
          <w:rStyle w:val="FootnoteReference"/>
        </w:rPr>
        <w:footnoteRef/>
      </w:r>
      <w:r w:rsidRPr="00932E1C">
        <w:t xml:space="preserve"> </w:t>
      </w:r>
      <w:r>
        <w:t>Staff conducted its analysis using the December 2014 Universal Licensing System data.</w:t>
      </w:r>
    </w:p>
  </w:footnote>
  <w:footnote w:id="102">
    <w:p w:rsidR="00BD6868" w:rsidRPr="00932E1C" w:rsidP="001B10CF" w14:paraId="42F51D55" w14:textId="77777777">
      <w:pPr>
        <w:pStyle w:val="FootnoteText"/>
      </w:pPr>
      <w:r w:rsidRPr="00932E1C">
        <w:rPr>
          <w:rStyle w:val="FootnoteReference"/>
        </w:rPr>
        <w:footnoteRef/>
      </w:r>
      <w:r w:rsidRPr="00932E1C">
        <w:t xml:space="preserve"> There are cases where </w:t>
      </w:r>
      <w:r>
        <w:t>the</w:t>
      </w:r>
      <w:r w:rsidRPr="00932E1C">
        <w:t xml:space="preserve"> data suggest a </w:t>
      </w:r>
      <w:r>
        <w:t>carrier</w:t>
      </w:r>
      <w:r w:rsidRPr="00932E1C">
        <w:t xml:space="preserve"> deploys on a particular spectrum band in a given county but does not have spectrum holdings. </w:t>
      </w:r>
    </w:p>
  </w:footnote>
  <w:footnote w:id="103">
    <w:p w:rsidR="00BD6868" w:rsidRPr="00932E1C" w:rsidP="001B10CF" w14:paraId="50731B12" w14:textId="77777777">
      <w:pPr>
        <w:pStyle w:val="FootnoteText"/>
      </w:pPr>
      <w:r w:rsidRPr="00932E1C">
        <w:rPr>
          <w:rStyle w:val="FootnoteReference"/>
        </w:rPr>
        <w:footnoteRef/>
      </w:r>
      <w:r w:rsidRPr="00932E1C">
        <w:t xml:space="preserve"> Here we are assuming that if a </w:t>
      </w:r>
      <w:r>
        <w:t>carrier</w:t>
      </w:r>
      <w:r w:rsidRPr="00932E1C">
        <w:t xml:space="preserve"> deploys on a particular spectrum band in a given county that the full amount of spectrum holdings is deployed. </w:t>
      </w:r>
      <w:r>
        <w:t xml:space="preserve"> </w:t>
      </w:r>
      <w:r w:rsidRPr="00932E1C">
        <w:t>We only know whether or not spectrum has been deployed but not how much has been deployed.</w:t>
      </w:r>
      <w:r>
        <w:t xml:space="preserve"> </w:t>
      </w:r>
      <w:r w:rsidRPr="00932E1C">
        <w:t xml:space="preserve"> Using Form 477 data, we can exclude spectrum holdings in counties where the </w:t>
      </w:r>
      <w:r>
        <w:t>carrier</w:t>
      </w:r>
      <w:r w:rsidRPr="00932E1C">
        <w:t xml:space="preserve"> has not deployed on a particular band on </w:t>
      </w:r>
      <w:r>
        <w:t>at least one</w:t>
      </w:r>
      <w:r w:rsidRPr="00932E1C">
        <w:t xml:space="preserve"> technology. </w:t>
      </w:r>
    </w:p>
  </w:footnote>
  <w:footnote w:id="104">
    <w:p w:rsidR="00BD6868" w:rsidP="001B10CF" w14:paraId="6AE26F88" w14:textId="4097C433">
      <w:pPr>
        <w:pStyle w:val="FootnoteText"/>
      </w:pPr>
      <w:r>
        <w:rPr>
          <w:rStyle w:val="FootnoteReference"/>
        </w:rPr>
        <w:footnoteRef/>
      </w:r>
      <w:r>
        <w:t xml:space="preserve"> </w:t>
      </w:r>
      <w:r>
        <w:rPr>
          <w:i/>
          <w:iCs/>
        </w:rPr>
        <w:t xml:space="preserve">2018 </w:t>
      </w:r>
      <w:r w:rsidRPr="003F54C7">
        <w:rPr>
          <w:i/>
          <w:iCs/>
          <w:color w:val="231F20"/>
        </w:rPr>
        <w:t>Communications Marketplace Report</w:t>
      </w:r>
      <w:r w:rsidRPr="003F54C7">
        <w:rPr>
          <w:color w:val="231F20"/>
        </w:rPr>
        <w:t xml:space="preserve">, 33 FCC Rcd </w:t>
      </w:r>
      <w:r>
        <w:rPr>
          <w:color w:val="231F20"/>
        </w:rPr>
        <w:t xml:space="preserve">at </w:t>
      </w:r>
      <w:r w:rsidRPr="003F54C7">
        <w:rPr>
          <w:color w:val="231F20"/>
        </w:rPr>
        <w:t>1258</w:t>
      </w:r>
      <w:r>
        <w:rPr>
          <w:color w:val="231F20"/>
        </w:rPr>
        <w:t>2-83</w:t>
      </w:r>
      <w:r w:rsidRPr="003F54C7">
        <w:rPr>
          <w:color w:val="231F20"/>
        </w:rPr>
        <w:t xml:space="preserve">, para. </w:t>
      </w:r>
      <w:r>
        <w:rPr>
          <w:color w:val="231F20"/>
        </w:rPr>
        <w:t>30 &amp; n.94.</w:t>
      </w:r>
    </w:p>
  </w:footnote>
  <w:footnote w:id="105">
    <w:p w:rsidR="00BD6868" w:rsidP="001B10CF" w14:paraId="0BDDA720" w14:textId="52106E37">
      <w:pPr>
        <w:pStyle w:val="FootnoteText"/>
      </w:pPr>
      <w:r>
        <w:rPr>
          <w:rStyle w:val="FootnoteReference"/>
        </w:rPr>
        <w:footnoteRef/>
      </w:r>
      <w:r>
        <w:t xml:space="preserve"> The Entry Model uses the percentage of land covered by 4G LTE to construct its dependent variable, but does not use percentage of land covered as an independent variable. </w:t>
      </w:r>
    </w:p>
  </w:footnote>
  <w:footnote w:id="106">
    <w:p w:rsidR="00BD6868" w:rsidRPr="004A4D68" w:rsidP="001B10CF" w14:paraId="51612DB2" w14:textId="77777777">
      <w:pPr>
        <w:pStyle w:val="FootnoteText"/>
      </w:pPr>
      <w:r>
        <w:rPr>
          <w:rStyle w:val="FootnoteReference"/>
        </w:rPr>
        <w:footnoteRef/>
      </w:r>
      <w:r>
        <w:t xml:space="preserve"> </w:t>
      </w:r>
      <w:r>
        <w:rPr>
          <w:i/>
          <w:iCs/>
        </w:rPr>
        <w:t xml:space="preserve">USF/ICC Transformation Order, </w:t>
      </w:r>
      <w:r w:rsidRPr="007C1B0D">
        <w:t>26 FCC Rcd</w:t>
      </w:r>
      <w:r>
        <w:t xml:space="preserve"> at 17783-84 paras. 332, 334.</w:t>
      </w:r>
    </w:p>
  </w:footnote>
  <w:footnote w:id="107">
    <w:p w:rsidR="00BD6868" w:rsidP="001B10CF" w14:paraId="1822F2EA" w14:textId="77777777">
      <w:pPr>
        <w:pStyle w:val="FootnoteText"/>
      </w:pPr>
      <w:r>
        <w:rPr>
          <w:rStyle w:val="FootnoteReference"/>
        </w:rPr>
        <w:footnoteRef/>
      </w:r>
      <w:r>
        <w:t xml:space="preserve"> </w:t>
      </w:r>
      <w:r w:rsidRPr="00796524">
        <w:rPr>
          <w:i/>
          <w:iCs/>
        </w:rPr>
        <w:t>Auction 901</w:t>
      </w:r>
      <w:r w:rsidRPr="004A550D">
        <w:rPr>
          <w:i/>
          <w:iCs/>
          <w:snapToGrid w:val="0"/>
        </w:rPr>
        <w:t xml:space="preserve"> Procedures Public Notice</w:t>
      </w:r>
      <w:r>
        <w:rPr>
          <w:snapToGrid w:val="0"/>
        </w:rPr>
        <w:t xml:space="preserve">, </w:t>
      </w:r>
      <w:r w:rsidRPr="00173E13">
        <w:rPr>
          <w:rFonts w:eastAsiaTheme="minorEastAsia"/>
        </w:rPr>
        <w:t>27 FCC Rcd</w:t>
      </w:r>
      <w:r>
        <w:rPr>
          <w:rFonts w:eastAsiaTheme="minorEastAsia"/>
        </w:rPr>
        <w:t xml:space="preserve"> at</w:t>
      </w:r>
      <w:r>
        <w:rPr>
          <w:snapToGrid w:val="0"/>
        </w:rPr>
        <w:t xml:space="preserve"> 4731-4756, paras. 13-22</w:t>
      </w:r>
    </w:p>
  </w:footnote>
  <w:footnote w:id="108">
    <w:p w:rsidR="00BD6868" w:rsidP="001B10CF" w14:paraId="0FCDA80B" w14:textId="7C374525">
      <w:pPr>
        <w:pStyle w:val="FootnoteText"/>
      </w:pPr>
      <w:r>
        <w:rPr>
          <w:rStyle w:val="FootnoteReference"/>
        </w:rPr>
        <w:footnoteRef/>
      </w:r>
      <w:r>
        <w:t xml:space="preserve"> Tests with non-positive download or upload speeds are assumed to be inaccurate.  We exclude tests taken over a WiFi connection because we want to measure cell network quality and not a fixed broadband network’s quality.  Locations identified by GEO-IP are assumed to be inaccurate, and thus, tests with inaccurate location information are excluded. </w:t>
      </w:r>
    </w:p>
  </w:footnote>
  <w:footnote w:id="109">
    <w:p w:rsidR="00BD6868" w:rsidP="001B10CF" w14:paraId="5FB467D7" w14:textId="77777777">
      <w:pPr>
        <w:pStyle w:val="FootnoteText"/>
      </w:pPr>
      <w:r>
        <w:rPr>
          <w:rStyle w:val="FootnoteReference"/>
        </w:rPr>
        <w:footnoteRef/>
      </w:r>
      <w:r>
        <w:t xml:space="preserve"> Instead of calculating a simple average of tests’ download speeds, we calculate each device’s monthly average download speed so users who take a large number of tests are not overrepresented. </w:t>
      </w:r>
    </w:p>
  </w:footnote>
  <w:footnote w:id="110">
    <w:p w:rsidR="00BD6868" w14:paraId="76CBA65A" w14:textId="23C219EB">
      <w:pPr>
        <w:pStyle w:val="FootnoteText"/>
      </w:pPr>
      <w:r>
        <w:rPr>
          <w:rStyle w:val="FootnoteReference"/>
        </w:rPr>
        <w:footnoteRef/>
      </w:r>
      <w:r>
        <w:t xml:space="preserve"> </w:t>
      </w:r>
      <w:r w:rsidRPr="006E3C27">
        <w:t xml:space="preserve">Tower site information was downloaded from 44 tower providers’ websites in </w:t>
      </w:r>
      <w:r>
        <w:t>May</w:t>
      </w:r>
      <w:r w:rsidRPr="006E3C27">
        <w:t xml:space="preserve"> 201</w:t>
      </w:r>
      <w:r>
        <w:t xml:space="preserve">8.  </w:t>
      </w:r>
      <w:r w:rsidRPr="00BE3771">
        <w:t xml:space="preserve">Wireless Estimator, </w:t>
      </w:r>
      <w:r w:rsidRPr="00531B9B">
        <w:rPr>
          <w:i/>
          <w:iCs/>
        </w:rPr>
        <w:t>Top 100 Tower Companies in the U.S.</w:t>
      </w:r>
      <w:r w:rsidRPr="00BE3771">
        <w:t xml:space="preserve">, </w:t>
      </w:r>
      <w:hyperlink r:id="rId2" w:history="1">
        <w:r w:rsidRPr="00BE3771">
          <w:rPr>
            <w:rStyle w:val="Hyperlink"/>
          </w:rPr>
          <w:t>http://www.wirelessestimator.com/t_content.cfm?pagename=US-Cell-Tower-Companies-Complete-List</w:t>
        </w:r>
      </w:hyperlink>
      <w:r>
        <w:t xml:space="preserve"> (last visited May 15, 2020).</w:t>
      </w:r>
    </w:p>
  </w:footnote>
  <w:footnote w:id="111">
    <w:p w:rsidR="00BD6868" w:rsidRPr="001A5B25" w:rsidP="001B10CF" w14:paraId="5A139295" w14:textId="4BE4F471">
      <w:pPr>
        <w:pStyle w:val="FootnoteText"/>
        <w:rPr>
          <w:color w:val="0000FF"/>
          <w:u w:val="single"/>
        </w:rPr>
      </w:pPr>
      <w:r>
        <w:rPr>
          <w:rStyle w:val="FootnoteReference"/>
        </w:rPr>
        <w:footnoteRef/>
      </w:r>
      <w:r>
        <w:t xml:space="preserve"> USGS, </w:t>
      </w:r>
      <w:r w:rsidRPr="00531B9B">
        <w:rPr>
          <w:i/>
          <w:iCs/>
        </w:rPr>
        <w:t>National Geospatial Program</w:t>
      </w:r>
      <w:r>
        <w:t xml:space="preserve">, </w:t>
      </w:r>
      <w:hyperlink r:id="rId20" w:history="1">
        <w:r>
          <w:rPr>
            <w:rStyle w:val="Hyperlink"/>
          </w:rPr>
          <w:t>https://www.usgs.gov/core-science-systems/national-geospatial-program/land-cover</w:t>
        </w:r>
      </w:hyperlink>
      <w:r w:rsidRPr="001A5B25">
        <w:rPr>
          <w:rStyle w:val="Hyperlink"/>
          <w:color w:val="auto"/>
          <w:u w:val="none"/>
        </w:rPr>
        <w:t xml:space="preserve"> (</w:t>
      </w:r>
      <w:r>
        <w:rPr>
          <w:rStyle w:val="Hyperlink"/>
          <w:color w:val="auto"/>
          <w:u w:val="none"/>
        </w:rPr>
        <w:t>last visited May 15, 2020).</w:t>
      </w:r>
    </w:p>
  </w:footnote>
  <w:footnote w:id="112">
    <w:p w:rsidR="00BD6868" w:rsidP="001B10CF" w14:paraId="3BEB4C33" w14:textId="20654B69">
      <w:pPr>
        <w:pStyle w:val="FootnoteText"/>
      </w:pPr>
      <w:r>
        <w:rPr>
          <w:rStyle w:val="FootnoteReference"/>
        </w:rPr>
        <w:footnoteRef/>
      </w:r>
      <w:r>
        <w:t xml:space="preserve"> </w:t>
      </w:r>
      <w:bookmarkStart w:id="25" w:name="_Hlk39245342"/>
      <w:r>
        <w:rPr>
          <w:i/>
          <w:iCs/>
        </w:rPr>
        <w:t>Office of Engineering and Technology Seeks to Supplement the Incentive Auction Proceeding Record Regarding Potential Interference Between Broadcast Television and Wireless Services</w:t>
      </w:r>
      <w:r>
        <w:t xml:space="preserve">, Public Notice, </w:t>
      </w:r>
      <w:r w:rsidRPr="002E36AF">
        <w:t>29 FCC Rcd 712</w:t>
      </w:r>
      <w:r>
        <w:t>,</w:t>
      </w:r>
      <w:r w:rsidRPr="002E36AF">
        <w:t xml:space="preserve"> </w:t>
      </w:r>
      <w:r>
        <w:t>735-37 (OET 2014).</w:t>
      </w:r>
      <w:r>
        <w:rPr>
          <w:i/>
          <w:iCs/>
        </w:rPr>
        <w:t xml:space="preserve">  </w:t>
      </w:r>
      <w:r>
        <w:t xml:space="preserve">The Commission previously adapted the NLCD classifications to better reflect the propagation characteristics of the categories.  </w:t>
      </w:r>
      <w:r>
        <w:rPr>
          <w:i/>
          <w:iCs/>
        </w:rPr>
        <w:t>Id</w:t>
      </w:r>
      <w:r>
        <w:t xml:space="preserve">.  </w:t>
      </w:r>
      <w:bookmarkEnd w:id="25"/>
    </w:p>
  </w:footnote>
  <w:footnote w:id="113">
    <w:p w:rsidR="00BD6868" w:rsidP="001B10CF" w14:paraId="4CD713D9" w14:textId="4EC9C5C9">
      <w:pPr>
        <w:pStyle w:val="FootnoteText"/>
      </w:pPr>
      <w:r>
        <w:rPr>
          <w:rStyle w:val="FootnoteReference"/>
        </w:rPr>
        <w:footnoteRef/>
      </w:r>
      <w:r>
        <w:t xml:space="preserve"> </w:t>
      </w:r>
      <w:r>
        <w:rPr>
          <w:i/>
          <w:iCs/>
        </w:rPr>
        <w:t>Id</w:t>
      </w:r>
      <w:r>
        <w:t>.</w:t>
      </w:r>
      <w:r w:rsidRPr="00415A33">
        <w:t xml:space="preserve"> </w:t>
      </w:r>
    </w:p>
  </w:footnote>
  <w:footnote w:id="114">
    <w:p w:rsidR="00BD6868" w:rsidRPr="00DD4D06" w:rsidP="00DD4D06" w14:paraId="72214512" w14:textId="5B74E8F0">
      <w:pPr>
        <w:spacing w:after="120"/>
        <w:rPr>
          <w:sz w:val="20"/>
        </w:rPr>
      </w:pPr>
      <w:r w:rsidRPr="00DD4D06">
        <w:rPr>
          <w:rStyle w:val="FootnoteReference"/>
          <w:sz w:val="20"/>
        </w:rPr>
        <w:footnoteRef/>
      </w:r>
      <w:r w:rsidRPr="00DD4D06">
        <w:rPr>
          <w:sz w:val="20"/>
        </w:rPr>
        <w:t xml:space="preserve"> TomTom data has been previously used</w:t>
      </w:r>
      <w:r>
        <w:rPr>
          <w:sz w:val="20"/>
        </w:rPr>
        <w:t>, for example,</w:t>
      </w:r>
      <w:r w:rsidRPr="00DD4D06">
        <w:rPr>
          <w:sz w:val="20"/>
        </w:rPr>
        <w:t xml:space="preserve"> to identify areas of subsidy in the Mobility Fund Phase II proceeding.</w:t>
      </w:r>
      <w:r>
        <w:rPr>
          <w:sz w:val="20"/>
        </w:rPr>
        <w:t xml:space="preserve"> </w:t>
      </w:r>
      <w:r w:rsidRPr="00DD4D06">
        <w:rPr>
          <w:sz w:val="20"/>
        </w:rPr>
        <w:t xml:space="preserve"> </w:t>
      </w:r>
      <w:r w:rsidRPr="00DD4D06">
        <w:rPr>
          <w:i/>
          <w:iCs/>
          <w:sz w:val="20"/>
        </w:rPr>
        <w:t>Procedures for the Mobility Fund Phase II Challenge Process,</w:t>
      </w:r>
      <w:r>
        <w:rPr>
          <w:i/>
          <w:iCs/>
          <w:sz w:val="20"/>
        </w:rPr>
        <w:t xml:space="preserve"> </w:t>
      </w:r>
      <w:r w:rsidRPr="00DD4D06">
        <w:rPr>
          <w:sz w:val="20"/>
        </w:rPr>
        <w:t>Public Notice, 33 FCC Rcd 1985, Appx</w:t>
      </w:r>
      <w:r>
        <w:rPr>
          <w:sz w:val="20"/>
        </w:rPr>
        <w:t>.</w:t>
      </w:r>
      <w:r w:rsidRPr="00DD4D06">
        <w:rPr>
          <w:sz w:val="20"/>
        </w:rPr>
        <w:t xml:space="preserve"> A, n.4</w:t>
      </w:r>
      <w:r>
        <w:rPr>
          <w:sz w:val="20"/>
        </w:rPr>
        <w:t xml:space="preserve"> (2018)</w:t>
      </w:r>
      <w:r w:rsidRPr="00DD4D06">
        <w:rPr>
          <w:sz w:val="20"/>
        </w:rPr>
        <w:t>.</w:t>
      </w:r>
    </w:p>
  </w:footnote>
  <w:footnote w:id="115">
    <w:p w:rsidR="00BD6868" w:rsidP="001B10CF" w14:paraId="0163AA32" w14:textId="35B4A121">
      <w:pPr>
        <w:pStyle w:val="FootnoteText"/>
      </w:pPr>
      <w:r>
        <w:rPr>
          <w:rStyle w:val="FootnoteReference"/>
        </w:rPr>
        <w:footnoteRef/>
      </w:r>
      <w:r>
        <w:t xml:space="preserve"> </w:t>
      </w:r>
      <w:r w:rsidRPr="00796524">
        <w:rPr>
          <w:i/>
          <w:iCs/>
        </w:rPr>
        <w:t>Auction 901 Procedures P</w:t>
      </w:r>
      <w:r>
        <w:rPr>
          <w:i/>
          <w:iCs/>
        </w:rPr>
        <w:t>ublic Notice</w:t>
      </w:r>
      <w:r>
        <w:t xml:space="preserve">, </w:t>
      </w:r>
      <w:r w:rsidRPr="00173E13">
        <w:rPr>
          <w:rFonts w:eastAsiaTheme="minorEastAsia"/>
        </w:rPr>
        <w:t>27 FCC Rcd</w:t>
      </w:r>
      <w:r>
        <w:t xml:space="preserve"> at 4761-65, paras. 131-42; </w:t>
      </w:r>
      <w:r w:rsidRPr="00531B9B">
        <w:rPr>
          <w:i/>
          <w:iCs/>
        </w:rPr>
        <w:t xml:space="preserve">Auction 901: Mobility Fund Phase </w:t>
      </w:r>
      <w:r>
        <w:rPr>
          <w:i/>
          <w:iCs/>
        </w:rPr>
        <w:t>I</w:t>
      </w:r>
      <w:r>
        <w:t xml:space="preserve">, </w:t>
      </w:r>
      <w:hyperlink r:id="rId3" w:history="1">
        <w:r w:rsidRPr="00441AA4">
          <w:rPr>
            <w:rStyle w:val="Hyperlink"/>
          </w:rPr>
          <w:t>https://www.fcc.gov/auction/901</w:t>
        </w:r>
      </w:hyperlink>
      <w:r>
        <w:t xml:space="preserve"> </w:t>
      </w:r>
      <w:r w:rsidRPr="00350A3E">
        <w:t>(</w:t>
      </w:r>
      <w:r>
        <w:t>last visited May 15, 2020</w:t>
      </w:r>
      <w:r w:rsidRPr="00350A3E">
        <w:t>).</w:t>
      </w:r>
    </w:p>
  </w:footnote>
  <w:footnote w:id="116">
    <w:p w:rsidR="00BD6868" w:rsidP="001B10CF" w14:paraId="6784EDF1" w14:textId="575D5691">
      <w:pPr>
        <w:pStyle w:val="FootnoteText"/>
      </w:pPr>
      <w:r>
        <w:rPr>
          <w:rStyle w:val="FootnoteReference"/>
        </w:rPr>
        <w:footnoteRef/>
      </w:r>
      <w:r>
        <w:t xml:space="preserve"> Carrier count weighting is calculated on a land area and a road mile basis because coverage in the Auction Bidding Model is calculated both on a land area basis and a road mile basis for different specifications.  To be consistent, we use land area weighting when using land area coverage and road miles weighting when using road miles coverage.  </w:t>
      </w:r>
      <w:r>
        <w:rPr>
          <w:i/>
          <w:iCs/>
        </w:rPr>
        <w:t xml:space="preserve">See supra </w:t>
      </w:r>
      <w:r w:rsidRPr="001B3581">
        <w:t>Appx</w:t>
      </w:r>
      <w:r>
        <w:t>. B.III: Auction Bidding Model Adjustment Factor.</w:t>
      </w:r>
    </w:p>
  </w:footnote>
  <w:footnote w:id="117">
    <w:p w:rsidR="00BD6868" w:rsidRPr="00350A3E" w:rsidP="001B10CF" w14:paraId="71A93614" w14:textId="6D963C50">
      <w:r w:rsidRPr="0024522A">
        <w:rPr>
          <w:rStyle w:val="FootnoteReference"/>
        </w:rPr>
        <w:footnoteRef/>
      </w:r>
      <w:r w:rsidRPr="00350A3E">
        <w:rPr>
          <w:sz w:val="20"/>
        </w:rPr>
        <w:t xml:space="preserve"> </w:t>
      </w:r>
      <w:r w:rsidRPr="00350A3E">
        <w:rPr>
          <w:rFonts w:eastAsiaTheme="minorEastAsia"/>
          <w:sz w:val="20"/>
        </w:rPr>
        <w:t xml:space="preserve">A </w:t>
      </w:r>
      <w:r>
        <w:rPr>
          <w:rFonts w:eastAsiaTheme="minorEastAsia"/>
          <w:sz w:val="20"/>
        </w:rPr>
        <w:t>carrier</w:t>
      </w:r>
      <w:r w:rsidRPr="00350A3E">
        <w:rPr>
          <w:rFonts w:eastAsiaTheme="minorEastAsia"/>
          <w:sz w:val="20"/>
        </w:rPr>
        <w:t xml:space="preserve"> needed to have spectrum and ETC status to be able to bid on </w:t>
      </w:r>
      <w:r>
        <w:rPr>
          <w:rFonts w:eastAsiaTheme="minorEastAsia"/>
          <w:sz w:val="20"/>
        </w:rPr>
        <w:t>an area</w:t>
      </w:r>
      <w:r w:rsidRPr="00350A3E">
        <w:rPr>
          <w:rFonts w:eastAsiaTheme="minorEastAsia"/>
          <w:sz w:val="20"/>
        </w:rPr>
        <w:t>, and at the time of a bidder’s short form application</w:t>
      </w:r>
      <w:r>
        <w:rPr>
          <w:rFonts w:eastAsiaTheme="minorEastAsia"/>
          <w:sz w:val="20"/>
        </w:rPr>
        <w:t>,</w:t>
      </w:r>
      <w:r w:rsidRPr="00350A3E">
        <w:rPr>
          <w:rFonts w:eastAsiaTheme="minorEastAsia"/>
          <w:sz w:val="20"/>
        </w:rPr>
        <w:t xml:space="preserve"> the bidder had to designate what </w:t>
      </w:r>
      <w:r>
        <w:rPr>
          <w:rFonts w:eastAsiaTheme="minorEastAsia"/>
          <w:sz w:val="20"/>
        </w:rPr>
        <w:t>area</w:t>
      </w:r>
      <w:r w:rsidRPr="00350A3E">
        <w:rPr>
          <w:rFonts w:eastAsiaTheme="minorEastAsia"/>
          <w:sz w:val="20"/>
        </w:rPr>
        <w:t xml:space="preserve">s they had an interest in. </w:t>
      </w:r>
      <w:r>
        <w:rPr>
          <w:rFonts w:eastAsiaTheme="minorEastAsia"/>
          <w:sz w:val="20"/>
        </w:rPr>
        <w:t xml:space="preserve"> </w:t>
      </w:r>
      <w:r>
        <w:rPr>
          <w:i/>
          <w:sz w:val="20"/>
        </w:rPr>
        <w:t>Auction 901</w:t>
      </w:r>
      <w:r w:rsidRPr="00350A3E">
        <w:rPr>
          <w:i/>
          <w:sz w:val="20"/>
        </w:rPr>
        <w:t xml:space="preserve"> Procedures Public Notice</w:t>
      </w:r>
      <w:r w:rsidRPr="00350A3E">
        <w:rPr>
          <w:sz w:val="20"/>
        </w:rPr>
        <w:t xml:space="preserve">, </w:t>
      </w:r>
      <w:r>
        <w:rPr>
          <w:sz w:val="20"/>
        </w:rPr>
        <w:t>27</w:t>
      </w:r>
      <w:r w:rsidRPr="00350A3E">
        <w:rPr>
          <w:sz w:val="20"/>
        </w:rPr>
        <w:t xml:space="preserve"> FCC Rcd </w:t>
      </w:r>
      <w:r w:rsidRPr="00350A3E">
        <w:rPr>
          <w:color w:val="1D2B3E"/>
          <w:sz w:val="20"/>
          <w:shd w:val="clear" w:color="auto" w:fill="FFFFFF"/>
        </w:rPr>
        <w:t xml:space="preserve">at </w:t>
      </w:r>
      <w:r w:rsidRPr="00350A3E">
        <w:rPr>
          <w:sz w:val="20"/>
        </w:rPr>
        <w:t>4753-55, paras. 93-9</w:t>
      </w:r>
      <w:r>
        <w:rPr>
          <w:sz w:val="20"/>
        </w:rPr>
        <w:t>6</w:t>
      </w:r>
      <w:r w:rsidRPr="00350A3E">
        <w:rPr>
          <w:sz w:val="20"/>
        </w:rPr>
        <w:t xml:space="preserve">. </w:t>
      </w:r>
      <w:r>
        <w:rPr>
          <w:sz w:val="20"/>
        </w:rPr>
        <w:t xml:space="preserve"> </w:t>
      </w:r>
      <w:r w:rsidRPr="00350A3E">
        <w:rPr>
          <w:sz w:val="20"/>
        </w:rPr>
        <w:t xml:space="preserve">Applications can be accessed at </w:t>
      </w:r>
      <w:r w:rsidRPr="00350A3E">
        <w:rPr>
          <w:i/>
          <w:sz w:val="20"/>
        </w:rPr>
        <w:t xml:space="preserve">FCC </w:t>
      </w:r>
      <w:r w:rsidRPr="00350A3E">
        <w:rPr>
          <w:i/>
          <w:iCs/>
          <w:sz w:val="20"/>
        </w:rPr>
        <w:t>Form 175 Search</w:t>
      </w:r>
      <w:r w:rsidRPr="00350A3E">
        <w:rPr>
          <w:sz w:val="20"/>
        </w:rPr>
        <w:t>,</w:t>
      </w:r>
      <w:r w:rsidRPr="00350A3E">
        <w:rPr>
          <w:color w:val="FF0000"/>
          <w:sz w:val="20"/>
        </w:rPr>
        <w:t xml:space="preserve"> </w:t>
      </w:r>
      <w:hyperlink r:id="rId21" w:history="1">
        <w:r w:rsidRPr="00350A3E">
          <w:rPr>
            <w:rStyle w:val="Hyperlink"/>
            <w:sz w:val="20"/>
          </w:rPr>
          <w:t>https://auctionfiling.fcc.gov/form175/search175/index.htm</w:t>
        </w:r>
      </w:hyperlink>
      <w:r w:rsidRPr="00350A3E">
        <w:rPr>
          <w:color w:val="FF0000"/>
          <w:sz w:val="20"/>
        </w:rPr>
        <w:t xml:space="preserve"> </w:t>
      </w:r>
      <w:r w:rsidRPr="00350A3E">
        <w:rPr>
          <w:sz w:val="20"/>
        </w:rPr>
        <w:t>(</w:t>
      </w:r>
      <w:r>
        <w:rPr>
          <w:sz w:val="20"/>
        </w:rPr>
        <w:t>last visited May 15, 2020</w:t>
      </w:r>
      <w:r w:rsidRPr="00350A3E">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C4D" w:rsidRPr="009838BC" w:rsidP="004A1C4D" w14:paraId="706F704E" w14:textId="0C98BB67">
    <w:pPr>
      <w:tabs>
        <w:tab w:val="center" w:pos="4680"/>
        <w:tab w:val="right" w:pos="9360"/>
      </w:tabs>
    </w:pPr>
    <w:r w:rsidRPr="009838BC">
      <w:rPr>
        <w:b/>
      </w:rPr>
      <w:tab/>
    </w:r>
    <w:r w:rsidRPr="004A7B78">
      <w:rPr>
        <w:b/>
        <w:sz w:val="22"/>
        <w:szCs w:val="22"/>
      </w:rPr>
      <w:t>Federal Communications Commission</w:t>
    </w:r>
    <w:r w:rsidRPr="004A7B78">
      <w:rPr>
        <w:b/>
        <w:sz w:val="22"/>
        <w:szCs w:val="22"/>
      </w:rPr>
      <w:tab/>
      <w:t>DA 20-</w:t>
    </w:r>
    <w:r w:rsidRPr="004A7B78" w:rsidR="005E11B7">
      <w:rPr>
        <w:b/>
        <w:sz w:val="22"/>
        <w:szCs w:val="22"/>
      </w:rPr>
      <w:t>594</w:t>
    </w:r>
  </w:p>
  <w:p w:rsidR="004A1C4D" w:rsidRPr="009838BC" w:rsidP="004A1C4D" w14:paraId="7E344FF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247436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40" name="Rectangle 151468184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40"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41088" o:allowincell="f" fillcolor="black" stroked="f">
              <w10:wrap anchorx="margin"/>
            </v:rect>
          </w:pict>
        </mc:Fallback>
      </mc:AlternateContent>
    </w:r>
    <w:r>
      <w:rPr>
        <w:noProof/>
      </w:rPr>
      <mc:AlternateContent>
        <mc:Choice Requires="wps">
          <w:drawing>
            <wp:anchor distT="0" distB="0" distL="114300" distR="114300" simplePos="0" relativeHeight="25247232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41" name="Rectangle 151468184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4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43136" o:allowincell="f" fillcolor="black" stroked="f">
              <w10:wrap anchorx="margin"/>
            </v:rect>
          </w:pict>
        </mc:Fallback>
      </mc:AlternateContent>
    </w:r>
    <w:r>
      <w:rPr>
        <w:noProof/>
      </w:rPr>
      <mc:AlternateContent>
        <mc:Choice Requires="wps">
          <w:drawing>
            <wp:anchor distT="0" distB="0" distL="114300" distR="114300" simplePos="0" relativeHeight="25247027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42" name="Rectangle 151468184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42"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45184" o:allowincell="f" fillcolor="black" stroked="f">
              <w10:wrap anchorx="margin"/>
            </v:rect>
          </w:pict>
        </mc:Fallback>
      </mc:AlternateContent>
    </w:r>
    <w:r>
      <w:rPr>
        <w:noProof/>
      </w:rPr>
      <mc:AlternateContent>
        <mc:Choice Requires="wps">
          <w:drawing>
            <wp:anchor distT="0" distB="0" distL="114300" distR="114300" simplePos="0" relativeHeight="25246822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43" name="Rectangle 151468184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43" o:sp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47232" o:allowincell="f" fillcolor="black" stroked="f">
              <w10:wrap anchorx="margin"/>
            </v:rect>
          </w:pict>
        </mc:Fallback>
      </mc:AlternateContent>
    </w:r>
    <w:r>
      <w:rPr>
        <w:noProof/>
      </w:rPr>
      <mc:AlternateContent>
        <mc:Choice Requires="wps">
          <w:drawing>
            <wp:anchor distT="0" distB="0" distL="114300" distR="114300" simplePos="0" relativeHeight="25246617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44" name="Rectangle 151468184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44"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49280" o:allowincell="f" fillcolor="black" stroked="f">
              <w10:wrap anchorx="margin"/>
            </v:rect>
          </w:pict>
        </mc:Fallback>
      </mc:AlternateContent>
    </w:r>
    <w:r>
      <w:rPr>
        <w:noProof/>
      </w:rPr>
      <mc:AlternateContent>
        <mc:Choice Requires="wps">
          <w:drawing>
            <wp:anchor distT="0" distB="0" distL="114300" distR="114300" simplePos="0" relativeHeight="2524641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45" name="Rectangle 151468184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45" o:sp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51328" o:allowincell="f" fillcolor="black" stroked="f">
              <w10:wrap anchorx="margin"/>
            </v:rect>
          </w:pict>
        </mc:Fallback>
      </mc:AlternateContent>
    </w:r>
    <w:r>
      <w:rPr>
        <w:noProof/>
      </w:rPr>
      <mc:AlternateContent>
        <mc:Choice Requires="wps">
          <w:drawing>
            <wp:anchor distT="0" distB="0" distL="114300" distR="114300" simplePos="0" relativeHeight="2524620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46" name="Rectangle 151468184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46" o:sp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53376" o:allowincell="f" fillcolor="black" stroked="f">
              <w10:wrap anchorx="margin"/>
            </v:rect>
          </w:pict>
        </mc:Fallback>
      </mc:AlternateContent>
    </w:r>
    <w:r>
      <w:rPr>
        <w:noProof/>
      </w:rPr>
      <mc:AlternateContent>
        <mc:Choice Requires="wps">
          <w:drawing>
            <wp:anchor distT="0" distB="0" distL="114300" distR="114300" simplePos="0" relativeHeight="2524600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47" name="Rectangle 151468184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47" o:spid="_x0000_s205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55424" o:allowincell="f" fillcolor="black" stroked="f">
              <w10:wrap anchorx="margin"/>
            </v:rect>
          </w:pict>
        </mc:Fallback>
      </mc:AlternateContent>
    </w:r>
    <w:r>
      <w:rPr>
        <w:noProof/>
      </w:rPr>
      <mc:AlternateContent>
        <mc:Choice Requires="wps">
          <w:drawing>
            <wp:anchor distT="0" distB="0" distL="114300" distR="114300" simplePos="0" relativeHeight="2524579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48" name="Rectangle 151468184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48" o:spid="_x0000_s205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57472" o:allowincell="f" fillcolor="black" stroked="f">
              <w10:wrap anchorx="margin"/>
            </v:rect>
          </w:pict>
        </mc:Fallback>
      </mc:AlternateContent>
    </w:r>
    <w:r>
      <w:rPr>
        <w:noProof/>
      </w:rPr>
      <mc:AlternateContent>
        <mc:Choice Requires="wps">
          <w:drawing>
            <wp:anchor distT="0" distB="0" distL="114300" distR="114300" simplePos="0" relativeHeight="2524559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49" name="Rectangle 151468184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49" o:spid="_x0000_s205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59520" o:allowincell="f" fillcolor="black" stroked="f">
              <w10:wrap anchorx="margin"/>
            </v:rect>
          </w:pict>
        </mc:Fallback>
      </mc:AlternateContent>
    </w:r>
    <w:r>
      <w:rPr>
        <w:noProof/>
      </w:rPr>
      <mc:AlternateContent>
        <mc:Choice Requires="wps">
          <w:drawing>
            <wp:anchor distT="0" distB="0" distL="114300" distR="114300" simplePos="0" relativeHeight="2524538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50" name="Rectangle 151468185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50" o:spid="_x0000_s205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61568" o:allowincell="f" fillcolor="black" stroked="f">
              <w10:wrap anchorx="margin"/>
            </v:rect>
          </w:pict>
        </mc:Fallback>
      </mc:AlternateContent>
    </w:r>
    <w:r>
      <w:rPr>
        <w:noProof/>
      </w:rPr>
      <mc:AlternateContent>
        <mc:Choice Requires="wps">
          <w:drawing>
            <wp:anchor distT="0" distB="0" distL="114300" distR="114300" simplePos="0" relativeHeight="2524518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51" name="Rectangle 151468185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51" o:spid="_x0000_s206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63616" o:allowincell="f" fillcolor="black" stroked="f" strokeweight="0.05pt">
              <v:path arrowok="t"/>
              <w10:wrap anchorx="margin"/>
            </v:rect>
          </w:pict>
        </mc:Fallback>
      </mc:AlternateContent>
    </w:r>
    <w:r>
      <w:rPr>
        <w:noProof/>
      </w:rPr>
      <mc:AlternateContent>
        <mc:Choice Requires="wps">
          <w:drawing>
            <wp:anchor distT="0" distB="0" distL="114300" distR="114300" simplePos="0" relativeHeight="25244979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68" name="Rectangle 151468175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55" o:spid="_x0000_s206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65664" o:allowincell="f" fillcolor="black" stroked="f">
              <w10:wrap anchorx="margin"/>
            </v:rect>
          </w:pict>
        </mc:Fallback>
      </mc:AlternateContent>
    </w:r>
    <w:r>
      <w:rPr>
        <w:noProof/>
      </w:rPr>
      <mc:AlternateContent>
        <mc:Choice Requires="wps">
          <w:drawing>
            <wp:anchor distT="0" distB="0" distL="114300" distR="114300" simplePos="0" relativeHeight="25244774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56" name="Rectangle 151468175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56" o:spid="_x0000_s206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67712" o:allowincell="f" fillcolor="black" stroked="f">
              <w10:wrap anchorx="margin"/>
            </v:rect>
          </w:pict>
        </mc:Fallback>
      </mc:AlternateContent>
    </w:r>
    <w:r>
      <w:rPr>
        <w:noProof/>
      </w:rPr>
      <mc:AlternateContent>
        <mc:Choice Requires="wps">
          <w:drawing>
            <wp:anchor distT="0" distB="0" distL="114300" distR="114300" simplePos="0" relativeHeight="25244569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57" name="Rectangle 151468175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57" o:spid="_x0000_s206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69760" o:allowincell="f" fillcolor="black" stroked="f">
              <w10:wrap anchorx="margin"/>
            </v:rect>
          </w:pict>
        </mc:Fallback>
      </mc:AlternateContent>
    </w:r>
    <w:r>
      <w:rPr>
        <w:noProof/>
      </w:rPr>
      <mc:AlternateContent>
        <mc:Choice Requires="wps">
          <w:drawing>
            <wp:anchor distT="0" distB="0" distL="114300" distR="114300" simplePos="0" relativeHeight="25244364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58" name="Rectangle 151468175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58" o:spid="_x0000_s206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71808" o:allowincell="f" fillcolor="black" stroked="f">
              <w10:wrap anchorx="margin"/>
            </v:rect>
          </w:pict>
        </mc:Fallback>
      </mc:AlternateContent>
    </w:r>
    <w:r>
      <w:rPr>
        <w:noProof/>
      </w:rPr>
      <mc:AlternateContent>
        <mc:Choice Requires="wps">
          <w:drawing>
            <wp:anchor distT="0" distB="0" distL="114300" distR="114300" simplePos="0" relativeHeight="25244160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59" name="Rectangle 151468175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59" o:spid="_x0000_s206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73856" o:allowincell="f" fillcolor="black" stroked="f">
              <w10:wrap anchorx="margin"/>
            </v:rect>
          </w:pict>
        </mc:Fallback>
      </mc:AlternateContent>
    </w:r>
    <w:r>
      <w:rPr>
        <w:noProof/>
      </w:rPr>
      <mc:AlternateContent>
        <mc:Choice Requires="wps">
          <w:drawing>
            <wp:anchor distT="0" distB="0" distL="114300" distR="114300" simplePos="0" relativeHeight="25243955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60" name="Rectangle 151468176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60" o:spid="_x0000_s206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75904" o:allowincell="f" fillcolor="black" stroked="f">
              <w10:wrap anchorx="margin"/>
            </v:rect>
          </w:pict>
        </mc:Fallback>
      </mc:AlternateContent>
    </w:r>
    <w:r>
      <w:rPr>
        <w:noProof/>
      </w:rPr>
      <mc:AlternateContent>
        <mc:Choice Requires="wps">
          <w:drawing>
            <wp:anchor distT="0" distB="0" distL="114300" distR="114300" simplePos="0" relativeHeight="25243750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61" name="Rectangle 151468176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61" o:spid="_x0000_s206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77952" o:allowincell="f" fillcolor="black" stroked="f">
              <w10:wrap anchorx="margin"/>
            </v:rect>
          </w:pict>
        </mc:Fallback>
      </mc:AlternateContent>
    </w:r>
    <w:r>
      <w:rPr>
        <w:noProof/>
      </w:rPr>
      <mc:AlternateContent>
        <mc:Choice Requires="wps">
          <w:drawing>
            <wp:anchor distT="0" distB="0" distL="114300" distR="114300" simplePos="0" relativeHeight="25243545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62" name="Rectangle 151468176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62" o:spid="_x0000_s206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80000" o:allowincell="f" fillcolor="black" stroked="f">
              <w10:wrap anchorx="margin"/>
            </v:rect>
          </w:pict>
        </mc:Fallback>
      </mc:AlternateContent>
    </w:r>
    <w:r>
      <w:rPr>
        <w:noProof/>
      </w:rPr>
      <mc:AlternateContent>
        <mc:Choice Requires="wps">
          <w:drawing>
            <wp:anchor distT="0" distB="0" distL="114300" distR="114300" simplePos="0" relativeHeight="252433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63" name="Rectangle 151468176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63" o:spid="_x0000_s206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82048" o:allowincell="f" fillcolor="black" stroked="f">
              <w10:wrap anchorx="margin"/>
            </v:rect>
          </w:pict>
        </mc:Fallback>
      </mc:AlternateContent>
    </w:r>
    <w:r>
      <w:rPr>
        <w:noProof/>
      </w:rPr>
      <mc:AlternateContent>
        <mc:Choice Requires="wps">
          <w:drawing>
            <wp:anchor distT="0" distB="0" distL="114300" distR="114300" simplePos="0" relativeHeight="25243136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64" name="Rectangle 151468176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64" o:spid="_x0000_s207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84096" o:allowincell="f" fillcolor="black" stroked="f">
              <w10:wrap anchorx="margin"/>
            </v:rect>
          </w:pict>
        </mc:Fallback>
      </mc:AlternateContent>
    </w:r>
    <w:r>
      <w:rPr>
        <w:noProof/>
      </w:rPr>
      <mc:AlternateContent>
        <mc:Choice Requires="wps">
          <w:drawing>
            <wp:anchor distT="0" distB="0" distL="114300" distR="114300" simplePos="0" relativeHeight="25242931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65" name="Rectangle 151468176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65" o:spid="_x0000_s207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86144" o:allowincell="f" fillcolor="black" stroked="f">
              <w10:wrap anchorx="margin"/>
            </v:rect>
          </w:pict>
        </mc:Fallback>
      </mc:AlternateContent>
    </w:r>
    <w:r>
      <w:rPr>
        <w:noProof/>
      </w:rPr>
      <mc:AlternateContent>
        <mc:Choice Requires="wps">
          <w:drawing>
            <wp:anchor distT="0" distB="0" distL="114300" distR="114300" simplePos="0" relativeHeight="252427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66" name="Rectangle 151468176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66" o:spid="_x0000_s207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88192" o:allowincell="f" fillcolor="black" stroked="f" strokeweight="0.05pt">
              <v:path arrowok="t"/>
              <w10:wrap anchorx="margin"/>
            </v:rect>
          </w:pict>
        </mc:Fallback>
      </mc:AlternateContent>
    </w:r>
    <w:r>
      <w:rPr>
        <w:noProof/>
      </w:rPr>
      <mc:AlternateContent>
        <mc:Choice Requires="wps">
          <w:drawing>
            <wp:anchor distT="0" distB="0" distL="114300" distR="114300" simplePos="0" relativeHeight="252425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99" name="Rectangle 151468169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699" o:spid="_x0000_s207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90240" o:allowincell="f" fillcolor="black" stroked="f">
              <w10:wrap anchorx="margin"/>
            </v:rect>
          </w:pict>
        </mc:Fallback>
      </mc:AlternateContent>
    </w:r>
    <w:r>
      <w:rPr>
        <w:noProof/>
      </w:rPr>
      <mc:AlternateContent>
        <mc:Choice Requires="wps">
          <w:drawing>
            <wp:anchor distT="0" distB="0" distL="114300" distR="114300" simplePos="0" relativeHeight="25242316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00" name="Rectangle 151468170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00" o:spid="_x0000_s207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92288" o:allowincell="f" fillcolor="black" stroked="f">
              <w10:wrap anchorx="margin"/>
            </v:rect>
          </w:pict>
        </mc:Fallback>
      </mc:AlternateContent>
    </w:r>
    <w:r>
      <w:rPr>
        <w:noProof/>
      </w:rPr>
      <mc:AlternateContent>
        <mc:Choice Requires="wps">
          <w:drawing>
            <wp:anchor distT="0" distB="0" distL="114300" distR="114300" simplePos="0" relativeHeight="25242112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01" name="Rectangle 151468170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01" o:spid="_x0000_s207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94336" o:allowincell="f" fillcolor="black" stroked="f">
              <w10:wrap anchorx="margin"/>
            </v:rect>
          </w:pict>
        </mc:Fallback>
      </mc:AlternateContent>
    </w:r>
    <w:r>
      <w:rPr>
        <w:noProof/>
      </w:rPr>
      <mc:AlternateContent>
        <mc:Choice Requires="wps">
          <w:drawing>
            <wp:anchor distT="0" distB="0" distL="114300" distR="114300" simplePos="0" relativeHeight="25241907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02" name="Rectangle 151468170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02" o:spid="_x0000_s207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96384" o:allowincell="f" fillcolor="black" stroked="f">
              <w10:wrap anchorx="margin"/>
            </v:rect>
          </w:pict>
        </mc:Fallback>
      </mc:AlternateContent>
    </w:r>
    <w:r>
      <w:rPr>
        <w:noProof/>
      </w:rPr>
      <mc:AlternateContent>
        <mc:Choice Requires="wps">
          <w:drawing>
            <wp:anchor distT="0" distB="0" distL="114300" distR="114300" simplePos="0" relativeHeight="25241702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03" name="Rectangle 151468170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03" o:spid="_x0000_s207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98432" o:allowincell="f" fillcolor="black" stroked="f">
              <w10:wrap anchorx="margin"/>
            </v:rect>
          </w:pict>
        </mc:Fallback>
      </mc:AlternateContent>
    </w:r>
    <w:r>
      <w:rPr>
        <w:noProof/>
      </w:rPr>
      <mc:AlternateContent>
        <mc:Choice Requires="wps">
          <w:drawing>
            <wp:anchor distT="0" distB="0" distL="114300" distR="114300" simplePos="0" relativeHeight="25241497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04" name="Rectangle 151468170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04" o:spid="_x0000_s207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00480" o:allowincell="f" fillcolor="black" stroked="f">
              <w10:wrap anchorx="margin"/>
            </v:rect>
          </w:pict>
        </mc:Fallback>
      </mc:AlternateContent>
    </w:r>
    <w:r>
      <w:rPr>
        <w:noProof/>
      </w:rPr>
      <mc:AlternateContent>
        <mc:Choice Requires="wps">
          <w:drawing>
            <wp:anchor distT="0" distB="0" distL="114300" distR="114300" simplePos="0" relativeHeight="2524129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05" name="Rectangle 151468170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05" o:spid="_x0000_s207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02528" o:allowincell="f" fillcolor="black" stroked="f">
              <w10:wrap anchorx="margin"/>
            </v:rect>
          </w:pict>
        </mc:Fallback>
      </mc:AlternateContent>
    </w:r>
    <w:r>
      <w:rPr>
        <w:noProof/>
      </w:rPr>
      <mc:AlternateContent>
        <mc:Choice Requires="wps">
          <w:drawing>
            <wp:anchor distT="0" distB="0" distL="114300" distR="114300" simplePos="0" relativeHeight="2524108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06" name="Rectangle 151468170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06" o:spid="_x0000_s208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04576" o:allowincell="f" fillcolor="black" stroked="f">
              <w10:wrap anchorx="margin"/>
            </v:rect>
          </w:pict>
        </mc:Fallback>
      </mc:AlternateContent>
    </w:r>
    <w:r>
      <w:rPr>
        <w:noProof/>
      </w:rPr>
      <mc:AlternateContent>
        <mc:Choice Requires="wps">
          <w:drawing>
            <wp:anchor distT="0" distB="0" distL="114300" distR="114300" simplePos="0" relativeHeight="2524088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07" name="Rectangle 151468170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07" o:spid="_x0000_s208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06624" o:allowincell="f" fillcolor="black" stroked="f">
              <w10:wrap anchorx="margin"/>
            </v:rect>
          </w:pict>
        </mc:Fallback>
      </mc:AlternateContent>
    </w:r>
    <w:r>
      <w:rPr>
        <w:noProof/>
      </w:rPr>
      <mc:AlternateContent>
        <mc:Choice Requires="wps">
          <w:drawing>
            <wp:anchor distT="0" distB="0" distL="114300" distR="114300" simplePos="0" relativeHeight="2524067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08" name="Rectangle 151468170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08" o:spid="_x0000_s208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08672" o:allowincell="f" fillcolor="black" stroked="f">
              <w10:wrap anchorx="margin"/>
            </v:rect>
          </w:pict>
        </mc:Fallback>
      </mc:AlternateContent>
    </w:r>
    <w:r>
      <w:rPr>
        <w:noProof/>
      </w:rPr>
      <mc:AlternateContent>
        <mc:Choice Requires="wps">
          <w:drawing>
            <wp:anchor distT="0" distB="0" distL="114300" distR="114300" simplePos="0" relativeHeight="2524047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09" name="Rectangle 151468170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09" o:spid="_x0000_s208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10720" o:allowincell="f" fillcolor="black" stroked="f">
              <w10:wrap anchorx="margin"/>
            </v:rect>
          </w:pict>
        </mc:Fallback>
      </mc:AlternateContent>
    </w:r>
    <w:r>
      <w:rPr>
        <w:noProof/>
      </w:rPr>
      <mc:AlternateContent>
        <mc:Choice Requires="wps">
          <w:drawing>
            <wp:anchor distT="0" distB="0" distL="114300" distR="114300" simplePos="0" relativeHeight="2524026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10" name="Rectangle 15146817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10" o:spid="_x0000_s208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12768" o:allowincell="f" fillcolor="black" stroked="f" strokeweight="0.05pt">
              <v:path arrowok="t"/>
              <w10:wrap anchorx="margin"/>
            </v:rect>
          </w:pict>
        </mc:Fallback>
      </mc:AlternateContent>
    </w:r>
    <w:r>
      <w:rPr>
        <w:noProof/>
      </w:rPr>
      <mc:AlternateContent>
        <mc:Choice Requires="wps">
          <w:drawing>
            <wp:anchor distT="0" distB="0" distL="114300" distR="114300" simplePos="0" relativeHeight="2524006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55" name="Rectangl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8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14816" o:allowincell="f" fillcolor="black" stroked="f">
              <w10:wrap anchorx="margin"/>
            </v:rect>
          </w:pict>
        </mc:Fallback>
      </mc:AlternateContent>
    </w:r>
    <w:r>
      <w:rPr>
        <w:noProof/>
      </w:rPr>
      <mc:AlternateContent>
        <mc:Choice Requires="wps">
          <w:drawing>
            <wp:anchor distT="0" distB="0" distL="114300" distR="114300" simplePos="0" relativeHeight="25239859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54" name="Rectangle 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08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16864" o:allowincell="f" fillcolor="black" stroked="f">
              <w10:wrap anchorx="margin"/>
            </v:rect>
          </w:pict>
        </mc:Fallback>
      </mc:AlternateContent>
    </w:r>
    <w:r>
      <w:rPr>
        <w:noProof/>
      </w:rPr>
      <mc:AlternateContent>
        <mc:Choice Requires="wps">
          <w:drawing>
            <wp:anchor distT="0" distB="0" distL="114300" distR="114300" simplePos="0" relativeHeight="25239654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53" name="Rectangle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208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18912" o:allowincell="f" fillcolor="black" stroked="f">
              <w10:wrap anchorx="margin"/>
            </v:rect>
          </w:pict>
        </mc:Fallback>
      </mc:AlternateContent>
    </w:r>
    <w:r>
      <w:rPr>
        <w:noProof/>
      </w:rPr>
      <mc:AlternateContent>
        <mc:Choice Requires="wps">
          <w:drawing>
            <wp:anchor distT="0" distB="0" distL="114300" distR="114300" simplePos="0" relativeHeight="25239449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4" name="Rectangle 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 o:spid="_x0000_s208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20960" o:allowincell="f" fillcolor="black" stroked="f">
              <w10:wrap anchorx="margin"/>
            </v:rect>
          </w:pict>
        </mc:Fallback>
      </mc:AlternateContent>
    </w:r>
    <w:r>
      <w:rPr>
        <w:noProof/>
      </w:rPr>
      <mc:AlternateContent>
        <mc:Choice Requires="wps">
          <w:drawing>
            <wp:anchor distT="0" distB="0" distL="114300" distR="114300" simplePos="0" relativeHeight="25239244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6" name="Rectangle 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3" o:spid="_x0000_s208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23008" o:allowincell="f" fillcolor="black" stroked="f">
              <w10:wrap anchorx="margin"/>
            </v:rect>
          </w:pict>
        </mc:Fallback>
      </mc:AlternateContent>
    </w:r>
    <w:r>
      <w:rPr>
        <w:noProof/>
      </w:rPr>
      <mc:AlternateContent>
        <mc:Choice Requires="wps">
          <w:drawing>
            <wp:anchor distT="0" distB="0" distL="114300" distR="114300" simplePos="0" relativeHeight="25239040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5" name="Rectangle 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4" o:spid="_x0000_s209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25056" o:allowincell="f" fillcolor="black" stroked="f">
              <w10:wrap anchorx="margin"/>
            </v:rect>
          </w:pict>
        </mc:Fallback>
      </mc:AlternateContent>
    </w:r>
    <w:r>
      <w:rPr>
        <w:noProof/>
      </w:rPr>
      <mc:AlternateContent>
        <mc:Choice Requires="wps">
          <w:drawing>
            <wp:anchor distT="0" distB="0" distL="114300" distR="114300" simplePos="0" relativeHeight="252388352" behindDoc="1" locked="0" layoutInCell="0" allowOverlap="1">
              <wp:simplePos x="0" y="0"/>
              <wp:positionH relativeFrom="margin">
                <wp:posOffset>0</wp:posOffset>
              </wp:positionH>
              <wp:positionV relativeFrom="paragraph">
                <wp:posOffset>0</wp:posOffset>
              </wp:positionV>
              <wp:extent cx="5943600" cy="12065"/>
              <wp:effectExtent l="0" t="0" r="0" b="0"/>
              <wp:wrapNone/>
              <wp:docPr id="60" name="Rectangle 2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0" o:spid="_x0000_s209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27104" o:allowincell="f" fillcolor="black" stroked="f">
              <w10:wrap anchorx="margin"/>
            </v:rect>
          </w:pict>
        </mc:Fallback>
      </mc:AlternateContent>
    </w:r>
    <w:r>
      <w:rPr>
        <w:noProof/>
      </w:rPr>
      <mc:AlternateContent>
        <mc:Choice Requires="wps">
          <w:drawing>
            <wp:anchor distT="0" distB="0" distL="114300" distR="114300" simplePos="0" relativeHeight="25238630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76" name="Rectangle 2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3" o:spid="_x0000_s209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29152" o:allowincell="f" fillcolor="black" stroked="f">
              <w10:wrap anchorx="margin"/>
            </v:rect>
          </w:pict>
        </mc:Fallback>
      </mc:AlternateContent>
    </w:r>
    <w:r>
      <w:rPr>
        <w:noProof/>
      </w:rPr>
      <mc:AlternateContent>
        <mc:Choice Requires="wps">
          <w:drawing>
            <wp:anchor distT="0" distB="0" distL="114300" distR="114300" simplePos="0" relativeHeight="25238425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34" name="Rectangle 2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9" o:spid="_x0000_s209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31200" o:allowincell="f" fillcolor="black" stroked="f">
              <w10:wrap anchorx="margin"/>
            </v:rect>
          </w:pict>
        </mc:Fallback>
      </mc:AlternateContent>
    </w:r>
    <w:r>
      <w:rPr>
        <w:noProof/>
      </w:rPr>
      <mc:AlternateContent>
        <mc:Choice Requires="wps">
          <w:drawing>
            <wp:anchor distT="0" distB="0" distL="114300" distR="114300" simplePos="0" relativeHeight="2523822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53" name="Rectangle 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3" o:spid="_x0000_s209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33248" o:allowincell="f" fillcolor="black" stroked="f">
              <w10:wrap anchorx="margin"/>
            </v:rect>
          </w:pict>
        </mc:Fallback>
      </mc:AlternateContent>
    </w:r>
    <w:r>
      <w:rPr>
        <w:noProof/>
      </w:rPr>
      <mc:AlternateContent>
        <mc:Choice Requires="wps">
          <w:drawing>
            <wp:anchor distT="0" distB="0" distL="114300" distR="114300" simplePos="0" relativeHeight="25238016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61" name="Rectangle 3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4" o:spid="_x0000_s209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35296" o:allowincell="f" fillcolor="black" stroked="f">
              <w10:wrap anchorx="margin"/>
            </v:rect>
          </w:pict>
        </mc:Fallback>
      </mc:AlternateContent>
    </w:r>
    <w:r>
      <w:rPr>
        <w:noProof/>
      </w:rPr>
      <mc:AlternateContent>
        <mc:Choice Requires="wps">
          <w:drawing>
            <wp:anchor distT="0" distB="0" distL="114300" distR="114300" simplePos="0" relativeHeight="25237811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80" name="Rectangle 3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5" o:spid="_x0000_s209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37344" o:allowincell="f" fillcolor="black" stroked="f" strokeweight="0.05pt">
              <v:path arrowok="t"/>
              <w10:wrap anchorx="margin"/>
            </v:rect>
          </w:pict>
        </mc:Fallback>
      </mc:AlternateContent>
    </w:r>
    <w:r>
      <w:rPr>
        <w:noProof/>
      </w:rPr>
      <mc:AlternateContent>
        <mc:Choice Requires="wps">
          <w:drawing>
            <wp:anchor distT="0" distB="0" distL="114300" distR="114300" simplePos="0" relativeHeight="2523760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94" name="Rectangle 151468159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94" o:spid="_x0000_s209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39392" o:allowincell="f" fillcolor="black" stroked="f">
              <w10:wrap anchorx="margin"/>
            </v:rect>
          </w:pict>
        </mc:Fallback>
      </mc:AlternateContent>
    </w:r>
    <w:r>
      <w:rPr>
        <w:noProof/>
      </w:rPr>
      <mc:AlternateContent>
        <mc:Choice Requires="wps">
          <w:drawing>
            <wp:anchor distT="0" distB="0" distL="114300" distR="114300" simplePos="0" relativeHeight="2523740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95" name="Rectangle 151468159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95" o:spid="_x0000_s209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41440" o:allowincell="f" fillcolor="black" stroked="f">
              <w10:wrap anchorx="margin"/>
            </v:rect>
          </w:pict>
        </mc:Fallback>
      </mc:AlternateContent>
    </w:r>
    <w:r>
      <w:rPr>
        <w:noProof/>
      </w:rPr>
      <mc:AlternateContent>
        <mc:Choice Requires="wps">
          <w:drawing>
            <wp:anchor distT="0" distB="0" distL="114300" distR="114300" simplePos="0" relativeHeight="25237196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85" name="Rectangle 151468158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85" o:spid="_x0000_s209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43488" o:allowincell="f" fillcolor="black" stroked="f">
              <w10:wrap anchorx="margin"/>
            </v:rect>
          </w:pict>
        </mc:Fallback>
      </mc:AlternateContent>
    </w:r>
    <w:r>
      <w:rPr>
        <w:noProof/>
      </w:rPr>
      <mc:AlternateContent>
        <mc:Choice Requires="wps">
          <w:drawing>
            <wp:anchor distT="0" distB="0" distL="114300" distR="114300" simplePos="0" relativeHeight="25236992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87" name="Rectangle 151468158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87" o:spid="_x0000_s210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45536" o:allowincell="f" fillcolor="black" stroked="f">
              <w10:wrap anchorx="margin"/>
            </v:rect>
          </w:pict>
        </mc:Fallback>
      </mc:AlternateContent>
    </w:r>
    <w:r>
      <w:rPr>
        <w:noProof/>
      </w:rPr>
      <mc:AlternateContent>
        <mc:Choice Requires="wps">
          <w:drawing>
            <wp:anchor distT="0" distB="0" distL="114300" distR="114300" simplePos="0" relativeHeight="25236787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96" name="Rectangle 151468159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96" o:spid="_x0000_s210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47584" o:allowincell="f" fillcolor="black" stroked="f">
              <w10:wrap anchorx="margin"/>
            </v:rect>
          </w:pict>
        </mc:Fallback>
      </mc:AlternateContent>
    </w:r>
    <w:r>
      <w:rPr>
        <w:noProof/>
      </w:rPr>
      <mc:AlternateContent>
        <mc:Choice Requires="wps">
          <w:drawing>
            <wp:anchor distT="0" distB="0" distL="114300" distR="114300" simplePos="0" relativeHeight="25236582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97" name="Rectangle 151468159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97" o:spid="_x0000_s210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49632" o:allowincell="f" fillcolor="black" stroked="f">
              <w10:wrap anchorx="margin"/>
            </v:rect>
          </w:pict>
        </mc:Fallback>
      </mc:AlternateContent>
    </w:r>
    <w:r>
      <w:rPr>
        <w:noProof/>
      </w:rPr>
      <mc:AlternateContent>
        <mc:Choice Requires="wps">
          <w:drawing>
            <wp:anchor distT="0" distB="0" distL="114300" distR="114300" simplePos="0" relativeHeight="25236377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99" name="Rectangle 151468159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99" o:spid="_x0000_s210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51680" o:allowincell="f" fillcolor="black" stroked="f">
              <w10:wrap anchorx="margin"/>
            </v:rect>
          </w:pict>
        </mc:Fallback>
      </mc:AlternateContent>
    </w:r>
    <w:r>
      <w:rPr>
        <w:noProof/>
      </w:rPr>
      <mc:AlternateContent>
        <mc:Choice Requires="wps">
          <w:drawing>
            <wp:anchor distT="0" distB="0" distL="114300" distR="114300" simplePos="0" relativeHeight="2523617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00" name="Rectangle 151468160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600" o:spid="_x0000_s210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53728" o:allowincell="f" fillcolor="black" stroked="f">
              <w10:wrap anchorx="margin"/>
            </v:rect>
          </w:pict>
        </mc:Fallback>
      </mc:AlternateContent>
    </w:r>
    <w:r>
      <w:rPr>
        <w:noProof/>
      </w:rPr>
      <mc:AlternateContent>
        <mc:Choice Requires="wps">
          <w:drawing>
            <wp:anchor distT="0" distB="0" distL="114300" distR="114300" simplePos="0" relativeHeight="2523596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81" name="Rectangle 4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7" o:spid="_x0000_s210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55776" o:allowincell="f" fillcolor="black" stroked="f">
              <w10:wrap anchorx="margin"/>
            </v:rect>
          </w:pict>
        </mc:Fallback>
      </mc:AlternateContent>
    </w:r>
    <w:r>
      <w:rPr>
        <w:noProof/>
      </w:rPr>
      <mc:AlternateContent>
        <mc:Choice Requires="wps">
          <w:drawing>
            <wp:anchor distT="0" distB="0" distL="114300" distR="114300" simplePos="0" relativeHeight="2523576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82"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10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57824" o:allowincell="f" fillcolor="black" stroked="f">
              <w10:wrap anchorx="margin"/>
            </v:rect>
          </w:pict>
        </mc:Fallback>
      </mc:AlternateContent>
    </w:r>
    <w:r>
      <w:rPr>
        <w:noProof/>
      </w:rPr>
      <mc:AlternateContent>
        <mc:Choice Requires="wps">
          <w:drawing>
            <wp:anchor distT="0" distB="0" distL="114300" distR="114300" simplePos="0" relativeHeight="2523555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83" name="Rectangl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10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59872" o:allowincell="f" fillcolor="black" stroked="f">
              <w10:wrap anchorx="margin"/>
            </v:rect>
          </w:pict>
        </mc:Fallback>
      </mc:AlternateContent>
    </w:r>
  </w:p>
  <w:p w:rsidR="004A1C4D" w:rsidRPr="009838BC" w:rsidP="004A1C4D" w14:paraId="37ED1C8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3755" w:rsidRPr="009838BC" w:rsidP="00483755" w14:paraId="0439CF44" w14:textId="77777777">
    <w:pPr>
      <w:tabs>
        <w:tab w:val="center" w:pos="4680"/>
        <w:tab w:val="right" w:pos="9360"/>
      </w:tabs>
    </w:pPr>
    <w:r w:rsidRPr="009838BC">
      <w:rPr>
        <w:b/>
      </w:rPr>
      <w:tab/>
    </w:r>
    <w:r w:rsidRPr="004A7B78">
      <w:rPr>
        <w:b/>
        <w:sz w:val="22"/>
        <w:szCs w:val="22"/>
      </w:rPr>
      <w:t>Federal Communications Commission</w:t>
    </w:r>
    <w:r w:rsidRPr="004A7B78">
      <w:rPr>
        <w:b/>
        <w:sz w:val="22"/>
        <w:szCs w:val="22"/>
      </w:rPr>
      <w:tab/>
      <w:t>DA 20-594</w:t>
    </w:r>
  </w:p>
  <w:p w:rsidR="00483755" w:rsidRPr="009838BC" w:rsidP="00483755" w14:paraId="38D1036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259520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210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20256" o:allowincell="f" fillcolor="black" stroked="f">
              <w10:wrap anchorx="margin"/>
            </v:rect>
          </w:pict>
        </mc:Fallback>
      </mc:AlternateContent>
    </w:r>
    <w:r>
      <w:rPr>
        <w:noProof/>
      </w:rPr>
      <mc:AlternateContent>
        <mc:Choice Requires="wps">
          <w:drawing>
            <wp:anchor distT="0" distB="0" distL="114300" distR="114300" simplePos="0" relativeHeight="252593152"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 o:spid="_x0000_s210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22304" o:allowincell="f" fillcolor="black" stroked="f">
              <w10:wrap anchorx="margin"/>
            </v:rect>
          </w:pict>
        </mc:Fallback>
      </mc:AlternateContent>
    </w:r>
    <w:r>
      <w:rPr>
        <w:noProof/>
      </w:rPr>
      <mc:AlternateContent>
        <mc:Choice Requires="wps">
          <w:drawing>
            <wp:anchor distT="0" distB="0" distL="114300" distR="114300" simplePos="0" relativeHeight="252591104" behindDoc="1" locked="0" layoutInCell="0" allowOverlap="1">
              <wp:simplePos x="0" y="0"/>
              <wp:positionH relativeFrom="margin">
                <wp:posOffset>0</wp:posOffset>
              </wp:positionH>
              <wp:positionV relativeFrom="paragraph">
                <wp:posOffset>0</wp:posOffset>
              </wp:positionV>
              <wp:extent cx="5943600" cy="12065"/>
              <wp:effectExtent l="0" t="0" r="0" b="0"/>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 o:spid="_x0000_s211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24352" o:allowincell="f" fillcolor="black" stroked="f">
              <w10:wrap anchorx="margin"/>
            </v:rect>
          </w:pict>
        </mc:Fallback>
      </mc:AlternateContent>
    </w:r>
    <w:r>
      <w:rPr>
        <w:noProof/>
      </w:rPr>
      <mc:AlternateContent>
        <mc:Choice Requires="wps">
          <w:drawing>
            <wp:anchor distT="0" distB="0" distL="114300" distR="114300" simplePos="0" relativeHeight="252589056" behindDoc="1" locked="0" layoutInCell="0" allowOverlap="1">
              <wp:simplePos x="0" y="0"/>
              <wp:positionH relativeFrom="margin">
                <wp:posOffset>0</wp:posOffset>
              </wp:positionH>
              <wp:positionV relativeFrom="paragraph">
                <wp:posOffset>0</wp:posOffset>
              </wp:positionV>
              <wp:extent cx="5943600" cy="12065"/>
              <wp:effectExtent l="0" t="0" r="0" b="0"/>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9" o:spid="_x0000_s211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26400" o:allowincell="f" fillcolor="black" stroked="f">
              <w10:wrap anchorx="margin"/>
            </v:rect>
          </w:pict>
        </mc:Fallback>
      </mc:AlternateContent>
    </w:r>
    <w:r>
      <w:rPr>
        <w:noProof/>
      </w:rPr>
      <mc:AlternateContent>
        <mc:Choice Requires="wps">
          <w:drawing>
            <wp:anchor distT="0" distB="0" distL="114300" distR="114300" simplePos="0" relativeHeight="2525870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 o:spid="_x0000_s211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28448" o:allowincell="f" fillcolor="black" stroked="f">
              <w10:wrap anchorx="margin"/>
            </v:rect>
          </w:pict>
        </mc:Fallback>
      </mc:AlternateContent>
    </w:r>
    <w:r>
      <w:rPr>
        <w:noProof/>
      </w:rPr>
      <mc:AlternateContent>
        <mc:Choice Requires="wps">
          <w:drawing>
            <wp:anchor distT="0" distB="0" distL="114300" distR="114300" simplePos="0" relativeHeight="25258496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1" o:spid="_x0000_s211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30496" o:allowincell="f" fillcolor="black" stroked="f">
              <w10:wrap anchorx="margin"/>
            </v:rect>
          </w:pict>
        </mc:Fallback>
      </mc:AlternateContent>
    </w:r>
    <w:r>
      <w:rPr>
        <w:noProof/>
      </w:rPr>
      <mc:AlternateContent>
        <mc:Choice Requires="wps">
          <w:drawing>
            <wp:anchor distT="0" distB="0" distL="114300" distR="114300" simplePos="0" relativeHeight="25258291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3" name="Rectangle 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3" o:spid="_x0000_s211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32544" o:allowincell="f" fillcolor="black" stroked="f">
              <w10:wrap anchorx="margin"/>
            </v:rect>
          </w:pict>
        </mc:Fallback>
      </mc:AlternateContent>
    </w:r>
    <w:r>
      <w:rPr>
        <w:noProof/>
      </w:rPr>
      <mc:AlternateContent>
        <mc:Choice Requires="wps">
          <w:drawing>
            <wp:anchor distT="0" distB="0" distL="114300" distR="114300" simplePos="0" relativeHeight="2525808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4" name="Rectangle 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4" o:spid="_x0000_s211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34592" o:allowincell="f" fillcolor="black" stroked="f">
              <w10:wrap anchorx="margin"/>
            </v:rect>
          </w:pict>
        </mc:Fallback>
      </mc:AlternateContent>
    </w:r>
    <w:r>
      <w:rPr>
        <w:noProof/>
      </w:rPr>
      <mc:AlternateContent>
        <mc:Choice Requires="wps">
          <w:drawing>
            <wp:anchor distT="0" distB="0" distL="114300" distR="114300" simplePos="0" relativeHeight="2525788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11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36640" o:allowincell="f" fillcolor="black" stroked="f">
              <w10:wrap anchorx="margin"/>
            </v:rect>
          </w:pict>
        </mc:Fallback>
      </mc:AlternateContent>
    </w:r>
    <w:r>
      <w:rPr>
        <w:noProof/>
      </w:rPr>
      <mc:AlternateContent>
        <mc:Choice Requires="wps">
          <w:drawing>
            <wp:anchor distT="0" distB="0" distL="114300" distR="114300" simplePos="0" relativeHeight="25257676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6" name="Rectangle 1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6" o:spid="_x0000_s211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38688" o:allowincell="f" fillcolor="black" stroked="f">
              <w10:wrap anchorx="margin"/>
            </v:rect>
          </w:pict>
        </mc:Fallback>
      </mc:AlternateContent>
    </w:r>
    <w:r>
      <w:rPr>
        <w:noProof/>
      </w:rPr>
      <mc:AlternateContent>
        <mc:Choice Requires="wps">
          <w:drawing>
            <wp:anchor distT="0" distB="0" distL="114300" distR="114300" simplePos="0" relativeHeight="25257472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0" name="Rectangle 2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0" o:spid="_x0000_s211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40736" o:allowincell="f" fillcolor="black" stroked="f">
              <w10:wrap anchorx="margin"/>
            </v:rect>
          </w:pict>
        </mc:Fallback>
      </mc:AlternateContent>
    </w:r>
    <w:r>
      <w:rPr>
        <w:noProof/>
      </w:rPr>
      <mc:AlternateContent>
        <mc:Choice Requires="wps">
          <w:drawing>
            <wp:anchor distT="0" distB="0" distL="114300" distR="114300" simplePos="0" relativeHeight="252572672" behindDoc="1" locked="0" layoutInCell="0" allowOverlap="1">
              <wp:simplePos x="0" y="0"/>
              <wp:positionH relativeFrom="margin">
                <wp:posOffset>0</wp:posOffset>
              </wp:positionH>
              <wp:positionV relativeFrom="paragraph">
                <wp:posOffset>0</wp:posOffset>
              </wp:positionV>
              <wp:extent cx="5943600" cy="12065"/>
              <wp:effectExtent l="0" t="0" r="0" b="0"/>
              <wp:wrapNone/>
              <wp:docPr id="21" name="Rectangle 2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1" o:spid="_x0000_s211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42784" o:allowincell="f" fillcolor="black" stroked="f" strokeweight="0.05pt">
              <v:path arrowok="t"/>
              <w10:wrap anchorx="margin"/>
            </v:rect>
          </w:pict>
        </mc:Fallback>
      </mc:AlternateContent>
    </w:r>
    <w:r>
      <w:rPr>
        <w:noProof/>
      </w:rPr>
      <mc:AlternateContent>
        <mc:Choice Requires="wps">
          <w:drawing>
            <wp:anchor distT="0" distB="0" distL="114300" distR="114300" simplePos="0" relativeHeight="252570624" behindDoc="1" locked="0" layoutInCell="0" allowOverlap="1">
              <wp:simplePos x="0" y="0"/>
              <wp:positionH relativeFrom="margin">
                <wp:posOffset>0</wp:posOffset>
              </wp:positionH>
              <wp:positionV relativeFrom="paragraph">
                <wp:posOffset>0</wp:posOffset>
              </wp:positionV>
              <wp:extent cx="5943600" cy="12065"/>
              <wp:effectExtent l="0" t="0" r="0" b="0"/>
              <wp:wrapNone/>
              <wp:docPr id="22" name="Rectangle 151468175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55" o:spid="_x0000_s212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44832" o:allowincell="f" fillcolor="black" stroked="f">
              <w10:wrap anchorx="margin"/>
            </v:rect>
          </w:pict>
        </mc:Fallback>
      </mc:AlternateContent>
    </w:r>
    <w:r>
      <w:rPr>
        <w:noProof/>
      </w:rPr>
      <mc:AlternateContent>
        <mc:Choice Requires="wps">
          <w:drawing>
            <wp:anchor distT="0" distB="0" distL="114300" distR="114300" simplePos="0" relativeHeight="25256857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3" name="Rectangle 2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3" o:spid="_x0000_s212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46880" o:allowincell="f" fillcolor="black" stroked="f">
              <w10:wrap anchorx="margin"/>
            </v:rect>
          </w:pict>
        </mc:Fallback>
      </mc:AlternateContent>
    </w:r>
    <w:r>
      <w:rPr>
        <w:noProof/>
      </w:rPr>
      <mc:AlternateContent>
        <mc:Choice Requires="wps">
          <w:drawing>
            <wp:anchor distT="0" distB="0" distL="114300" distR="114300" simplePos="0" relativeHeight="2525665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4" o:spid="_x0000_s212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48928" o:allowincell="f" fillcolor="black" stroked="f">
              <w10:wrap anchorx="margin"/>
            </v:rect>
          </w:pict>
        </mc:Fallback>
      </mc:AlternateContent>
    </w:r>
    <w:r>
      <w:rPr>
        <w:noProof/>
      </w:rPr>
      <mc:AlternateContent>
        <mc:Choice Requires="wps">
          <w:drawing>
            <wp:anchor distT="0" distB="0" distL="114300" distR="114300" simplePos="0" relativeHeight="2525644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5" name="Rectangle 2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5" o:spid="_x0000_s212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50976" o:allowincell="f" fillcolor="black" stroked="f">
              <w10:wrap anchorx="margin"/>
            </v:rect>
          </w:pict>
        </mc:Fallback>
      </mc:AlternateContent>
    </w:r>
    <w:r>
      <w:rPr>
        <w:noProof/>
      </w:rPr>
      <mc:AlternateContent>
        <mc:Choice Requires="wps">
          <w:drawing>
            <wp:anchor distT="0" distB="0" distL="114300" distR="114300" simplePos="0" relativeHeight="252562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29" name="Rectangle 2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9" o:spid="_x0000_s212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53024" o:allowincell="f" fillcolor="black" stroked="f">
              <w10:wrap anchorx="margin"/>
            </v:rect>
          </w:pict>
        </mc:Fallback>
      </mc:AlternateContent>
    </w:r>
    <w:r>
      <w:rPr>
        <w:noProof/>
      </w:rPr>
      <mc:AlternateContent>
        <mc:Choice Requires="wps">
          <w:drawing>
            <wp:anchor distT="0" distB="0" distL="114300" distR="114300" simplePos="0" relativeHeight="252560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30" name="Rectangle 3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0" o:spid="_x0000_s212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55072" o:allowincell="f" fillcolor="black" stroked="f">
              <w10:wrap anchorx="margin"/>
            </v:rect>
          </w:pict>
        </mc:Fallback>
      </mc:AlternateContent>
    </w:r>
    <w:r>
      <w:rPr>
        <w:noProof/>
      </w:rPr>
      <mc:AlternateContent>
        <mc:Choice Requires="wps">
          <w:drawing>
            <wp:anchor distT="0" distB="0" distL="114300" distR="114300" simplePos="0" relativeHeight="252558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33" name="Rectangle 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3" o:spid="_x0000_s212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57120" o:allowincell="f" fillcolor="black" stroked="f">
              <w10:wrap anchorx="margin"/>
            </v:rect>
          </w:pict>
        </mc:Fallback>
      </mc:AlternateContent>
    </w:r>
    <w:r>
      <w:rPr>
        <w:noProof/>
      </w:rPr>
      <mc:AlternateContent>
        <mc:Choice Requires="wps">
          <w:drawing>
            <wp:anchor distT="0" distB="0" distL="114300" distR="114300" simplePos="0" relativeHeight="252556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4" name="Rectangle 3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4" o:spid="_x0000_s212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59168" o:allowincell="f" fillcolor="black" stroked="f">
              <w10:wrap anchorx="margin"/>
            </v:rect>
          </w:pict>
        </mc:Fallback>
      </mc:AlternateContent>
    </w:r>
    <w:r>
      <w:rPr>
        <w:noProof/>
      </w:rPr>
      <mc:AlternateContent>
        <mc:Choice Requires="wps">
          <w:drawing>
            <wp:anchor distT="0" distB="0" distL="114300" distR="114300" simplePos="0" relativeHeight="252554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5" name="Rectangle 3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5" o:spid="_x0000_s212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61216" o:allowincell="f" fillcolor="black" stroked="f">
              <w10:wrap anchorx="margin"/>
            </v:rect>
          </w:pict>
        </mc:Fallback>
      </mc:AlternateContent>
    </w:r>
    <w:r>
      <w:rPr>
        <w:noProof/>
      </w:rPr>
      <mc:AlternateContent>
        <mc:Choice Requires="wps">
          <w:drawing>
            <wp:anchor distT="0" distB="0" distL="114300" distR="114300" simplePos="0" relativeHeight="252552192" behindDoc="1" locked="0" layoutInCell="0" allowOverlap="1">
              <wp:simplePos x="0" y="0"/>
              <wp:positionH relativeFrom="margin">
                <wp:posOffset>0</wp:posOffset>
              </wp:positionH>
              <wp:positionV relativeFrom="paragraph">
                <wp:posOffset>0</wp:posOffset>
              </wp:positionV>
              <wp:extent cx="5943600" cy="12065"/>
              <wp:effectExtent l="0" t="0" r="0" b="0"/>
              <wp:wrapNone/>
              <wp:docPr id="47" name="Rectangle 4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7" o:spid="_x0000_s212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63264" o:allowincell="f" fillcolor="black" stroked="f">
              <w10:wrap anchorx="margin"/>
            </v:rect>
          </w:pict>
        </mc:Fallback>
      </mc:AlternateContent>
    </w:r>
    <w:r>
      <w:rPr>
        <w:noProof/>
      </w:rPr>
      <mc:AlternateContent>
        <mc:Choice Requires="wps">
          <w:drawing>
            <wp:anchor distT="0" distB="0" distL="114300" distR="114300" simplePos="0" relativeHeight="25255014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67" name="Rectangle 151468176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67" o:spid="_x0000_s213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65312" o:allowincell="f" fillcolor="black" stroked="f">
              <w10:wrap anchorx="margin"/>
            </v:rect>
          </w:pict>
        </mc:Fallback>
      </mc:AlternateContent>
    </w:r>
    <w:r>
      <w:rPr>
        <w:noProof/>
      </w:rPr>
      <mc:AlternateContent>
        <mc:Choice Requires="wps">
          <w:drawing>
            <wp:anchor distT="0" distB="0" distL="114300" distR="114300" simplePos="0" relativeHeight="25254809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69" name="Rectangle 151468176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69" o:spid="_x0000_s213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67360" o:allowincell="f" fillcolor="black" stroked="f" strokeweight="0.05pt">
              <v:path arrowok="t"/>
              <w10:wrap anchorx="margin"/>
            </v:rect>
          </w:pict>
        </mc:Fallback>
      </mc:AlternateContent>
    </w:r>
    <w:r>
      <w:rPr>
        <w:noProof/>
      </w:rPr>
      <mc:AlternateContent>
        <mc:Choice Requires="wps">
          <w:drawing>
            <wp:anchor distT="0" distB="0" distL="114300" distR="114300" simplePos="0" relativeHeight="25254604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770" name="Rectangle 151468177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770" o:spid="_x0000_s213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69408" o:allowincell="f" fillcolor="black" stroked="f">
              <w10:wrap anchorx="margin"/>
            </v:rect>
          </w:pict>
        </mc:Fallback>
      </mc:AlternateContent>
    </w:r>
    <w:r>
      <w:rPr>
        <w:noProof/>
      </w:rPr>
      <mc:AlternateContent>
        <mc:Choice Requires="wps">
          <w:drawing>
            <wp:anchor distT="0" distB="0" distL="114300" distR="114300" simplePos="0" relativeHeight="25254400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33" name="Rectangle 15146818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33" o:spid="_x0000_s213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71456" o:allowincell="f" fillcolor="black" stroked="f">
              <w10:wrap anchorx="margin"/>
            </v:rect>
          </w:pict>
        </mc:Fallback>
      </mc:AlternateContent>
    </w:r>
    <w:r>
      <w:rPr>
        <w:noProof/>
      </w:rPr>
      <mc:AlternateContent>
        <mc:Choice Requires="wps">
          <w:drawing>
            <wp:anchor distT="0" distB="0" distL="114300" distR="114300" simplePos="0" relativeHeight="25254195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35" name="Rectangle 151468183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35" o:spid="_x0000_s213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73504" o:allowincell="f" fillcolor="black" stroked="f">
              <w10:wrap anchorx="margin"/>
            </v:rect>
          </w:pict>
        </mc:Fallback>
      </mc:AlternateContent>
    </w:r>
    <w:r>
      <w:rPr>
        <w:noProof/>
      </w:rPr>
      <mc:AlternateContent>
        <mc:Choice Requires="wps">
          <w:drawing>
            <wp:anchor distT="0" distB="0" distL="114300" distR="114300" simplePos="0" relativeHeight="25253990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36" name="Rectangle 151468183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36" o:spid="_x0000_s213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75552" o:allowincell="f" fillcolor="black" stroked="f">
              <w10:wrap anchorx="margin"/>
            </v:rect>
          </w:pict>
        </mc:Fallback>
      </mc:AlternateContent>
    </w:r>
    <w:r>
      <w:rPr>
        <w:noProof/>
      </w:rPr>
      <mc:AlternateContent>
        <mc:Choice Requires="wps">
          <w:drawing>
            <wp:anchor distT="0" distB="0" distL="114300" distR="114300" simplePos="0" relativeHeight="25253785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37" name="Rectangle 151468183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37" o:spid="_x0000_s213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77600" o:allowincell="f" fillcolor="black" stroked="f">
              <w10:wrap anchorx="margin"/>
            </v:rect>
          </w:pict>
        </mc:Fallback>
      </mc:AlternateContent>
    </w:r>
    <w:r>
      <w:rPr>
        <w:noProof/>
      </w:rPr>
      <mc:AlternateContent>
        <mc:Choice Requires="wps">
          <w:drawing>
            <wp:anchor distT="0" distB="0" distL="114300" distR="114300" simplePos="0" relativeHeight="2525358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52" name="Rectangle 151468185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52" o:spid="_x0000_s213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79648" o:allowincell="f" fillcolor="black" stroked="f">
              <w10:wrap anchorx="margin"/>
            </v:rect>
          </w:pict>
        </mc:Fallback>
      </mc:AlternateContent>
    </w:r>
    <w:r>
      <w:rPr>
        <w:noProof/>
      </w:rPr>
      <mc:AlternateContent>
        <mc:Choice Requires="wps">
          <w:drawing>
            <wp:anchor distT="0" distB="0" distL="114300" distR="114300" simplePos="0" relativeHeight="25253376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54" name="Rectangle 151468185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54" o:spid="_x0000_s213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81696" o:allowincell="f" fillcolor="black" stroked="f">
              <w10:wrap anchorx="margin"/>
            </v:rect>
          </w:pict>
        </mc:Fallback>
      </mc:AlternateContent>
    </w:r>
    <w:r>
      <w:rPr>
        <w:noProof/>
      </w:rPr>
      <mc:AlternateContent>
        <mc:Choice Requires="wps">
          <w:drawing>
            <wp:anchor distT="0" distB="0" distL="114300" distR="114300" simplePos="0" relativeHeight="25253171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55" name="Rectangle 151468185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55" o:spid="_x0000_s213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83744" o:allowincell="f" fillcolor="black" stroked="f">
              <w10:wrap anchorx="margin"/>
            </v:rect>
          </w:pict>
        </mc:Fallback>
      </mc:AlternateContent>
    </w:r>
    <w:r>
      <w:rPr>
        <w:noProof/>
      </w:rPr>
      <mc:AlternateContent>
        <mc:Choice Requires="wps">
          <w:drawing>
            <wp:anchor distT="0" distB="0" distL="114300" distR="114300" simplePos="0" relativeHeight="2525296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77" name="Rectangle 151468197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77" o:spid="_x0000_s214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85792" o:allowincell="f" fillcolor="black" stroked="f">
              <w10:wrap anchorx="margin"/>
            </v:rect>
          </w:pict>
        </mc:Fallback>
      </mc:AlternateContent>
    </w:r>
    <w:r>
      <w:rPr>
        <w:noProof/>
      </w:rPr>
      <mc:AlternateContent>
        <mc:Choice Requires="wps">
          <w:drawing>
            <wp:anchor distT="0" distB="0" distL="114300" distR="114300" simplePos="0" relativeHeight="2525276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78" name="Rectangle 151468197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78" o:spid="_x0000_s214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87840" o:allowincell="f" fillcolor="black" stroked="f">
              <w10:wrap anchorx="margin"/>
            </v:rect>
          </w:pict>
        </mc:Fallback>
      </mc:AlternateContent>
    </w:r>
    <w:r>
      <w:rPr>
        <w:noProof/>
      </w:rPr>
      <mc:AlternateContent>
        <mc:Choice Requires="wps">
          <w:drawing>
            <wp:anchor distT="0" distB="0" distL="114300" distR="114300" simplePos="0" relativeHeight="25252556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79" name="Rectangle 151468197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79" o:spid="_x0000_s214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89888" o:allowincell="f" fillcolor="black" stroked="f">
              <w10:wrap anchorx="margin"/>
            </v:rect>
          </w:pict>
        </mc:Fallback>
      </mc:AlternateContent>
    </w:r>
    <w:r>
      <w:rPr>
        <w:noProof/>
      </w:rPr>
      <mc:AlternateContent>
        <mc:Choice Requires="wps">
          <w:drawing>
            <wp:anchor distT="0" distB="0" distL="114300" distR="114300" simplePos="0" relativeHeight="25252352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65" name="Rectangle 151468166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665" o:spid="_x0000_s214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91936" o:allowincell="f" fillcolor="black" stroked="f" strokeweight="0.05pt">
              <v:path arrowok="t"/>
              <w10:wrap anchorx="margin"/>
            </v:rect>
          </w:pict>
        </mc:Fallback>
      </mc:AlternateContent>
    </w:r>
    <w:r>
      <w:rPr>
        <w:noProof/>
      </w:rPr>
      <mc:AlternateContent>
        <mc:Choice Requires="wps">
          <w:drawing>
            <wp:anchor distT="0" distB="0" distL="114300" distR="114300" simplePos="0" relativeHeight="25252147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79" name="Rectangl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14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93984" o:allowincell="f" fillcolor="black" stroked="f">
              <w10:wrap anchorx="margin"/>
            </v:rect>
          </w:pict>
        </mc:Fallback>
      </mc:AlternateContent>
    </w:r>
    <w:r>
      <w:rPr>
        <w:noProof/>
      </w:rPr>
      <mc:AlternateContent>
        <mc:Choice Requires="wps">
          <w:drawing>
            <wp:anchor distT="0" distB="0" distL="114300" distR="114300" simplePos="0" relativeHeight="25251942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81" name="Rectangle 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14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96032" o:allowincell="f" fillcolor="black" stroked="f">
              <w10:wrap anchorx="margin"/>
            </v:rect>
          </w:pict>
        </mc:Fallback>
      </mc:AlternateContent>
    </w:r>
    <w:r>
      <w:rPr>
        <w:noProof/>
      </w:rPr>
      <mc:AlternateContent>
        <mc:Choice Requires="wps">
          <w:drawing>
            <wp:anchor distT="0" distB="0" distL="114300" distR="114300" simplePos="0" relativeHeight="25251737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82" name="Rectangle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214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798080" o:allowincell="f" fillcolor="black" stroked="f">
              <w10:wrap anchorx="margin"/>
            </v:rect>
          </w:pict>
        </mc:Fallback>
      </mc:AlternateContent>
    </w:r>
    <w:r>
      <w:rPr>
        <w:noProof/>
      </w:rPr>
      <mc:AlternateContent>
        <mc:Choice Requires="wps">
          <w:drawing>
            <wp:anchor distT="0" distB="0" distL="114300" distR="114300" simplePos="0" relativeHeight="2525153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83" name="Rectangle 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 o:spid="_x0000_s214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00128" o:allowincell="f" fillcolor="black" stroked="f">
              <w10:wrap anchorx="margin"/>
            </v:rect>
          </w:pict>
        </mc:Fallback>
      </mc:AlternateContent>
    </w:r>
    <w:r>
      <w:rPr>
        <w:noProof/>
      </w:rPr>
      <mc:AlternateContent>
        <mc:Choice Requires="wps">
          <w:drawing>
            <wp:anchor distT="0" distB="0" distL="114300" distR="114300" simplePos="0" relativeHeight="2525132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84" name="Rectangle 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3" o:spid="_x0000_s214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02176" o:allowincell="f" fillcolor="black" stroked="f">
              <w10:wrap anchorx="margin"/>
            </v:rect>
          </w:pict>
        </mc:Fallback>
      </mc:AlternateContent>
    </w:r>
    <w:r>
      <w:rPr>
        <w:noProof/>
      </w:rPr>
      <mc:AlternateContent>
        <mc:Choice Requires="wps">
          <w:drawing>
            <wp:anchor distT="0" distB="0" distL="114300" distR="114300" simplePos="0" relativeHeight="2525112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85" name="Rectangle 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4" o:spid="_x0000_s21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04224" o:allowincell="f" fillcolor="black" stroked="f">
              <w10:wrap anchorx="margin"/>
            </v:rect>
          </w:pict>
        </mc:Fallback>
      </mc:AlternateContent>
    </w:r>
    <w:r>
      <w:rPr>
        <w:noProof/>
      </w:rPr>
      <mc:AlternateContent>
        <mc:Choice Requires="wps">
          <w:drawing>
            <wp:anchor distT="0" distB="0" distL="114300" distR="114300" simplePos="0" relativeHeight="2525091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86" name="Rectangle 2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0" o:spid="_x0000_s21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06272" o:allowincell="f" fillcolor="black" stroked="f">
              <w10:wrap anchorx="margin"/>
            </v:rect>
          </w:pict>
        </mc:Fallback>
      </mc:AlternateContent>
    </w:r>
    <w:r>
      <w:rPr>
        <w:noProof/>
      </w:rPr>
      <mc:AlternateContent>
        <mc:Choice Requires="wps">
          <w:drawing>
            <wp:anchor distT="0" distB="0" distL="114300" distR="114300" simplePos="0" relativeHeight="2525071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88" name="Rectangle 2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3" o:spid="_x0000_s21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08320" o:allowincell="f" fillcolor="black" stroked="f">
              <w10:wrap anchorx="margin"/>
            </v:rect>
          </w:pict>
        </mc:Fallback>
      </mc:AlternateContent>
    </w:r>
    <w:r>
      <w:rPr>
        <w:noProof/>
      </w:rPr>
      <mc:AlternateContent>
        <mc:Choice Requires="wps">
          <w:drawing>
            <wp:anchor distT="0" distB="0" distL="114300" distR="114300" simplePos="0" relativeHeight="2525050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89" name="Rectangle 2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9" o:spid="_x0000_s21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10368" o:allowincell="f" fillcolor="black" stroked="f">
              <w10:wrap anchorx="margin"/>
            </v:rect>
          </w:pict>
        </mc:Fallback>
      </mc:AlternateContent>
    </w:r>
    <w:r>
      <w:rPr>
        <w:noProof/>
      </w:rPr>
      <mc:AlternateContent>
        <mc:Choice Requires="wps">
          <w:drawing>
            <wp:anchor distT="0" distB="0" distL="114300" distR="114300" simplePos="0" relativeHeight="2525030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84" name="Rectangle 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3" o:spid="_x0000_s21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12416" o:allowincell="f" fillcolor="black" stroked="f">
              <w10:wrap anchorx="margin"/>
            </v:rect>
          </w:pict>
        </mc:Fallback>
      </mc:AlternateContent>
    </w:r>
    <w:r>
      <w:rPr>
        <w:noProof/>
      </w:rPr>
      <mc:AlternateContent>
        <mc:Choice Requires="wps">
          <w:drawing>
            <wp:anchor distT="0" distB="0" distL="114300" distR="114300" simplePos="0" relativeHeight="25250099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85" name="Rectangle 3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4" o:spid="_x0000_s21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14464" o:allowincell="f" fillcolor="black" stroked="f">
              <w10:wrap anchorx="margin"/>
            </v:rect>
          </w:pict>
        </mc:Fallback>
      </mc:AlternateContent>
    </w:r>
    <w:r>
      <w:rPr>
        <w:noProof/>
      </w:rPr>
      <mc:AlternateContent>
        <mc:Choice Requires="wps">
          <w:drawing>
            <wp:anchor distT="0" distB="0" distL="114300" distR="114300" simplePos="0" relativeHeight="25249894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86" name="Rectangle 3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5" o:spid="_x0000_s21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16512" o:allowincell="f" fillcolor="black" stroked="f" strokeweight="0.05pt">
              <v:path arrowok="t"/>
              <w10:wrap anchorx="margin"/>
            </v:rect>
          </w:pict>
        </mc:Fallback>
      </mc:AlternateContent>
    </w:r>
    <w:r>
      <w:rPr>
        <w:noProof/>
      </w:rPr>
      <mc:AlternateContent>
        <mc:Choice Requires="wps">
          <w:drawing>
            <wp:anchor distT="0" distB="0" distL="114300" distR="114300" simplePos="0" relativeHeight="25249689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87" name="Rectangle 151468198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87" o:spid="_x0000_s215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18560" o:allowincell="f" fillcolor="black" stroked="f">
              <w10:wrap anchorx="margin"/>
            </v:rect>
          </w:pict>
        </mc:Fallback>
      </mc:AlternateContent>
    </w:r>
    <w:r>
      <w:rPr>
        <w:noProof/>
      </w:rPr>
      <mc:AlternateContent>
        <mc:Choice Requires="wps">
          <w:drawing>
            <wp:anchor distT="0" distB="0" distL="114300" distR="114300" simplePos="0" relativeHeight="25249484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88" name="Rectangle 151468198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88" o:spid="_x0000_s215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20608" o:allowincell="f" fillcolor="black" stroked="f">
              <w10:wrap anchorx="margin"/>
            </v:rect>
          </w:pict>
        </mc:Fallback>
      </mc:AlternateContent>
    </w:r>
    <w:r>
      <w:rPr>
        <w:noProof/>
      </w:rPr>
      <mc:AlternateContent>
        <mc:Choice Requires="wps">
          <w:drawing>
            <wp:anchor distT="0" distB="0" distL="114300" distR="114300" simplePos="0" relativeHeight="25249280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89" name="Rectangle 151468198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89" o:spid="_x0000_s215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22656" o:allowincell="f" fillcolor="black" stroked="f">
              <w10:wrap anchorx="margin"/>
            </v:rect>
          </w:pict>
        </mc:Fallback>
      </mc:AlternateContent>
    </w:r>
    <w:r>
      <w:rPr>
        <w:noProof/>
      </w:rPr>
      <mc:AlternateContent>
        <mc:Choice Requires="wps">
          <w:drawing>
            <wp:anchor distT="0" distB="0" distL="114300" distR="114300" simplePos="0" relativeHeight="25249075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90" name="Rectangle 151468199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90" o:spid="_x0000_s215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24704" o:allowincell="f" fillcolor="black" stroked="f">
              <w10:wrap anchorx="margin"/>
            </v:rect>
          </w:pict>
        </mc:Fallback>
      </mc:AlternateContent>
    </w:r>
    <w:r>
      <w:rPr>
        <w:noProof/>
      </w:rPr>
      <mc:AlternateContent>
        <mc:Choice Requires="wps">
          <w:drawing>
            <wp:anchor distT="0" distB="0" distL="114300" distR="114300" simplePos="0" relativeHeight="25248870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91" name="Rectangle 151468199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91" o:spid="_x0000_s216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26752" o:allowincell="f" fillcolor="black" stroked="f">
              <w10:wrap anchorx="margin"/>
            </v:rect>
          </w:pict>
        </mc:Fallback>
      </mc:AlternateContent>
    </w:r>
    <w:r>
      <w:rPr>
        <w:noProof/>
      </w:rPr>
      <mc:AlternateContent>
        <mc:Choice Requires="wps">
          <w:drawing>
            <wp:anchor distT="0" distB="0" distL="114300" distR="114300" simplePos="0" relativeHeight="25248665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92" name="Rectangle 151468199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92" o:spid="_x0000_s216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28800" o:allowincell="f" fillcolor="black" stroked="f">
              <w10:wrap anchorx="margin"/>
            </v:rect>
          </w:pict>
        </mc:Fallback>
      </mc:AlternateContent>
    </w:r>
    <w:r>
      <w:rPr>
        <w:noProof/>
      </w:rPr>
      <mc:AlternateContent>
        <mc:Choice Requires="wps">
          <w:drawing>
            <wp:anchor distT="0" distB="0" distL="114300" distR="114300" simplePos="0" relativeHeight="2524846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93" name="Rectangle 151468199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93" o:spid="_x0000_s216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30848" o:allowincell="f" fillcolor="black" stroked="f">
              <w10:wrap anchorx="margin"/>
            </v:rect>
          </w:pict>
        </mc:Fallback>
      </mc:AlternateContent>
    </w:r>
    <w:r>
      <w:rPr>
        <w:noProof/>
      </w:rPr>
      <mc:AlternateContent>
        <mc:Choice Requires="wps">
          <w:drawing>
            <wp:anchor distT="0" distB="0" distL="114300" distR="114300" simplePos="0" relativeHeight="25248256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94" name="Rectangle 151468199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94" o:spid="_x0000_s216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32896" o:allowincell="f" fillcolor="black" stroked="f">
              <w10:wrap anchorx="margin"/>
            </v:rect>
          </w:pict>
        </mc:Fallback>
      </mc:AlternateContent>
    </w:r>
    <w:r>
      <w:rPr>
        <w:noProof/>
      </w:rPr>
      <mc:AlternateContent>
        <mc:Choice Requires="wps">
          <w:drawing>
            <wp:anchor distT="0" distB="0" distL="114300" distR="114300" simplePos="0" relativeHeight="25248051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95" name="Rectangle 4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7" o:spid="_x0000_s216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34944" o:allowincell="f" fillcolor="black" stroked="f">
              <w10:wrap anchorx="margin"/>
            </v:rect>
          </w:pict>
        </mc:Fallback>
      </mc:AlternateContent>
    </w:r>
    <w:r>
      <w:rPr>
        <w:noProof/>
      </w:rPr>
      <mc:AlternateContent>
        <mc:Choice Requires="wps">
          <w:drawing>
            <wp:anchor distT="0" distB="0" distL="114300" distR="114300" simplePos="0" relativeHeight="2524784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96"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16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36992" o:allowincell="f" fillcolor="black" stroked="f">
              <w10:wrap anchorx="margin"/>
            </v:rect>
          </w:pict>
        </mc:Fallback>
      </mc:AlternateContent>
    </w:r>
    <w:r>
      <w:rPr>
        <w:noProof/>
      </w:rPr>
      <mc:AlternateContent>
        <mc:Choice Requires="wps">
          <w:drawing>
            <wp:anchor distT="0" distB="0" distL="114300" distR="114300" simplePos="0" relativeHeight="2524764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97" name="Rectangl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16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839040" o:allowincell="f" fillcolor="black" stroked="f">
              <w10:wrap anchorx="margin"/>
            </v:rect>
          </w:pict>
        </mc:Fallback>
      </mc:AlternateContent>
    </w:r>
  </w:p>
  <w:p w:rsidR="00BD6868" w:rsidRPr="00483755" w:rsidP="00483755" w14:paraId="3F7D9787" w14:textId="77777777">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6868" w:rsidRPr="009838BC" w:rsidP="00043DED" w14:paraId="23152875" w14:textId="5C10BB96">
    <w:pPr>
      <w:tabs>
        <w:tab w:val="center" w:pos="6840"/>
        <w:tab w:val="right" w:pos="13680"/>
      </w:tabs>
    </w:pPr>
    <w:r w:rsidRPr="009838BC">
      <w:rPr>
        <w:b/>
      </w:rPr>
      <w:tab/>
    </w:r>
    <w:r w:rsidRPr="00FF4CEF">
      <w:rPr>
        <w:b/>
        <w:sz w:val="22"/>
        <w:szCs w:val="22"/>
      </w:rPr>
      <w:t>Federal Communications Commission</w:t>
    </w:r>
    <w:r w:rsidRPr="00FF4CEF">
      <w:rPr>
        <w:b/>
        <w:sz w:val="22"/>
        <w:szCs w:val="22"/>
      </w:rPr>
      <w:tab/>
      <w:t>DA 20-</w:t>
    </w:r>
    <w:r w:rsidRPr="00FF4CEF" w:rsidR="0054596A">
      <w:rPr>
        <w:b/>
        <w:sz w:val="22"/>
        <w:szCs w:val="22"/>
      </w:rPr>
      <w:t>594</w:t>
    </w:r>
  </w:p>
  <w:p w:rsidR="00BD6868" w:rsidRPr="009838BC" w:rsidP="009838BC" w14:paraId="7DBDC67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2232704" behindDoc="1" locked="0" layoutInCell="0" allowOverlap="1">
              <wp:simplePos x="0" y="0"/>
              <wp:positionH relativeFrom="margin">
                <wp:posOffset>0</wp:posOffset>
              </wp:positionH>
              <wp:positionV relativeFrom="paragraph">
                <wp:posOffset>0</wp:posOffset>
              </wp:positionV>
              <wp:extent cx="8686800" cy="12065"/>
              <wp:effectExtent l="0" t="0" r="0" b="635"/>
              <wp:wrapNone/>
              <wp:docPr id="1514681838" name="Rectangle 15146818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6868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38" o:spid="_x0000_s2167" style="width:684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82752" o:allowincell="f" fillcolor="black" stroked="f">
              <w10:wrap anchorx="margin"/>
            </v:rect>
          </w:pict>
        </mc:Fallback>
      </mc:AlternateContent>
    </w:r>
    <w:r>
      <w:rPr>
        <w:noProof/>
      </w:rPr>
      <mc:AlternateContent>
        <mc:Choice Requires="wps">
          <w:drawing>
            <wp:anchor distT="0" distB="0" distL="114300" distR="114300" simplePos="0" relativeHeight="25223065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839" name="Rectangle 151468183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839" o:spid="_x0000_s216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84800" o:allowincell="f" fillcolor="black" stroked="f">
              <w10:wrap anchorx="margin"/>
            </v:rect>
          </w:pict>
        </mc:Fallback>
      </mc:AlternateContent>
    </w:r>
    <w:r>
      <w:rPr>
        <w:noProof/>
      </w:rPr>
      <mc:AlternateContent>
        <mc:Choice Requires="wps">
          <w:drawing>
            <wp:anchor distT="0" distB="0" distL="114300" distR="114300" simplePos="0" relativeHeight="2522286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18" name="Rectangle 15146819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18" o:spid="_x0000_s216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86848" o:allowincell="f" fillcolor="black" stroked="f">
              <w10:wrap anchorx="margin"/>
            </v:rect>
          </w:pict>
        </mc:Fallback>
      </mc:AlternateContent>
    </w:r>
    <w:r>
      <w:rPr>
        <w:noProof/>
      </w:rPr>
      <mc:AlternateContent>
        <mc:Choice Requires="wps">
          <w:drawing>
            <wp:anchor distT="0" distB="0" distL="114300" distR="114300" simplePos="0" relativeHeight="25222656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19" name="Rectangle 15146819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19" o:spid="_x0000_s217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88896" o:allowincell="f" fillcolor="black" stroked="f">
              <w10:wrap anchorx="margin"/>
            </v:rect>
          </w:pict>
        </mc:Fallback>
      </mc:AlternateContent>
    </w:r>
    <w:r>
      <w:rPr>
        <w:noProof/>
      </w:rPr>
      <mc:AlternateContent>
        <mc:Choice Requires="wps">
          <w:drawing>
            <wp:anchor distT="0" distB="0" distL="114300" distR="114300" simplePos="0" relativeHeight="25222451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36" name="Rectangle 15146815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36" o:spid="_x0000_s217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90944" o:allowincell="f" fillcolor="black" stroked="f">
              <w10:wrap anchorx="margin"/>
            </v:rect>
          </w:pict>
        </mc:Fallback>
      </mc:AlternateContent>
    </w:r>
    <w:r>
      <w:rPr>
        <w:noProof/>
      </w:rPr>
      <mc:AlternateContent>
        <mc:Choice Requires="wps">
          <w:drawing>
            <wp:anchor distT="0" distB="0" distL="114300" distR="114300" simplePos="0" relativeHeight="2522224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37" name="Rectangle 15146815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37" o:spid="_x0000_s217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92992" o:allowincell="f" fillcolor="black" stroked="f">
              <w10:wrap anchorx="margin"/>
            </v:rect>
          </w:pict>
        </mc:Fallback>
      </mc:AlternateContent>
    </w:r>
    <w:r>
      <w:rPr>
        <w:noProof/>
      </w:rPr>
      <mc:AlternateContent>
        <mc:Choice Requires="wps">
          <w:drawing>
            <wp:anchor distT="0" distB="0" distL="114300" distR="114300" simplePos="0" relativeHeight="2522204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38" name="Rectangle 15146815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38" o:spid="_x0000_s217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95040" o:allowincell="f" fillcolor="black" stroked="f">
              <w10:wrap anchorx="margin"/>
            </v:rect>
          </w:pict>
        </mc:Fallback>
      </mc:AlternateContent>
    </w:r>
    <w:r>
      <w:rPr>
        <w:noProof/>
      </w:rPr>
      <mc:AlternateContent>
        <mc:Choice Requires="wps">
          <w:drawing>
            <wp:anchor distT="0" distB="0" distL="114300" distR="114300" simplePos="0" relativeHeight="25221836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39" name="Rectangle 151468153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39" o:spid="_x0000_s217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97088" o:allowincell="f" fillcolor="black" stroked="f">
              <w10:wrap anchorx="margin"/>
            </v:rect>
          </w:pict>
        </mc:Fallback>
      </mc:AlternateContent>
    </w:r>
    <w:r>
      <w:rPr>
        <w:noProof/>
      </w:rPr>
      <mc:AlternateContent>
        <mc:Choice Requires="wps">
          <w:drawing>
            <wp:anchor distT="0" distB="0" distL="114300" distR="114300" simplePos="0" relativeHeight="25221632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40" name="Rectangle 151468154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40" o:spid="_x0000_s217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99136" o:allowincell="f" fillcolor="black" stroked="f">
              <w10:wrap anchorx="margin"/>
            </v:rect>
          </w:pict>
        </mc:Fallback>
      </mc:AlternateContent>
    </w:r>
    <w:r>
      <w:rPr>
        <w:noProof/>
      </w:rPr>
      <mc:AlternateContent>
        <mc:Choice Requires="wps">
          <w:drawing>
            <wp:anchor distT="0" distB="0" distL="114300" distR="114300" simplePos="0" relativeHeight="25221427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41" name="Rectangle 15146815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41" o:spid="_x0000_s217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01184" o:allowincell="f" fillcolor="black" stroked="f">
              <w10:wrap anchorx="margin"/>
            </v:rect>
          </w:pict>
        </mc:Fallback>
      </mc:AlternateContent>
    </w:r>
    <w:r>
      <w:rPr>
        <w:noProof/>
      </w:rPr>
      <mc:AlternateContent>
        <mc:Choice Requires="wps">
          <w:drawing>
            <wp:anchor distT="0" distB="0" distL="114300" distR="114300" simplePos="0" relativeHeight="25221222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42" name="Rectangle 15146815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42" o:spid="_x0000_s217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03232" o:allowincell="f" fillcolor="black" stroked="f">
              <w10:wrap anchorx="margin"/>
            </v:rect>
          </w:pict>
        </mc:Fallback>
      </mc:AlternateContent>
    </w:r>
    <w:r>
      <w:rPr>
        <w:noProof/>
      </w:rPr>
      <mc:AlternateContent>
        <mc:Choice Requires="wps">
          <w:drawing>
            <wp:anchor distT="0" distB="0" distL="114300" distR="114300" simplePos="0" relativeHeight="25221017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43" name="Rectangle 15146815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43" o:spid="_x0000_s217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05280" o:allowincell="f" fillcolor="black" stroked="f" strokeweight="0.05pt">
              <w10:wrap anchorx="margin"/>
            </v:rect>
          </w:pict>
        </mc:Fallback>
      </mc:AlternateContent>
    </w:r>
    <w:r>
      <w:rPr>
        <w:noProof/>
      </w:rPr>
      <mc:AlternateContent>
        <mc:Choice Requires="wps">
          <w:drawing>
            <wp:anchor distT="0" distB="0" distL="114300" distR="114300" simplePos="0" relativeHeight="2522081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44" name="Rectangle 15146815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44" o:spid="_x0000_s217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07328" o:allowincell="f" fillcolor="black" stroked="f">
              <w10:wrap anchorx="margin"/>
            </v:rect>
          </w:pict>
        </mc:Fallback>
      </mc:AlternateContent>
    </w:r>
    <w:r>
      <w:rPr>
        <w:noProof/>
      </w:rPr>
      <mc:AlternateContent>
        <mc:Choice Requires="wps">
          <w:drawing>
            <wp:anchor distT="0" distB="0" distL="114300" distR="114300" simplePos="0" relativeHeight="2522060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45" name="Rectangle 15146815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45" o:spid="_x0000_s218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09376" o:allowincell="f" fillcolor="black" stroked="f">
              <w10:wrap anchorx="margin"/>
            </v:rect>
          </w:pict>
        </mc:Fallback>
      </mc:AlternateContent>
    </w:r>
    <w:r>
      <w:rPr>
        <w:noProof/>
      </w:rPr>
      <mc:AlternateContent>
        <mc:Choice Requires="wps">
          <w:drawing>
            <wp:anchor distT="0" distB="0" distL="114300" distR="114300" simplePos="0" relativeHeight="2522040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46" name="Rectangle 15146815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46" o:spid="_x0000_s218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11424" o:allowincell="f" fillcolor="black" stroked="f">
              <w10:wrap anchorx="margin"/>
            </v:rect>
          </w:pict>
        </mc:Fallback>
      </mc:AlternateContent>
    </w:r>
    <w:r>
      <w:rPr>
        <w:noProof/>
      </w:rPr>
      <mc:AlternateContent>
        <mc:Choice Requires="wps">
          <w:drawing>
            <wp:anchor distT="0" distB="0" distL="114300" distR="114300" simplePos="0" relativeHeight="2522019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47" name="Rectangle 15146815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47" o:spid="_x0000_s218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13472" o:allowincell="f" fillcolor="black" stroked="f">
              <w10:wrap anchorx="margin"/>
            </v:rect>
          </w:pict>
        </mc:Fallback>
      </mc:AlternateContent>
    </w:r>
    <w:r>
      <w:rPr>
        <w:noProof/>
      </w:rPr>
      <mc:AlternateContent>
        <mc:Choice Requires="wps">
          <w:drawing>
            <wp:anchor distT="0" distB="0" distL="114300" distR="114300" simplePos="0" relativeHeight="2521999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48" name="Rectangle 15146815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48" o:spid="_x0000_s218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15520" o:allowincell="f" fillcolor="black" stroked="f">
              <w10:wrap anchorx="margin"/>
            </v:rect>
          </w:pict>
        </mc:Fallback>
      </mc:AlternateContent>
    </w:r>
    <w:r>
      <w:rPr>
        <w:noProof/>
      </w:rPr>
      <mc:AlternateContent>
        <mc:Choice Requires="wps">
          <w:drawing>
            <wp:anchor distT="0" distB="0" distL="114300" distR="114300" simplePos="0" relativeHeight="2521978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49" name="Rectangle 15146815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49" o:spid="_x0000_s218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17568" o:allowincell="f" fillcolor="black" stroked="f">
              <w10:wrap anchorx="margin"/>
            </v:rect>
          </w:pict>
        </mc:Fallback>
      </mc:AlternateContent>
    </w:r>
    <w:r>
      <w:rPr>
        <w:noProof/>
      </w:rPr>
      <mc:AlternateContent>
        <mc:Choice Requires="wps">
          <w:drawing>
            <wp:anchor distT="0" distB="0" distL="114300" distR="114300" simplePos="0" relativeHeight="2521958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50" name="Rectangle 15146815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50" o:spid="_x0000_s218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19616" o:allowincell="f" fillcolor="black" stroked="f">
              <w10:wrap anchorx="margin"/>
            </v:rect>
          </w:pict>
        </mc:Fallback>
      </mc:AlternateContent>
    </w:r>
    <w:r>
      <w:rPr>
        <w:noProof/>
      </w:rPr>
      <mc:AlternateContent>
        <mc:Choice Requires="wps">
          <w:drawing>
            <wp:anchor distT="0" distB="0" distL="114300" distR="114300" simplePos="0" relativeHeight="25219379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51" name="Rectangle 15146815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51" o:spid="_x0000_s218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21664" o:allowincell="f" fillcolor="black" stroked="f">
              <w10:wrap anchorx="margin"/>
            </v:rect>
          </w:pict>
        </mc:Fallback>
      </mc:AlternateContent>
    </w:r>
    <w:r>
      <w:rPr>
        <w:noProof/>
      </w:rPr>
      <mc:AlternateContent>
        <mc:Choice Requires="wps">
          <w:drawing>
            <wp:anchor distT="0" distB="0" distL="114300" distR="114300" simplePos="0" relativeHeight="25219174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52" name="Rectangle 15146815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52" o:spid="_x0000_s218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23712" o:allowincell="f" fillcolor="black" stroked="f">
              <w10:wrap anchorx="margin"/>
            </v:rect>
          </w:pict>
        </mc:Fallback>
      </mc:AlternateContent>
    </w:r>
    <w:r>
      <w:rPr>
        <w:noProof/>
      </w:rPr>
      <mc:AlternateContent>
        <mc:Choice Requires="wps">
          <w:drawing>
            <wp:anchor distT="0" distB="0" distL="114300" distR="114300" simplePos="0" relativeHeight="25218969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53" name="Rectangle 15146815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53" o:spid="_x0000_s218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25760" o:allowincell="f" fillcolor="black" stroked="f">
              <w10:wrap anchorx="margin"/>
            </v:rect>
          </w:pict>
        </mc:Fallback>
      </mc:AlternateContent>
    </w:r>
    <w:r>
      <w:rPr>
        <w:noProof/>
      </w:rPr>
      <mc:AlternateContent>
        <mc:Choice Requires="wps">
          <w:drawing>
            <wp:anchor distT="0" distB="0" distL="114300" distR="114300" simplePos="0" relativeHeight="25218764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54" name="Rectangle 151468155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54" o:spid="_x0000_s218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27808" o:allowincell="f" fillcolor="black" stroked="f">
              <w10:wrap anchorx="margin"/>
            </v:rect>
          </w:pict>
        </mc:Fallback>
      </mc:AlternateContent>
    </w:r>
    <w:r>
      <w:rPr>
        <w:noProof/>
      </w:rPr>
      <mc:AlternateContent>
        <mc:Choice Requires="wps">
          <w:drawing>
            <wp:anchor distT="0" distB="0" distL="114300" distR="114300" simplePos="0" relativeHeight="25218560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55" name="Rectangle 151468155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55" o:spid="_x0000_s219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29856" o:allowincell="f" fillcolor="black" stroked="f" strokeweight="0.05pt">
              <w10:wrap anchorx="margin"/>
            </v:rect>
          </w:pict>
        </mc:Fallback>
      </mc:AlternateContent>
    </w:r>
    <w:r>
      <w:rPr>
        <w:noProof/>
      </w:rPr>
      <mc:AlternateContent>
        <mc:Choice Requires="wps">
          <w:drawing>
            <wp:anchor distT="0" distB="0" distL="114300" distR="114300" simplePos="0" relativeHeight="25218355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56" name="Rectangle 15146815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56" o:spid="_x0000_s219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31904" o:allowincell="f" fillcolor="black" stroked="f">
              <w10:wrap anchorx="margin"/>
            </v:rect>
          </w:pict>
        </mc:Fallback>
      </mc:AlternateContent>
    </w:r>
    <w:r>
      <w:rPr>
        <w:noProof/>
      </w:rPr>
      <mc:AlternateContent>
        <mc:Choice Requires="wps">
          <w:drawing>
            <wp:anchor distT="0" distB="0" distL="114300" distR="114300" simplePos="0" relativeHeight="25218150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57" name="Rectangle 151468155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57" o:spid="_x0000_s219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33952" o:allowincell="f" fillcolor="black" stroked="f">
              <w10:wrap anchorx="margin"/>
            </v:rect>
          </w:pict>
        </mc:Fallback>
      </mc:AlternateContent>
    </w:r>
    <w:r>
      <w:rPr>
        <w:noProof/>
      </w:rPr>
      <mc:AlternateContent>
        <mc:Choice Requires="wps">
          <w:drawing>
            <wp:anchor distT="0" distB="0" distL="114300" distR="114300" simplePos="0" relativeHeight="25217945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58" name="Rectangle 15146815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58" o:spid="_x0000_s219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36000" o:allowincell="f" fillcolor="black" stroked="f">
              <w10:wrap anchorx="margin"/>
            </v:rect>
          </w:pict>
        </mc:Fallback>
      </mc:AlternateContent>
    </w:r>
    <w:r>
      <w:rPr>
        <w:noProof/>
      </w:rPr>
      <mc:AlternateContent>
        <mc:Choice Requires="wps">
          <w:drawing>
            <wp:anchor distT="0" distB="0" distL="114300" distR="114300" simplePos="0" relativeHeight="252177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59" name="Rectangle 151468155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59" o:spid="_x0000_s219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38048" o:allowincell="f" fillcolor="black" stroked="f">
              <w10:wrap anchorx="margin"/>
            </v:rect>
          </w:pict>
        </mc:Fallback>
      </mc:AlternateContent>
    </w:r>
    <w:r>
      <w:rPr>
        <w:noProof/>
      </w:rPr>
      <mc:AlternateContent>
        <mc:Choice Requires="wps">
          <w:drawing>
            <wp:anchor distT="0" distB="0" distL="114300" distR="114300" simplePos="0" relativeHeight="25217536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60" name="Rectangle 151468156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60" o:spid="_x0000_s219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40096" o:allowincell="f" fillcolor="black" stroked="f">
              <w10:wrap anchorx="margin"/>
            </v:rect>
          </w:pict>
        </mc:Fallback>
      </mc:AlternateContent>
    </w:r>
    <w:r>
      <w:rPr>
        <w:noProof/>
      </w:rPr>
      <mc:AlternateContent>
        <mc:Choice Requires="wps">
          <w:drawing>
            <wp:anchor distT="0" distB="0" distL="114300" distR="114300" simplePos="0" relativeHeight="25217331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61" name="Rectangle 15146815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61" o:spid="_x0000_s219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42144" o:allowincell="f" fillcolor="black" stroked="f">
              <w10:wrap anchorx="margin"/>
            </v:rect>
          </w:pict>
        </mc:Fallback>
      </mc:AlternateContent>
    </w:r>
    <w:r>
      <w:rPr>
        <w:noProof/>
      </w:rPr>
      <mc:AlternateContent>
        <mc:Choice Requires="wps">
          <w:drawing>
            <wp:anchor distT="0" distB="0" distL="114300" distR="114300" simplePos="0" relativeHeight="252171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62" name="Rectangle 151468156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62" o:spid="_x0000_s219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44192" o:allowincell="f" fillcolor="black" stroked="f">
              <w10:wrap anchorx="margin"/>
            </v:rect>
          </w:pict>
        </mc:Fallback>
      </mc:AlternateContent>
    </w:r>
    <w:r>
      <w:rPr>
        <w:noProof/>
      </w:rPr>
      <mc:AlternateContent>
        <mc:Choice Requires="wps">
          <w:drawing>
            <wp:anchor distT="0" distB="0" distL="114300" distR="114300" simplePos="0" relativeHeight="252169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63" name="Rectangle 151468156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63" o:spid="_x0000_s219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46240" o:allowincell="f" fillcolor="black" stroked="f">
              <w10:wrap anchorx="margin"/>
            </v:rect>
          </w:pict>
        </mc:Fallback>
      </mc:AlternateContent>
    </w:r>
    <w:r>
      <w:rPr>
        <w:noProof/>
      </w:rPr>
      <mc:AlternateContent>
        <mc:Choice Requires="wps">
          <w:drawing>
            <wp:anchor distT="0" distB="0" distL="114300" distR="114300" simplePos="0" relativeHeight="25216716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64" name="Rectangle 15146815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64" o:spid="_x0000_s219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48288" o:allowincell="f" fillcolor="black" stroked="f">
              <w10:wrap anchorx="margin"/>
            </v:rect>
          </w:pict>
        </mc:Fallback>
      </mc:AlternateContent>
    </w:r>
    <w:r>
      <w:rPr>
        <w:noProof/>
      </w:rPr>
      <mc:AlternateContent>
        <mc:Choice Requires="wps">
          <w:drawing>
            <wp:anchor distT="0" distB="0" distL="114300" distR="114300" simplePos="0" relativeHeight="25216512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65" name="Rectangle 15146815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65" o:spid="_x0000_s220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50336" o:allowincell="f" fillcolor="black" stroked="f">
              <w10:wrap anchorx="margin"/>
            </v:rect>
          </w:pict>
        </mc:Fallback>
      </mc:AlternateContent>
    </w:r>
    <w:r>
      <w:rPr>
        <w:noProof/>
      </w:rPr>
      <mc:AlternateContent>
        <mc:Choice Requires="wps">
          <w:drawing>
            <wp:anchor distT="0" distB="0" distL="114300" distR="114300" simplePos="0" relativeHeight="25216307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66" name="Rectangle 15146815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66" o:spid="_x0000_s220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52384" o:allowincell="f" fillcolor="black" stroked="f">
              <w10:wrap anchorx="margin"/>
            </v:rect>
          </w:pict>
        </mc:Fallback>
      </mc:AlternateContent>
    </w:r>
    <w:r>
      <w:rPr>
        <w:noProof/>
      </w:rPr>
      <mc:AlternateContent>
        <mc:Choice Requires="wps">
          <w:drawing>
            <wp:anchor distT="0" distB="0" distL="114300" distR="114300" simplePos="0" relativeHeight="25216102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67" name="Rectangle 15146815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67" o:spid="_x0000_s220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54432" o:allowincell="f" fillcolor="black" stroked="f" strokeweight="0.05pt">
              <w10:wrap anchorx="margin"/>
            </v:rect>
          </w:pict>
        </mc:Fallback>
      </mc:AlternateContent>
    </w:r>
    <w:r>
      <w:rPr>
        <w:noProof/>
      </w:rPr>
      <mc:AlternateContent>
        <mc:Choice Requires="wps">
          <w:drawing>
            <wp:anchor distT="0" distB="0" distL="114300" distR="114300" simplePos="0" relativeHeight="25215897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68" name="Rectangle 15146815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68" o:spid="_x0000_s220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56480" o:allowincell="f" fillcolor="black" stroked="f">
              <w10:wrap anchorx="margin"/>
            </v:rect>
          </w:pict>
        </mc:Fallback>
      </mc:AlternateContent>
    </w:r>
    <w:r>
      <w:rPr>
        <w:noProof/>
      </w:rPr>
      <mc:AlternateContent>
        <mc:Choice Requires="wps">
          <w:drawing>
            <wp:anchor distT="0" distB="0" distL="114300" distR="114300" simplePos="0" relativeHeight="2521569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73" name="Rectangle 151468157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73" o:spid="_x0000_s220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58528" o:allowincell="f" fillcolor="black" stroked="f">
              <w10:wrap anchorx="margin"/>
            </v:rect>
          </w:pict>
        </mc:Fallback>
      </mc:AlternateContent>
    </w:r>
    <w:r>
      <w:rPr>
        <w:noProof/>
      </w:rPr>
      <mc:AlternateContent>
        <mc:Choice Requires="wps">
          <w:drawing>
            <wp:anchor distT="0" distB="0" distL="114300" distR="114300" simplePos="0" relativeHeight="2521548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79" name="Rectangle 151468157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79" o:spid="_x0000_s220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60576" o:allowincell="f" fillcolor="black" stroked="f">
              <w10:wrap anchorx="margin"/>
            </v:rect>
          </w:pict>
        </mc:Fallback>
      </mc:AlternateContent>
    </w:r>
    <w:r>
      <w:rPr>
        <w:noProof/>
      </w:rPr>
      <mc:AlternateContent>
        <mc:Choice Requires="wps">
          <w:drawing>
            <wp:anchor distT="0" distB="0" distL="114300" distR="114300" simplePos="0" relativeHeight="2521528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80" name="Rectangle 15146815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80" o:spid="_x0000_s220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62624" o:allowincell="f" fillcolor="black" stroked="f">
              <w10:wrap anchorx="margin"/>
            </v:rect>
          </w:pict>
        </mc:Fallback>
      </mc:AlternateContent>
    </w:r>
    <w:r>
      <w:rPr>
        <w:noProof/>
      </w:rPr>
      <mc:AlternateContent>
        <mc:Choice Requires="wps">
          <w:drawing>
            <wp:anchor distT="0" distB="0" distL="114300" distR="114300" simplePos="0" relativeHeight="2521507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86" name="Rectangle 15146815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86" o:spid="_x0000_s220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64672" o:allowincell="f" fillcolor="black" stroked="f">
              <w10:wrap anchorx="margin"/>
            </v:rect>
          </w:pict>
        </mc:Fallback>
      </mc:AlternateContent>
    </w:r>
    <w:r>
      <w:rPr>
        <w:noProof/>
      </w:rPr>
      <mc:AlternateContent>
        <mc:Choice Requires="wps">
          <w:drawing>
            <wp:anchor distT="0" distB="0" distL="114300" distR="114300" simplePos="0" relativeHeight="2521487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88" name="Rectangle 15146815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88" o:spid="_x0000_s220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66720" o:allowincell="f" fillcolor="black" stroked="f">
              <w10:wrap anchorx="margin"/>
            </v:rect>
          </w:pict>
        </mc:Fallback>
      </mc:AlternateContent>
    </w:r>
    <w:r>
      <w:rPr>
        <w:noProof/>
      </w:rPr>
      <mc:AlternateContent>
        <mc:Choice Requires="wps">
          <w:drawing>
            <wp:anchor distT="0" distB="0" distL="114300" distR="114300" simplePos="0" relativeHeight="2521466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92" name="Rectangle 151468159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92" o:spid="_x0000_s220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68768" o:allowincell="f" fillcolor="black" stroked="f">
              <w10:wrap anchorx="margin"/>
            </v:rect>
          </w:pict>
        </mc:Fallback>
      </mc:AlternateContent>
    </w:r>
    <w:r>
      <w:rPr>
        <w:noProof/>
      </w:rPr>
      <mc:AlternateContent>
        <mc:Choice Requires="wps">
          <w:drawing>
            <wp:anchor distT="0" distB="0" distL="114300" distR="114300" simplePos="0" relativeHeight="2521446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598" name="Rectangle 15146815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598" o:spid="_x0000_s221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70816" o:allowincell="f" fillcolor="black" stroked="f">
              <w10:wrap anchorx="margin"/>
            </v:rect>
          </w:pict>
        </mc:Fallback>
      </mc:AlternateContent>
    </w:r>
    <w:r>
      <w:rPr>
        <w:noProof/>
      </w:rPr>
      <mc:AlternateContent>
        <mc:Choice Requires="wps">
          <w:drawing>
            <wp:anchor distT="0" distB="0" distL="114300" distR="114300" simplePos="0" relativeHeight="25214259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08" name="Rectangle 151468160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608" o:spid="_x0000_s221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72864" o:allowincell="f" fillcolor="black" stroked="f">
              <w10:wrap anchorx="margin"/>
            </v:rect>
          </w:pict>
        </mc:Fallback>
      </mc:AlternateContent>
    </w:r>
    <w:r>
      <w:rPr>
        <w:noProof/>
      </w:rPr>
      <mc:AlternateContent>
        <mc:Choice Requires="wps">
          <w:drawing>
            <wp:anchor distT="0" distB="0" distL="114300" distR="114300" simplePos="0" relativeHeight="25214054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09" name="Rectangle 151468160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609" o:spid="_x0000_s221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74912" o:allowincell="f" fillcolor="black" stroked="f">
              <w10:wrap anchorx="margin"/>
            </v:rect>
          </w:pict>
        </mc:Fallback>
      </mc:AlternateContent>
    </w:r>
    <w:r>
      <w:rPr>
        <w:noProof/>
      </w:rPr>
      <mc:AlternateContent>
        <mc:Choice Requires="wps">
          <w:drawing>
            <wp:anchor distT="0" distB="0" distL="114300" distR="114300" simplePos="0" relativeHeight="25213849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16" name="Rectangle 15146816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616" o:spid="_x0000_s221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76960" o:allowincell="f" fillcolor="black" stroked="f">
              <w10:wrap anchorx="margin"/>
            </v:rect>
          </w:pict>
        </mc:Fallback>
      </mc:AlternateContent>
    </w:r>
    <w:r>
      <w:rPr>
        <w:noProof/>
      </w:rPr>
      <mc:AlternateContent>
        <mc:Choice Requires="wps">
          <w:drawing>
            <wp:anchor distT="0" distB="0" distL="114300" distR="114300" simplePos="0" relativeHeight="25213644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17" name="Rectangle 15146816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617" o:spid="_x0000_s221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79008" o:allowincell="f" fillcolor="black" stroked="f" strokeweight="0.05pt">
              <w10:wrap anchorx="margin"/>
            </v:rect>
          </w:pict>
        </mc:Fallback>
      </mc:AlternateContent>
    </w:r>
    <w:r>
      <w:rPr>
        <w:noProof/>
      </w:rPr>
      <mc:AlternateContent>
        <mc:Choice Requires="wps">
          <w:drawing>
            <wp:anchor distT="0" distB="0" distL="114300" distR="114300" simplePos="0" relativeHeight="25213440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26" name="Rectangle 15146816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626" o:spid="_x0000_s221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81056" o:allowincell="f" fillcolor="black" stroked="f">
              <w10:wrap anchorx="margin"/>
            </v:rect>
          </w:pict>
        </mc:Fallback>
      </mc:AlternateContent>
    </w:r>
    <w:r>
      <w:rPr>
        <w:noProof/>
      </w:rPr>
      <mc:AlternateContent>
        <mc:Choice Requires="wps">
          <w:drawing>
            <wp:anchor distT="0" distB="0" distL="114300" distR="114300" simplePos="0" relativeHeight="25213235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27" name="Rectangle 15146816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627" o:spid="_x0000_s221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83104" o:allowincell="f" fillcolor="black" stroked="f">
              <w10:wrap anchorx="margin"/>
            </v:rect>
          </w:pict>
        </mc:Fallback>
      </mc:AlternateContent>
    </w:r>
    <w:r>
      <w:rPr>
        <w:noProof/>
      </w:rPr>
      <mc:AlternateContent>
        <mc:Choice Requires="wps">
          <w:drawing>
            <wp:anchor distT="0" distB="0" distL="114300" distR="114300" simplePos="0" relativeHeight="25213030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36" name="Rectangle 15146816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636" o:spid="_x0000_s221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85152" o:allowincell="f" fillcolor="black" stroked="f">
              <w10:wrap anchorx="margin"/>
            </v:rect>
          </w:pict>
        </mc:Fallback>
      </mc:AlternateContent>
    </w:r>
    <w:r>
      <w:rPr>
        <w:noProof/>
      </w:rPr>
      <mc:AlternateContent>
        <mc:Choice Requires="wps">
          <w:drawing>
            <wp:anchor distT="0" distB="0" distL="114300" distR="114300" simplePos="0" relativeHeight="25212825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40" name="Rectangle 151468164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640" o:spid="_x0000_s221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87200" o:allowincell="f" fillcolor="black" stroked="f">
              <w10:wrap anchorx="margin"/>
            </v:rect>
          </w:pict>
        </mc:Fallback>
      </mc:AlternateContent>
    </w:r>
    <w:r>
      <w:rPr>
        <w:noProof/>
      </w:rPr>
      <mc:AlternateContent>
        <mc:Choice Requires="wps">
          <w:drawing>
            <wp:anchor distT="0" distB="0" distL="114300" distR="114300" simplePos="0" relativeHeight="2521262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49" name="Rectangle 15146816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649" o:spid="_x0000_s221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89248" o:allowincell="f" fillcolor="black" stroked="f">
              <w10:wrap anchorx="margin"/>
            </v:rect>
          </w:pict>
        </mc:Fallback>
      </mc:AlternateContent>
    </w:r>
    <w:r>
      <w:rPr>
        <w:noProof/>
      </w:rPr>
      <mc:AlternateContent>
        <mc:Choice Requires="wps">
          <w:drawing>
            <wp:anchor distT="0" distB="0" distL="114300" distR="114300" simplePos="0" relativeHeight="25212416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50" name="Rectangle 15146816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650" o:spid="_x0000_s222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91296" o:allowincell="f" fillcolor="black" stroked="f">
              <w10:wrap anchorx="margin"/>
            </v:rect>
          </w:pict>
        </mc:Fallback>
      </mc:AlternateContent>
    </w:r>
    <w:r>
      <w:rPr>
        <w:noProof/>
      </w:rPr>
      <mc:AlternateContent>
        <mc:Choice Requires="wps">
          <w:drawing>
            <wp:anchor distT="0" distB="0" distL="114300" distR="114300" simplePos="0" relativeHeight="25212211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57" name="Rectangle 151468165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657" o:spid="_x0000_s222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93344" o:allowincell="f" fillcolor="black" stroked="f">
              <w10:wrap anchorx="margin"/>
            </v:rect>
          </w:pict>
        </mc:Fallback>
      </mc:AlternateContent>
    </w:r>
    <w:r>
      <w:rPr>
        <w:noProof/>
      </w:rPr>
      <mc:AlternateContent>
        <mc:Choice Requires="wps">
          <w:drawing>
            <wp:anchor distT="0" distB="0" distL="114300" distR="114300" simplePos="0" relativeHeight="2521200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58" name="Rectangle 15146816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658" o:spid="_x0000_s222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95392" o:allowincell="f" fillcolor="black" stroked="f">
              <w10:wrap anchorx="margin"/>
            </v:rect>
          </w:pict>
        </mc:Fallback>
      </mc:AlternateContent>
    </w:r>
    <w:r>
      <w:rPr>
        <w:noProof/>
      </w:rPr>
      <mc:AlternateContent>
        <mc:Choice Requires="wps">
          <w:drawing>
            <wp:anchor distT="0" distB="0" distL="114300" distR="114300" simplePos="0" relativeHeight="2521180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87" name="Rectangle 151468168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687" o:spid="_x0000_s222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97440" o:allowincell="f" fillcolor="black" stroked="f">
              <w10:wrap anchorx="margin"/>
            </v:rect>
          </w:pict>
        </mc:Fallback>
      </mc:AlternateContent>
    </w:r>
    <w:r>
      <w:rPr>
        <w:noProof/>
      </w:rPr>
      <mc:AlternateContent>
        <mc:Choice Requires="wps">
          <w:drawing>
            <wp:anchor distT="0" distB="0" distL="114300" distR="114300" simplePos="0" relativeHeight="25211596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91" name="Rectangle 151468169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691" o:spid="_x0000_s222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199488" o:allowincell="f" fillcolor="black" stroked="f">
              <w10:wrap anchorx="margin"/>
            </v:rect>
          </w:pict>
        </mc:Fallback>
      </mc:AlternateContent>
    </w:r>
    <w:r>
      <w:rPr>
        <w:noProof/>
      </w:rPr>
      <mc:AlternateContent>
        <mc:Choice Requires="wps">
          <w:drawing>
            <wp:anchor distT="0" distB="0" distL="114300" distR="114300" simplePos="0" relativeHeight="25211392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92" name="Rectangle 151468169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692" o:spid="_x0000_s222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201536" o:allowincell="f" fillcolor="black" stroked="f">
              <w10:wrap anchorx="margin"/>
            </v:rect>
          </w:pict>
        </mc:Fallback>
      </mc:AlternateContent>
    </w:r>
  </w:p>
  <w:p w:rsidR="00BD6868" w:rsidRPr="009838BC" w:rsidP="009838BC" w14:paraId="74732196" w14:textId="77777777">
    <w:pPr>
      <w:spacing w:before="40"/>
      <w:rPr>
        <w:rFonts w:ascii="Arial" w:hAnsi="Arial" w:cs="Arial"/>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6868" w:rsidRPr="009838BC" w:rsidP="009838BC" w14:paraId="307F1334" w14:textId="30799254">
    <w:pPr>
      <w:tabs>
        <w:tab w:val="center" w:pos="4680"/>
        <w:tab w:val="right" w:pos="9360"/>
      </w:tabs>
    </w:pPr>
    <w:r w:rsidRPr="009838BC">
      <w:rPr>
        <w:b/>
      </w:rPr>
      <w:tab/>
    </w:r>
    <w:r w:rsidRPr="00FF4CEF">
      <w:rPr>
        <w:b/>
        <w:sz w:val="22"/>
        <w:szCs w:val="22"/>
      </w:rPr>
      <w:t>Federal Communications Commission</w:t>
    </w:r>
    <w:r w:rsidRPr="00FF4CEF">
      <w:rPr>
        <w:b/>
        <w:sz w:val="22"/>
        <w:szCs w:val="22"/>
      </w:rPr>
      <w:tab/>
      <w:t>DA 20-</w:t>
    </w:r>
    <w:r w:rsidRPr="00FF4CEF" w:rsidR="0054596A">
      <w:rPr>
        <w:b/>
        <w:sz w:val="22"/>
        <w:szCs w:val="22"/>
      </w:rPr>
      <w:t>594</w:t>
    </w:r>
  </w:p>
  <w:p w:rsidR="00BD6868" w:rsidRPr="009838BC" w:rsidP="009838BC" w14:paraId="161091B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23535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97" name="Rectangle 151468169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697" o:spid="_x0000_s222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61920" o:allowincell="f" fillcolor="black" stroked="f">
              <w10:wrap anchorx="margin"/>
            </v:rect>
          </w:pict>
        </mc:Fallback>
      </mc:AlternateContent>
    </w:r>
    <w:r>
      <w:rPr>
        <w:noProof/>
      </w:rPr>
      <mc:AlternateContent>
        <mc:Choice Requires="wps">
          <w:drawing>
            <wp:anchor distT="0" distB="0" distL="114300" distR="114300" simplePos="0" relativeHeight="2523514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698" name="Rectangle 15146816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698" o:spid="_x0000_s222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63968" o:allowincell="f" fillcolor="black" stroked="f">
              <w10:wrap anchorx="margin"/>
            </v:rect>
          </w:pict>
        </mc:Fallback>
      </mc:AlternateContent>
    </w:r>
    <w:r>
      <w:rPr>
        <w:noProof/>
      </w:rPr>
      <mc:AlternateContent>
        <mc:Choice Requires="wps">
          <w:drawing>
            <wp:anchor distT="0" distB="0" distL="114300" distR="114300" simplePos="0" relativeHeight="2523494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20" name="Rectangle 15146819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20" o:spid="_x0000_s222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66016" o:allowincell="f" fillcolor="black" stroked="f">
              <w10:wrap anchorx="margin"/>
            </v:rect>
          </w:pict>
        </mc:Fallback>
      </mc:AlternateContent>
    </w:r>
    <w:r>
      <w:rPr>
        <w:noProof/>
      </w:rPr>
      <mc:AlternateContent>
        <mc:Choice Requires="wps">
          <w:drawing>
            <wp:anchor distT="0" distB="0" distL="114300" distR="114300" simplePos="0" relativeHeight="25234739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21" name="Rectangle 15146819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21" o:spid="_x0000_s222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68064" o:allowincell="f" fillcolor="black" stroked="f">
              <w10:wrap anchorx="margin"/>
            </v:rect>
          </w:pict>
        </mc:Fallback>
      </mc:AlternateContent>
    </w:r>
    <w:r>
      <w:rPr>
        <w:noProof/>
      </w:rPr>
      <mc:AlternateContent>
        <mc:Choice Requires="wps">
          <w:drawing>
            <wp:anchor distT="0" distB="0" distL="114300" distR="114300" simplePos="0" relativeHeight="25234534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22" name="Rectangle 15146819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22" o:spid="_x0000_s223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70112" o:allowincell="f" fillcolor="black" stroked="f">
              <w10:wrap anchorx="margin"/>
            </v:rect>
          </w:pict>
        </mc:Fallback>
      </mc:AlternateContent>
    </w:r>
    <w:r>
      <w:rPr>
        <w:noProof/>
      </w:rPr>
      <mc:AlternateContent>
        <mc:Choice Requires="wps">
          <w:drawing>
            <wp:anchor distT="0" distB="0" distL="114300" distR="114300" simplePos="0" relativeHeight="25234329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23" name="Rectangle 15146819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23" o:spid="_x0000_s223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72160" o:allowincell="f" fillcolor="black" stroked="f">
              <w10:wrap anchorx="margin"/>
            </v:rect>
          </w:pict>
        </mc:Fallback>
      </mc:AlternateContent>
    </w:r>
    <w:r>
      <w:rPr>
        <w:noProof/>
      </w:rPr>
      <mc:AlternateContent>
        <mc:Choice Requires="wps">
          <w:drawing>
            <wp:anchor distT="0" distB="0" distL="114300" distR="114300" simplePos="0" relativeHeight="25234124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24" name="Rectangle 15146819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24" o:spid="_x0000_s223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74208" o:allowincell="f" fillcolor="black" stroked="f">
              <w10:wrap anchorx="margin"/>
            </v:rect>
          </w:pict>
        </mc:Fallback>
      </mc:AlternateContent>
    </w:r>
    <w:r>
      <w:rPr>
        <w:noProof/>
      </w:rPr>
      <mc:AlternateContent>
        <mc:Choice Requires="wps">
          <w:drawing>
            <wp:anchor distT="0" distB="0" distL="114300" distR="114300" simplePos="0" relativeHeight="25233920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25" name="Rectangle 15146819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25" o:spid="_x0000_s223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76256" o:allowincell="f" fillcolor="black" stroked="f">
              <w10:wrap anchorx="margin"/>
            </v:rect>
          </w:pict>
        </mc:Fallback>
      </mc:AlternateContent>
    </w:r>
    <w:r>
      <w:rPr>
        <w:noProof/>
      </w:rPr>
      <mc:AlternateContent>
        <mc:Choice Requires="wps">
          <w:drawing>
            <wp:anchor distT="0" distB="0" distL="114300" distR="114300" simplePos="0" relativeHeight="25233715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26" name="Rectangle 15146819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26" o:spid="_x0000_s223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78304" o:allowincell="f" fillcolor="black" stroked="f">
              <w10:wrap anchorx="margin"/>
            </v:rect>
          </w:pict>
        </mc:Fallback>
      </mc:AlternateContent>
    </w:r>
    <w:r>
      <w:rPr>
        <w:noProof/>
      </w:rPr>
      <mc:AlternateContent>
        <mc:Choice Requires="wps">
          <w:drawing>
            <wp:anchor distT="0" distB="0" distL="114300" distR="114300" simplePos="0" relativeHeight="25233510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27" name="Rectangle 15146819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27" o:spid="_x0000_s223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80352" o:allowincell="f" fillcolor="black" stroked="f">
              <w10:wrap anchorx="margin"/>
            </v:rect>
          </w:pict>
        </mc:Fallback>
      </mc:AlternateContent>
    </w:r>
    <w:r>
      <w:rPr>
        <w:noProof/>
      </w:rPr>
      <mc:AlternateContent>
        <mc:Choice Requires="wps">
          <w:drawing>
            <wp:anchor distT="0" distB="0" distL="114300" distR="114300" simplePos="0" relativeHeight="25233305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28" name="Rectangle 15146819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28" o:spid="_x0000_s223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82400" o:allowincell="f" fillcolor="black" stroked="f">
              <w10:wrap anchorx="margin"/>
            </v:rect>
          </w:pict>
        </mc:Fallback>
      </mc:AlternateContent>
    </w:r>
    <w:r>
      <w:rPr>
        <w:noProof/>
      </w:rPr>
      <mc:AlternateContent>
        <mc:Choice Requires="wps">
          <w:drawing>
            <wp:anchor distT="0" distB="0" distL="114300" distR="114300" simplePos="0" relativeHeight="2523310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29" name="Rectangle 15146819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29" o:spid="_x0000_s223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84448" o:allowincell="f" fillcolor="black" stroked="f" strokeweight="0.05pt">
              <w10:wrap anchorx="margin"/>
            </v:rect>
          </w:pict>
        </mc:Fallback>
      </mc:AlternateContent>
    </w:r>
    <w:r>
      <w:rPr>
        <w:noProof/>
      </w:rPr>
      <mc:AlternateContent>
        <mc:Choice Requires="wps">
          <w:drawing>
            <wp:anchor distT="0" distB="0" distL="114300" distR="114300" simplePos="0" relativeHeight="25232896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30" name="Rectangle 15146819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30" o:spid="_x0000_s223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86496" o:allowincell="f" fillcolor="black" stroked="f">
              <w10:wrap anchorx="margin"/>
            </v:rect>
          </w:pict>
        </mc:Fallback>
      </mc:AlternateContent>
    </w:r>
    <w:r>
      <w:rPr>
        <w:noProof/>
      </w:rPr>
      <mc:AlternateContent>
        <mc:Choice Requires="wps">
          <w:drawing>
            <wp:anchor distT="0" distB="0" distL="114300" distR="114300" simplePos="0" relativeHeight="25232691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31" name="Rectangle 15146819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31" o:spid="_x0000_s223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88544" o:allowincell="f" fillcolor="black" stroked="f">
              <w10:wrap anchorx="margin"/>
            </v:rect>
          </w:pict>
        </mc:Fallback>
      </mc:AlternateContent>
    </w:r>
    <w:r>
      <w:rPr>
        <w:noProof/>
      </w:rPr>
      <mc:AlternateContent>
        <mc:Choice Requires="wps">
          <w:drawing>
            <wp:anchor distT="0" distB="0" distL="114300" distR="114300" simplePos="0" relativeHeight="2523248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32" name="Rectangle 15146819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32" o:spid="_x0000_s224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90592" o:allowincell="f" fillcolor="black" stroked="f">
              <w10:wrap anchorx="margin"/>
            </v:rect>
          </w:pict>
        </mc:Fallback>
      </mc:AlternateContent>
    </w:r>
    <w:r>
      <w:rPr>
        <w:noProof/>
      </w:rPr>
      <mc:AlternateContent>
        <mc:Choice Requires="wps">
          <w:drawing>
            <wp:anchor distT="0" distB="0" distL="114300" distR="114300" simplePos="0" relativeHeight="2523228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33" name="Rectangle 15146819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33" o:spid="_x0000_s224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92640" o:allowincell="f" fillcolor="black" stroked="f">
              <w10:wrap anchorx="margin"/>
            </v:rect>
          </w:pict>
        </mc:Fallback>
      </mc:AlternateContent>
    </w:r>
    <w:r>
      <w:rPr>
        <w:noProof/>
      </w:rPr>
      <mc:AlternateContent>
        <mc:Choice Requires="wps">
          <w:drawing>
            <wp:anchor distT="0" distB="0" distL="114300" distR="114300" simplePos="0" relativeHeight="25232076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34" name="Rectangle 15146819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34" o:spid="_x0000_s224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94688" o:allowincell="f" fillcolor="black" stroked="f">
              <w10:wrap anchorx="margin"/>
            </v:rect>
          </w:pict>
        </mc:Fallback>
      </mc:AlternateContent>
    </w:r>
    <w:r>
      <w:rPr>
        <w:noProof/>
      </w:rPr>
      <mc:AlternateContent>
        <mc:Choice Requires="wps">
          <w:drawing>
            <wp:anchor distT="0" distB="0" distL="114300" distR="114300" simplePos="0" relativeHeight="25231872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35" name="Rectangle 15146819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35" o:spid="_x0000_s224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96736" o:allowincell="f" fillcolor="black" stroked="f">
              <w10:wrap anchorx="margin"/>
            </v:rect>
          </w:pict>
        </mc:Fallback>
      </mc:AlternateContent>
    </w:r>
    <w:r>
      <w:rPr>
        <w:noProof/>
      </w:rPr>
      <mc:AlternateContent>
        <mc:Choice Requires="wps">
          <w:drawing>
            <wp:anchor distT="0" distB="0" distL="114300" distR="114300" simplePos="0" relativeHeight="25231667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36" name="Rectangle 15146819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36" o:spid="_x0000_s224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0998784" o:allowincell="f" fillcolor="black" stroked="f">
              <w10:wrap anchorx="margin"/>
            </v:rect>
          </w:pict>
        </mc:Fallback>
      </mc:AlternateContent>
    </w:r>
    <w:r>
      <w:rPr>
        <w:noProof/>
      </w:rPr>
      <mc:AlternateContent>
        <mc:Choice Requires="wps">
          <w:drawing>
            <wp:anchor distT="0" distB="0" distL="114300" distR="114300" simplePos="0" relativeHeight="25231462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37" name="Rectangle 15146819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37" o:spid="_x0000_s224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00832" o:allowincell="f" fillcolor="black" stroked="f">
              <w10:wrap anchorx="margin"/>
            </v:rect>
          </w:pict>
        </mc:Fallback>
      </mc:AlternateContent>
    </w:r>
    <w:r>
      <w:rPr>
        <w:noProof/>
      </w:rPr>
      <mc:AlternateContent>
        <mc:Choice Requires="wps">
          <w:drawing>
            <wp:anchor distT="0" distB="0" distL="114300" distR="114300" simplePos="0" relativeHeight="25231257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38" name="Rectangle 15146819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38" o:spid="_x0000_s224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02880" o:allowincell="f" fillcolor="black" stroked="f">
              <w10:wrap anchorx="margin"/>
            </v:rect>
          </w:pict>
        </mc:Fallback>
      </mc:AlternateContent>
    </w:r>
    <w:r>
      <w:rPr>
        <w:noProof/>
      </w:rPr>
      <mc:AlternateContent>
        <mc:Choice Requires="wps">
          <w:drawing>
            <wp:anchor distT="0" distB="0" distL="114300" distR="114300" simplePos="0" relativeHeight="2523105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39" name="Rectangle 151468193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39" o:spid="_x0000_s224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04928" o:allowincell="f" fillcolor="black" stroked="f">
              <w10:wrap anchorx="margin"/>
            </v:rect>
          </w:pict>
        </mc:Fallback>
      </mc:AlternateContent>
    </w:r>
    <w:r>
      <w:rPr>
        <w:noProof/>
      </w:rPr>
      <mc:AlternateContent>
        <mc:Choice Requires="wps">
          <w:drawing>
            <wp:anchor distT="0" distB="0" distL="114300" distR="114300" simplePos="0" relativeHeight="2523084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40" name="Rectangle 151468194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40" o:spid="_x0000_s224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06976" o:allowincell="f" fillcolor="black" stroked="f">
              <w10:wrap anchorx="margin"/>
            </v:rect>
          </w:pict>
        </mc:Fallback>
      </mc:AlternateContent>
    </w:r>
    <w:r>
      <w:rPr>
        <w:noProof/>
      </w:rPr>
      <mc:AlternateContent>
        <mc:Choice Requires="wps">
          <w:drawing>
            <wp:anchor distT="0" distB="0" distL="114300" distR="114300" simplePos="0" relativeHeight="25230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41" name="Rectangle 15146819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41" o:spid="_x0000_s22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09024" o:allowincell="f" fillcolor="black" stroked="f" strokeweight="0.05pt">
              <w10:wrap anchorx="margin"/>
            </v:rect>
          </w:pict>
        </mc:Fallback>
      </mc:AlternateContent>
    </w:r>
    <w:r>
      <w:rPr>
        <w:noProof/>
      </w:rPr>
      <mc:AlternateContent>
        <mc:Choice Requires="wps">
          <w:drawing>
            <wp:anchor distT="0" distB="0" distL="114300" distR="114300" simplePos="0" relativeHeight="25230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42" name="Rectangle 15146819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42" o:spid="_x0000_s22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11072" o:allowincell="f" fillcolor="black" stroked="f">
              <w10:wrap anchorx="margin"/>
            </v:rect>
          </w:pict>
        </mc:Fallback>
      </mc:AlternateContent>
    </w:r>
    <w:r>
      <w:rPr>
        <w:noProof/>
      </w:rPr>
      <mc:AlternateContent>
        <mc:Choice Requires="wps">
          <w:drawing>
            <wp:anchor distT="0" distB="0" distL="114300" distR="114300" simplePos="0" relativeHeight="25230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43" name="Rectangle 15146819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43" o:spid="_x0000_s22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13120" o:allowincell="f" fillcolor="black" stroked="f">
              <w10:wrap anchorx="margin"/>
            </v:rect>
          </w:pict>
        </mc:Fallback>
      </mc:AlternateContent>
    </w:r>
    <w:r>
      <w:rPr>
        <w:noProof/>
      </w:rPr>
      <mc:AlternateContent>
        <mc:Choice Requires="wps">
          <w:drawing>
            <wp:anchor distT="0" distB="0" distL="114300" distR="114300" simplePos="0" relativeHeight="25230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44" name="Rectangle 15146819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44" o:spid="_x0000_s22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15168" o:allowincell="f" fillcolor="black" stroked="f">
              <w10:wrap anchorx="margin"/>
            </v:rect>
          </w:pict>
        </mc:Fallback>
      </mc:AlternateContent>
    </w:r>
    <w:r>
      <w:rPr>
        <w:noProof/>
      </w:rPr>
      <mc:AlternateContent>
        <mc:Choice Requires="wps">
          <w:drawing>
            <wp:anchor distT="0" distB="0" distL="114300" distR="114300" simplePos="0" relativeHeight="25229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45" name="Rectangle 15146819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45" o:spid="_x0000_s22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17216" o:allowincell="f" fillcolor="black" stroked="f">
              <w10:wrap anchorx="margin"/>
            </v:rect>
          </w:pict>
        </mc:Fallback>
      </mc:AlternateContent>
    </w:r>
    <w:r>
      <w:rPr>
        <w:noProof/>
      </w:rPr>
      <mc:AlternateContent>
        <mc:Choice Requires="wps">
          <w:drawing>
            <wp:anchor distT="0" distB="0" distL="114300" distR="114300" simplePos="0" relativeHeight="25229619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46" name="Rectangle 15146819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46" o:spid="_x0000_s22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19264" o:allowincell="f" fillcolor="black" stroked="f">
              <w10:wrap anchorx="margin"/>
            </v:rect>
          </w:pict>
        </mc:Fallback>
      </mc:AlternateContent>
    </w:r>
    <w:r>
      <w:rPr>
        <w:noProof/>
      </w:rPr>
      <mc:AlternateContent>
        <mc:Choice Requires="wps">
          <w:drawing>
            <wp:anchor distT="0" distB="0" distL="114300" distR="114300" simplePos="0" relativeHeight="25229414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47" name="Rectangle 15146819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47" o:spid="_x0000_s22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21312" o:allowincell="f" fillcolor="black" stroked="f">
              <w10:wrap anchorx="margin"/>
            </v:rect>
          </w:pict>
        </mc:Fallback>
      </mc:AlternateContent>
    </w:r>
    <w:r>
      <w:rPr>
        <w:noProof/>
      </w:rPr>
      <mc:AlternateContent>
        <mc:Choice Requires="wps">
          <w:drawing>
            <wp:anchor distT="0" distB="0" distL="114300" distR="114300" simplePos="0" relativeHeight="25229209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48" name="Rectangle 15146819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48" o:spid="_x0000_s225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23360" o:allowincell="f" fillcolor="black" stroked="f">
              <w10:wrap anchorx="margin"/>
            </v:rect>
          </w:pict>
        </mc:Fallback>
      </mc:AlternateContent>
    </w:r>
    <w:r>
      <w:rPr>
        <w:noProof/>
      </w:rPr>
      <mc:AlternateContent>
        <mc:Choice Requires="wps">
          <w:drawing>
            <wp:anchor distT="0" distB="0" distL="114300" distR="114300" simplePos="0" relativeHeight="25229004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49" name="Rectangle 15146819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49" o:spid="_x0000_s225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25408" o:allowincell="f" fillcolor="black" stroked="f">
              <w10:wrap anchorx="margin"/>
            </v:rect>
          </w:pict>
        </mc:Fallback>
      </mc:AlternateContent>
    </w:r>
    <w:r>
      <w:rPr>
        <w:noProof/>
      </w:rPr>
      <mc:AlternateContent>
        <mc:Choice Requires="wps">
          <w:drawing>
            <wp:anchor distT="0" distB="0" distL="114300" distR="114300" simplePos="0" relativeHeight="25228800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50" name="Rectangle 15146819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50" o:spid="_x0000_s225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27456" o:allowincell="f" fillcolor="black" stroked="f">
              <w10:wrap anchorx="margin"/>
            </v:rect>
          </w:pict>
        </mc:Fallback>
      </mc:AlternateContent>
    </w:r>
    <w:r>
      <w:rPr>
        <w:noProof/>
      </w:rPr>
      <mc:AlternateContent>
        <mc:Choice Requires="wps">
          <w:drawing>
            <wp:anchor distT="0" distB="0" distL="114300" distR="114300" simplePos="0" relativeHeight="25228595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51" name="Rectangle 15146819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51" o:spid="_x0000_s225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29504" o:allowincell="f" fillcolor="black" stroked="f">
              <w10:wrap anchorx="margin"/>
            </v:rect>
          </w:pict>
        </mc:Fallback>
      </mc:AlternateContent>
    </w:r>
    <w:r>
      <w:rPr>
        <w:noProof/>
      </w:rPr>
      <mc:AlternateContent>
        <mc:Choice Requires="wps">
          <w:drawing>
            <wp:anchor distT="0" distB="0" distL="114300" distR="114300" simplePos="0" relativeHeight="25228390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52" name="Rectangle 15146819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52" o:spid="_x0000_s226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31552" o:allowincell="f" fillcolor="black" stroked="f">
              <w10:wrap anchorx="margin"/>
            </v:rect>
          </w:pict>
        </mc:Fallback>
      </mc:AlternateContent>
    </w:r>
    <w:r>
      <w:rPr>
        <w:noProof/>
      </w:rPr>
      <mc:AlternateContent>
        <mc:Choice Requires="wps">
          <w:drawing>
            <wp:anchor distT="0" distB="0" distL="114300" distR="114300" simplePos="0" relativeHeight="25228185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53" name="Rectangle 15146819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53" o:spid="_x0000_s226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33600" o:allowincell="f" fillcolor="black" stroked="f" strokeweight="0.05pt">
              <w10:wrap anchorx="margin"/>
            </v:rect>
          </w:pict>
        </mc:Fallback>
      </mc:AlternateContent>
    </w:r>
    <w:r>
      <w:rPr>
        <w:noProof/>
      </w:rPr>
      <mc:AlternateContent>
        <mc:Choice Requires="wps">
          <w:drawing>
            <wp:anchor distT="0" distB="0" distL="114300" distR="114300" simplePos="0" relativeHeight="2522798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54" name="Rectangle 151468195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54" o:spid="_x0000_s226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35648" o:allowincell="f" fillcolor="black" stroked="f">
              <w10:wrap anchorx="margin"/>
            </v:rect>
          </w:pict>
        </mc:Fallback>
      </mc:AlternateContent>
    </w:r>
    <w:r>
      <w:rPr>
        <w:noProof/>
      </w:rPr>
      <mc:AlternateContent>
        <mc:Choice Requires="wps">
          <w:drawing>
            <wp:anchor distT="0" distB="0" distL="114300" distR="114300" simplePos="0" relativeHeight="25227776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55" name="Rectangle 151468195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55" o:spid="_x0000_s226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37696" o:allowincell="f" fillcolor="black" stroked="f">
              <w10:wrap anchorx="margin"/>
            </v:rect>
          </w:pict>
        </mc:Fallback>
      </mc:AlternateContent>
    </w:r>
    <w:r>
      <w:rPr>
        <w:noProof/>
      </w:rPr>
      <mc:AlternateContent>
        <mc:Choice Requires="wps">
          <w:drawing>
            <wp:anchor distT="0" distB="0" distL="114300" distR="114300" simplePos="0" relativeHeight="25227571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56" name="Rectangle 15146819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56" o:spid="_x0000_s226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39744" o:allowincell="f" fillcolor="black" stroked="f">
              <w10:wrap anchorx="margin"/>
            </v:rect>
          </w:pict>
        </mc:Fallback>
      </mc:AlternateContent>
    </w:r>
    <w:r>
      <w:rPr>
        <w:noProof/>
      </w:rPr>
      <mc:AlternateContent>
        <mc:Choice Requires="wps">
          <w:drawing>
            <wp:anchor distT="0" distB="0" distL="114300" distR="114300" simplePos="0" relativeHeight="2522736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57" name="Rectangle 151468195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57" o:spid="_x0000_s226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41792" o:allowincell="f" fillcolor="black" stroked="f">
              <w10:wrap anchorx="margin"/>
            </v:rect>
          </w:pict>
        </mc:Fallback>
      </mc:AlternateContent>
    </w:r>
    <w:r>
      <w:rPr>
        <w:noProof/>
      </w:rPr>
      <mc:AlternateContent>
        <mc:Choice Requires="wps">
          <w:drawing>
            <wp:anchor distT="0" distB="0" distL="114300" distR="114300" simplePos="0" relativeHeight="2522716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58" name="Rectangle 15146819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58" o:spid="_x0000_s226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43840" o:allowincell="f" fillcolor="black" stroked="f">
              <w10:wrap anchorx="margin"/>
            </v:rect>
          </w:pict>
        </mc:Fallback>
      </mc:AlternateContent>
    </w:r>
    <w:r>
      <w:rPr>
        <w:noProof/>
      </w:rPr>
      <mc:AlternateContent>
        <mc:Choice Requires="wps">
          <w:drawing>
            <wp:anchor distT="0" distB="0" distL="114300" distR="114300" simplePos="0" relativeHeight="25226956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59" name="Rectangle 151468195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59" o:spid="_x0000_s226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45888" o:allowincell="f" fillcolor="black" stroked="f">
              <w10:wrap anchorx="margin"/>
            </v:rect>
          </w:pict>
        </mc:Fallback>
      </mc:AlternateContent>
    </w:r>
    <w:r>
      <w:rPr>
        <w:noProof/>
      </w:rPr>
      <mc:AlternateContent>
        <mc:Choice Requires="wps">
          <w:drawing>
            <wp:anchor distT="0" distB="0" distL="114300" distR="114300" simplePos="0" relativeHeight="25226752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60" name="Rectangle 151468196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60" o:spid="_x0000_s226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47936" o:allowincell="f" fillcolor="black" stroked="f">
              <w10:wrap anchorx="margin"/>
            </v:rect>
          </w:pict>
        </mc:Fallback>
      </mc:AlternateContent>
    </w:r>
    <w:r>
      <w:rPr>
        <w:noProof/>
      </w:rPr>
      <mc:AlternateContent>
        <mc:Choice Requires="wps">
          <w:drawing>
            <wp:anchor distT="0" distB="0" distL="114300" distR="114300" simplePos="0" relativeHeight="25226547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61" name="Rectangle 15146819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61" o:spid="_x0000_s226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49984" o:allowincell="f" fillcolor="black" stroked="f">
              <w10:wrap anchorx="margin"/>
            </v:rect>
          </w:pict>
        </mc:Fallback>
      </mc:AlternateContent>
    </w:r>
    <w:r>
      <w:rPr>
        <w:noProof/>
      </w:rPr>
      <mc:AlternateContent>
        <mc:Choice Requires="wps">
          <w:drawing>
            <wp:anchor distT="0" distB="0" distL="114300" distR="114300" simplePos="0" relativeHeight="25226342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62" name="Rectangle 151468196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62" o:spid="_x0000_s227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52032" o:allowincell="f" fillcolor="black" stroked="f">
              <w10:wrap anchorx="margin"/>
            </v:rect>
          </w:pict>
        </mc:Fallback>
      </mc:AlternateContent>
    </w:r>
    <w:r>
      <w:rPr>
        <w:noProof/>
      </w:rPr>
      <mc:AlternateContent>
        <mc:Choice Requires="wps">
          <w:drawing>
            <wp:anchor distT="0" distB="0" distL="114300" distR="114300" simplePos="0" relativeHeight="25226137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63" name="Rectangle 151468196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63" o:spid="_x0000_s227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54080" o:allowincell="f" fillcolor="black" stroked="f">
              <w10:wrap anchorx="margin"/>
            </v:rect>
          </w:pict>
        </mc:Fallback>
      </mc:AlternateContent>
    </w:r>
    <w:r>
      <w:rPr>
        <w:noProof/>
      </w:rPr>
      <mc:AlternateContent>
        <mc:Choice Requires="wps">
          <w:drawing>
            <wp:anchor distT="0" distB="0" distL="114300" distR="114300" simplePos="0" relativeHeight="2522593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64" name="Rectangle 15146819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64" o:spid="_x0000_s227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56128" o:allowincell="f" fillcolor="black" stroked="f">
              <w10:wrap anchorx="margin"/>
            </v:rect>
          </w:pict>
        </mc:Fallback>
      </mc:AlternateContent>
    </w:r>
    <w:r>
      <w:rPr>
        <w:noProof/>
      </w:rPr>
      <mc:AlternateContent>
        <mc:Choice Requires="wps">
          <w:drawing>
            <wp:anchor distT="0" distB="0" distL="114300" distR="114300" simplePos="0" relativeHeight="2522572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65" name="Rectangle 15146819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65" o:spid="_x0000_s227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58176" o:allowincell="f" fillcolor="black" stroked="f" strokeweight="0.05pt">
              <w10:wrap anchorx="margin"/>
            </v:rect>
          </w:pict>
        </mc:Fallback>
      </mc:AlternateContent>
    </w:r>
    <w:r>
      <w:rPr>
        <w:noProof/>
      </w:rPr>
      <mc:AlternateContent>
        <mc:Choice Requires="wps">
          <w:drawing>
            <wp:anchor distT="0" distB="0" distL="114300" distR="114300" simplePos="0" relativeHeight="2522552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66" name="Rectangle 15146819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66" o:spid="_x0000_s227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60224" o:allowincell="f" fillcolor="black" stroked="f">
              <w10:wrap anchorx="margin"/>
            </v:rect>
          </w:pict>
        </mc:Fallback>
      </mc:AlternateContent>
    </w:r>
    <w:r>
      <w:rPr>
        <w:noProof/>
      </w:rPr>
      <mc:AlternateContent>
        <mc:Choice Requires="wps">
          <w:drawing>
            <wp:anchor distT="0" distB="0" distL="114300" distR="114300" simplePos="0" relativeHeight="2522531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67" name="Rectangle 15146819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67" o:spid="_x0000_s227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62272" o:allowincell="f" fillcolor="black" stroked="f">
              <w10:wrap anchorx="margin"/>
            </v:rect>
          </w:pict>
        </mc:Fallback>
      </mc:AlternateContent>
    </w:r>
    <w:r>
      <w:rPr>
        <w:noProof/>
      </w:rPr>
      <mc:AlternateContent>
        <mc:Choice Requires="wps">
          <w:drawing>
            <wp:anchor distT="0" distB="0" distL="114300" distR="114300" simplePos="0" relativeHeight="2522511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68" name="Rectangle 15146819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68" o:spid="_x0000_s227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64320" o:allowincell="f" fillcolor="black" stroked="f">
              <w10:wrap anchorx="margin"/>
            </v:rect>
          </w:pict>
        </mc:Fallback>
      </mc:AlternateContent>
    </w:r>
    <w:r>
      <w:rPr>
        <w:noProof/>
      </w:rPr>
      <mc:AlternateContent>
        <mc:Choice Requires="wps">
          <w:drawing>
            <wp:anchor distT="0" distB="0" distL="114300" distR="114300" simplePos="0" relativeHeight="2522490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69" name="Rectangle 15146819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69" o:spid="_x0000_s227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66368" o:allowincell="f" fillcolor="black" stroked="f">
              <w10:wrap anchorx="margin"/>
            </v:rect>
          </w:pict>
        </mc:Fallback>
      </mc:AlternateContent>
    </w:r>
    <w:r>
      <w:rPr>
        <w:noProof/>
      </w:rPr>
      <mc:AlternateContent>
        <mc:Choice Requires="wps">
          <w:drawing>
            <wp:anchor distT="0" distB="0" distL="114300" distR="114300" simplePos="0" relativeHeight="2522470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70" name="Rectangle 15146819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70" o:spid="_x0000_s2278"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68416" o:allowincell="f" fillcolor="black" stroked="f">
              <w10:wrap anchorx="margin"/>
            </v:rect>
          </w:pict>
        </mc:Fallback>
      </mc:AlternateContent>
    </w:r>
    <w:r>
      <w:rPr>
        <w:noProof/>
      </w:rPr>
      <mc:AlternateContent>
        <mc:Choice Requires="wps">
          <w:drawing>
            <wp:anchor distT="0" distB="0" distL="114300" distR="114300" simplePos="0" relativeHeight="25224499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71" name="Rectangle 15146819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71" o:spid="_x0000_s227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70464" o:allowincell="f" fillcolor="black" stroked="f">
              <w10:wrap anchorx="margin"/>
            </v:rect>
          </w:pict>
        </mc:Fallback>
      </mc:AlternateContent>
    </w:r>
    <w:r>
      <w:rPr>
        <w:noProof/>
      </w:rPr>
      <mc:AlternateContent>
        <mc:Choice Requires="wps">
          <w:drawing>
            <wp:anchor distT="0" distB="0" distL="114300" distR="114300" simplePos="0" relativeHeight="25224294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72" name="Rectangle 151468197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72" o:spid="_x0000_s228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72512" o:allowincell="f" fillcolor="black" stroked="f">
              <w10:wrap anchorx="margin"/>
            </v:rect>
          </w:pict>
        </mc:Fallback>
      </mc:AlternateContent>
    </w:r>
    <w:r>
      <w:rPr>
        <w:noProof/>
      </w:rPr>
      <mc:AlternateContent>
        <mc:Choice Requires="wps">
          <w:drawing>
            <wp:anchor distT="0" distB="0" distL="114300" distR="114300" simplePos="0" relativeHeight="25224089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73" name="Rectangle 151468197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73" o:spid="_x0000_s228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74560" o:allowincell="f" fillcolor="black" stroked="f">
              <w10:wrap anchorx="margin"/>
            </v:rect>
          </w:pict>
        </mc:Fallback>
      </mc:AlternateContent>
    </w:r>
    <w:r>
      <w:rPr>
        <w:noProof/>
      </w:rPr>
      <mc:AlternateContent>
        <mc:Choice Requires="wps">
          <w:drawing>
            <wp:anchor distT="0" distB="0" distL="114300" distR="114300" simplePos="0" relativeHeight="25223884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74" name="Rectangle 151468197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74" o:spid="_x0000_s228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76608" o:allowincell="f" fillcolor="black" stroked="f">
              <w10:wrap anchorx="margin"/>
            </v:rect>
          </w:pict>
        </mc:Fallback>
      </mc:AlternateContent>
    </w:r>
    <w:r>
      <w:rPr>
        <w:noProof/>
      </w:rPr>
      <mc:AlternateContent>
        <mc:Choice Requires="wps">
          <w:drawing>
            <wp:anchor distT="0" distB="0" distL="114300" distR="114300" simplePos="0" relativeHeight="25223680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75" name="Rectangle 151468197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75" o:spid="_x0000_s228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78656" o:allowincell="f" fillcolor="black" stroked="f">
              <w10:wrap anchorx="margin"/>
            </v:rect>
          </w:pict>
        </mc:Fallback>
      </mc:AlternateContent>
    </w:r>
    <w:r>
      <w:rPr>
        <w:noProof/>
      </w:rPr>
      <mc:AlternateContent>
        <mc:Choice Requires="wps">
          <w:drawing>
            <wp:anchor distT="0" distB="0" distL="114300" distR="114300" simplePos="0" relativeHeight="25223475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14681976" name="Rectangle 15146819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14681976" o:spid="_x0000_s228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080704" o:allowincell="f" fillcolor="black" stroked="f">
              <w10:wrap anchorx="margin"/>
            </v:rect>
          </w:pict>
        </mc:Fallback>
      </mc:AlternateContent>
    </w:r>
  </w:p>
  <w:p w:rsidR="00BD6868" w:rsidRPr="009838BC" w:rsidP="009838BC" w14:paraId="14B34C43" w14:textId="77777777">
    <w:pPr>
      <w:spacing w:before="40"/>
      <w:rPr>
        <w:rFonts w:ascii="Arial" w:hAnsi="Arial" w:cs="Arial"/>
        <w:b/>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6868" w:rsidRPr="00A866AC" w:rsidP="009838BC" w14:paraId="034CEF38" w14:textId="6CFD3B65">
    <w:pPr>
      <w:spacing w:before="40"/>
      <w:rPr>
        <w:rFonts w:ascii="Arial" w:hAnsi="Arial" w:cs="Arial"/>
        <w:b/>
        <w:sz w:val="96"/>
      </w:rPr>
    </w:pPr>
    <w:r>
      <w:rPr>
        <w:noProof/>
      </w:rPr>
      <mc:AlternateContent>
        <mc:Choice Requires="wps">
          <w:drawing>
            <wp:anchor distT="0" distB="0" distL="114300" distR="114300" simplePos="0" relativeHeight="252065792"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872" name="Text Box 15146818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4681872" o:spid="_x0000_s228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2066816" o:allowincell="f" stroked="f">
              <v:textbox>
                <w:txbxContent>
                  <w:p w:rsidR="00BD6868" w:rsidP="009838BC" w14:paraId="1219C2A8" w14:textId="77777777">
                    <w:pPr>
                      <w:rPr>
                        <w:rFonts w:ascii="Arial" w:hAnsi="Arial"/>
                        <w:b/>
                      </w:rPr>
                    </w:pPr>
                    <w:r>
                      <w:rPr>
                        <w:rFonts w:ascii="Arial" w:hAnsi="Arial"/>
                        <w:b/>
                      </w:rPr>
                      <w:t>Federal Communications Commission</w:t>
                    </w:r>
                  </w:p>
                  <w:p w:rsidR="00BD6868" w:rsidP="009838BC" w14:paraId="014D551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0EC70837"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206374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873" name="Text Box 15146818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873" o:spid="_x0000_s2286"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2064768" o:allowincell="f" stroked="f">
              <v:textbox>
                <w:txbxContent>
                  <w:p w:rsidR="00BD6868" w:rsidP="009838BC" w14:paraId="0492CED2" w14:textId="77777777">
                    <w:pPr>
                      <w:rPr>
                        <w:rFonts w:ascii="Arial" w:hAnsi="Arial"/>
                        <w:b/>
                      </w:rPr>
                    </w:pPr>
                    <w:r>
                      <w:rPr>
                        <w:rFonts w:ascii="Arial" w:hAnsi="Arial"/>
                        <w:b/>
                      </w:rPr>
                      <w:t>Federal Communications Commission</w:t>
                    </w:r>
                  </w:p>
                  <w:p w:rsidR="00BD6868" w:rsidP="009838BC" w14:paraId="0F150D0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35A22A6A"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2061696"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874" name="Text Box 15146818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874" o:spid="_x0000_s2287"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2062720" o:allowincell="f" stroked="f">
              <v:textbox>
                <w:txbxContent>
                  <w:p w:rsidR="00BD6868" w:rsidP="009838BC" w14:paraId="2941E450" w14:textId="77777777">
                    <w:pPr>
                      <w:rPr>
                        <w:rFonts w:ascii="Arial" w:hAnsi="Arial"/>
                        <w:b/>
                      </w:rPr>
                    </w:pPr>
                    <w:r>
                      <w:rPr>
                        <w:rFonts w:ascii="Arial" w:hAnsi="Arial"/>
                        <w:b/>
                      </w:rPr>
                      <w:t>Federal Communications Commission</w:t>
                    </w:r>
                  </w:p>
                  <w:p w:rsidR="00BD6868" w:rsidP="009838BC" w14:paraId="5FE08AE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443DC8D0"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205964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875" name="Text Box 15146818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875" o:spid="_x0000_s2288"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2060672" o:allowincell="f" stroked="f">
              <v:textbox>
                <w:txbxContent>
                  <w:p w:rsidR="00BD6868" w:rsidP="009838BC" w14:paraId="114DA7EF" w14:textId="77777777">
                    <w:pPr>
                      <w:rPr>
                        <w:rFonts w:ascii="Arial" w:hAnsi="Arial"/>
                        <w:b/>
                      </w:rPr>
                    </w:pPr>
                    <w:r>
                      <w:rPr>
                        <w:rFonts w:ascii="Arial" w:hAnsi="Arial"/>
                        <w:b/>
                      </w:rPr>
                      <w:t>Federal Communications Commission</w:t>
                    </w:r>
                  </w:p>
                  <w:p w:rsidR="00BD6868" w:rsidP="009838BC" w14:paraId="6B30438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359B8BBA"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205760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876" name="Text Box 15146818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876" o:spid="_x0000_s228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2058624" o:allowincell="f" stroked="f">
              <v:textbox>
                <w:txbxContent>
                  <w:p w:rsidR="00BD6868" w:rsidP="009838BC" w14:paraId="2B4C37D0" w14:textId="77777777">
                    <w:pPr>
                      <w:rPr>
                        <w:rFonts w:ascii="Arial" w:hAnsi="Arial"/>
                        <w:b/>
                      </w:rPr>
                    </w:pPr>
                    <w:r>
                      <w:rPr>
                        <w:rFonts w:ascii="Arial" w:hAnsi="Arial"/>
                        <w:b/>
                      </w:rPr>
                      <w:t>Federal Communications Commission</w:t>
                    </w:r>
                  </w:p>
                  <w:p w:rsidR="00BD6868" w:rsidP="009838BC" w14:paraId="2605E6D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4B760D31"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2055552"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877" name="Text Box 15146818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877" o:spid="_x0000_s229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2056576" o:allowincell="f" stroked="f">
              <v:textbox>
                <w:txbxContent>
                  <w:p w:rsidR="00BD6868" w:rsidP="009838BC" w14:paraId="0AE4DC08" w14:textId="77777777">
                    <w:pPr>
                      <w:rPr>
                        <w:rFonts w:ascii="Arial" w:hAnsi="Arial"/>
                        <w:b/>
                      </w:rPr>
                    </w:pPr>
                    <w:r>
                      <w:rPr>
                        <w:rFonts w:ascii="Arial" w:hAnsi="Arial"/>
                        <w:b/>
                      </w:rPr>
                      <w:t>Federal Communications Commission</w:t>
                    </w:r>
                  </w:p>
                  <w:p w:rsidR="00BD6868" w:rsidP="009838BC" w14:paraId="08D9E07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298532F6"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205350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878" name="Text Box 151468187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878" o:spid="_x0000_s2291"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2054528" o:allowincell="f" stroked="f">
              <v:textbox>
                <w:txbxContent>
                  <w:p w:rsidR="00BD6868" w:rsidP="009838BC" w14:paraId="7600D943" w14:textId="77777777">
                    <w:pPr>
                      <w:rPr>
                        <w:rFonts w:ascii="Arial" w:hAnsi="Arial"/>
                        <w:b/>
                      </w:rPr>
                    </w:pPr>
                    <w:r>
                      <w:rPr>
                        <w:rFonts w:ascii="Arial" w:hAnsi="Arial"/>
                        <w:b/>
                      </w:rPr>
                      <w:t>Federal Communications Commission</w:t>
                    </w:r>
                  </w:p>
                  <w:p w:rsidR="00BD6868" w:rsidP="009838BC" w14:paraId="199BCDA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092CA815"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2051456"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879" name="Text Box 151468187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879" o:spid="_x0000_s2292"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2052480" o:allowincell="f" stroked="f">
              <v:textbox>
                <w:txbxContent>
                  <w:p w:rsidR="00BD6868" w:rsidP="009838BC" w14:paraId="1138D425" w14:textId="77777777">
                    <w:pPr>
                      <w:rPr>
                        <w:rFonts w:ascii="Arial" w:hAnsi="Arial"/>
                        <w:b/>
                      </w:rPr>
                    </w:pPr>
                    <w:r>
                      <w:rPr>
                        <w:rFonts w:ascii="Arial" w:hAnsi="Arial"/>
                        <w:b/>
                      </w:rPr>
                      <w:t>Federal Communications Commission</w:t>
                    </w:r>
                  </w:p>
                  <w:p w:rsidR="00BD6868" w:rsidP="009838BC" w14:paraId="4C2F50D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4E3DAAFD"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204940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880" name="Text Box 151468188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880" o:spid="_x0000_s2293"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2050432" o:allowincell="f" stroked="f">
              <v:textbox>
                <w:txbxContent>
                  <w:p w:rsidR="00BD6868" w:rsidP="009838BC" w14:paraId="2ED5860D" w14:textId="77777777">
                    <w:pPr>
                      <w:rPr>
                        <w:rFonts w:ascii="Arial" w:hAnsi="Arial"/>
                        <w:b/>
                      </w:rPr>
                    </w:pPr>
                    <w:r>
                      <w:rPr>
                        <w:rFonts w:ascii="Arial" w:hAnsi="Arial"/>
                        <w:b/>
                      </w:rPr>
                      <w:t>Federal Communications Commission</w:t>
                    </w:r>
                  </w:p>
                  <w:p w:rsidR="00BD6868" w:rsidP="009838BC" w14:paraId="508467E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0292F831"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204736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881" name="Text Box 151468188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881" o:spid="_x0000_s2294"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2048384" o:allowincell="f" stroked="f">
              <v:textbox>
                <w:txbxContent>
                  <w:p w:rsidR="00BD6868" w:rsidP="009838BC" w14:paraId="5B481929" w14:textId="77777777">
                    <w:pPr>
                      <w:rPr>
                        <w:rFonts w:ascii="Arial" w:hAnsi="Arial"/>
                        <w:b/>
                      </w:rPr>
                    </w:pPr>
                    <w:r>
                      <w:rPr>
                        <w:rFonts w:ascii="Arial" w:hAnsi="Arial"/>
                        <w:b/>
                      </w:rPr>
                      <w:t>Federal Communications Commission</w:t>
                    </w:r>
                  </w:p>
                  <w:p w:rsidR="00BD6868" w:rsidP="009838BC" w14:paraId="77FA1DE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515AEA62"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2045312"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882" name="Text Box 151468188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882" o:spid="_x0000_s229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2046336" o:allowincell="f" stroked="f">
              <v:textbox>
                <w:txbxContent>
                  <w:p w:rsidR="00BD6868" w:rsidP="009838BC" w14:paraId="27DE90FD" w14:textId="77777777">
                    <w:pPr>
                      <w:rPr>
                        <w:rFonts w:ascii="Arial" w:hAnsi="Arial"/>
                        <w:b/>
                      </w:rPr>
                    </w:pPr>
                    <w:r>
                      <w:rPr>
                        <w:rFonts w:ascii="Arial" w:hAnsi="Arial"/>
                        <w:b/>
                      </w:rPr>
                      <w:t>Federal Communications Commission</w:t>
                    </w:r>
                  </w:p>
                  <w:p w:rsidR="00BD6868" w:rsidP="009838BC" w14:paraId="206CF62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0F2C1182"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204326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883" name="Text Box 151468188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883" o:spid="_x0000_s2296"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2044288" o:allowincell="f" stroked="f">
              <v:textbox>
                <w:txbxContent>
                  <w:p w:rsidR="00BD6868" w:rsidP="009838BC" w14:paraId="28A86BD0" w14:textId="77777777">
                    <w:pPr>
                      <w:rPr>
                        <w:rFonts w:ascii="Arial" w:hAnsi="Arial"/>
                        <w:b/>
                      </w:rPr>
                    </w:pPr>
                    <w:r>
                      <w:rPr>
                        <w:rFonts w:ascii="Arial" w:hAnsi="Arial"/>
                        <w:b/>
                      </w:rPr>
                      <w:t>Federal Communications Commission</w:t>
                    </w:r>
                  </w:p>
                  <w:p w:rsidR="00BD6868" w:rsidP="009838BC" w14:paraId="603CDE4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1A275FB2"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2041216"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884" name="Text Box 151468188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884" o:spid="_x0000_s2297"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2042240" o:allowincell="f" stroked="f">
              <v:textbox>
                <w:txbxContent>
                  <w:p w:rsidR="00BD6868" w:rsidP="009838BC" w14:paraId="738F01B5" w14:textId="77777777">
                    <w:pPr>
                      <w:rPr>
                        <w:rFonts w:ascii="Arial" w:hAnsi="Arial"/>
                        <w:b/>
                      </w:rPr>
                    </w:pPr>
                    <w:r>
                      <w:rPr>
                        <w:rFonts w:ascii="Arial" w:hAnsi="Arial"/>
                        <w:b/>
                      </w:rPr>
                      <w:t>Federal Communications Commission</w:t>
                    </w:r>
                  </w:p>
                  <w:p w:rsidR="00BD6868" w:rsidP="009838BC" w14:paraId="504178F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7ACB3BAD"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203916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885" name="Text Box 151468188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885" o:spid="_x0000_s2298"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2040192" o:allowincell="f" stroked="f">
              <v:textbox>
                <w:txbxContent>
                  <w:p w:rsidR="00BD6868" w:rsidP="009838BC" w14:paraId="61BD5DC6" w14:textId="77777777">
                    <w:pPr>
                      <w:rPr>
                        <w:rFonts w:ascii="Arial" w:hAnsi="Arial"/>
                        <w:b/>
                      </w:rPr>
                    </w:pPr>
                    <w:r>
                      <w:rPr>
                        <w:rFonts w:ascii="Arial" w:hAnsi="Arial"/>
                        <w:b/>
                      </w:rPr>
                      <w:t>Federal Communications Commission</w:t>
                    </w:r>
                  </w:p>
                  <w:p w:rsidR="00BD6868" w:rsidP="009838BC" w14:paraId="38C34D9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3783AF4F"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203712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886" name="Text Box 15146818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886" o:spid="_x0000_s229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2038144" o:allowincell="f" stroked="f">
              <v:textbox>
                <w:txbxContent>
                  <w:p w:rsidR="00BD6868" w:rsidP="009838BC" w14:paraId="51E9384C" w14:textId="77777777">
                    <w:pPr>
                      <w:rPr>
                        <w:rFonts w:ascii="Arial" w:hAnsi="Arial"/>
                        <w:b/>
                      </w:rPr>
                    </w:pPr>
                    <w:r>
                      <w:rPr>
                        <w:rFonts w:ascii="Arial" w:hAnsi="Arial"/>
                        <w:b/>
                      </w:rPr>
                      <w:t>Federal Communications Commission</w:t>
                    </w:r>
                  </w:p>
                  <w:p w:rsidR="00BD6868" w:rsidP="009838BC" w14:paraId="7B21AA3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558B6AA0" w14:textId="77777777">
                    <w:pPr>
                      <w:rPr>
                        <w:rFonts w:ascii="Arial" w:hAnsi="Arial"/>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2036096" behindDoc="0" locked="0" layoutInCell="1" allowOverlap="1">
          <wp:simplePos x="0" y="0"/>
          <wp:positionH relativeFrom="column">
            <wp:align>left</wp:align>
          </wp:positionH>
          <wp:positionV relativeFrom="paragraph">
            <wp:posOffset>0</wp:posOffset>
          </wp:positionV>
          <wp:extent cx="530225" cy="530225"/>
          <wp:effectExtent l="0" t="0" r="0" b="0"/>
          <wp:wrapSquare wrapText="bothSides"/>
          <wp:docPr id="151468188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783557" name="Picture 1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30225" cy="5302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8796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87" name="Text Box 151468178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87" o:spid="_x0000_s230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88992" o:allowincell="f" stroked="f">
              <v:textbox>
                <w:txbxContent>
                  <w:p w:rsidR="00BD6868" w:rsidP="009838BC" w14:paraId="6EDF7653" w14:textId="77777777">
                    <w:pPr>
                      <w:rPr>
                        <w:rFonts w:ascii="Arial" w:hAnsi="Arial"/>
                        <w:b/>
                      </w:rPr>
                    </w:pPr>
                    <w:r>
                      <w:rPr>
                        <w:rFonts w:ascii="Arial" w:hAnsi="Arial"/>
                        <w:b/>
                      </w:rPr>
                      <w:t>Federal Communications Commission</w:t>
                    </w:r>
                  </w:p>
                  <w:p w:rsidR="00BD6868" w:rsidP="009838BC" w14:paraId="0DCB3C8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48DDA996"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98592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88" name="Text Box 151468178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88" o:spid="_x0000_s2301"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86944" o:allowincell="f" stroked="f">
              <v:textbox>
                <w:txbxContent>
                  <w:p w:rsidR="00BD6868" w:rsidP="009838BC" w14:paraId="7ABFAF36" w14:textId="77777777">
                    <w:pPr>
                      <w:rPr>
                        <w:rFonts w:ascii="Arial" w:hAnsi="Arial"/>
                        <w:b/>
                      </w:rPr>
                    </w:pPr>
                    <w:r>
                      <w:rPr>
                        <w:rFonts w:ascii="Arial" w:hAnsi="Arial"/>
                        <w:b/>
                      </w:rPr>
                      <w:t>Federal Communications Commission</w:t>
                    </w:r>
                  </w:p>
                  <w:p w:rsidR="00BD6868" w:rsidP="009838BC" w14:paraId="26B1B50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0A79FA73"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983872"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89" name="Text Box 15146817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89" o:spid="_x0000_s2302"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84896" o:allowincell="f" stroked="f">
              <v:textbox>
                <w:txbxContent>
                  <w:p w:rsidR="00BD6868" w:rsidP="009838BC" w14:paraId="0489D6C3" w14:textId="77777777">
                    <w:pPr>
                      <w:rPr>
                        <w:rFonts w:ascii="Arial" w:hAnsi="Arial"/>
                        <w:b/>
                      </w:rPr>
                    </w:pPr>
                    <w:r>
                      <w:rPr>
                        <w:rFonts w:ascii="Arial" w:hAnsi="Arial"/>
                        <w:b/>
                      </w:rPr>
                      <w:t>Federal Communications Commission</w:t>
                    </w:r>
                  </w:p>
                  <w:p w:rsidR="00BD6868" w:rsidP="009838BC" w14:paraId="3700A72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2F19FC88"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98182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90" name="Text Box 151468179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90" o:spid="_x0000_s2303"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82848" o:allowincell="f" stroked="f">
              <v:textbox>
                <w:txbxContent>
                  <w:p w:rsidR="00BD6868" w:rsidP="009838BC" w14:paraId="12F9B411" w14:textId="77777777">
                    <w:pPr>
                      <w:rPr>
                        <w:rFonts w:ascii="Arial" w:hAnsi="Arial"/>
                        <w:b/>
                      </w:rPr>
                    </w:pPr>
                    <w:r>
                      <w:rPr>
                        <w:rFonts w:ascii="Arial" w:hAnsi="Arial"/>
                        <w:b/>
                      </w:rPr>
                      <w:t>Federal Communications Commission</w:t>
                    </w:r>
                  </w:p>
                  <w:p w:rsidR="00BD6868" w:rsidP="009838BC" w14:paraId="107DAEA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40A29C54"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979776"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91" name="Text Box 15146817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91" o:spid="_x0000_s2304"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80800" o:allowincell="f" stroked="f">
              <v:textbox>
                <w:txbxContent>
                  <w:p w:rsidR="00BD6868" w:rsidP="009838BC" w14:paraId="395423EC" w14:textId="77777777">
                    <w:pPr>
                      <w:rPr>
                        <w:rFonts w:ascii="Arial" w:hAnsi="Arial"/>
                        <w:b/>
                      </w:rPr>
                    </w:pPr>
                    <w:r>
                      <w:rPr>
                        <w:rFonts w:ascii="Arial" w:hAnsi="Arial"/>
                        <w:b/>
                      </w:rPr>
                      <w:t>Federal Communications Commission</w:t>
                    </w:r>
                  </w:p>
                  <w:p w:rsidR="00BD6868" w:rsidP="009838BC" w14:paraId="6BF2F3A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627AC647"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97772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92" name="Text Box 151468179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92" o:spid="_x0000_s230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78752" o:allowincell="f" stroked="f">
              <v:textbox>
                <w:txbxContent>
                  <w:p w:rsidR="00BD6868" w:rsidP="009838BC" w14:paraId="1B158602" w14:textId="77777777">
                    <w:pPr>
                      <w:rPr>
                        <w:rFonts w:ascii="Arial" w:hAnsi="Arial"/>
                        <w:b/>
                      </w:rPr>
                    </w:pPr>
                    <w:r>
                      <w:rPr>
                        <w:rFonts w:ascii="Arial" w:hAnsi="Arial"/>
                        <w:b/>
                      </w:rPr>
                      <w:t>Federal Communications Commission</w:t>
                    </w:r>
                  </w:p>
                  <w:p w:rsidR="00BD6868" w:rsidP="009838BC" w14:paraId="23C2CA0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02CC4296"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97568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93" name="Text Box 151468179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93" o:spid="_x0000_s2306"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76704" o:allowincell="f" stroked="f">
              <v:textbox>
                <w:txbxContent>
                  <w:p w:rsidR="00BD6868" w:rsidP="009838BC" w14:paraId="71232D23" w14:textId="77777777">
                    <w:pPr>
                      <w:rPr>
                        <w:rFonts w:ascii="Arial" w:hAnsi="Arial"/>
                        <w:b/>
                      </w:rPr>
                    </w:pPr>
                    <w:r>
                      <w:rPr>
                        <w:rFonts w:ascii="Arial" w:hAnsi="Arial"/>
                        <w:b/>
                      </w:rPr>
                      <w:t>Federal Communications Commission</w:t>
                    </w:r>
                  </w:p>
                  <w:p w:rsidR="00BD6868" w:rsidP="009838BC" w14:paraId="6D877D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01F3A80E"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973632"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94" name="Text Box 151468179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94" o:spid="_x0000_s2307"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74656" o:allowincell="f" stroked="f">
              <v:textbox>
                <w:txbxContent>
                  <w:p w:rsidR="00BD6868" w:rsidP="009838BC" w14:paraId="7B82D9CE" w14:textId="77777777">
                    <w:pPr>
                      <w:rPr>
                        <w:rFonts w:ascii="Arial" w:hAnsi="Arial"/>
                        <w:b/>
                      </w:rPr>
                    </w:pPr>
                    <w:r>
                      <w:rPr>
                        <w:rFonts w:ascii="Arial" w:hAnsi="Arial"/>
                        <w:b/>
                      </w:rPr>
                      <w:t>Federal Communications Commission</w:t>
                    </w:r>
                  </w:p>
                  <w:p w:rsidR="00BD6868" w:rsidP="009838BC" w14:paraId="65EAA0E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752CCD5C"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97158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95" name="Text Box 151468179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95" o:spid="_x0000_s2308"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72608" o:allowincell="f" stroked="f">
              <v:textbox>
                <w:txbxContent>
                  <w:p w:rsidR="00BD6868" w:rsidP="009838BC" w14:paraId="52CF28C6" w14:textId="77777777">
                    <w:pPr>
                      <w:rPr>
                        <w:rFonts w:ascii="Arial" w:hAnsi="Arial"/>
                        <w:b/>
                      </w:rPr>
                    </w:pPr>
                    <w:r>
                      <w:rPr>
                        <w:rFonts w:ascii="Arial" w:hAnsi="Arial"/>
                        <w:b/>
                      </w:rPr>
                      <w:t>Federal Communications Commission</w:t>
                    </w:r>
                  </w:p>
                  <w:p w:rsidR="00BD6868" w:rsidP="009838BC" w14:paraId="705C129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174107F7"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969536"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96" name="Text Box 151468179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96" o:spid="_x0000_s230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70560" o:allowincell="f" stroked="f">
              <v:textbox>
                <w:txbxContent>
                  <w:p w:rsidR="00BD6868" w:rsidP="009838BC" w14:paraId="34DB46B4" w14:textId="77777777">
                    <w:pPr>
                      <w:rPr>
                        <w:rFonts w:ascii="Arial" w:hAnsi="Arial"/>
                        <w:b/>
                      </w:rPr>
                    </w:pPr>
                    <w:r>
                      <w:rPr>
                        <w:rFonts w:ascii="Arial" w:hAnsi="Arial"/>
                        <w:b/>
                      </w:rPr>
                      <w:t>Federal Communications Commission</w:t>
                    </w:r>
                  </w:p>
                  <w:p w:rsidR="00BD6868" w:rsidP="009838BC" w14:paraId="5B34352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7CE87AEC"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9674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97" name="Text Box 151468179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97" o:spid="_x0000_s231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68512" o:allowincell="f" stroked="f">
              <v:textbox>
                <w:txbxContent>
                  <w:p w:rsidR="00BD6868" w:rsidP="009838BC" w14:paraId="7DC0BACC" w14:textId="77777777">
                    <w:pPr>
                      <w:rPr>
                        <w:rFonts w:ascii="Arial" w:hAnsi="Arial"/>
                        <w:b/>
                      </w:rPr>
                    </w:pPr>
                    <w:r>
                      <w:rPr>
                        <w:rFonts w:ascii="Arial" w:hAnsi="Arial"/>
                        <w:b/>
                      </w:rPr>
                      <w:t>Federal Communications Commission</w:t>
                    </w:r>
                  </w:p>
                  <w:p w:rsidR="00BD6868" w:rsidP="009838BC" w14:paraId="65CB291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3DF4DA88"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9654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98" name="Text Box 151468179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98" o:spid="_x0000_s2311"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66464" o:allowincell="f" stroked="f">
              <v:textbox>
                <w:txbxContent>
                  <w:p w:rsidR="00BD6868" w:rsidP="009838BC" w14:paraId="7570788E" w14:textId="77777777">
                    <w:pPr>
                      <w:rPr>
                        <w:rFonts w:ascii="Arial" w:hAnsi="Arial"/>
                        <w:b/>
                      </w:rPr>
                    </w:pPr>
                    <w:r>
                      <w:rPr>
                        <w:rFonts w:ascii="Arial" w:hAnsi="Arial"/>
                        <w:b/>
                      </w:rPr>
                      <w:t>Federal Communications Commission</w:t>
                    </w:r>
                  </w:p>
                  <w:p w:rsidR="00BD6868" w:rsidP="009838BC" w14:paraId="76CDE80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544B4BE7"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963392"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99" name="Text Box 151468179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99" o:spid="_x0000_s2312"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64416" o:allowincell="f" stroked="f">
              <v:textbox>
                <w:txbxContent>
                  <w:p w:rsidR="00BD6868" w:rsidP="009838BC" w14:paraId="67ABC464" w14:textId="77777777">
                    <w:pPr>
                      <w:rPr>
                        <w:rFonts w:ascii="Arial" w:hAnsi="Arial"/>
                        <w:b/>
                      </w:rPr>
                    </w:pPr>
                    <w:r>
                      <w:rPr>
                        <w:rFonts w:ascii="Arial" w:hAnsi="Arial"/>
                        <w:b/>
                      </w:rPr>
                      <w:t>Federal Communications Commission</w:t>
                    </w:r>
                  </w:p>
                  <w:p w:rsidR="00BD6868" w:rsidP="009838BC" w14:paraId="439A2A9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0C618D4C"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96134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800" name="Text Box 151468180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800" o:spid="_x0000_s2313"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62368" o:allowincell="f" stroked="f">
              <v:textbox>
                <w:txbxContent>
                  <w:p w:rsidR="00BD6868" w:rsidP="009838BC" w14:paraId="1576624C" w14:textId="77777777">
                    <w:pPr>
                      <w:rPr>
                        <w:rFonts w:ascii="Arial" w:hAnsi="Arial"/>
                        <w:b/>
                      </w:rPr>
                    </w:pPr>
                    <w:r>
                      <w:rPr>
                        <w:rFonts w:ascii="Arial" w:hAnsi="Arial"/>
                        <w:b/>
                      </w:rPr>
                      <w:t>Federal Communications Commission</w:t>
                    </w:r>
                  </w:p>
                  <w:p w:rsidR="00BD6868" w:rsidP="009838BC" w14:paraId="79A5AE3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641A2F94"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959296"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801" name="Text Box 151468180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801" o:spid="_x0000_s2314"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60320" o:allowincell="f" stroked="f">
              <v:textbox>
                <w:txbxContent>
                  <w:p w:rsidR="00BD6868" w:rsidP="009838BC" w14:paraId="5BA01D4D" w14:textId="77777777">
                    <w:pPr>
                      <w:rPr>
                        <w:rFonts w:ascii="Arial" w:hAnsi="Arial"/>
                        <w:b/>
                      </w:rPr>
                    </w:pPr>
                    <w:r>
                      <w:rPr>
                        <w:rFonts w:ascii="Arial" w:hAnsi="Arial"/>
                        <w:b/>
                      </w:rPr>
                      <w:t>Federal Communications Commission</w:t>
                    </w:r>
                  </w:p>
                  <w:p w:rsidR="00BD6868" w:rsidP="009838BC" w14:paraId="2890F95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5CB9C3A3" w14:textId="77777777">
                    <w:pPr>
                      <w:rPr>
                        <w:rFonts w:ascii="Arial" w:hAnsi="Arial"/>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958272" behindDoc="0" locked="0" layoutInCell="1" allowOverlap="1">
          <wp:simplePos x="0" y="0"/>
          <wp:positionH relativeFrom="column">
            <wp:align>left</wp:align>
          </wp:positionH>
          <wp:positionV relativeFrom="paragraph">
            <wp:posOffset>0</wp:posOffset>
          </wp:positionV>
          <wp:extent cx="530225" cy="530225"/>
          <wp:effectExtent l="0" t="0" r="0" b="0"/>
          <wp:wrapSquare wrapText="bothSides"/>
          <wp:docPr id="1514681802"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241516" name="Picture 1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30225" cy="5302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1014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11" name="Text Box 15146817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11" o:spid="_x0000_s231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11168" o:allowincell="f" stroked="f">
              <v:textbox>
                <w:txbxContent>
                  <w:p w:rsidR="00BD6868" w:rsidP="009838BC" w14:paraId="4805D649" w14:textId="77777777">
                    <w:pPr>
                      <w:rPr>
                        <w:rFonts w:ascii="Arial" w:hAnsi="Arial"/>
                        <w:b/>
                      </w:rPr>
                    </w:pPr>
                    <w:r>
                      <w:rPr>
                        <w:rFonts w:ascii="Arial" w:hAnsi="Arial"/>
                        <w:b/>
                      </w:rPr>
                      <w:t>Federal Communications Commission</w:t>
                    </w:r>
                  </w:p>
                  <w:p w:rsidR="00BD6868" w:rsidP="009838BC" w14:paraId="22FA9AC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03112349"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908096"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12" name="Text Box 15146817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12" o:spid="_x0000_s2316"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09120" o:allowincell="f" stroked="f">
              <v:textbox>
                <w:txbxContent>
                  <w:p w:rsidR="00BD6868" w:rsidP="009838BC" w14:paraId="43834A36" w14:textId="77777777">
                    <w:pPr>
                      <w:rPr>
                        <w:rFonts w:ascii="Arial" w:hAnsi="Arial"/>
                        <w:b/>
                      </w:rPr>
                    </w:pPr>
                    <w:r>
                      <w:rPr>
                        <w:rFonts w:ascii="Arial" w:hAnsi="Arial"/>
                        <w:b/>
                      </w:rPr>
                      <w:t>Federal Communications Commission</w:t>
                    </w:r>
                  </w:p>
                  <w:p w:rsidR="00BD6868" w:rsidP="009838BC" w14:paraId="1EC2D74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33C9B196"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90604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13" name="Text Box 15146817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13" o:spid="_x0000_s2317"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07072" o:allowincell="f" stroked="f">
              <v:textbox>
                <w:txbxContent>
                  <w:p w:rsidR="00BD6868" w:rsidP="009838BC" w14:paraId="5BAE8575" w14:textId="77777777">
                    <w:pPr>
                      <w:rPr>
                        <w:rFonts w:ascii="Arial" w:hAnsi="Arial"/>
                        <w:b/>
                      </w:rPr>
                    </w:pPr>
                    <w:r>
                      <w:rPr>
                        <w:rFonts w:ascii="Arial" w:hAnsi="Arial"/>
                        <w:b/>
                      </w:rPr>
                      <w:t>Federal Communications Commission</w:t>
                    </w:r>
                  </w:p>
                  <w:p w:rsidR="00BD6868" w:rsidP="009838BC" w14:paraId="5142BBA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08261A4A"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90400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14" name="Text Box 15146817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14" o:spid="_x0000_s2318"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05024" o:allowincell="f" stroked="f">
              <v:textbox>
                <w:txbxContent>
                  <w:p w:rsidR="00BD6868" w:rsidP="009838BC" w14:paraId="38CB3ED5" w14:textId="77777777">
                    <w:pPr>
                      <w:rPr>
                        <w:rFonts w:ascii="Arial" w:hAnsi="Arial"/>
                        <w:b/>
                      </w:rPr>
                    </w:pPr>
                    <w:r>
                      <w:rPr>
                        <w:rFonts w:ascii="Arial" w:hAnsi="Arial"/>
                        <w:b/>
                      </w:rPr>
                      <w:t>Federal Communications Commission</w:t>
                    </w:r>
                  </w:p>
                  <w:p w:rsidR="00BD6868" w:rsidP="009838BC" w14:paraId="683642D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04AE8381"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901952"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15" name="Text Box 15146817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15" o:spid="_x0000_s231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02976" o:allowincell="f" stroked="f">
              <v:textbox>
                <w:txbxContent>
                  <w:p w:rsidR="00BD6868" w:rsidP="009838BC" w14:paraId="35F7A017" w14:textId="77777777">
                    <w:pPr>
                      <w:rPr>
                        <w:rFonts w:ascii="Arial" w:hAnsi="Arial"/>
                        <w:b/>
                      </w:rPr>
                    </w:pPr>
                    <w:r>
                      <w:rPr>
                        <w:rFonts w:ascii="Arial" w:hAnsi="Arial"/>
                        <w:b/>
                      </w:rPr>
                      <w:t>Federal Communications Commission</w:t>
                    </w:r>
                  </w:p>
                  <w:p w:rsidR="00BD6868" w:rsidP="009838BC" w14:paraId="77C55CF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698D0616"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9990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16" name="Text Box 15146817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16" o:spid="_x0000_s232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900928" o:allowincell="f" stroked="f">
              <v:textbox>
                <w:txbxContent>
                  <w:p w:rsidR="00BD6868" w:rsidP="009838BC" w14:paraId="622F7266" w14:textId="77777777">
                    <w:pPr>
                      <w:rPr>
                        <w:rFonts w:ascii="Arial" w:hAnsi="Arial"/>
                        <w:b/>
                      </w:rPr>
                    </w:pPr>
                    <w:r>
                      <w:rPr>
                        <w:rFonts w:ascii="Arial" w:hAnsi="Arial"/>
                        <w:b/>
                      </w:rPr>
                      <w:t>Federal Communications Commission</w:t>
                    </w:r>
                  </w:p>
                  <w:p w:rsidR="00BD6868" w:rsidP="009838BC" w14:paraId="5144AF4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53056380"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97856"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17" name="Text Box 15146817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17" o:spid="_x0000_s2321"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898880" o:allowincell="f" stroked="f">
              <v:textbox>
                <w:txbxContent>
                  <w:p w:rsidR="00BD6868" w:rsidP="009838BC" w14:paraId="10C7197E" w14:textId="77777777">
                    <w:pPr>
                      <w:rPr>
                        <w:rFonts w:ascii="Arial" w:hAnsi="Arial"/>
                        <w:b/>
                      </w:rPr>
                    </w:pPr>
                    <w:r>
                      <w:rPr>
                        <w:rFonts w:ascii="Arial" w:hAnsi="Arial"/>
                        <w:b/>
                      </w:rPr>
                      <w:t>Federal Communications Commission</w:t>
                    </w:r>
                  </w:p>
                  <w:p w:rsidR="00BD6868" w:rsidP="009838BC" w14:paraId="4129B12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777D9F05"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9580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18" name="Text Box 15146817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18" o:spid="_x0000_s2322"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896832" o:allowincell="f" stroked="f">
              <v:textbox>
                <w:txbxContent>
                  <w:p w:rsidR="00BD6868" w:rsidP="009838BC" w14:paraId="294A8711" w14:textId="77777777">
                    <w:pPr>
                      <w:rPr>
                        <w:rFonts w:ascii="Arial" w:hAnsi="Arial"/>
                        <w:b/>
                      </w:rPr>
                    </w:pPr>
                    <w:r>
                      <w:rPr>
                        <w:rFonts w:ascii="Arial" w:hAnsi="Arial"/>
                        <w:b/>
                      </w:rPr>
                      <w:t>Federal Communications Commission</w:t>
                    </w:r>
                  </w:p>
                  <w:p w:rsidR="00BD6868" w:rsidP="009838BC" w14:paraId="2B2C619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60A852C4"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9376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19" name="Text Box 15146817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19" o:spid="_x0000_s2323"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894784" o:allowincell="f" stroked="f">
              <v:textbox>
                <w:txbxContent>
                  <w:p w:rsidR="00BD6868" w:rsidP="009838BC" w14:paraId="347C078A" w14:textId="77777777">
                    <w:pPr>
                      <w:rPr>
                        <w:rFonts w:ascii="Arial" w:hAnsi="Arial"/>
                        <w:b/>
                      </w:rPr>
                    </w:pPr>
                    <w:r>
                      <w:rPr>
                        <w:rFonts w:ascii="Arial" w:hAnsi="Arial"/>
                        <w:b/>
                      </w:rPr>
                      <w:t>Federal Communications Commission</w:t>
                    </w:r>
                  </w:p>
                  <w:p w:rsidR="00BD6868" w:rsidP="009838BC" w14:paraId="153A06E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6E27E0F3"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91712"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20" name="Text Box 15146817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20" o:spid="_x0000_s2324"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892736" o:allowincell="f" stroked="f">
              <v:textbox>
                <w:txbxContent>
                  <w:p w:rsidR="00BD6868" w:rsidP="009838BC" w14:paraId="0AEDAEFC" w14:textId="77777777">
                    <w:pPr>
                      <w:rPr>
                        <w:rFonts w:ascii="Arial" w:hAnsi="Arial"/>
                        <w:b/>
                      </w:rPr>
                    </w:pPr>
                    <w:r>
                      <w:rPr>
                        <w:rFonts w:ascii="Arial" w:hAnsi="Arial"/>
                        <w:b/>
                      </w:rPr>
                      <w:t>Federal Communications Commission</w:t>
                    </w:r>
                  </w:p>
                  <w:p w:rsidR="00BD6868" w:rsidP="009838BC" w14:paraId="5B5EB1D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5AD88893"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8966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21" name="Text Box 15146817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21" o:spid="_x0000_s232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890688" o:allowincell="f" stroked="f">
              <v:textbox>
                <w:txbxContent>
                  <w:p w:rsidR="00BD6868" w:rsidP="009838BC" w14:paraId="3FFC4D96" w14:textId="77777777">
                    <w:pPr>
                      <w:rPr>
                        <w:rFonts w:ascii="Arial" w:hAnsi="Arial"/>
                        <w:b/>
                      </w:rPr>
                    </w:pPr>
                    <w:r>
                      <w:rPr>
                        <w:rFonts w:ascii="Arial" w:hAnsi="Arial"/>
                        <w:b/>
                      </w:rPr>
                      <w:t>Federal Communications Commission</w:t>
                    </w:r>
                  </w:p>
                  <w:p w:rsidR="00BD6868" w:rsidP="009838BC" w14:paraId="4D3959B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2C32D237"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87616"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722" name="Text Box 15146817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722" o:spid="_x0000_s2326"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888640" o:allowincell="f" stroked="f">
              <v:textbox>
                <w:txbxContent>
                  <w:p w:rsidR="00BD6868" w:rsidP="009838BC" w14:paraId="34B74593" w14:textId="77777777">
                    <w:pPr>
                      <w:rPr>
                        <w:rFonts w:ascii="Arial" w:hAnsi="Arial"/>
                        <w:b/>
                      </w:rPr>
                    </w:pPr>
                    <w:r>
                      <w:rPr>
                        <w:rFonts w:ascii="Arial" w:hAnsi="Arial"/>
                        <w:b/>
                      </w:rPr>
                      <w:t>Federal Communications Commission</w:t>
                    </w:r>
                  </w:p>
                  <w:p w:rsidR="00BD6868" w:rsidP="009838BC" w14:paraId="75F4D7B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4D0473FA"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394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57" name="Text Box 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57" o:spid="_x0000_s2327"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840512" o:allowincell="f" stroked="f">
              <v:textbox>
                <w:txbxContent>
                  <w:p w:rsidR="00BD6868" w:rsidP="009838BC" w14:paraId="698A9BE9" w14:textId="77777777">
                    <w:pPr>
                      <w:rPr>
                        <w:rFonts w:ascii="Arial" w:hAnsi="Arial"/>
                        <w:b/>
                      </w:rPr>
                    </w:pPr>
                    <w:r>
                      <w:rPr>
                        <w:rFonts w:ascii="Arial" w:hAnsi="Arial"/>
                        <w:b/>
                      </w:rPr>
                      <w:t>Federal Communications Commission</w:t>
                    </w:r>
                  </w:p>
                  <w:p w:rsidR="00BD6868" w:rsidP="009838BC" w14:paraId="058C397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6F85AC26"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374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58" name="Text Box 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58" o:spid="_x0000_s2328"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838464" o:allowincell="f" stroked="f">
              <v:textbox>
                <w:txbxContent>
                  <w:p w:rsidR="00BD6868" w:rsidP="009838BC" w14:paraId="762A1BCC" w14:textId="77777777">
                    <w:pPr>
                      <w:rPr>
                        <w:rFonts w:ascii="Arial" w:hAnsi="Arial"/>
                        <w:b/>
                      </w:rPr>
                    </w:pPr>
                    <w:r>
                      <w:rPr>
                        <w:rFonts w:ascii="Arial" w:hAnsi="Arial"/>
                        <w:b/>
                      </w:rPr>
                      <w:t>Federal Communications Commission</w:t>
                    </w:r>
                  </w:p>
                  <w:p w:rsidR="00BD6868" w:rsidP="009838BC" w14:paraId="487953D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7191A316"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35392"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59" name="Text Box 5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59" o:spid="_x0000_s232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836416" o:allowincell="f" stroked="f">
              <v:textbox>
                <w:txbxContent>
                  <w:p w:rsidR="00BD6868" w:rsidP="009838BC" w14:paraId="7B2A703C" w14:textId="77777777">
                    <w:pPr>
                      <w:rPr>
                        <w:rFonts w:ascii="Arial" w:hAnsi="Arial"/>
                        <w:b/>
                      </w:rPr>
                    </w:pPr>
                    <w:r>
                      <w:rPr>
                        <w:rFonts w:ascii="Arial" w:hAnsi="Arial"/>
                        <w:b/>
                      </w:rPr>
                      <w:t>Federal Communications Commission</w:t>
                    </w:r>
                  </w:p>
                  <w:p w:rsidR="00BD6868" w:rsidP="009838BC" w14:paraId="2620A7B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4DCE929C"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3334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61" name="Text Box 6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61" o:spid="_x0000_s233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834368" o:allowincell="f" stroked="f">
              <v:textbox>
                <w:txbxContent>
                  <w:p w:rsidR="00BD6868" w:rsidP="009838BC" w14:paraId="3277EE3C" w14:textId="77777777">
                    <w:pPr>
                      <w:rPr>
                        <w:rFonts w:ascii="Arial" w:hAnsi="Arial"/>
                        <w:b/>
                      </w:rPr>
                    </w:pPr>
                    <w:r>
                      <w:rPr>
                        <w:rFonts w:ascii="Arial" w:hAnsi="Arial"/>
                        <w:b/>
                      </w:rPr>
                      <w:t>Federal Communications Commission</w:t>
                    </w:r>
                  </w:p>
                  <w:p w:rsidR="00BD6868" w:rsidP="009838BC" w14:paraId="3DFB3C4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6A4355E3"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31296"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62" name="Text Box 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62" o:spid="_x0000_s2331"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832320" o:allowincell="f" stroked="f">
              <v:textbox>
                <w:txbxContent>
                  <w:p w:rsidR="00BD6868" w:rsidP="009838BC" w14:paraId="3442E239" w14:textId="77777777">
                    <w:pPr>
                      <w:rPr>
                        <w:rFonts w:ascii="Arial" w:hAnsi="Arial"/>
                        <w:b/>
                      </w:rPr>
                    </w:pPr>
                    <w:r>
                      <w:rPr>
                        <w:rFonts w:ascii="Arial" w:hAnsi="Arial"/>
                        <w:b/>
                      </w:rPr>
                      <w:t>Federal Communications Commission</w:t>
                    </w:r>
                  </w:p>
                  <w:p w:rsidR="00BD6868" w:rsidP="009838BC" w14:paraId="04ED68B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22D8182B"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2924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63" name="Text Box 6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63" o:spid="_x0000_s2332"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830272" o:allowincell="f" stroked="f">
              <v:textbox>
                <w:txbxContent>
                  <w:p w:rsidR="00BD6868" w:rsidP="009838BC" w14:paraId="5723E69D" w14:textId="77777777">
                    <w:pPr>
                      <w:rPr>
                        <w:rFonts w:ascii="Arial" w:hAnsi="Arial"/>
                        <w:b/>
                      </w:rPr>
                    </w:pPr>
                    <w:r>
                      <w:rPr>
                        <w:rFonts w:ascii="Arial" w:hAnsi="Arial"/>
                        <w:b/>
                      </w:rPr>
                      <w:t>Federal Communications Commission</w:t>
                    </w:r>
                  </w:p>
                  <w:p w:rsidR="00BD6868" w:rsidP="009838BC" w14:paraId="1752E95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62CE229D"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2720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569" name="Text Box 151468156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569" o:spid="_x0000_s2333"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828224" o:allowincell="f" stroked="f">
              <v:textbox>
                <w:txbxContent>
                  <w:p w:rsidR="00BD6868" w:rsidP="009838BC" w14:paraId="2B40434E" w14:textId="77777777">
                    <w:pPr>
                      <w:rPr>
                        <w:rFonts w:ascii="Arial" w:hAnsi="Arial"/>
                        <w:b/>
                      </w:rPr>
                    </w:pPr>
                    <w:r>
                      <w:rPr>
                        <w:rFonts w:ascii="Arial" w:hAnsi="Arial"/>
                        <w:b/>
                      </w:rPr>
                      <w:t>Federal Communications Commission</w:t>
                    </w:r>
                  </w:p>
                  <w:p w:rsidR="00BD6868" w:rsidP="009838BC" w14:paraId="5B62D0B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78ECE978"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25152"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570" name="Text Box 15146815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570" o:spid="_x0000_s2334"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826176" o:allowincell="f" stroked="f">
              <v:textbox>
                <w:txbxContent>
                  <w:p w:rsidR="00BD6868" w:rsidP="009838BC" w14:paraId="33C59243" w14:textId="77777777">
                    <w:pPr>
                      <w:rPr>
                        <w:rFonts w:ascii="Arial" w:hAnsi="Arial"/>
                        <w:b/>
                      </w:rPr>
                    </w:pPr>
                    <w:r>
                      <w:rPr>
                        <w:rFonts w:ascii="Arial" w:hAnsi="Arial"/>
                        <w:b/>
                      </w:rPr>
                      <w:t>Federal Communications Commission</w:t>
                    </w:r>
                  </w:p>
                  <w:p w:rsidR="00BD6868" w:rsidP="009838BC" w14:paraId="3D88DCF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46910A21"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2310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571" name="Text Box 15146815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571" o:spid="_x0000_s233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824128" o:allowincell="f" stroked="f">
              <v:textbox>
                <w:txbxContent>
                  <w:p w:rsidR="00BD6868" w:rsidP="009838BC" w14:paraId="453E6223" w14:textId="77777777">
                    <w:pPr>
                      <w:rPr>
                        <w:rFonts w:ascii="Arial" w:hAnsi="Arial"/>
                        <w:b/>
                      </w:rPr>
                    </w:pPr>
                    <w:r>
                      <w:rPr>
                        <w:rFonts w:ascii="Arial" w:hAnsi="Arial"/>
                        <w:b/>
                      </w:rPr>
                      <w:t>Federal Communications Commission</w:t>
                    </w:r>
                  </w:p>
                  <w:p w:rsidR="00BD6868" w:rsidP="009838BC" w14:paraId="0547C3D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2D31C563"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21056"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589" name="Text Box 15146815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589" o:spid="_x0000_s2336"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822080" o:allowincell="f" stroked="f">
              <v:textbox>
                <w:txbxContent>
                  <w:p w:rsidR="00BD6868" w:rsidP="009838BC" w14:paraId="26A6E9DB" w14:textId="77777777">
                    <w:pPr>
                      <w:rPr>
                        <w:rFonts w:ascii="Arial" w:hAnsi="Arial"/>
                        <w:b/>
                      </w:rPr>
                    </w:pPr>
                    <w:r>
                      <w:rPr>
                        <w:rFonts w:ascii="Arial" w:hAnsi="Arial"/>
                        <w:b/>
                      </w:rPr>
                      <w:t>Federal Communications Commission</w:t>
                    </w:r>
                  </w:p>
                  <w:p w:rsidR="00BD6868" w:rsidP="009838BC" w14:paraId="6C663BC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2910AE4B"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1900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590" name="Text Box 151468159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590" o:spid="_x0000_s2337"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820032" o:allowincell="f" stroked="f">
              <v:textbox>
                <w:txbxContent>
                  <w:p w:rsidR="00BD6868" w:rsidP="009838BC" w14:paraId="7FFB3B19" w14:textId="77777777">
                    <w:pPr>
                      <w:rPr>
                        <w:rFonts w:ascii="Arial" w:hAnsi="Arial"/>
                        <w:b/>
                      </w:rPr>
                    </w:pPr>
                    <w:r>
                      <w:rPr>
                        <w:rFonts w:ascii="Arial" w:hAnsi="Arial"/>
                        <w:b/>
                      </w:rPr>
                      <w:t>Federal Communications Commission</w:t>
                    </w:r>
                  </w:p>
                  <w:p w:rsidR="00BD6868" w:rsidP="009838BC" w14:paraId="641735B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69740B89"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1696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591" name="Text Box 15146815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591" o:spid="_x0000_s2338"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817984" o:allowincell="f" stroked="f">
              <v:textbox>
                <w:txbxContent>
                  <w:p w:rsidR="00BD6868" w:rsidP="009838BC" w14:paraId="23EB7C1C" w14:textId="77777777">
                    <w:pPr>
                      <w:rPr>
                        <w:rFonts w:ascii="Arial" w:hAnsi="Arial"/>
                        <w:b/>
                      </w:rPr>
                    </w:pPr>
                    <w:r>
                      <w:rPr>
                        <w:rFonts w:ascii="Arial" w:hAnsi="Arial"/>
                        <w:b/>
                      </w:rPr>
                      <w:t>Federal Communications Commission</w:t>
                    </w:r>
                  </w:p>
                  <w:p w:rsidR="00BD6868" w:rsidP="009838BC" w14:paraId="1C0502E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074C613C"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14912"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593" name="Text Box 151468159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593" o:spid="_x0000_s233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815936" o:allowincell="f" stroked="f">
              <v:textbox>
                <w:txbxContent>
                  <w:p w:rsidR="00BD6868" w:rsidP="009838BC" w14:paraId="6019B02A" w14:textId="77777777">
                    <w:pPr>
                      <w:rPr>
                        <w:rFonts w:ascii="Arial" w:hAnsi="Arial"/>
                        <w:b/>
                      </w:rPr>
                    </w:pPr>
                    <w:r>
                      <w:rPr>
                        <w:rFonts w:ascii="Arial" w:hAnsi="Arial"/>
                        <w:b/>
                      </w:rPr>
                      <w:t>Federal Communications Commission</w:t>
                    </w:r>
                  </w:p>
                  <w:p w:rsidR="00BD6868" w:rsidP="009838BC" w14:paraId="548824F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05FF9657"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81286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601" name="Text Box 151468160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601" o:spid="_x0000_s234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813888" o:allowincell="f" stroked="f">
              <v:textbox>
                <w:txbxContent>
                  <w:p w:rsidR="00BD6868" w:rsidP="009838BC" w14:paraId="39374353" w14:textId="77777777">
                    <w:pPr>
                      <w:rPr>
                        <w:rFonts w:ascii="Arial" w:hAnsi="Arial"/>
                        <w:b/>
                      </w:rPr>
                    </w:pPr>
                    <w:r>
                      <w:rPr>
                        <w:rFonts w:ascii="Arial" w:hAnsi="Arial"/>
                        <w:b/>
                      </w:rPr>
                      <w:t>Federal Communications Commission</w:t>
                    </w:r>
                  </w:p>
                  <w:p w:rsidR="00BD6868" w:rsidP="009838BC" w14:paraId="181E981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68BCF155"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773952"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633" name="Text Box 15146816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633" o:spid="_x0000_s2341"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774976" o:allowincell="f" stroked="f">
              <v:textbox>
                <w:txbxContent>
                  <w:p w:rsidR="00BD6868" w:rsidP="009838BC" w14:paraId="705D4188" w14:textId="77777777">
                    <w:pPr>
                      <w:rPr>
                        <w:rFonts w:ascii="Arial" w:hAnsi="Arial"/>
                        <w:b/>
                      </w:rPr>
                    </w:pPr>
                    <w:r>
                      <w:rPr>
                        <w:rFonts w:ascii="Arial" w:hAnsi="Arial"/>
                        <w:b/>
                      </w:rPr>
                      <w:t>Federal Communications Commission</w:t>
                    </w:r>
                  </w:p>
                  <w:p w:rsidR="00BD6868" w:rsidP="009838BC" w14:paraId="44A8011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7C3E5413"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77190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634" name="Text Box 15146816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634" o:spid="_x0000_s2342"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772928" o:allowincell="f" stroked="f">
              <v:textbox>
                <w:txbxContent>
                  <w:p w:rsidR="00BD6868" w:rsidP="009838BC" w14:paraId="71B526A5" w14:textId="77777777">
                    <w:pPr>
                      <w:rPr>
                        <w:rFonts w:ascii="Arial" w:hAnsi="Arial"/>
                        <w:b/>
                      </w:rPr>
                    </w:pPr>
                    <w:r>
                      <w:rPr>
                        <w:rFonts w:ascii="Arial" w:hAnsi="Arial"/>
                        <w:b/>
                      </w:rPr>
                      <w:t>Federal Communications Commission</w:t>
                    </w:r>
                  </w:p>
                  <w:p w:rsidR="00BD6868" w:rsidP="009838BC" w14:paraId="4D986B7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6B5ED6A5"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769856"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635" name="Text Box 15146816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635" o:spid="_x0000_s2343"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770880" o:allowincell="f" stroked="f">
              <v:textbox>
                <w:txbxContent>
                  <w:p w:rsidR="00BD6868" w:rsidP="009838BC" w14:paraId="01522F21" w14:textId="77777777">
                    <w:pPr>
                      <w:rPr>
                        <w:rFonts w:ascii="Arial" w:hAnsi="Arial"/>
                        <w:b/>
                      </w:rPr>
                    </w:pPr>
                    <w:r>
                      <w:rPr>
                        <w:rFonts w:ascii="Arial" w:hAnsi="Arial"/>
                        <w:b/>
                      </w:rPr>
                      <w:t>Federal Communications Commission</w:t>
                    </w:r>
                  </w:p>
                  <w:p w:rsidR="00BD6868" w:rsidP="009838BC" w14:paraId="48E6C85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58A0E37C"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76780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637" name="Text Box 151468163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637" o:spid="_x0000_s2344"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768832" o:allowincell="f" stroked="f">
              <v:textbox>
                <w:txbxContent>
                  <w:p w:rsidR="00BD6868" w:rsidP="009838BC" w14:paraId="4F99765C" w14:textId="77777777">
                    <w:pPr>
                      <w:rPr>
                        <w:rFonts w:ascii="Arial" w:hAnsi="Arial"/>
                        <w:b/>
                      </w:rPr>
                    </w:pPr>
                    <w:r>
                      <w:rPr>
                        <w:rFonts w:ascii="Arial" w:hAnsi="Arial"/>
                        <w:b/>
                      </w:rPr>
                      <w:t>Federal Communications Commission</w:t>
                    </w:r>
                  </w:p>
                  <w:p w:rsidR="00BD6868" w:rsidP="009838BC" w14:paraId="4D5E941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4063388D"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76576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638" name="Text Box 15146816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638" o:spid="_x0000_s234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766784" o:allowincell="f" stroked="f">
              <v:textbox>
                <w:txbxContent>
                  <w:p w:rsidR="00BD6868" w:rsidP="009838BC" w14:paraId="397D5409" w14:textId="77777777">
                    <w:pPr>
                      <w:rPr>
                        <w:rFonts w:ascii="Arial" w:hAnsi="Arial"/>
                        <w:b/>
                      </w:rPr>
                    </w:pPr>
                    <w:r>
                      <w:rPr>
                        <w:rFonts w:ascii="Arial" w:hAnsi="Arial"/>
                        <w:b/>
                      </w:rPr>
                      <w:t>Federal Communications Commission</w:t>
                    </w:r>
                  </w:p>
                  <w:p w:rsidR="00BD6868" w:rsidP="009838BC" w14:paraId="180DBCC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6210F503"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763712"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639" name="Text Box 151468163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639" o:spid="_x0000_s2346"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764736" o:allowincell="f" stroked="f">
              <v:textbox>
                <w:txbxContent>
                  <w:p w:rsidR="00BD6868" w:rsidP="009838BC" w14:paraId="43DF13DA" w14:textId="77777777">
                    <w:pPr>
                      <w:rPr>
                        <w:rFonts w:ascii="Arial" w:hAnsi="Arial"/>
                        <w:b/>
                      </w:rPr>
                    </w:pPr>
                    <w:r>
                      <w:rPr>
                        <w:rFonts w:ascii="Arial" w:hAnsi="Arial"/>
                        <w:b/>
                      </w:rPr>
                      <w:t>Federal Communications Commission</w:t>
                    </w:r>
                  </w:p>
                  <w:p w:rsidR="00BD6868" w:rsidP="009838BC" w14:paraId="60095A5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61DC0576"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76166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641" name="Text Box 15146816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641" o:spid="_x0000_s2347"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762688" o:allowincell="f" stroked="f">
              <v:textbox>
                <w:txbxContent>
                  <w:p w:rsidR="00BD6868" w:rsidP="009838BC" w14:paraId="2A43E77E" w14:textId="77777777">
                    <w:pPr>
                      <w:rPr>
                        <w:rFonts w:ascii="Arial" w:hAnsi="Arial"/>
                        <w:b/>
                      </w:rPr>
                    </w:pPr>
                    <w:r>
                      <w:rPr>
                        <w:rFonts w:ascii="Arial" w:hAnsi="Arial"/>
                        <w:b/>
                      </w:rPr>
                      <w:t>Federal Communications Commission</w:t>
                    </w:r>
                  </w:p>
                  <w:p w:rsidR="00BD6868" w:rsidP="009838BC" w14:paraId="0A14A08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545FD12E"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759616"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642" name="Text Box 151468164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642" o:spid="_x0000_s2348"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760640" o:allowincell="f" stroked="f">
              <v:textbox>
                <w:txbxContent>
                  <w:p w:rsidR="00BD6868" w:rsidP="009838BC" w14:paraId="7AE8C5FF" w14:textId="77777777">
                    <w:pPr>
                      <w:rPr>
                        <w:rFonts w:ascii="Arial" w:hAnsi="Arial"/>
                        <w:b/>
                      </w:rPr>
                    </w:pPr>
                    <w:r>
                      <w:rPr>
                        <w:rFonts w:ascii="Arial" w:hAnsi="Arial"/>
                        <w:b/>
                      </w:rPr>
                      <w:t>Federal Communications Commission</w:t>
                    </w:r>
                  </w:p>
                  <w:p w:rsidR="00BD6868" w:rsidP="009838BC" w14:paraId="4F00C43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6B755B0F"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74528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572" name="Text Box 15146815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572" o:spid="_x0000_s23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746304" o:allowincell="f" stroked="f">
              <v:textbox>
                <w:txbxContent>
                  <w:p w:rsidR="00BD6868" w:rsidP="009838BC" w14:paraId="7199EA94" w14:textId="77777777">
                    <w:pPr>
                      <w:rPr>
                        <w:rFonts w:ascii="Arial" w:hAnsi="Arial"/>
                        <w:b/>
                      </w:rPr>
                    </w:pPr>
                    <w:r>
                      <w:rPr>
                        <w:rFonts w:ascii="Arial" w:hAnsi="Arial"/>
                        <w:b/>
                      </w:rPr>
                      <w:t>Federal Communications Commission</w:t>
                    </w:r>
                  </w:p>
                  <w:p w:rsidR="00BD6868" w:rsidP="009838BC" w14:paraId="38C9148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1525FE2D"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743232"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575" name="Text Box 15146815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575" o:spid="_x0000_s23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744256" o:allowincell="f" stroked="f">
              <v:textbox>
                <w:txbxContent>
                  <w:p w:rsidR="00BD6868" w:rsidP="009838BC" w14:paraId="45D78D15" w14:textId="77777777">
                    <w:pPr>
                      <w:rPr>
                        <w:rFonts w:ascii="Arial" w:hAnsi="Arial"/>
                        <w:b/>
                      </w:rPr>
                    </w:pPr>
                    <w:r>
                      <w:rPr>
                        <w:rFonts w:ascii="Arial" w:hAnsi="Arial"/>
                        <w:b/>
                      </w:rPr>
                      <w:t>Federal Communications Commission</w:t>
                    </w:r>
                  </w:p>
                  <w:p w:rsidR="00BD6868" w:rsidP="009838BC" w14:paraId="794C3A1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7C5E626B"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74118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14681576" name="Text Box 15146815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514681576" o:spid="_x0000_s2351"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742208" o:allowincell="f" stroked="f">
              <v:textbox>
                <w:txbxContent>
                  <w:p w:rsidR="00BD6868" w:rsidP="009838BC" w14:paraId="4BF294B0" w14:textId="77777777">
                    <w:pPr>
                      <w:rPr>
                        <w:rFonts w:ascii="Arial" w:hAnsi="Arial"/>
                        <w:b/>
                      </w:rPr>
                    </w:pPr>
                    <w:r>
                      <w:rPr>
                        <w:rFonts w:ascii="Arial" w:hAnsi="Arial"/>
                        <w:b/>
                      </w:rPr>
                      <w:t>Federal Communications Commission</w:t>
                    </w:r>
                  </w:p>
                  <w:p w:rsidR="00BD6868" w:rsidP="009838BC" w14:paraId="343EFA7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6F1C12A7"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7350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51" name="Text Box 5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51" o:spid="_x0000_s2352"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736064" o:allowincell="f" stroked="f">
              <v:textbox>
                <w:txbxContent>
                  <w:p w:rsidR="00BD6868" w:rsidP="009838BC" w14:paraId="277FCE33" w14:textId="77777777">
                    <w:pPr>
                      <w:rPr>
                        <w:rFonts w:ascii="Arial" w:hAnsi="Arial"/>
                        <w:b/>
                      </w:rPr>
                    </w:pPr>
                    <w:r>
                      <w:rPr>
                        <w:rFonts w:ascii="Arial" w:hAnsi="Arial"/>
                        <w:b/>
                      </w:rPr>
                      <w:t>Federal Communications Commission</w:t>
                    </w:r>
                  </w:p>
                  <w:p w:rsidR="00BD6868" w:rsidP="009838BC" w14:paraId="6D16445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0A484780"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728896"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7" o:spid="_x0000_s2353"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729920" o:allowincell="f" stroked="f">
              <v:textbox>
                <w:txbxContent>
                  <w:p w:rsidR="00BD6868" w:rsidP="009838BC" w14:paraId="22F7A141" w14:textId="77777777">
                    <w:pPr>
                      <w:rPr>
                        <w:rFonts w:ascii="Arial" w:hAnsi="Arial"/>
                        <w:b/>
                      </w:rPr>
                    </w:pPr>
                    <w:r>
                      <w:rPr>
                        <w:rFonts w:ascii="Arial" w:hAnsi="Arial"/>
                        <w:b/>
                      </w:rPr>
                      <w:t>Federal Communications Commission</w:t>
                    </w:r>
                  </w:p>
                  <w:p w:rsidR="00BD6868" w:rsidP="009838BC" w14:paraId="10F1FEB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2EC5DD51"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712512"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26" name="Text Box 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6" o:spid="_x0000_s2354"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713536" o:allowincell="f" stroked="f">
              <v:textbox>
                <w:txbxContent>
                  <w:p w:rsidR="00BD6868" w:rsidP="009838BC" w14:paraId="7368A76F" w14:textId="77777777">
                    <w:pPr>
                      <w:rPr>
                        <w:rFonts w:ascii="Arial" w:hAnsi="Arial"/>
                        <w:b/>
                      </w:rPr>
                    </w:pPr>
                    <w:r>
                      <w:rPr>
                        <w:rFonts w:ascii="Arial" w:hAnsi="Arial"/>
                        <w:b/>
                      </w:rPr>
                      <w:t>Federal Communications Commission</w:t>
                    </w:r>
                  </w:p>
                  <w:p w:rsidR="00BD6868" w:rsidP="009838BC" w14:paraId="10EC422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52B21972" w14:textId="77777777">
                    <w:pPr>
                      <w:rPr>
                        <w:rFonts w:ascii="Arial" w:hAnsi="Arial"/>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6868" w:rsidP="009838BC" w14:textId="77777777">
                          <w:pPr>
                            <w:rPr>
                              <w:rFonts w:ascii="Arial" w:hAnsi="Arial"/>
                              <w:b/>
                            </w:rPr>
                          </w:pPr>
                          <w:r>
                            <w:rPr>
                              <w:rFonts w:ascii="Arial" w:hAnsi="Arial"/>
                              <w:b/>
                            </w:rPr>
                            <w:t>Federal Communications Commission</w:t>
                          </w:r>
                        </w:p>
                        <w:p w:rsidR="00BD6868"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2" o:spid="_x0000_s235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0288" o:allowincell="f" stroked="f">
              <v:textbox>
                <w:txbxContent>
                  <w:p w:rsidR="00BD6868" w:rsidP="009838BC" w14:paraId="40806DB1" w14:textId="77777777">
                    <w:pPr>
                      <w:rPr>
                        <w:rFonts w:ascii="Arial" w:hAnsi="Arial"/>
                        <w:b/>
                      </w:rPr>
                    </w:pPr>
                    <w:r>
                      <w:rPr>
                        <w:rFonts w:ascii="Arial" w:hAnsi="Arial"/>
                        <w:b/>
                      </w:rPr>
                      <w:t>Federal Communications Commission</w:t>
                    </w:r>
                  </w:p>
                  <w:p w:rsidR="00BD6868" w:rsidP="009838BC" w14:paraId="19FCE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D6868" w:rsidP="009838BC" w14:paraId="16792813" w14:textId="77777777">
                    <w:pPr>
                      <w:rPr>
                        <w:rFonts w:ascii="Arial" w:hAnsi="Arial"/>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530225" cy="530225"/>
          <wp:effectExtent l="0" t="0" r="0" b="0"/>
          <wp:wrapSquare wrapText="bothSides"/>
          <wp:docPr id="151468157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469009" name="Picture 1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30225" cy="530225"/>
                  </a:xfrm>
                  <a:prstGeom prst="rect">
                    <a:avLst/>
                  </a:prstGeom>
                </pic:spPr>
              </pic:pic>
            </a:graphicData>
          </a:graphic>
          <wp14:sizeRelH relativeFrom="page">
            <wp14:pctWidth>0</wp14:pctWidth>
          </wp14:sizeRelH>
          <wp14:sizeRelV relativeFrom="page">
            <wp14:pctHeight>0</wp14:pctHeight>
          </wp14:sizeRelV>
        </wp:anchor>
      </w:drawing>
    </w:r>
    <w:r w:rsidRPr="7EBF36DC">
      <w:rPr>
        <w:rFonts w:ascii="Arial" w:hAnsi="Arial" w:cs="Arial"/>
        <w:b/>
        <w:bCs/>
        <w:sz w:val="96"/>
        <w:szCs w:val="96"/>
      </w:rPr>
      <w:t>PUBLIC NOTICE</w:t>
    </w:r>
  </w:p>
  <w:p w:rsidR="00BD6868" w:rsidRPr="00357D50" w:rsidP="009838BC" w14:paraId="3981FC21" w14:textId="4ABFD202">
    <w:pPr>
      <w:spacing w:before="40"/>
      <w:rPr>
        <w:rFonts w:ascii="Arial" w:hAnsi="Arial" w:cs="Arial"/>
        <w:b/>
        <w:sz w:val="96"/>
      </w:rPr>
    </w:pPr>
    <w:r>
      <w:rPr>
        <w:noProof/>
      </w:rPr>
      <mc:AlternateContent>
        <mc:Choice Requires="wps">
          <w:drawing>
            <wp:anchor distT="0" distB="0" distL="114300" distR="114300" simplePos="0" relativeHeight="252110848"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88" name="Straight Connector 151468188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43" o:spid="_x0000_s2356"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10464" from="416.8pt,56.7pt" to="884.8pt,56.7pt" o:allowincell="f">
              <w10:wrap anchorx="margin"/>
            </v:line>
          </w:pict>
        </mc:Fallback>
      </mc:AlternateContent>
    </w:r>
    <w:r>
      <w:rPr>
        <w:noProof/>
      </w:rPr>
      <mc:AlternateContent>
        <mc:Choice Requires="wps">
          <w:drawing>
            <wp:anchor distT="0" distB="0" distL="114300" distR="114300" simplePos="0" relativeHeight="252111872"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89" name="Text Box 15146818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89" o:spid="_x0000_s235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112896" o:allowincell="f" stroked="f">
              <v:textbox inset=",0,,0">
                <w:txbxContent>
                  <w:p w:rsidR="00BD6868" w:rsidP="009838BC" w14:paraId="60865EF4" w14:textId="77777777">
                    <w:pPr>
                      <w:spacing w:before="40"/>
                      <w:jc w:val="right"/>
                      <w:rPr>
                        <w:rFonts w:ascii="Arial" w:hAnsi="Arial"/>
                        <w:b/>
                        <w:sz w:val="16"/>
                      </w:rPr>
                    </w:pPr>
                    <w:r>
                      <w:rPr>
                        <w:rFonts w:ascii="Arial" w:hAnsi="Arial"/>
                        <w:b/>
                        <w:sz w:val="16"/>
                      </w:rPr>
                      <w:t>News Media Information 202 / 418-0500</w:t>
                    </w:r>
                  </w:p>
                  <w:p w:rsidR="00BD6868" w:rsidP="009838BC" w14:paraId="1DF5A6E3"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741009AF"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107776"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90" name="Straight Connector 151468189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45" o:spid="_x0000_s2358"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08416" from="416.8pt,56.7pt" to="884.8pt,56.7pt" o:allowincell="f">
              <w10:wrap anchorx="margin"/>
            </v:line>
          </w:pict>
        </mc:Fallback>
      </mc:AlternateContent>
    </w:r>
    <w:r>
      <w:rPr>
        <w:noProof/>
      </w:rPr>
      <mc:AlternateContent>
        <mc:Choice Requires="wps">
          <w:drawing>
            <wp:anchor distT="0" distB="0" distL="114300" distR="114300" simplePos="0" relativeHeight="25210880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91" name="Text Box 15146818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91" o:spid="_x0000_s2359"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109824" o:allowincell="f" stroked="f">
              <v:textbox inset=",0,,0">
                <w:txbxContent>
                  <w:p w:rsidR="00BD6868" w:rsidP="009838BC" w14:paraId="265079C2" w14:textId="77777777">
                    <w:pPr>
                      <w:spacing w:before="40"/>
                      <w:jc w:val="right"/>
                      <w:rPr>
                        <w:rFonts w:ascii="Arial" w:hAnsi="Arial"/>
                        <w:b/>
                        <w:sz w:val="16"/>
                      </w:rPr>
                    </w:pPr>
                    <w:r>
                      <w:rPr>
                        <w:rFonts w:ascii="Arial" w:hAnsi="Arial"/>
                        <w:b/>
                        <w:sz w:val="16"/>
                      </w:rPr>
                      <w:t>News Media Information 202 / 418-0500</w:t>
                    </w:r>
                  </w:p>
                  <w:p w:rsidR="00BD6868" w:rsidP="009838BC" w14:paraId="785BD2A0"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75AC4B71"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104704"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92" name="Straight Connector 151468189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47" o:spid="_x0000_s236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06368" from="416.8pt,56.7pt" to="884.8pt,56.7pt" o:allowincell="f">
              <w10:wrap anchorx="margin"/>
            </v:line>
          </w:pict>
        </mc:Fallback>
      </mc:AlternateContent>
    </w:r>
    <w:r>
      <w:rPr>
        <w:noProof/>
      </w:rPr>
      <mc:AlternateContent>
        <mc:Choice Requires="wps">
          <w:drawing>
            <wp:anchor distT="0" distB="0" distL="114300" distR="114300" simplePos="0" relativeHeight="25210572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93" name="Text Box 151468189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93" o:spid="_x0000_s236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106752" o:allowincell="f" stroked="f">
              <v:textbox inset=",0,,0">
                <w:txbxContent>
                  <w:p w:rsidR="00BD6868" w:rsidP="009838BC" w14:paraId="6DD7300D" w14:textId="77777777">
                    <w:pPr>
                      <w:spacing w:before="40"/>
                      <w:jc w:val="right"/>
                      <w:rPr>
                        <w:rFonts w:ascii="Arial" w:hAnsi="Arial"/>
                        <w:b/>
                        <w:sz w:val="16"/>
                      </w:rPr>
                    </w:pPr>
                    <w:r>
                      <w:rPr>
                        <w:rFonts w:ascii="Arial" w:hAnsi="Arial"/>
                        <w:b/>
                        <w:sz w:val="16"/>
                      </w:rPr>
                      <w:t>News Media Information 202 / 418-0500</w:t>
                    </w:r>
                  </w:p>
                  <w:p w:rsidR="00BD6868" w:rsidP="009838BC" w14:paraId="735B4241"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0F09A83C"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101632"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94" name="Straight Connector 151468189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51" o:spid="_x0000_s236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04320" from="416.8pt,56.7pt" to="884.8pt,56.7pt" o:allowincell="f">
              <w10:wrap anchorx="margin"/>
            </v:line>
          </w:pict>
        </mc:Fallback>
      </mc:AlternateContent>
    </w:r>
    <w:r>
      <w:rPr>
        <w:noProof/>
      </w:rPr>
      <mc:AlternateContent>
        <mc:Choice Requires="wps">
          <w:drawing>
            <wp:anchor distT="0" distB="0" distL="114300" distR="114300" simplePos="0" relativeHeight="25210265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95" name="Text Box 151468189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95" o:spid="_x0000_s236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103680" o:allowincell="f" stroked="f">
              <v:textbox inset=",0,,0">
                <w:txbxContent>
                  <w:p w:rsidR="00BD6868" w:rsidP="009838BC" w14:paraId="0087B994" w14:textId="77777777">
                    <w:pPr>
                      <w:spacing w:before="40"/>
                      <w:jc w:val="right"/>
                      <w:rPr>
                        <w:rFonts w:ascii="Arial" w:hAnsi="Arial"/>
                        <w:b/>
                        <w:sz w:val="16"/>
                      </w:rPr>
                    </w:pPr>
                    <w:r>
                      <w:rPr>
                        <w:rFonts w:ascii="Arial" w:hAnsi="Arial"/>
                        <w:b/>
                        <w:sz w:val="16"/>
                      </w:rPr>
                      <w:t>News Media Information 202 / 418-0500</w:t>
                    </w:r>
                  </w:p>
                  <w:p w:rsidR="00BD6868" w:rsidP="009838BC" w14:paraId="71E70395"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46815A66"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98560"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96" name="Straight Connector 151468189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53" o:spid="_x0000_s2364"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02272" from="416.8pt,56.7pt" to="884.8pt,56.7pt" o:allowincell="f">
              <w10:wrap anchorx="margin"/>
            </v:line>
          </w:pict>
        </mc:Fallback>
      </mc:AlternateContent>
    </w:r>
    <w:r>
      <w:rPr>
        <w:noProof/>
      </w:rPr>
      <mc:AlternateContent>
        <mc:Choice Requires="wps">
          <w:drawing>
            <wp:anchor distT="0" distB="0" distL="114300" distR="114300" simplePos="0" relativeHeight="2520995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97" name="Text Box 151468189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97" o:spid="_x0000_s2365"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100608" o:allowincell="f" stroked="f">
              <v:textbox inset=",0,,0">
                <w:txbxContent>
                  <w:p w:rsidR="00BD6868" w:rsidP="009838BC" w14:paraId="6B75D664" w14:textId="77777777">
                    <w:pPr>
                      <w:spacing w:before="40"/>
                      <w:jc w:val="right"/>
                      <w:rPr>
                        <w:rFonts w:ascii="Arial" w:hAnsi="Arial"/>
                        <w:b/>
                        <w:sz w:val="16"/>
                      </w:rPr>
                    </w:pPr>
                    <w:r>
                      <w:rPr>
                        <w:rFonts w:ascii="Arial" w:hAnsi="Arial"/>
                        <w:b/>
                        <w:sz w:val="16"/>
                      </w:rPr>
                      <w:t>News Media Information 202 / 418-0500</w:t>
                    </w:r>
                  </w:p>
                  <w:p w:rsidR="00BD6868" w:rsidP="009838BC" w14:paraId="22AEA447"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20E10BA4"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95488"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98" name="Straight Connector 151468189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55" o:spid="_x0000_s2366"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00224" from="416.8pt,56.7pt" to="884.8pt,56.7pt" o:allowincell="f">
              <w10:wrap anchorx="margin"/>
            </v:line>
          </w:pict>
        </mc:Fallback>
      </mc:AlternateContent>
    </w:r>
    <w:r>
      <w:rPr>
        <w:noProof/>
      </w:rPr>
      <mc:AlternateContent>
        <mc:Choice Requires="wps">
          <w:drawing>
            <wp:anchor distT="0" distB="0" distL="114300" distR="114300" simplePos="0" relativeHeight="252096512"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99" name="Text Box 151468189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99" o:spid="_x0000_s236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97536" o:allowincell="f" stroked="f">
              <v:textbox inset=",0,,0">
                <w:txbxContent>
                  <w:p w:rsidR="00BD6868" w:rsidP="009838BC" w14:paraId="74884FDE" w14:textId="77777777">
                    <w:pPr>
                      <w:spacing w:before="40"/>
                      <w:jc w:val="right"/>
                      <w:rPr>
                        <w:rFonts w:ascii="Arial" w:hAnsi="Arial"/>
                        <w:b/>
                        <w:sz w:val="16"/>
                      </w:rPr>
                    </w:pPr>
                    <w:r>
                      <w:rPr>
                        <w:rFonts w:ascii="Arial" w:hAnsi="Arial"/>
                        <w:b/>
                        <w:sz w:val="16"/>
                      </w:rPr>
                      <w:t>News Media Information 202 / 418-0500</w:t>
                    </w:r>
                  </w:p>
                  <w:p w:rsidR="00BD6868" w:rsidP="009838BC" w14:paraId="2C6CE7D1"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6906139E"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92416"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900" name="Straight Connector 151468190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59" o:spid="_x0000_s2368"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98176" from="416.8pt,56.7pt" to="884.8pt,56.7pt" o:allowincell="f">
              <w10:wrap anchorx="margin"/>
            </v:line>
          </w:pict>
        </mc:Fallback>
      </mc:AlternateContent>
    </w:r>
    <w:r>
      <w:rPr>
        <w:noProof/>
      </w:rPr>
      <mc:AlternateContent>
        <mc:Choice Requires="wps">
          <w:drawing>
            <wp:anchor distT="0" distB="0" distL="114300" distR="114300" simplePos="0" relativeHeight="25209344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901" name="Text Box 151468190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901" o:spid="_x0000_s2369"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94464" o:allowincell="f" stroked="f">
              <v:textbox inset=",0,,0">
                <w:txbxContent>
                  <w:p w:rsidR="00BD6868" w:rsidP="009838BC" w14:paraId="292B744F" w14:textId="77777777">
                    <w:pPr>
                      <w:spacing w:before="40"/>
                      <w:jc w:val="right"/>
                      <w:rPr>
                        <w:rFonts w:ascii="Arial" w:hAnsi="Arial"/>
                        <w:b/>
                        <w:sz w:val="16"/>
                      </w:rPr>
                    </w:pPr>
                    <w:r>
                      <w:rPr>
                        <w:rFonts w:ascii="Arial" w:hAnsi="Arial"/>
                        <w:b/>
                        <w:sz w:val="16"/>
                      </w:rPr>
                      <w:t>News Media Information 202 / 418-0500</w:t>
                    </w:r>
                  </w:p>
                  <w:p w:rsidR="00BD6868" w:rsidP="009838BC" w14:paraId="0319C15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0E1BA4EA"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89344"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902" name="Straight Connector 151468190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61" o:spid="_x0000_s237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96128" from="416.8pt,56.7pt" to="884.8pt,56.7pt" o:allowincell="f">
              <w10:wrap anchorx="margin"/>
            </v:line>
          </w:pict>
        </mc:Fallback>
      </mc:AlternateContent>
    </w:r>
    <w:r>
      <w:rPr>
        <w:noProof/>
      </w:rPr>
      <mc:AlternateContent>
        <mc:Choice Requires="wps">
          <w:drawing>
            <wp:anchor distT="0" distB="0" distL="114300" distR="114300" simplePos="0" relativeHeight="25209036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903" name="Text Box 151468190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903" o:spid="_x0000_s237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91392" o:allowincell="f" stroked="f">
              <v:textbox inset=",0,,0">
                <w:txbxContent>
                  <w:p w:rsidR="00BD6868" w:rsidP="009838BC" w14:paraId="55926B38" w14:textId="77777777">
                    <w:pPr>
                      <w:spacing w:before="40"/>
                      <w:jc w:val="right"/>
                      <w:rPr>
                        <w:rFonts w:ascii="Arial" w:hAnsi="Arial"/>
                        <w:b/>
                        <w:sz w:val="16"/>
                      </w:rPr>
                    </w:pPr>
                    <w:r>
                      <w:rPr>
                        <w:rFonts w:ascii="Arial" w:hAnsi="Arial"/>
                        <w:b/>
                        <w:sz w:val="16"/>
                      </w:rPr>
                      <w:t>News Media Information 202 / 418-0500</w:t>
                    </w:r>
                  </w:p>
                  <w:p w:rsidR="00BD6868" w:rsidP="009838BC" w14:paraId="6D281563"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35C97332"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86272"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904" name="Straight Connector 151468190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63" o:spid="_x0000_s237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94080" from="416.8pt,56.7pt" to="884.8pt,56.7pt" o:allowincell="f">
              <w10:wrap anchorx="margin"/>
            </v:line>
          </w:pict>
        </mc:Fallback>
      </mc:AlternateContent>
    </w:r>
    <w:r>
      <w:rPr>
        <w:noProof/>
      </w:rPr>
      <mc:AlternateContent>
        <mc:Choice Requires="wps">
          <w:drawing>
            <wp:anchor distT="0" distB="0" distL="114300" distR="114300" simplePos="0" relativeHeight="25208729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905" name="Text Box 151468190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905" o:spid="_x0000_s237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88320" o:allowincell="f" stroked="f">
              <v:textbox inset=",0,,0">
                <w:txbxContent>
                  <w:p w:rsidR="00BD6868" w:rsidP="009838BC" w14:paraId="0C55254D" w14:textId="77777777">
                    <w:pPr>
                      <w:spacing w:before="40"/>
                      <w:jc w:val="right"/>
                      <w:rPr>
                        <w:rFonts w:ascii="Arial" w:hAnsi="Arial"/>
                        <w:b/>
                        <w:sz w:val="16"/>
                      </w:rPr>
                    </w:pPr>
                    <w:r>
                      <w:rPr>
                        <w:rFonts w:ascii="Arial" w:hAnsi="Arial"/>
                        <w:b/>
                        <w:sz w:val="16"/>
                      </w:rPr>
                      <w:t>News Media Information 202 / 418-0500</w:t>
                    </w:r>
                  </w:p>
                  <w:p w:rsidR="00BD6868" w:rsidP="009838BC" w14:paraId="3984B02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3267607A"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83200"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906" name="Straight Connector 151468190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577" o:spid="_x0000_s2374"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92032" from="416.8pt,56.7pt" to="884.8pt,56.7pt" o:allowincell="f">
              <w10:wrap anchorx="margin"/>
            </v:line>
          </w:pict>
        </mc:Fallback>
      </mc:AlternateContent>
    </w:r>
    <w:r>
      <w:rPr>
        <w:noProof/>
      </w:rPr>
      <mc:AlternateContent>
        <mc:Choice Requires="wps">
          <w:drawing>
            <wp:anchor distT="0" distB="0" distL="114300" distR="114300" simplePos="0" relativeHeight="25208422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907" name="Text Box 151468190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907" o:spid="_x0000_s2375"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85248" o:allowincell="f" stroked="f">
              <v:textbox inset=",0,,0">
                <w:txbxContent>
                  <w:p w:rsidR="00BD6868" w:rsidP="009838BC" w14:paraId="42ECEFA7" w14:textId="77777777">
                    <w:pPr>
                      <w:spacing w:before="40"/>
                      <w:jc w:val="right"/>
                      <w:rPr>
                        <w:rFonts w:ascii="Arial" w:hAnsi="Arial"/>
                        <w:b/>
                        <w:sz w:val="16"/>
                      </w:rPr>
                    </w:pPr>
                    <w:r>
                      <w:rPr>
                        <w:rFonts w:ascii="Arial" w:hAnsi="Arial"/>
                        <w:b/>
                        <w:sz w:val="16"/>
                      </w:rPr>
                      <w:t>News Media Information 202 / 418-0500</w:t>
                    </w:r>
                  </w:p>
                  <w:p w:rsidR="00BD6868" w:rsidP="009838BC" w14:paraId="16B2B083"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602A5912"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80128"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908" name="Straight Connector 151468190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581" o:spid="_x0000_s2376"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89984" from="416.8pt,56.7pt" to="884.8pt,56.7pt" o:allowincell="f">
              <w10:wrap anchorx="margin"/>
            </v:line>
          </w:pict>
        </mc:Fallback>
      </mc:AlternateContent>
    </w:r>
    <w:r>
      <w:rPr>
        <w:noProof/>
      </w:rPr>
      <mc:AlternateContent>
        <mc:Choice Requires="wps">
          <w:drawing>
            <wp:anchor distT="0" distB="0" distL="114300" distR="114300" simplePos="0" relativeHeight="252081152"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909" name="Text Box 151468190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909" o:spid="_x0000_s237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82176" o:allowincell="f" stroked="f">
              <v:textbox inset=",0,,0">
                <w:txbxContent>
                  <w:p w:rsidR="00BD6868" w:rsidP="009838BC" w14:paraId="53A7EC51" w14:textId="77777777">
                    <w:pPr>
                      <w:spacing w:before="40"/>
                      <w:jc w:val="right"/>
                      <w:rPr>
                        <w:rFonts w:ascii="Arial" w:hAnsi="Arial"/>
                        <w:b/>
                        <w:sz w:val="16"/>
                      </w:rPr>
                    </w:pPr>
                    <w:r>
                      <w:rPr>
                        <w:rFonts w:ascii="Arial" w:hAnsi="Arial"/>
                        <w:b/>
                        <w:sz w:val="16"/>
                      </w:rPr>
                      <w:t>News Media Information 202 / 418-0500</w:t>
                    </w:r>
                  </w:p>
                  <w:p w:rsidR="00BD6868" w:rsidP="009838BC" w14:paraId="6C21C507"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66908312"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77056"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910" name="Straight Connector 15146819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583" o:spid="_x0000_s2378"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87936" from="416.8pt,56.7pt" to="884.8pt,56.7pt" o:allowincell="f">
              <w10:wrap anchorx="margin"/>
            </v:line>
          </w:pict>
        </mc:Fallback>
      </mc:AlternateContent>
    </w:r>
    <w:r>
      <w:rPr>
        <w:noProof/>
      </w:rPr>
      <mc:AlternateContent>
        <mc:Choice Requires="wps">
          <w:drawing>
            <wp:anchor distT="0" distB="0" distL="114300" distR="114300" simplePos="0" relativeHeight="25207808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911" name="Text Box 15146819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911" o:spid="_x0000_s2379"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79104" o:allowincell="f" stroked="f">
              <v:textbox inset=",0,,0">
                <w:txbxContent>
                  <w:p w:rsidR="00BD6868" w:rsidP="009838BC" w14:paraId="5101282C" w14:textId="77777777">
                    <w:pPr>
                      <w:spacing w:before="40"/>
                      <w:jc w:val="right"/>
                      <w:rPr>
                        <w:rFonts w:ascii="Arial" w:hAnsi="Arial"/>
                        <w:b/>
                        <w:sz w:val="16"/>
                      </w:rPr>
                    </w:pPr>
                    <w:r>
                      <w:rPr>
                        <w:rFonts w:ascii="Arial" w:hAnsi="Arial"/>
                        <w:b/>
                        <w:sz w:val="16"/>
                      </w:rPr>
                      <w:t>News Media Information 202 / 418-0500</w:t>
                    </w:r>
                  </w:p>
                  <w:p w:rsidR="00BD6868" w:rsidP="009838BC" w14:paraId="346F09A2"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22D16A0A"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73984"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912" name="Straight Connector 15146819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238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85888" from="416.8pt,56.7pt" to="884.8pt,56.7pt" o:allowincell="f">
              <w10:wrap anchorx="margin"/>
            </v:line>
          </w:pict>
        </mc:Fallback>
      </mc:AlternateContent>
    </w:r>
    <w:r>
      <w:rPr>
        <w:noProof/>
      </w:rPr>
      <mc:AlternateContent>
        <mc:Choice Requires="wps">
          <w:drawing>
            <wp:anchor distT="0" distB="0" distL="114300" distR="114300" simplePos="0" relativeHeight="2520750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913" name="Text Box 15146819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913" o:spid="_x0000_s238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76032" o:allowincell="f" stroked="f">
              <v:textbox inset=",0,,0">
                <w:txbxContent>
                  <w:p w:rsidR="00BD6868" w:rsidP="009838BC" w14:paraId="56DDC178" w14:textId="77777777">
                    <w:pPr>
                      <w:spacing w:before="40"/>
                      <w:jc w:val="right"/>
                      <w:rPr>
                        <w:rFonts w:ascii="Arial" w:hAnsi="Arial"/>
                        <w:b/>
                        <w:sz w:val="16"/>
                      </w:rPr>
                    </w:pPr>
                    <w:r>
                      <w:rPr>
                        <w:rFonts w:ascii="Arial" w:hAnsi="Arial"/>
                        <w:b/>
                        <w:sz w:val="16"/>
                      </w:rPr>
                      <w:t>News Media Information 202 / 418-0500</w:t>
                    </w:r>
                  </w:p>
                  <w:p w:rsidR="00BD6868" w:rsidP="009838BC" w14:paraId="14540F82"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77E3ABD1"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70912"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914" name="Straight Connector 15146819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38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83840" from="416.8pt,56.7pt" to="884.8pt,56.7pt" o:allowincell="f">
              <w10:wrap anchorx="margin"/>
            </v:line>
          </w:pict>
        </mc:Fallback>
      </mc:AlternateContent>
    </w:r>
    <w:r>
      <w:rPr>
        <w:noProof/>
      </w:rPr>
      <mc:AlternateContent>
        <mc:Choice Requires="wps">
          <w:drawing>
            <wp:anchor distT="0" distB="0" distL="114300" distR="114300" simplePos="0" relativeHeight="2520719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915" name="Text Box 15146819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915" o:spid="_x0000_s238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72960" o:allowincell="f" stroked="f">
              <v:textbox inset=",0,,0">
                <w:txbxContent>
                  <w:p w:rsidR="00BD6868" w:rsidP="009838BC" w14:paraId="7443569A" w14:textId="77777777">
                    <w:pPr>
                      <w:spacing w:before="40"/>
                      <w:jc w:val="right"/>
                      <w:rPr>
                        <w:rFonts w:ascii="Arial" w:hAnsi="Arial"/>
                        <w:b/>
                        <w:sz w:val="16"/>
                      </w:rPr>
                    </w:pPr>
                    <w:r>
                      <w:rPr>
                        <w:rFonts w:ascii="Arial" w:hAnsi="Arial"/>
                        <w:b/>
                        <w:sz w:val="16"/>
                      </w:rPr>
                      <w:t>News Media Information 202 / 418-0500</w:t>
                    </w:r>
                  </w:p>
                  <w:p w:rsidR="00BD6868" w:rsidP="009838BC" w14:paraId="565E3E84"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78912F6F"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67840"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916" name="Straight Connector 15146819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2384"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81792" from="416.8pt,56.7pt" to="884.8pt,56.7pt" o:allowincell="f">
              <w10:wrap anchorx="margin"/>
            </v:line>
          </w:pict>
        </mc:Fallback>
      </mc:AlternateContent>
    </w:r>
    <w:r>
      <w:rPr>
        <w:noProof/>
      </w:rPr>
      <mc:AlternateContent>
        <mc:Choice Requires="wps">
          <w:drawing>
            <wp:anchor distT="0" distB="0" distL="114300" distR="114300" simplePos="0" relativeHeight="25206886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917" name="Text Box 15146819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917" o:spid="_x0000_s2385"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69888" o:allowincell="f" stroked="f">
              <v:textbox inset=",0,,0">
                <w:txbxContent>
                  <w:p w:rsidR="00BD6868" w:rsidP="009838BC" w14:paraId="74D59B39" w14:textId="77777777">
                    <w:pPr>
                      <w:spacing w:before="40"/>
                      <w:jc w:val="right"/>
                      <w:rPr>
                        <w:rFonts w:ascii="Arial" w:hAnsi="Arial"/>
                        <w:b/>
                        <w:sz w:val="16"/>
                      </w:rPr>
                    </w:pPr>
                    <w:r>
                      <w:rPr>
                        <w:rFonts w:ascii="Arial" w:hAnsi="Arial"/>
                        <w:b/>
                        <w:sz w:val="16"/>
                      </w:rPr>
                      <w:t>News Media Information 202 / 418-0500</w:t>
                    </w:r>
                  </w:p>
                  <w:p w:rsidR="00BD6868" w:rsidP="009838BC" w14:paraId="41B0DB1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38D28F53"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33024"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03" name="Straight Connector 151468180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43" o:spid="_x0000_s2386"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11488" from="416.8pt,56.7pt" to="884.8pt,56.7pt" o:allowincell="f">
              <w10:wrap anchorx="margin"/>
            </v:line>
          </w:pict>
        </mc:Fallback>
      </mc:AlternateContent>
    </w:r>
    <w:r>
      <w:rPr>
        <w:noProof/>
      </w:rPr>
      <mc:AlternateContent>
        <mc:Choice Requires="wps">
          <w:drawing>
            <wp:anchor distT="0" distB="0" distL="114300" distR="114300" simplePos="0" relativeHeight="25203404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04" name="Text Box 151468180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04" o:spid="_x0000_s238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35072" o:allowincell="f" stroked="f">
              <v:textbox inset=",0,,0">
                <w:txbxContent>
                  <w:p w:rsidR="00BD6868" w:rsidP="009838BC" w14:paraId="5D931FED" w14:textId="77777777">
                    <w:pPr>
                      <w:spacing w:before="40"/>
                      <w:jc w:val="right"/>
                      <w:rPr>
                        <w:rFonts w:ascii="Arial" w:hAnsi="Arial"/>
                        <w:b/>
                        <w:sz w:val="16"/>
                      </w:rPr>
                    </w:pPr>
                    <w:r>
                      <w:rPr>
                        <w:rFonts w:ascii="Arial" w:hAnsi="Arial"/>
                        <w:b/>
                        <w:sz w:val="16"/>
                      </w:rPr>
                      <w:t>News Media Information 202 / 418-0500</w:t>
                    </w:r>
                  </w:p>
                  <w:p w:rsidR="00BD6868" w:rsidP="009838BC" w14:paraId="703CAD86"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62D9D321"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29952"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05" name="Straight Connector 151468180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45" o:spid="_x0000_s2388"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09440" from="416.8pt,56.7pt" to="884.8pt,56.7pt" o:allowincell="f">
              <w10:wrap anchorx="margin"/>
            </v:line>
          </w:pict>
        </mc:Fallback>
      </mc:AlternateContent>
    </w:r>
    <w:r>
      <w:rPr>
        <w:noProof/>
      </w:rPr>
      <mc:AlternateContent>
        <mc:Choice Requires="wps">
          <w:drawing>
            <wp:anchor distT="0" distB="0" distL="114300" distR="114300" simplePos="0" relativeHeight="25203097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06" name="Text Box 151468180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06" o:spid="_x0000_s2389"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32000" o:allowincell="f" stroked="f">
              <v:textbox inset=",0,,0">
                <w:txbxContent>
                  <w:p w:rsidR="00BD6868" w:rsidP="009838BC" w14:paraId="59859717" w14:textId="77777777">
                    <w:pPr>
                      <w:spacing w:before="40"/>
                      <w:jc w:val="right"/>
                      <w:rPr>
                        <w:rFonts w:ascii="Arial" w:hAnsi="Arial"/>
                        <w:b/>
                        <w:sz w:val="16"/>
                      </w:rPr>
                    </w:pPr>
                    <w:r>
                      <w:rPr>
                        <w:rFonts w:ascii="Arial" w:hAnsi="Arial"/>
                        <w:b/>
                        <w:sz w:val="16"/>
                      </w:rPr>
                      <w:t>News Media Information 202 / 418-0500</w:t>
                    </w:r>
                  </w:p>
                  <w:p w:rsidR="00BD6868" w:rsidP="009838BC" w14:paraId="75024217"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72AE6C68"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26880"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07" name="Straight Connector 151468180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47" o:spid="_x0000_s239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07392" from="416.8pt,56.7pt" to="884.8pt,56.7pt" o:allowincell="f">
              <w10:wrap anchorx="margin"/>
            </v:line>
          </w:pict>
        </mc:Fallback>
      </mc:AlternateContent>
    </w:r>
    <w:r>
      <w:rPr>
        <w:noProof/>
      </w:rPr>
      <mc:AlternateContent>
        <mc:Choice Requires="wps">
          <w:drawing>
            <wp:anchor distT="0" distB="0" distL="114300" distR="114300" simplePos="0" relativeHeight="25202790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08" name="Text Box 151468180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08" o:spid="_x0000_s239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28928" o:allowincell="f" stroked="f">
              <v:textbox inset=",0,,0">
                <w:txbxContent>
                  <w:p w:rsidR="00BD6868" w:rsidP="009838BC" w14:paraId="2881BBF5" w14:textId="77777777">
                    <w:pPr>
                      <w:spacing w:before="40"/>
                      <w:jc w:val="right"/>
                      <w:rPr>
                        <w:rFonts w:ascii="Arial" w:hAnsi="Arial"/>
                        <w:b/>
                        <w:sz w:val="16"/>
                      </w:rPr>
                    </w:pPr>
                    <w:r>
                      <w:rPr>
                        <w:rFonts w:ascii="Arial" w:hAnsi="Arial"/>
                        <w:b/>
                        <w:sz w:val="16"/>
                      </w:rPr>
                      <w:t>News Media Information 202 / 418-0500</w:t>
                    </w:r>
                  </w:p>
                  <w:p w:rsidR="00BD6868" w:rsidP="009838BC" w14:paraId="14146852"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6DF2BBBF"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23808"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09" name="Straight Connector 151468180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51" o:spid="_x0000_s239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05344" from="416.8pt,56.7pt" to="884.8pt,56.7pt" o:allowincell="f">
              <w10:wrap anchorx="margin"/>
            </v:line>
          </w:pict>
        </mc:Fallback>
      </mc:AlternateContent>
    </w:r>
    <w:r>
      <w:rPr>
        <w:noProof/>
      </w:rPr>
      <mc:AlternateContent>
        <mc:Choice Requires="wps">
          <w:drawing>
            <wp:anchor distT="0" distB="0" distL="114300" distR="114300" simplePos="0" relativeHeight="252024832"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10" name="Text Box 15146818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10" o:spid="_x0000_s239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25856" o:allowincell="f" stroked="f">
              <v:textbox inset=",0,,0">
                <w:txbxContent>
                  <w:p w:rsidR="00BD6868" w:rsidP="009838BC" w14:paraId="141983CD" w14:textId="77777777">
                    <w:pPr>
                      <w:spacing w:before="40"/>
                      <w:jc w:val="right"/>
                      <w:rPr>
                        <w:rFonts w:ascii="Arial" w:hAnsi="Arial"/>
                        <w:b/>
                        <w:sz w:val="16"/>
                      </w:rPr>
                    </w:pPr>
                    <w:r>
                      <w:rPr>
                        <w:rFonts w:ascii="Arial" w:hAnsi="Arial"/>
                        <w:b/>
                        <w:sz w:val="16"/>
                      </w:rPr>
                      <w:t>News Media Information 202 / 418-0500</w:t>
                    </w:r>
                  </w:p>
                  <w:p w:rsidR="00BD6868" w:rsidP="009838BC" w14:paraId="31E21B3A"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4A3B4C0C"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20736"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11" name="Straight Connector 15146818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53" o:spid="_x0000_s2394"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03296" from="416.8pt,56.7pt" to="884.8pt,56.7pt" o:allowincell="f">
              <w10:wrap anchorx="margin"/>
            </v:line>
          </w:pict>
        </mc:Fallback>
      </mc:AlternateContent>
    </w:r>
    <w:r>
      <w:rPr>
        <w:noProof/>
      </w:rPr>
      <mc:AlternateContent>
        <mc:Choice Requires="wps">
          <w:drawing>
            <wp:anchor distT="0" distB="0" distL="114300" distR="114300" simplePos="0" relativeHeight="2520217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12" name="Text Box 15146818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12" o:spid="_x0000_s2395"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22784" o:allowincell="f" stroked="f">
              <v:textbox inset=",0,,0">
                <w:txbxContent>
                  <w:p w:rsidR="00BD6868" w:rsidP="009838BC" w14:paraId="5FE1493D" w14:textId="77777777">
                    <w:pPr>
                      <w:spacing w:before="40"/>
                      <w:jc w:val="right"/>
                      <w:rPr>
                        <w:rFonts w:ascii="Arial" w:hAnsi="Arial"/>
                        <w:b/>
                        <w:sz w:val="16"/>
                      </w:rPr>
                    </w:pPr>
                    <w:r>
                      <w:rPr>
                        <w:rFonts w:ascii="Arial" w:hAnsi="Arial"/>
                        <w:b/>
                        <w:sz w:val="16"/>
                      </w:rPr>
                      <w:t>News Media Information 202 / 418-0500</w:t>
                    </w:r>
                  </w:p>
                  <w:p w:rsidR="00BD6868" w:rsidP="009838BC" w14:paraId="60C3A40A"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4C790FA4"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17664"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13" name="Straight Connector 15146818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55" o:spid="_x0000_s2396"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01248" from="416.8pt,56.7pt" to="884.8pt,56.7pt" o:allowincell="f">
              <w10:wrap anchorx="margin"/>
            </v:line>
          </w:pict>
        </mc:Fallback>
      </mc:AlternateContent>
    </w:r>
    <w:r>
      <w:rPr>
        <w:noProof/>
      </w:rPr>
      <mc:AlternateContent>
        <mc:Choice Requires="wps">
          <w:drawing>
            <wp:anchor distT="0" distB="0" distL="114300" distR="114300" simplePos="0" relativeHeight="25201868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14" name="Text Box 15146818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14" o:spid="_x0000_s239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19712" o:allowincell="f" stroked="f">
              <v:textbox inset=",0,,0">
                <w:txbxContent>
                  <w:p w:rsidR="00BD6868" w:rsidP="009838BC" w14:paraId="5B59D1A8" w14:textId="77777777">
                    <w:pPr>
                      <w:spacing w:before="40"/>
                      <w:jc w:val="right"/>
                      <w:rPr>
                        <w:rFonts w:ascii="Arial" w:hAnsi="Arial"/>
                        <w:b/>
                        <w:sz w:val="16"/>
                      </w:rPr>
                    </w:pPr>
                    <w:r>
                      <w:rPr>
                        <w:rFonts w:ascii="Arial" w:hAnsi="Arial"/>
                        <w:b/>
                        <w:sz w:val="16"/>
                      </w:rPr>
                      <w:t>News Media Information 202 / 418-0500</w:t>
                    </w:r>
                  </w:p>
                  <w:p w:rsidR="00BD6868" w:rsidP="009838BC" w14:paraId="1FCCF406"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14BA436E"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14592"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15" name="Straight Connector 15146818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59" o:spid="_x0000_s2398"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99200" from="416.8pt,56.7pt" to="884.8pt,56.7pt" o:allowincell="f">
              <w10:wrap anchorx="margin"/>
            </v:line>
          </w:pict>
        </mc:Fallback>
      </mc:AlternateContent>
    </w:r>
    <w:r>
      <w:rPr>
        <w:noProof/>
      </w:rPr>
      <mc:AlternateContent>
        <mc:Choice Requires="wps">
          <w:drawing>
            <wp:anchor distT="0" distB="0" distL="114300" distR="114300" simplePos="0" relativeHeight="25201561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16" name="Text Box 15146818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16" o:spid="_x0000_s2399"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16640" o:allowincell="f" stroked="f">
              <v:textbox inset=",0,,0">
                <w:txbxContent>
                  <w:p w:rsidR="00BD6868" w:rsidP="009838BC" w14:paraId="48B97DBF" w14:textId="77777777">
                    <w:pPr>
                      <w:spacing w:before="40"/>
                      <w:jc w:val="right"/>
                      <w:rPr>
                        <w:rFonts w:ascii="Arial" w:hAnsi="Arial"/>
                        <w:b/>
                        <w:sz w:val="16"/>
                      </w:rPr>
                    </w:pPr>
                    <w:r>
                      <w:rPr>
                        <w:rFonts w:ascii="Arial" w:hAnsi="Arial"/>
                        <w:b/>
                        <w:sz w:val="16"/>
                      </w:rPr>
                      <w:t>News Media Information 202 / 418-0500</w:t>
                    </w:r>
                  </w:p>
                  <w:p w:rsidR="00BD6868" w:rsidP="009838BC" w14:paraId="0F19D75D"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6D67CF7E"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11520"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17" name="Straight Connector 15146818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61" o:spid="_x0000_s240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97152" from="416.8pt,56.7pt" to="884.8pt,56.7pt" o:allowincell="f">
              <w10:wrap anchorx="margin"/>
            </v:line>
          </w:pict>
        </mc:Fallback>
      </mc:AlternateContent>
    </w:r>
    <w:r>
      <w:rPr>
        <w:noProof/>
      </w:rPr>
      <mc:AlternateContent>
        <mc:Choice Requires="wps">
          <w:drawing>
            <wp:anchor distT="0" distB="0" distL="114300" distR="114300" simplePos="0" relativeHeight="25201254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18" name="Text Box 15146818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18" o:spid="_x0000_s240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13568" o:allowincell="f" stroked="f">
              <v:textbox inset=",0,,0">
                <w:txbxContent>
                  <w:p w:rsidR="00BD6868" w:rsidP="009838BC" w14:paraId="42900444" w14:textId="77777777">
                    <w:pPr>
                      <w:spacing w:before="40"/>
                      <w:jc w:val="right"/>
                      <w:rPr>
                        <w:rFonts w:ascii="Arial" w:hAnsi="Arial"/>
                        <w:b/>
                        <w:sz w:val="16"/>
                      </w:rPr>
                    </w:pPr>
                    <w:r>
                      <w:rPr>
                        <w:rFonts w:ascii="Arial" w:hAnsi="Arial"/>
                        <w:b/>
                        <w:sz w:val="16"/>
                      </w:rPr>
                      <w:t>News Media Information 202 / 418-0500</w:t>
                    </w:r>
                  </w:p>
                  <w:p w:rsidR="00BD6868" w:rsidP="009838BC" w14:paraId="2A008955"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71A1598B"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08448"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19" name="Straight Connector 151468181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63" o:spid="_x0000_s240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95104" from="416.8pt,56.7pt" to="884.8pt,56.7pt" o:allowincell="f">
              <w10:wrap anchorx="margin"/>
            </v:line>
          </w:pict>
        </mc:Fallback>
      </mc:AlternateContent>
    </w:r>
    <w:r>
      <w:rPr>
        <w:noProof/>
      </w:rPr>
      <mc:AlternateContent>
        <mc:Choice Requires="wps">
          <w:drawing>
            <wp:anchor distT="0" distB="0" distL="114300" distR="114300" simplePos="0" relativeHeight="252009472"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20" name="Text Box 15146818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20" o:spid="_x0000_s240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10496" o:allowincell="f" stroked="f">
              <v:textbox inset=",0,,0">
                <w:txbxContent>
                  <w:p w:rsidR="00BD6868" w:rsidP="009838BC" w14:paraId="55F51744" w14:textId="77777777">
                    <w:pPr>
                      <w:spacing w:before="40"/>
                      <w:jc w:val="right"/>
                      <w:rPr>
                        <w:rFonts w:ascii="Arial" w:hAnsi="Arial"/>
                        <w:b/>
                        <w:sz w:val="16"/>
                      </w:rPr>
                    </w:pPr>
                    <w:r>
                      <w:rPr>
                        <w:rFonts w:ascii="Arial" w:hAnsi="Arial"/>
                        <w:b/>
                        <w:sz w:val="16"/>
                      </w:rPr>
                      <w:t>News Media Information 202 / 418-0500</w:t>
                    </w:r>
                  </w:p>
                  <w:p w:rsidR="00BD6868" w:rsidP="009838BC" w14:paraId="368A6997"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7701902E"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05376"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21" name="Straight Connector 151468182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577" o:spid="_x0000_s2404"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93056" from="416.8pt,56.7pt" to="884.8pt,56.7pt" o:allowincell="f">
              <w10:wrap anchorx="margin"/>
            </v:line>
          </w:pict>
        </mc:Fallback>
      </mc:AlternateContent>
    </w:r>
    <w:r>
      <w:rPr>
        <w:noProof/>
      </w:rPr>
      <mc:AlternateContent>
        <mc:Choice Requires="wps">
          <w:drawing>
            <wp:anchor distT="0" distB="0" distL="114300" distR="114300" simplePos="0" relativeHeight="25200640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22" name="Text Box 15146818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22" o:spid="_x0000_s2405"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07424" o:allowincell="f" stroked="f">
              <v:textbox inset=",0,,0">
                <w:txbxContent>
                  <w:p w:rsidR="00BD6868" w:rsidP="009838BC" w14:paraId="12053C1C" w14:textId="77777777">
                    <w:pPr>
                      <w:spacing w:before="40"/>
                      <w:jc w:val="right"/>
                      <w:rPr>
                        <w:rFonts w:ascii="Arial" w:hAnsi="Arial"/>
                        <w:b/>
                        <w:sz w:val="16"/>
                      </w:rPr>
                    </w:pPr>
                    <w:r>
                      <w:rPr>
                        <w:rFonts w:ascii="Arial" w:hAnsi="Arial"/>
                        <w:b/>
                        <w:sz w:val="16"/>
                      </w:rPr>
                      <w:t>News Media Information 202 / 418-0500</w:t>
                    </w:r>
                  </w:p>
                  <w:p w:rsidR="00BD6868" w:rsidP="009838BC" w14:paraId="6DDFBA56"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3AFC6FFA"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2002304"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23" name="Straight Connector 151468182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581" o:spid="_x0000_s2406"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91008" from="416.8pt,56.7pt" to="884.8pt,56.7pt" o:allowincell="f">
              <w10:wrap anchorx="margin"/>
            </v:line>
          </w:pict>
        </mc:Fallback>
      </mc:AlternateContent>
    </w:r>
    <w:r>
      <w:rPr>
        <w:noProof/>
      </w:rPr>
      <mc:AlternateContent>
        <mc:Choice Requires="wps">
          <w:drawing>
            <wp:anchor distT="0" distB="0" distL="114300" distR="114300" simplePos="0" relativeHeight="25200332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24" name="Text Box 15146818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24" o:spid="_x0000_s240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04352" o:allowincell="f" stroked="f">
              <v:textbox inset=",0,,0">
                <w:txbxContent>
                  <w:p w:rsidR="00BD6868" w:rsidP="009838BC" w14:paraId="016091AE" w14:textId="77777777">
                    <w:pPr>
                      <w:spacing w:before="40"/>
                      <w:jc w:val="right"/>
                      <w:rPr>
                        <w:rFonts w:ascii="Arial" w:hAnsi="Arial"/>
                        <w:b/>
                        <w:sz w:val="16"/>
                      </w:rPr>
                    </w:pPr>
                    <w:r>
                      <w:rPr>
                        <w:rFonts w:ascii="Arial" w:hAnsi="Arial"/>
                        <w:b/>
                        <w:sz w:val="16"/>
                      </w:rPr>
                      <w:t>News Media Information 202 / 418-0500</w:t>
                    </w:r>
                  </w:p>
                  <w:p w:rsidR="00BD6868" w:rsidP="009838BC" w14:paraId="70C17B1A"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499C8BCF"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999232"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25" name="Straight Connector 151468182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583" o:spid="_x0000_s2408"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88960" from="416.8pt,56.7pt" to="884.8pt,56.7pt" o:allowincell="f">
              <w10:wrap anchorx="margin"/>
            </v:line>
          </w:pict>
        </mc:Fallback>
      </mc:AlternateContent>
    </w:r>
    <w:r>
      <w:rPr>
        <w:noProof/>
      </w:rPr>
      <mc:AlternateContent>
        <mc:Choice Requires="wps">
          <w:drawing>
            <wp:anchor distT="0" distB="0" distL="114300" distR="114300" simplePos="0" relativeHeight="25200025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26" name="Text Box 15146818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26" o:spid="_x0000_s2409"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2001280" o:allowincell="f" stroked="f">
              <v:textbox inset=",0,,0">
                <w:txbxContent>
                  <w:p w:rsidR="00BD6868" w:rsidP="009838BC" w14:paraId="15AC50DB" w14:textId="77777777">
                    <w:pPr>
                      <w:spacing w:before="40"/>
                      <w:jc w:val="right"/>
                      <w:rPr>
                        <w:rFonts w:ascii="Arial" w:hAnsi="Arial"/>
                        <w:b/>
                        <w:sz w:val="16"/>
                      </w:rPr>
                    </w:pPr>
                    <w:r>
                      <w:rPr>
                        <w:rFonts w:ascii="Arial" w:hAnsi="Arial"/>
                        <w:b/>
                        <w:sz w:val="16"/>
                      </w:rPr>
                      <w:t>News Media Information 202 / 418-0500</w:t>
                    </w:r>
                  </w:p>
                  <w:p w:rsidR="00BD6868" w:rsidP="009838BC" w14:paraId="0EA68E12"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26A4F7F8"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996160"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27" name="Straight Connector 151468182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241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86912" from="416.8pt,56.7pt" to="884.8pt,56.7pt" o:allowincell="f">
              <w10:wrap anchorx="margin"/>
            </v:line>
          </w:pict>
        </mc:Fallback>
      </mc:AlternateContent>
    </w:r>
    <w:r>
      <w:rPr>
        <w:noProof/>
      </w:rPr>
      <mc:AlternateContent>
        <mc:Choice Requires="wps">
          <w:drawing>
            <wp:anchor distT="0" distB="0" distL="114300" distR="114300" simplePos="0" relativeHeight="2519971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28" name="Text Box 15146818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28" o:spid="_x0000_s241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998208" o:allowincell="f" stroked="f">
              <v:textbox inset=",0,,0">
                <w:txbxContent>
                  <w:p w:rsidR="00BD6868" w:rsidP="009838BC" w14:paraId="21C9BE1C" w14:textId="77777777">
                    <w:pPr>
                      <w:spacing w:before="40"/>
                      <w:jc w:val="right"/>
                      <w:rPr>
                        <w:rFonts w:ascii="Arial" w:hAnsi="Arial"/>
                        <w:b/>
                        <w:sz w:val="16"/>
                      </w:rPr>
                    </w:pPr>
                    <w:r>
                      <w:rPr>
                        <w:rFonts w:ascii="Arial" w:hAnsi="Arial"/>
                        <w:b/>
                        <w:sz w:val="16"/>
                      </w:rPr>
                      <w:t>News Media Information 202 / 418-0500</w:t>
                    </w:r>
                  </w:p>
                  <w:p w:rsidR="00BD6868" w:rsidP="009838BC" w14:paraId="538F09EB"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317C5CBB"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993088"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29" name="Straight Connector 15146818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41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84864" from="416.8pt,56.7pt" to="884.8pt,56.7pt" o:allowincell="f">
              <w10:wrap anchorx="margin"/>
            </v:line>
          </w:pict>
        </mc:Fallback>
      </mc:AlternateContent>
    </w:r>
    <w:r>
      <w:rPr>
        <w:noProof/>
      </w:rPr>
      <mc:AlternateContent>
        <mc:Choice Requires="wps">
          <w:drawing>
            <wp:anchor distT="0" distB="0" distL="114300" distR="114300" simplePos="0" relativeHeight="251994112"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30" name="Text Box 15146818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30" o:spid="_x0000_s241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995136" o:allowincell="f" stroked="f">
              <v:textbox inset=",0,,0">
                <w:txbxContent>
                  <w:p w:rsidR="00BD6868" w:rsidP="009838BC" w14:paraId="0AFE3C0B" w14:textId="77777777">
                    <w:pPr>
                      <w:spacing w:before="40"/>
                      <w:jc w:val="right"/>
                      <w:rPr>
                        <w:rFonts w:ascii="Arial" w:hAnsi="Arial"/>
                        <w:b/>
                        <w:sz w:val="16"/>
                      </w:rPr>
                    </w:pPr>
                    <w:r>
                      <w:rPr>
                        <w:rFonts w:ascii="Arial" w:hAnsi="Arial"/>
                        <w:b/>
                        <w:sz w:val="16"/>
                      </w:rPr>
                      <w:t>News Media Information 202 / 418-0500</w:t>
                    </w:r>
                  </w:p>
                  <w:p w:rsidR="00BD6868" w:rsidP="009838BC" w14:paraId="565217C2"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26665C4C"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990016"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831" name="Straight Connector 15146818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2414"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82816" from="416.8pt,56.7pt" to="884.8pt,56.7pt" o:allowincell="f">
              <w10:wrap anchorx="margin"/>
            </v:line>
          </w:pict>
        </mc:Fallback>
      </mc:AlternateContent>
    </w:r>
    <w:r>
      <w:rPr>
        <w:noProof/>
      </w:rPr>
      <mc:AlternateContent>
        <mc:Choice Requires="wps">
          <w:drawing>
            <wp:anchor distT="0" distB="0" distL="114300" distR="114300" simplePos="0" relativeHeight="25199104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832" name="Text Box 15146818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832" o:spid="_x0000_s2415"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992064" o:allowincell="f" stroked="f">
              <v:textbox inset=",0,,0">
                <w:txbxContent>
                  <w:p w:rsidR="00BD6868" w:rsidP="009838BC" w14:paraId="3FEF9BE3" w14:textId="77777777">
                    <w:pPr>
                      <w:spacing w:before="40"/>
                      <w:jc w:val="right"/>
                      <w:rPr>
                        <w:rFonts w:ascii="Arial" w:hAnsi="Arial"/>
                        <w:b/>
                        <w:sz w:val="16"/>
                      </w:rPr>
                    </w:pPr>
                    <w:r>
                      <w:rPr>
                        <w:rFonts w:ascii="Arial" w:hAnsi="Arial"/>
                        <w:b/>
                        <w:sz w:val="16"/>
                      </w:rPr>
                      <w:t>News Media Information 202 / 418-0500</w:t>
                    </w:r>
                  </w:p>
                  <w:p w:rsidR="00BD6868" w:rsidP="009838BC" w14:paraId="663C29DB"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2D1EA0F5"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955200"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723" name="Straight Connector 151468172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416"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95622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724" name="Text Box 15146817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724" o:spid="_x0000_s241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957248" o:allowincell="f" stroked="f">
              <v:textbox inset=",0,,0">
                <w:txbxContent>
                  <w:p w:rsidR="00BD6868" w:rsidP="009838BC" w14:paraId="3EE21842" w14:textId="77777777">
                    <w:pPr>
                      <w:spacing w:before="40"/>
                      <w:jc w:val="right"/>
                      <w:rPr>
                        <w:rFonts w:ascii="Arial" w:hAnsi="Arial"/>
                        <w:b/>
                        <w:sz w:val="16"/>
                      </w:rPr>
                    </w:pPr>
                    <w:r>
                      <w:rPr>
                        <w:rFonts w:ascii="Arial" w:hAnsi="Arial"/>
                        <w:b/>
                        <w:sz w:val="16"/>
                      </w:rPr>
                      <w:t>News Media Information 202 / 418-0500</w:t>
                    </w:r>
                  </w:p>
                  <w:p w:rsidR="00BD6868" w:rsidP="009838BC" w14:paraId="02C97F09"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071B34B2"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952128"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725" name="Straight Connector 151468172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2418"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14560" from="416.8pt,56.7pt" to="884.8pt,56.7pt" o:allowincell="f">
              <w10:wrap anchorx="margin"/>
            </v:line>
          </w:pict>
        </mc:Fallback>
      </mc:AlternateContent>
    </w:r>
    <w:r>
      <w:rPr>
        <w:noProof/>
      </w:rPr>
      <mc:AlternateContent>
        <mc:Choice Requires="wps">
          <w:drawing>
            <wp:anchor distT="0" distB="0" distL="114300" distR="114300" simplePos="0" relativeHeight="251953152"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726" name="Text Box 15146817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726" o:spid="_x0000_s2419"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954176" o:allowincell="f" stroked="f">
              <v:textbox inset=",0,,0">
                <w:txbxContent>
                  <w:p w:rsidR="00BD6868" w:rsidP="009838BC" w14:paraId="39C13B87" w14:textId="77777777">
                    <w:pPr>
                      <w:spacing w:before="40"/>
                      <w:jc w:val="right"/>
                      <w:rPr>
                        <w:rFonts w:ascii="Arial" w:hAnsi="Arial"/>
                        <w:b/>
                        <w:sz w:val="16"/>
                      </w:rPr>
                    </w:pPr>
                    <w:r>
                      <w:rPr>
                        <w:rFonts w:ascii="Arial" w:hAnsi="Arial"/>
                        <w:b/>
                        <w:sz w:val="16"/>
                      </w:rPr>
                      <w:t>News Media Information 202 / 418-0500</w:t>
                    </w:r>
                  </w:p>
                  <w:p w:rsidR="00BD6868" w:rsidP="009838BC" w14:paraId="4515709E"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628E2BFF"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949056"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727" name="Straight Connector 151468172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42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95008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728" name="Text Box 15146817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728" o:spid="_x0000_s242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951104" o:allowincell="f" stroked="f">
              <v:textbox inset=",0,,0">
                <w:txbxContent>
                  <w:p w:rsidR="00BD6868" w:rsidP="009838BC" w14:paraId="033AC43C" w14:textId="77777777">
                    <w:pPr>
                      <w:spacing w:before="40"/>
                      <w:jc w:val="right"/>
                      <w:rPr>
                        <w:rFonts w:ascii="Arial" w:hAnsi="Arial"/>
                        <w:b/>
                        <w:sz w:val="16"/>
                      </w:rPr>
                    </w:pPr>
                    <w:r>
                      <w:rPr>
                        <w:rFonts w:ascii="Arial" w:hAnsi="Arial"/>
                        <w:b/>
                        <w:sz w:val="16"/>
                      </w:rPr>
                      <w:t>News Media Information 202 / 418-0500</w:t>
                    </w:r>
                  </w:p>
                  <w:p w:rsidR="00BD6868" w:rsidP="009838BC" w14:paraId="0086E92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52ABF961"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945984"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729" name="Straight Connector 15146817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242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15584" from="416.8pt,56.7pt" to="884.8pt,56.7pt" o:allowincell="f">
              <w10:wrap anchorx="margin"/>
            </v:line>
          </w:pict>
        </mc:Fallback>
      </mc:AlternateContent>
    </w:r>
    <w:r>
      <w:rPr>
        <w:noProof/>
      </w:rPr>
      <mc:AlternateContent>
        <mc:Choice Requires="wps">
          <w:drawing>
            <wp:anchor distT="0" distB="0" distL="114300" distR="114300" simplePos="0" relativeHeight="2519470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730" name="Text Box 15146817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730" o:spid="_x0000_s242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948032" o:allowincell="f" stroked="f">
              <v:textbox inset=",0,,0">
                <w:txbxContent>
                  <w:p w:rsidR="00BD6868" w:rsidP="009838BC" w14:paraId="2A8AD826" w14:textId="77777777">
                    <w:pPr>
                      <w:spacing w:before="40"/>
                      <w:jc w:val="right"/>
                      <w:rPr>
                        <w:rFonts w:ascii="Arial" w:hAnsi="Arial"/>
                        <w:b/>
                        <w:sz w:val="16"/>
                      </w:rPr>
                    </w:pPr>
                    <w:r>
                      <w:rPr>
                        <w:rFonts w:ascii="Arial" w:hAnsi="Arial"/>
                        <w:b/>
                        <w:sz w:val="16"/>
                      </w:rPr>
                      <w:t>News Media Information 202 / 418-0500</w:t>
                    </w:r>
                  </w:p>
                  <w:p w:rsidR="00BD6868" w:rsidP="009838BC" w14:paraId="2B92EF57"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3EF4A5A9"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942912"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731" name="Straight Connector 15146817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424"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5408" from="416.8pt,56.7pt" to="884.8pt,56.7pt" o:allowincell="f">
              <w10:wrap anchorx="margin"/>
            </v:line>
          </w:pict>
        </mc:Fallback>
      </mc:AlternateContent>
    </w:r>
    <w:r>
      <w:rPr>
        <w:noProof/>
      </w:rPr>
      <mc:AlternateContent>
        <mc:Choice Requires="wps">
          <w:drawing>
            <wp:anchor distT="0" distB="0" distL="114300" distR="114300" simplePos="0" relativeHeight="2519439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732" name="Text Box 15146817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732" o:spid="_x0000_s2425"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944960" o:allowincell="f" stroked="f">
              <v:textbox inset=",0,,0">
                <w:txbxContent>
                  <w:p w:rsidR="00BD6868" w:rsidP="009838BC" w14:paraId="4A84220E" w14:textId="77777777">
                    <w:pPr>
                      <w:spacing w:before="40"/>
                      <w:jc w:val="right"/>
                      <w:rPr>
                        <w:rFonts w:ascii="Arial" w:hAnsi="Arial"/>
                        <w:b/>
                        <w:sz w:val="16"/>
                      </w:rPr>
                    </w:pPr>
                    <w:r>
                      <w:rPr>
                        <w:rFonts w:ascii="Arial" w:hAnsi="Arial"/>
                        <w:b/>
                        <w:sz w:val="16"/>
                      </w:rPr>
                      <w:t>News Media Information 202 / 418-0500</w:t>
                    </w:r>
                  </w:p>
                  <w:p w:rsidR="00BD6868" w:rsidP="009838BC" w14:paraId="4A1B4EDF"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14ADAE69"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939840"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733" name="Straight Connector 151468173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426"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6432" from="416.8pt,56.7pt" to="884.8pt,56.7pt" o:allowincell="f">
              <w10:wrap anchorx="margin"/>
            </v:line>
          </w:pict>
        </mc:Fallback>
      </mc:AlternateContent>
    </w:r>
    <w:r>
      <w:rPr>
        <w:noProof/>
      </w:rPr>
      <mc:AlternateContent>
        <mc:Choice Requires="wps">
          <w:drawing>
            <wp:anchor distT="0" distB="0" distL="114300" distR="114300" simplePos="0" relativeHeight="25194086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734" name="Text Box 15146817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734" o:spid="_x0000_s242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941888" o:allowincell="f" stroked="f">
              <v:textbox inset=",0,,0">
                <w:txbxContent>
                  <w:p w:rsidR="00BD6868" w:rsidP="009838BC" w14:paraId="6608AD1C" w14:textId="77777777">
                    <w:pPr>
                      <w:spacing w:before="40"/>
                      <w:jc w:val="right"/>
                      <w:rPr>
                        <w:rFonts w:ascii="Arial" w:hAnsi="Arial"/>
                        <w:b/>
                        <w:sz w:val="16"/>
                      </w:rPr>
                    </w:pPr>
                    <w:r>
                      <w:rPr>
                        <w:rFonts w:ascii="Arial" w:hAnsi="Arial"/>
                        <w:b/>
                        <w:sz w:val="16"/>
                      </w:rPr>
                      <w:t>News Media Information 202 / 418-0500</w:t>
                    </w:r>
                  </w:p>
                  <w:p w:rsidR="00BD6868" w:rsidP="009838BC" w14:paraId="75E6097F"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150756C8"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936768"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735" name="Straight Connector 151468173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2428"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16608" from="416.8pt,56.7pt" to="884.8pt,56.7pt" o:allowincell="f">
              <w10:wrap anchorx="margin"/>
            </v:line>
          </w:pict>
        </mc:Fallback>
      </mc:AlternateContent>
    </w:r>
    <w:r>
      <w:rPr>
        <w:noProof/>
      </w:rPr>
      <mc:AlternateContent>
        <mc:Choice Requires="wps">
          <w:drawing>
            <wp:anchor distT="0" distB="0" distL="114300" distR="114300" simplePos="0" relativeHeight="251937792"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736" name="Text Box 15146817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736" o:spid="_x0000_s2429"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938816" o:allowincell="f" stroked="f">
              <v:textbox inset=",0,,0">
                <w:txbxContent>
                  <w:p w:rsidR="00BD6868" w:rsidP="009838BC" w14:paraId="5599040E" w14:textId="77777777">
                    <w:pPr>
                      <w:spacing w:before="40"/>
                      <w:jc w:val="right"/>
                      <w:rPr>
                        <w:rFonts w:ascii="Arial" w:hAnsi="Arial"/>
                        <w:b/>
                        <w:sz w:val="16"/>
                      </w:rPr>
                    </w:pPr>
                    <w:r>
                      <w:rPr>
                        <w:rFonts w:ascii="Arial" w:hAnsi="Arial"/>
                        <w:b/>
                        <w:sz w:val="16"/>
                      </w:rPr>
                      <w:t>News Media Information 202 / 418-0500</w:t>
                    </w:r>
                  </w:p>
                  <w:p w:rsidR="00BD6868" w:rsidP="009838BC" w14:paraId="6A3D7F46"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544899BD"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933696"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737" name="Straight Connector 151468173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43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7456" from="416.8pt,56.7pt" to="884.8pt,56.7pt" o:allowincell="f">
              <w10:wrap anchorx="margin"/>
            </v:line>
          </w:pict>
        </mc:Fallback>
      </mc:AlternateContent>
    </w:r>
    <w:r>
      <w:rPr>
        <w:noProof/>
      </w:rPr>
      <mc:AlternateContent>
        <mc:Choice Requires="wps">
          <w:drawing>
            <wp:anchor distT="0" distB="0" distL="114300" distR="114300" simplePos="0" relativeHeight="25193472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738" name="Text Box 15146817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738" o:spid="_x0000_s243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935744" o:allowincell="f" stroked="f">
              <v:textbox inset=",0,,0">
                <w:txbxContent>
                  <w:p w:rsidR="00BD6868" w:rsidP="009838BC" w14:paraId="003EC46D" w14:textId="77777777">
                    <w:pPr>
                      <w:spacing w:before="40"/>
                      <w:jc w:val="right"/>
                      <w:rPr>
                        <w:rFonts w:ascii="Arial" w:hAnsi="Arial"/>
                        <w:b/>
                        <w:sz w:val="16"/>
                      </w:rPr>
                    </w:pPr>
                    <w:r>
                      <w:rPr>
                        <w:rFonts w:ascii="Arial" w:hAnsi="Arial"/>
                        <w:b/>
                        <w:sz w:val="16"/>
                      </w:rPr>
                      <w:t>News Media Information 202 / 418-0500</w:t>
                    </w:r>
                  </w:p>
                  <w:p w:rsidR="00BD6868" w:rsidP="009838BC" w14:paraId="03023822"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07301C1D"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930624"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739" name="Straight Connector 151468173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43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93164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740" name="Text Box 15146817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740" o:spid="_x0000_s243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932672" o:allowincell="f" stroked="f">
              <v:textbox inset=",0,,0">
                <w:txbxContent>
                  <w:p w:rsidR="00BD6868" w:rsidP="009838BC" w14:paraId="5BB34962" w14:textId="77777777">
                    <w:pPr>
                      <w:spacing w:before="40"/>
                      <w:jc w:val="right"/>
                      <w:rPr>
                        <w:rFonts w:ascii="Arial" w:hAnsi="Arial"/>
                        <w:b/>
                        <w:sz w:val="16"/>
                      </w:rPr>
                    </w:pPr>
                    <w:r>
                      <w:rPr>
                        <w:rFonts w:ascii="Arial" w:hAnsi="Arial"/>
                        <w:b/>
                        <w:sz w:val="16"/>
                      </w:rPr>
                      <w:t>News Media Information 202 / 418-0500</w:t>
                    </w:r>
                  </w:p>
                  <w:p w:rsidR="00BD6868" w:rsidP="009838BC" w14:paraId="08130BC9"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5DB7CB46"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927552"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741" name="Straight Connector 151468174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434"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8480" from="416.8pt,56.7pt" to="884.8pt,56.7pt" o:allowincell="f">
              <w10:wrap anchorx="margin"/>
            </v:line>
          </w:pict>
        </mc:Fallback>
      </mc:AlternateContent>
    </w:r>
    <w:r>
      <w:rPr>
        <w:noProof/>
      </w:rPr>
      <mc:AlternateContent>
        <mc:Choice Requires="wps">
          <w:drawing>
            <wp:anchor distT="0" distB="0" distL="114300" distR="114300" simplePos="0" relativeHeight="25192857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742" name="Text Box 151468174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742" o:spid="_x0000_s2435"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929600" o:allowincell="f" stroked="f">
              <v:textbox inset=",0,,0">
                <w:txbxContent>
                  <w:p w:rsidR="00BD6868" w:rsidP="009838BC" w14:paraId="6EFE318A" w14:textId="77777777">
                    <w:pPr>
                      <w:spacing w:before="40"/>
                      <w:jc w:val="right"/>
                      <w:rPr>
                        <w:rFonts w:ascii="Arial" w:hAnsi="Arial"/>
                        <w:b/>
                        <w:sz w:val="16"/>
                      </w:rPr>
                    </w:pPr>
                    <w:r>
                      <w:rPr>
                        <w:rFonts w:ascii="Arial" w:hAnsi="Arial"/>
                        <w:b/>
                        <w:sz w:val="16"/>
                      </w:rPr>
                      <w:t>News Media Information 202 / 418-0500</w:t>
                    </w:r>
                  </w:p>
                  <w:p w:rsidR="00BD6868" w:rsidP="009838BC" w14:paraId="28BF77AA"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545E8A66"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924480"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743" name="Straight Connector 151468174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2436"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17632" from="416.8pt,56.7pt" to="884.8pt,56.7pt" o:allowincell="f">
              <w10:wrap anchorx="margin"/>
            </v:line>
          </w:pict>
        </mc:Fallback>
      </mc:AlternateContent>
    </w:r>
    <w:r>
      <w:rPr>
        <w:noProof/>
      </w:rPr>
      <mc:AlternateContent>
        <mc:Choice Requires="wps">
          <w:drawing>
            <wp:anchor distT="0" distB="0" distL="114300" distR="114300" simplePos="0" relativeHeight="25192550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744" name="Text Box 15146817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744" o:spid="_x0000_s243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926528" o:allowincell="f" stroked="f">
              <v:textbox inset=",0,,0">
                <w:txbxContent>
                  <w:p w:rsidR="00BD6868" w:rsidP="009838BC" w14:paraId="49F05C7F" w14:textId="77777777">
                    <w:pPr>
                      <w:spacing w:before="40"/>
                      <w:jc w:val="right"/>
                      <w:rPr>
                        <w:rFonts w:ascii="Arial" w:hAnsi="Arial"/>
                        <w:b/>
                        <w:sz w:val="16"/>
                      </w:rPr>
                    </w:pPr>
                    <w:r>
                      <w:rPr>
                        <w:rFonts w:ascii="Arial" w:hAnsi="Arial"/>
                        <w:b/>
                        <w:sz w:val="16"/>
                      </w:rPr>
                      <w:t>News Media Information 202 / 418-0500</w:t>
                    </w:r>
                  </w:p>
                  <w:p w:rsidR="00BD6868" w:rsidP="009838BC" w14:paraId="25194E21"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56D7013C"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921408"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745" name="Straight Connector 151468174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438"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9504" from="416.8pt,56.7pt" to="884.8pt,56.7pt" o:allowincell="f">
              <w10:wrap anchorx="margin"/>
            </v:line>
          </w:pict>
        </mc:Fallback>
      </mc:AlternateContent>
    </w:r>
    <w:r>
      <w:rPr>
        <w:noProof/>
      </w:rPr>
      <mc:AlternateContent>
        <mc:Choice Requires="wps">
          <w:drawing>
            <wp:anchor distT="0" distB="0" distL="114300" distR="114300" simplePos="0" relativeHeight="251922432"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746" name="Text Box 151468174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746" o:spid="_x0000_s2439"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923456" o:allowincell="f" stroked="f">
              <v:textbox inset=",0,,0">
                <w:txbxContent>
                  <w:p w:rsidR="00BD6868" w:rsidP="009838BC" w14:paraId="11572BF3" w14:textId="77777777">
                    <w:pPr>
                      <w:spacing w:before="40"/>
                      <w:jc w:val="right"/>
                      <w:rPr>
                        <w:rFonts w:ascii="Arial" w:hAnsi="Arial"/>
                        <w:b/>
                        <w:sz w:val="16"/>
                      </w:rPr>
                    </w:pPr>
                    <w:r>
                      <w:rPr>
                        <w:rFonts w:ascii="Arial" w:hAnsi="Arial"/>
                        <w:b/>
                        <w:sz w:val="16"/>
                      </w:rPr>
                      <w:t>News Media Information 202 / 418-0500</w:t>
                    </w:r>
                  </w:p>
                  <w:p w:rsidR="00BD6868" w:rsidP="009838BC" w14:paraId="583DB1E3"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51DE3C89"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918336"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747" name="Straight Connector 151468174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44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70528" from="416.8pt,56.7pt" to="884.8pt,56.7pt" o:allowincell="f">
              <w10:wrap anchorx="margin"/>
            </v:line>
          </w:pict>
        </mc:Fallback>
      </mc:AlternateContent>
    </w:r>
    <w:r>
      <w:rPr>
        <w:noProof/>
      </w:rPr>
      <mc:AlternateContent>
        <mc:Choice Requires="wps">
          <w:drawing>
            <wp:anchor distT="0" distB="0" distL="114300" distR="114300" simplePos="0" relativeHeight="251919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748" name="Text Box 151468174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748" o:spid="_x0000_s244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920384" o:allowincell="f" stroked="f">
              <v:textbox inset=",0,,0">
                <w:txbxContent>
                  <w:p w:rsidR="00BD6868" w:rsidP="009838BC" w14:paraId="55C54343" w14:textId="77777777">
                    <w:pPr>
                      <w:spacing w:before="40"/>
                      <w:jc w:val="right"/>
                      <w:rPr>
                        <w:rFonts w:ascii="Arial" w:hAnsi="Arial"/>
                        <w:b/>
                        <w:sz w:val="16"/>
                      </w:rPr>
                    </w:pPr>
                    <w:r>
                      <w:rPr>
                        <w:rFonts w:ascii="Arial" w:hAnsi="Arial"/>
                        <w:b/>
                        <w:sz w:val="16"/>
                      </w:rPr>
                      <w:t>News Media Information 202 / 418-0500</w:t>
                    </w:r>
                  </w:p>
                  <w:p w:rsidR="00BD6868" w:rsidP="009838BC" w14:paraId="0BB245F9"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513312C2"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915264"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749" name="Straight Connector 151468174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244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18656" from="416.8pt,56.7pt" to="884.8pt,56.7pt" o:allowincell="f">
              <w10:wrap anchorx="margin"/>
            </v:line>
          </w:pict>
        </mc:Fallback>
      </mc:AlternateContent>
    </w:r>
    <w:r>
      <w:rPr>
        <w:noProof/>
      </w:rPr>
      <mc:AlternateContent>
        <mc:Choice Requires="wps">
          <w:drawing>
            <wp:anchor distT="0" distB="0" distL="114300" distR="114300" simplePos="0" relativeHeight="25191628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750" name="Text Box 151468175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750" o:spid="_x0000_s244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917312" o:allowincell="f" stroked="f">
              <v:textbox inset=",0,,0">
                <w:txbxContent>
                  <w:p w:rsidR="00BD6868" w:rsidP="009838BC" w14:paraId="2F638A3F" w14:textId="77777777">
                    <w:pPr>
                      <w:spacing w:before="40"/>
                      <w:jc w:val="right"/>
                      <w:rPr>
                        <w:rFonts w:ascii="Arial" w:hAnsi="Arial"/>
                        <w:b/>
                        <w:sz w:val="16"/>
                      </w:rPr>
                    </w:pPr>
                    <w:r>
                      <w:rPr>
                        <w:rFonts w:ascii="Arial" w:hAnsi="Arial"/>
                        <w:b/>
                        <w:sz w:val="16"/>
                      </w:rPr>
                      <w:t>News Media Information 202 / 418-0500</w:t>
                    </w:r>
                  </w:p>
                  <w:p w:rsidR="00BD6868" w:rsidP="009838BC" w14:paraId="18BB70B3"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69DF4663"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912192"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751" name="Straight Connector 151468175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444"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71552" from="416.8pt,56.7pt" to="884.8pt,56.7pt" o:allowincell="f">
              <w10:wrap anchorx="margin"/>
            </v:line>
          </w:pict>
        </mc:Fallback>
      </mc:AlternateContent>
    </w:r>
    <w:r>
      <w:rPr>
        <w:noProof/>
      </w:rPr>
      <mc:AlternateContent>
        <mc:Choice Requires="wps">
          <w:drawing>
            <wp:anchor distT="0" distB="0" distL="114300" distR="114300" simplePos="0" relativeHeight="25191321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752" name="Text Box 15146817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752" o:spid="_x0000_s2445"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914240" o:allowincell="f" stroked="f">
              <v:textbox inset=",0,,0">
                <w:txbxContent>
                  <w:p w:rsidR="00BD6868" w:rsidP="009838BC" w14:paraId="359C291E" w14:textId="77777777">
                    <w:pPr>
                      <w:spacing w:before="40"/>
                      <w:jc w:val="right"/>
                      <w:rPr>
                        <w:rFonts w:ascii="Arial" w:hAnsi="Arial"/>
                        <w:b/>
                        <w:sz w:val="16"/>
                      </w:rPr>
                    </w:pPr>
                    <w:r>
                      <w:rPr>
                        <w:rFonts w:ascii="Arial" w:hAnsi="Arial"/>
                        <w:b/>
                        <w:sz w:val="16"/>
                      </w:rPr>
                      <w:t>News Media Information 202 / 418-0500</w:t>
                    </w:r>
                  </w:p>
                  <w:p w:rsidR="00BD6868" w:rsidP="009838BC" w14:paraId="42E245FB"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7DA37F1A"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884544"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02" name="Straight Connector 151468160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43" o:spid="_x0000_s2446" style="mso-height-percent:0;mso-height-relative:page;mso-position-horizontal:right;mso-position-horizontal-relative:margin;mso-width-percent:0;mso-width-relative:page;mso-wrap-distance-left:9pt;mso-wrap-distance-right:9pt;mso-wrap-style:square;position:absolute;visibility:visible;z-index:251808768" from="416.8pt,56.7pt" to="884.8pt,56.7pt" o:allowincell="f">
              <w10:wrap anchorx="margin"/>
            </v:line>
          </w:pict>
        </mc:Fallback>
      </mc:AlternateContent>
    </w:r>
    <w:r>
      <w:rPr>
        <w:noProof/>
      </w:rPr>
      <mc:AlternateContent>
        <mc:Choice Requires="wps">
          <w:drawing>
            <wp:anchor distT="0" distB="0" distL="114300" distR="114300" simplePos="0" relativeHeight="25188556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03" name="Text Box 151468160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03" o:spid="_x0000_s244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886592" o:allowincell="f" stroked="f">
              <v:textbox inset=",0,,0">
                <w:txbxContent>
                  <w:p w:rsidR="00BD6868" w:rsidP="009838BC" w14:paraId="33834151" w14:textId="77777777">
                    <w:pPr>
                      <w:spacing w:before="40"/>
                      <w:jc w:val="right"/>
                      <w:rPr>
                        <w:rFonts w:ascii="Arial" w:hAnsi="Arial"/>
                        <w:b/>
                        <w:sz w:val="16"/>
                      </w:rPr>
                    </w:pPr>
                    <w:r>
                      <w:rPr>
                        <w:rFonts w:ascii="Arial" w:hAnsi="Arial"/>
                        <w:b/>
                        <w:sz w:val="16"/>
                      </w:rPr>
                      <w:t>News Media Information 202 / 418-0500</w:t>
                    </w:r>
                  </w:p>
                  <w:p w:rsidR="00BD6868" w:rsidP="009838BC" w14:paraId="4D6D886E"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7E17D327"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881472"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04" name="Straight Connector 151468160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45" o:spid="_x0000_s2448" style="mso-height-percent:0;mso-height-relative:page;mso-position-horizontal:right;mso-position-horizontal-relative:margin;mso-width-percent:0;mso-width-relative:page;mso-wrap-distance-left:9pt;mso-wrap-distance-right:9pt;mso-wrap-style:square;position:absolute;visibility:visible;z-index:251804672" from="416.8pt,56.7pt" to="884.8pt,56.7pt" o:allowincell="f">
              <w10:wrap anchorx="margin"/>
            </v:line>
          </w:pict>
        </mc:Fallback>
      </mc:AlternateContent>
    </w:r>
    <w:r>
      <w:rPr>
        <w:noProof/>
      </w:rPr>
      <mc:AlternateContent>
        <mc:Choice Requires="wps">
          <w:drawing>
            <wp:anchor distT="0" distB="0" distL="114300" distR="114300" simplePos="0" relativeHeight="25188249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05" name="Text Box 151468160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05" o:spid="_x0000_s2449"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883520" o:allowincell="f" stroked="f">
              <v:textbox inset=",0,,0">
                <w:txbxContent>
                  <w:p w:rsidR="00BD6868" w:rsidP="009838BC" w14:paraId="730C6E49" w14:textId="77777777">
                    <w:pPr>
                      <w:spacing w:before="40"/>
                      <w:jc w:val="right"/>
                      <w:rPr>
                        <w:rFonts w:ascii="Arial" w:hAnsi="Arial"/>
                        <w:b/>
                        <w:sz w:val="16"/>
                      </w:rPr>
                    </w:pPr>
                    <w:r>
                      <w:rPr>
                        <w:rFonts w:ascii="Arial" w:hAnsi="Arial"/>
                        <w:b/>
                        <w:sz w:val="16"/>
                      </w:rPr>
                      <w:t>News Media Information 202 / 418-0500</w:t>
                    </w:r>
                  </w:p>
                  <w:p w:rsidR="00BD6868" w:rsidP="009838BC" w14:paraId="3EEFCEBF"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10DB4257"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878400"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06" name="Straight Connector 151468160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47" o:spid="_x0000_s2450" style="mso-height-percent:0;mso-height-relative:page;mso-position-horizontal:right;mso-position-horizontal-relative:margin;mso-width-percent:0;mso-width-relative:page;mso-wrap-distance-left:9pt;mso-wrap-distance-right:9pt;mso-wrap-style:square;position:absolute;visibility:visible;z-index:251800576" from="416.8pt,56.7pt" to="884.8pt,56.7pt" o:allowincell="f">
              <w10:wrap anchorx="margin"/>
            </v:line>
          </w:pict>
        </mc:Fallback>
      </mc:AlternateContent>
    </w:r>
    <w:r>
      <w:rPr>
        <w:noProof/>
      </w:rPr>
      <mc:AlternateContent>
        <mc:Choice Requires="wps">
          <w:drawing>
            <wp:anchor distT="0" distB="0" distL="114300" distR="114300" simplePos="0" relativeHeight="25187942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07" name="Text Box 151468160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07" o:spid="_x0000_s24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880448" o:allowincell="f" stroked="f">
              <v:textbox inset=",0,,0">
                <w:txbxContent>
                  <w:p w:rsidR="00BD6868" w:rsidP="009838BC" w14:paraId="468CCBFC" w14:textId="77777777">
                    <w:pPr>
                      <w:spacing w:before="40"/>
                      <w:jc w:val="right"/>
                      <w:rPr>
                        <w:rFonts w:ascii="Arial" w:hAnsi="Arial"/>
                        <w:b/>
                        <w:sz w:val="16"/>
                      </w:rPr>
                    </w:pPr>
                    <w:r>
                      <w:rPr>
                        <w:rFonts w:ascii="Arial" w:hAnsi="Arial"/>
                        <w:b/>
                        <w:sz w:val="16"/>
                      </w:rPr>
                      <w:t>News Media Information 202 / 418-0500</w:t>
                    </w:r>
                  </w:p>
                  <w:p w:rsidR="00BD6868" w:rsidP="009838BC" w14:paraId="227A6E39"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4DE334DB"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875328"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10" name="Straight Connector 15146816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51" o:spid="_x0000_s2452" style="mso-height-percent:0;mso-height-relative:page;mso-position-horizontal:right;mso-position-horizontal-relative:margin;mso-width-percent:0;mso-width-relative:page;mso-wrap-distance-left:9pt;mso-wrap-distance-right:9pt;mso-wrap-style:square;position:absolute;visibility:visible;z-index:251796480" from="416.8pt,56.7pt" to="884.8pt,56.7pt" o:allowincell="f">
              <w10:wrap anchorx="margin"/>
            </v:line>
          </w:pict>
        </mc:Fallback>
      </mc:AlternateContent>
    </w:r>
    <w:r>
      <w:rPr>
        <w:noProof/>
      </w:rPr>
      <mc:AlternateContent>
        <mc:Choice Requires="wps">
          <w:drawing>
            <wp:anchor distT="0" distB="0" distL="114300" distR="114300" simplePos="0" relativeHeight="251876352"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11" name="Text Box 15146816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11" o:spid="_x0000_s24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877376" o:allowincell="f" stroked="f">
              <v:textbox inset=",0,,0">
                <w:txbxContent>
                  <w:p w:rsidR="00BD6868" w:rsidP="009838BC" w14:paraId="61D86477" w14:textId="77777777">
                    <w:pPr>
                      <w:spacing w:before="40"/>
                      <w:jc w:val="right"/>
                      <w:rPr>
                        <w:rFonts w:ascii="Arial" w:hAnsi="Arial"/>
                        <w:b/>
                        <w:sz w:val="16"/>
                      </w:rPr>
                    </w:pPr>
                    <w:r>
                      <w:rPr>
                        <w:rFonts w:ascii="Arial" w:hAnsi="Arial"/>
                        <w:b/>
                        <w:sz w:val="16"/>
                      </w:rPr>
                      <w:t>News Media Information 202 / 418-0500</w:t>
                    </w:r>
                  </w:p>
                  <w:p w:rsidR="00BD6868" w:rsidP="009838BC" w14:paraId="4593028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33D57C1E"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872256"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12" name="Straight Connector 15146816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53" o:spid="_x0000_s2454" style="mso-height-percent:0;mso-height-relative:page;mso-position-horizontal:right;mso-position-horizontal-relative:margin;mso-width-percent:0;mso-width-relative:page;mso-wrap-distance-left:9pt;mso-wrap-distance-right:9pt;mso-wrap-style:square;position:absolute;visibility:visible;z-index:251792384" from="416.8pt,56.7pt" to="884.8pt,56.7pt" o:allowincell="f">
              <w10:wrap anchorx="margin"/>
            </v:line>
          </w:pict>
        </mc:Fallback>
      </mc:AlternateContent>
    </w:r>
    <w:r>
      <w:rPr>
        <w:noProof/>
      </w:rPr>
      <mc:AlternateContent>
        <mc:Choice Requires="wps">
          <w:drawing>
            <wp:anchor distT="0" distB="0" distL="114300" distR="114300" simplePos="0" relativeHeight="25187328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13" name="Text Box 15146816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13" o:spid="_x0000_s2455"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874304" o:allowincell="f" stroked="f">
              <v:textbox inset=",0,,0">
                <w:txbxContent>
                  <w:p w:rsidR="00BD6868" w:rsidP="009838BC" w14:paraId="20075AC6" w14:textId="77777777">
                    <w:pPr>
                      <w:spacing w:before="40"/>
                      <w:jc w:val="right"/>
                      <w:rPr>
                        <w:rFonts w:ascii="Arial" w:hAnsi="Arial"/>
                        <w:b/>
                        <w:sz w:val="16"/>
                      </w:rPr>
                    </w:pPr>
                    <w:r>
                      <w:rPr>
                        <w:rFonts w:ascii="Arial" w:hAnsi="Arial"/>
                        <w:b/>
                        <w:sz w:val="16"/>
                      </w:rPr>
                      <w:t>News Media Information 202 / 418-0500</w:t>
                    </w:r>
                  </w:p>
                  <w:p w:rsidR="00BD6868" w:rsidP="009838BC" w14:paraId="55322988"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00702AD0"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869184"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14" name="Straight Connector 15146816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55" o:spid="_x0000_s2456" style="mso-height-percent:0;mso-height-relative:page;mso-position-horizontal:right;mso-position-horizontal-relative:margin;mso-width-percent:0;mso-width-relative:page;mso-wrap-distance-left:9pt;mso-wrap-distance-right:9pt;mso-wrap-style:square;position:absolute;visibility:visible;z-index:251788288" from="416.8pt,56.7pt" to="884.8pt,56.7pt" o:allowincell="f">
              <w10:wrap anchorx="margin"/>
            </v:line>
          </w:pict>
        </mc:Fallback>
      </mc:AlternateContent>
    </w:r>
    <w:r>
      <w:rPr>
        <w:noProof/>
      </w:rPr>
      <mc:AlternateContent>
        <mc:Choice Requires="wps">
          <w:drawing>
            <wp:anchor distT="0" distB="0" distL="114300" distR="114300" simplePos="0" relativeHeight="2518702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15" name="Text Box 15146816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15" o:spid="_x0000_s245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871232" o:allowincell="f" stroked="f">
              <v:textbox inset=",0,,0">
                <w:txbxContent>
                  <w:p w:rsidR="00BD6868" w:rsidP="009838BC" w14:paraId="6A273052" w14:textId="77777777">
                    <w:pPr>
                      <w:spacing w:before="40"/>
                      <w:jc w:val="right"/>
                      <w:rPr>
                        <w:rFonts w:ascii="Arial" w:hAnsi="Arial"/>
                        <w:b/>
                        <w:sz w:val="16"/>
                      </w:rPr>
                    </w:pPr>
                    <w:r>
                      <w:rPr>
                        <w:rFonts w:ascii="Arial" w:hAnsi="Arial"/>
                        <w:b/>
                        <w:sz w:val="16"/>
                      </w:rPr>
                      <w:t>News Media Information 202 / 418-0500</w:t>
                    </w:r>
                  </w:p>
                  <w:p w:rsidR="00BD6868" w:rsidP="009838BC" w14:paraId="7C75B3E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4A844CE2"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866112"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18" name="Straight Connector 15146816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59" o:spid="_x0000_s2458" style="mso-height-percent:0;mso-height-relative:page;mso-position-horizontal:right;mso-position-horizontal-relative:margin;mso-width-percent:0;mso-width-relative:page;mso-wrap-distance-left:9pt;mso-wrap-distance-right:9pt;mso-wrap-style:square;position:absolute;visibility:visible;z-index:251784192" from="416.8pt,56.7pt" to="884.8pt,56.7pt" o:allowincell="f">
              <w10:wrap anchorx="margin"/>
            </v:line>
          </w:pict>
        </mc:Fallback>
      </mc:AlternateContent>
    </w:r>
    <w:r>
      <w:rPr>
        <w:noProof/>
      </w:rPr>
      <mc:AlternateContent>
        <mc:Choice Requires="wps">
          <w:drawing>
            <wp:anchor distT="0" distB="0" distL="114300" distR="114300" simplePos="0" relativeHeight="2518671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19" name="Text Box 15146816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19" o:spid="_x0000_s2459"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868160" o:allowincell="f" stroked="f">
              <v:textbox inset=",0,,0">
                <w:txbxContent>
                  <w:p w:rsidR="00BD6868" w:rsidP="009838BC" w14:paraId="07F1D999" w14:textId="77777777">
                    <w:pPr>
                      <w:spacing w:before="40"/>
                      <w:jc w:val="right"/>
                      <w:rPr>
                        <w:rFonts w:ascii="Arial" w:hAnsi="Arial"/>
                        <w:b/>
                        <w:sz w:val="16"/>
                      </w:rPr>
                    </w:pPr>
                    <w:r>
                      <w:rPr>
                        <w:rFonts w:ascii="Arial" w:hAnsi="Arial"/>
                        <w:b/>
                        <w:sz w:val="16"/>
                      </w:rPr>
                      <w:t>News Media Information 202 / 418-0500</w:t>
                    </w:r>
                  </w:p>
                  <w:p w:rsidR="00BD6868" w:rsidP="009838BC" w14:paraId="643570F6"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713B77EA"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863040"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20" name="Straight Connector 151468162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61" o:spid="_x0000_s2460" style="mso-height-percent:0;mso-height-relative:page;mso-position-horizontal:right;mso-position-horizontal-relative:margin;mso-width-percent:0;mso-width-relative:page;mso-wrap-distance-left:9pt;mso-wrap-distance-right:9pt;mso-wrap-style:square;position:absolute;visibility:visible;z-index:251780096" from="416.8pt,56.7pt" to="884.8pt,56.7pt" o:allowincell="f">
              <w10:wrap anchorx="margin"/>
            </v:line>
          </w:pict>
        </mc:Fallback>
      </mc:AlternateContent>
    </w:r>
    <w:r>
      <w:rPr>
        <w:noProof/>
      </w:rPr>
      <mc:AlternateContent>
        <mc:Choice Requires="wps">
          <w:drawing>
            <wp:anchor distT="0" distB="0" distL="114300" distR="114300" simplePos="0" relativeHeight="25186406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21" name="Text Box 15146816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21" o:spid="_x0000_s246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865088" o:allowincell="f" stroked="f">
              <v:textbox inset=",0,,0">
                <w:txbxContent>
                  <w:p w:rsidR="00BD6868" w:rsidP="009838BC" w14:paraId="11743117" w14:textId="77777777">
                    <w:pPr>
                      <w:spacing w:before="40"/>
                      <w:jc w:val="right"/>
                      <w:rPr>
                        <w:rFonts w:ascii="Arial" w:hAnsi="Arial"/>
                        <w:b/>
                        <w:sz w:val="16"/>
                      </w:rPr>
                    </w:pPr>
                    <w:r>
                      <w:rPr>
                        <w:rFonts w:ascii="Arial" w:hAnsi="Arial"/>
                        <w:b/>
                        <w:sz w:val="16"/>
                      </w:rPr>
                      <w:t>News Media Information 202 / 418-0500</w:t>
                    </w:r>
                  </w:p>
                  <w:p w:rsidR="00BD6868" w:rsidP="009838BC" w14:paraId="318BF42E"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612364B9"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859968"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22" name="Straight Connector 151468162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663" o:spid="_x0000_s2462" style="mso-height-percent:0;mso-height-relative:page;mso-position-horizontal:right;mso-position-horizontal-relative:margin;mso-width-percent:0;mso-width-relative:page;mso-wrap-distance-left:9pt;mso-wrap-distance-right:9pt;mso-wrap-style:square;position:absolute;visibility:visible;z-index:251776000" from="416.8pt,56.7pt" to="884.8pt,56.7pt" o:allowincell="f">
              <w10:wrap anchorx="margin"/>
            </v:line>
          </w:pict>
        </mc:Fallback>
      </mc:AlternateContent>
    </w:r>
    <w:r>
      <w:rPr>
        <w:noProof/>
      </w:rPr>
      <mc:AlternateContent>
        <mc:Choice Requires="wps">
          <w:drawing>
            <wp:anchor distT="0" distB="0" distL="114300" distR="114300" simplePos="0" relativeHeight="251860992"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23" name="Text Box 15146816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23" o:spid="_x0000_s246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862016" o:allowincell="f" stroked="f">
              <v:textbox inset=",0,,0">
                <w:txbxContent>
                  <w:p w:rsidR="00BD6868" w:rsidP="009838BC" w14:paraId="25DBE925" w14:textId="77777777">
                    <w:pPr>
                      <w:spacing w:before="40"/>
                      <w:jc w:val="right"/>
                      <w:rPr>
                        <w:rFonts w:ascii="Arial" w:hAnsi="Arial"/>
                        <w:b/>
                        <w:sz w:val="16"/>
                      </w:rPr>
                    </w:pPr>
                    <w:r>
                      <w:rPr>
                        <w:rFonts w:ascii="Arial" w:hAnsi="Arial"/>
                        <w:b/>
                        <w:sz w:val="16"/>
                      </w:rPr>
                      <w:t>News Media Information 202 / 418-0500</w:t>
                    </w:r>
                  </w:p>
                  <w:p w:rsidR="00BD6868" w:rsidP="009838BC" w14:paraId="008C056A"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16B8663D"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856896"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24" name="Straight Connector 151468162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577" o:spid="_x0000_s2464" style="mso-height-percent:0;mso-height-relative:page;mso-position-horizontal:right;mso-position-horizontal-relative:margin;mso-width-percent:0;mso-width-relative:page;mso-wrap-distance-left:9pt;mso-wrap-distance-right:9pt;mso-wrap-style:square;position:absolute;visibility:visible;z-index:251755520" from="416.8pt,56.7pt" to="884.8pt,56.7pt" o:allowincell="f">
              <w10:wrap anchorx="margin"/>
            </v:line>
          </w:pict>
        </mc:Fallback>
      </mc:AlternateContent>
    </w:r>
    <w:r>
      <w:rPr>
        <w:noProof/>
      </w:rPr>
      <mc:AlternateContent>
        <mc:Choice Requires="wps">
          <w:drawing>
            <wp:anchor distT="0" distB="0" distL="114300" distR="114300" simplePos="0" relativeHeight="25185792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25" name="Text Box 15146816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25" o:spid="_x0000_s2465"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858944" o:allowincell="f" stroked="f">
              <v:textbox inset=",0,,0">
                <w:txbxContent>
                  <w:p w:rsidR="00BD6868" w:rsidP="009838BC" w14:paraId="3B36E484" w14:textId="77777777">
                    <w:pPr>
                      <w:spacing w:before="40"/>
                      <w:jc w:val="right"/>
                      <w:rPr>
                        <w:rFonts w:ascii="Arial" w:hAnsi="Arial"/>
                        <w:b/>
                        <w:sz w:val="16"/>
                      </w:rPr>
                    </w:pPr>
                    <w:r>
                      <w:rPr>
                        <w:rFonts w:ascii="Arial" w:hAnsi="Arial"/>
                        <w:b/>
                        <w:sz w:val="16"/>
                      </w:rPr>
                      <w:t>News Media Information 202 / 418-0500</w:t>
                    </w:r>
                  </w:p>
                  <w:p w:rsidR="00BD6868" w:rsidP="009838BC" w14:paraId="43E95D54"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6AAE38AE"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853824"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28" name="Straight Connector 15146816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581" o:spid="_x0000_s2466" style="mso-height-percent:0;mso-height-relative:page;mso-position-horizontal:right;mso-position-horizontal-relative:margin;mso-width-percent:0;mso-width-relative:page;mso-wrap-distance-left:9pt;mso-wrap-distance-right:9pt;mso-wrap-style:square;position:absolute;visibility:visible;z-index:251751424" from="416.8pt,56.7pt" to="884.8pt,56.7pt" o:allowincell="f">
              <w10:wrap anchorx="margin"/>
            </v:line>
          </w:pict>
        </mc:Fallback>
      </mc:AlternateContent>
    </w:r>
    <w:r>
      <w:rPr>
        <w:noProof/>
      </w:rPr>
      <mc:AlternateContent>
        <mc:Choice Requires="wps">
          <w:drawing>
            <wp:anchor distT="0" distB="0" distL="114300" distR="114300" simplePos="0" relativeHeight="25185484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29" name="Text Box 15146816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29" o:spid="_x0000_s246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855872" o:allowincell="f" stroked="f">
              <v:textbox inset=",0,,0">
                <w:txbxContent>
                  <w:p w:rsidR="00BD6868" w:rsidP="009838BC" w14:paraId="76DD2CAB" w14:textId="77777777">
                    <w:pPr>
                      <w:spacing w:before="40"/>
                      <w:jc w:val="right"/>
                      <w:rPr>
                        <w:rFonts w:ascii="Arial" w:hAnsi="Arial"/>
                        <w:b/>
                        <w:sz w:val="16"/>
                      </w:rPr>
                    </w:pPr>
                    <w:r>
                      <w:rPr>
                        <w:rFonts w:ascii="Arial" w:hAnsi="Arial"/>
                        <w:b/>
                        <w:sz w:val="16"/>
                      </w:rPr>
                      <w:t>News Media Information 202 / 418-0500</w:t>
                    </w:r>
                  </w:p>
                  <w:p w:rsidR="00BD6868" w:rsidP="009838BC" w14:paraId="1E07883F"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22029090"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850752"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30" name="Straight Connector 151468163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4681583" o:spid="_x0000_s2468" style="mso-height-percent:0;mso-height-relative:page;mso-position-horizontal:right;mso-position-horizontal-relative:margin;mso-width-percent:0;mso-width-relative:page;mso-wrap-distance-left:9pt;mso-wrap-distance-right:9pt;mso-wrap-style:square;position:absolute;visibility:visible;z-index:251747328" from="416.8pt,56.7pt" to="884.8pt,56.7pt" o:allowincell="f">
              <w10:wrap anchorx="margin"/>
            </v:line>
          </w:pict>
        </mc:Fallback>
      </mc:AlternateContent>
    </w:r>
    <w:r>
      <w:rPr>
        <w:noProof/>
      </w:rPr>
      <mc:AlternateContent>
        <mc:Choice Requires="wps">
          <w:drawing>
            <wp:anchor distT="0" distB="0" distL="114300" distR="114300" simplePos="0" relativeHeight="25185177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31" name="Text Box 15146816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31" o:spid="_x0000_s2469"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852800" o:allowincell="f" stroked="f">
              <v:textbox inset=",0,,0">
                <w:txbxContent>
                  <w:p w:rsidR="00BD6868" w:rsidP="009838BC" w14:paraId="57709637" w14:textId="77777777">
                    <w:pPr>
                      <w:spacing w:before="40"/>
                      <w:jc w:val="right"/>
                      <w:rPr>
                        <w:rFonts w:ascii="Arial" w:hAnsi="Arial"/>
                        <w:b/>
                        <w:sz w:val="16"/>
                      </w:rPr>
                    </w:pPr>
                    <w:r>
                      <w:rPr>
                        <w:rFonts w:ascii="Arial" w:hAnsi="Arial"/>
                        <w:b/>
                        <w:sz w:val="16"/>
                      </w:rPr>
                      <w:t>News Media Information 202 / 418-0500</w:t>
                    </w:r>
                  </w:p>
                  <w:p w:rsidR="00BD6868" w:rsidP="009838BC" w14:paraId="153F94C6"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433B2CC6"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847680"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32" name="Straight Connector 151468163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2470" style="mso-height-percent:0;mso-height-relative:page;mso-position-horizontal:right;mso-position-horizontal-relative:margin;mso-width-percent:0;mso-width-relative:page;mso-wrap-distance-left:9pt;mso-wrap-distance-right:9pt;mso-wrap-style:square;position:absolute;visibility:visible;z-index:251737088" from="416.8pt,56.7pt" to="884.8pt,56.7pt" o:allowincell="f">
              <w10:wrap anchorx="margin"/>
            </v:line>
          </w:pict>
        </mc:Fallback>
      </mc:AlternateContent>
    </w:r>
    <w:r>
      <w:rPr>
        <w:noProof/>
      </w:rPr>
      <mc:AlternateContent>
        <mc:Choice Requires="wps">
          <w:drawing>
            <wp:anchor distT="0" distB="0" distL="114300" distR="114300" simplePos="0" relativeHeight="25184870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90" name="Text Box 151468169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90" o:spid="_x0000_s247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849728" o:allowincell="f" stroked="f">
              <v:textbox inset=",0,,0">
                <w:txbxContent>
                  <w:p w:rsidR="00BD6868" w:rsidP="009838BC" w14:paraId="50316E49" w14:textId="77777777">
                    <w:pPr>
                      <w:spacing w:before="40"/>
                      <w:jc w:val="right"/>
                      <w:rPr>
                        <w:rFonts w:ascii="Arial" w:hAnsi="Arial"/>
                        <w:b/>
                        <w:sz w:val="16"/>
                      </w:rPr>
                    </w:pPr>
                    <w:r>
                      <w:rPr>
                        <w:rFonts w:ascii="Arial" w:hAnsi="Arial"/>
                        <w:b/>
                        <w:sz w:val="16"/>
                      </w:rPr>
                      <w:t>News Media Information 202 / 418-0500</w:t>
                    </w:r>
                  </w:p>
                  <w:p w:rsidR="00BD6868" w:rsidP="009838BC" w14:paraId="1360D5DE"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04F955FB"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844608"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93" name="Straight Connector 151468169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472" style="mso-height-percent:0;mso-height-relative:page;mso-position-horizontal:right;mso-position-horizontal-relative:margin;mso-width-percent:0;mso-width-relative:page;mso-wrap-distance-left:9pt;mso-wrap-distance-right:9pt;mso-wrap-style:square;position:absolute;visibility:visible;z-index:251730944" from="416.8pt,56.7pt" to="884.8pt,56.7pt" o:allowincell="f">
              <w10:wrap anchorx="margin"/>
            </v:line>
          </w:pict>
        </mc:Fallback>
      </mc:AlternateContent>
    </w:r>
    <w:r>
      <w:rPr>
        <w:noProof/>
      </w:rPr>
      <mc:AlternateContent>
        <mc:Choice Requires="wps">
          <w:drawing>
            <wp:anchor distT="0" distB="0" distL="114300" distR="114300" simplePos="0" relativeHeight="251845632"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94" name="Text Box 151468169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94" o:spid="_x0000_s247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846656" o:allowincell="f" stroked="f">
              <v:textbox inset=",0,,0">
                <w:txbxContent>
                  <w:p w:rsidR="00BD6868" w:rsidP="009838BC" w14:paraId="20617C33" w14:textId="77777777">
                    <w:pPr>
                      <w:spacing w:before="40"/>
                      <w:jc w:val="right"/>
                      <w:rPr>
                        <w:rFonts w:ascii="Arial" w:hAnsi="Arial"/>
                        <w:b/>
                        <w:sz w:val="16"/>
                      </w:rPr>
                    </w:pPr>
                    <w:r>
                      <w:rPr>
                        <w:rFonts w:ascii="Arial" w:hAnsi="Arial"/>
                        <w:b/>
                        <w:sz w:val="16"/>
                      </w:rPr>
                      <w:t>News Media Information 202 / 418-0500</w:t>
                    </w:r>
                  </w:p>
                  <w:p w:rsidR="00BD6868" w:rsidP="009838BC" w14:paraId="56E66773"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601B8616"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841536"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95" name="Straight Connector 151468169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2474" style="mso-height-percent:0;mso-height-relative:page;mso-position-horizontal:right;mso-position-horizontal-relative:margin;mso-width-percent:0;mso-width-relative:page;mso-wrap-distance-left:9pt;mso-wrap-distance-right:9pt;mso-wrap-style:square;position:absolute;visibility:visible;z-index:251719680" from="416.8pt,56.7pt" to="884.8pt,56.7pt" o:allowincell="f">
              <w10:wrap anchorx="margin"/>
            </v:line>
          </w:pict>
        </mc:Fallback>
      </mc:AlternateContent>
    </w:r>
    <w:r>
      <w:rPr>
        <w:noProof/>
      </w:rPr>
      <mc:AlternateContent>
        <mc:Choice Requires="wps">
          <w:drawing>
            <wp:anchor distT="0" distB="0" distL="114300" distR="114300" simplePos="0" relativeHeight="2518425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96" name="Text Box 151468169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96" o:spid="_x0000_s2475"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843584" o:allowincell="f" stroked="f">
              <v:textbox inset=",0,,0">
                <w:txbxContent>
                  <w:p w:rsidR="00BD6868" w:rsidP="009838BC" w14:paraId="1AF3D5A2" w14:textId="77777777">
                    <w:pPr>
                      <w:spacing w:before="40"/>
                      <w:jc w:val="right"/>
                      <w:rPr>
                        <w:rFonts w:ascii="Arial" w:hAnsi="Arial"/>
                        <w:b/>
                        <w:sz w:val="16"/>
                      </w:rPr>
                    </w:pPr>
                    <w:r>
                      <w:rPr>
                        <w:rFonts w:ascii="Arial" w:hAnsi="Arial"/>
                        <w:b/>
                        <w:sz w:val="16"/>
                      </w:rPr>
                      <w:t>News Media Information 202 / 418-0500</w:t>
                    </w:r>
                  </w:p>
                  <w:p w:rsidR="00BD6868" w:rsidP="009838BC" w14:paraId="175760F3"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0E2F0D7E"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809792"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43" name="Straight Connector 151468164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476"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72576" from="416.8pt,56.7pt" to="884.8pt,56.7pt" o:allowincell="f">
              <w10:wrap anchorx="margin"/>
            </v:line>
          </w:pict>
        </mc:Fallback>
      </mc:AlternateContent>
    </w:r>
    <w:r>
      <w:rPr>
        <w:noProof/>
      </w:rPr>
      <mc:AlternateContent>
        <mc:Choice Requires="wps">
          <w:drawing>
            <wp:anchor distT="0" distB="0" distL="114300" distR="114300" simplePos="0" relativeHeight="25181081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44" name="Text Box 15146816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44" o:spid="_x0000_s247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811840" o:allowincell="f" stroked="f">
              <v:textbox inset=",0,,0">
                <w:txbxContent>
                  <w:p w:rsidR="00BD6868" w:rsidP="009838BC" w14:paraId="7E2C47BF" w14:textId="77777777">
                    <w:pPr>
                      <w:spacing w:before="40"/>
                      <w:jc w:val="right"/>
                      <w:rPr>
                        <w:rFonts w:ascii="Arial" w:hAnsi="Arial"/>
                        <w:b/>
                        <w:sz w:val="16"/>
                      </w:rPr>
                    </w:pPr>
                    <w:r>
                      <w:rPr>
                        <w:rFonts w:ascii="Arial" w:hAnsi="Arial"/>
                        <w:b/>
                        <w:sz w:val="16"/>
                      </w:rPr>
                      <w:t>News Media Information 202 / 418-0500</w:t>
                    </w:r>
                  </w:p>
                  <w:p w:rsidR="00BD6868" w:rsidP="009838BC" w14:paraId="03C96B7E"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612D730C"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805696"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45" name="Straight Connector 151468164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2478"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20704" from="416.8pt,56.7pt" to="884.8pt,56.7pt" o:allowincell="f">
              <w10:wrap anchorx="margin"/>
            </v:line>
          </w:pict>
        </mc:Fallback>
      </mc:AlternateContent>
    </w:r>
    <w:r>
      <w:rPr>
        <w:noProof/>
      </w:rPr>
      <mc:AlternateContent>
        <mc:Choice Requires="wps">
          <w:drawing>
            <wp:anchor distT="0" distB="0" distL="114300" distR="114300" simplePos="0" relativeHeight="25180672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46" name="Text Box 151468164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46" o:spid="_x0000_s2479"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807744" o:allowincell="f" stroked="f">
              <v:textbox inset=",0,,0">
                <w:txbxContent>
                  <w:p w:rsidR="00BD6868" w:rsidP="009838BC" w14:paraId="305D56CD" w14:textId="77777777">
                    <w:pPr>
                      <w:spacing w:before="40"/>
                      <w:jc w:val="right"/>
                      <w:rPr>
                        <w:rFonts w:ascii="Arial" w:hAnsi="Arial"/>
                        <w:b/>
                        <w:sz w:val="16"/>
                      </w:rPr>
                    </w:pPr>
                    <w:r>
                      <w:rPr>
                        <w:rFonts w:ascii="Arial" w:hAnsi="Arial"/>
                        <w:b/>
                        <w:sz w:val="16"/>
                      </w:rPr>
                      <w:t>News Media Information 202 / 418-0500</w:t>
                    </w:r>
                  </w:p>
                  <w:p w:rsidR="00BD6868" w:rsidP="009838BC" w14:paraId="07D7CED1"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7D25E151"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801600"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47" name="Straight Connector 151468164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48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73600" from="416.8pt,56.7pt" to="884.8pt,56.7pt" o:allowincell="f">
              <w10:wrap anchorx="margin"/>
            </v:line>
          </w:pict>
        </mc:Fallback>
      </mc:AlternateContent>
    </w:r>
    <w:r>
      <w:rPr>
        <w:noProof/>
      </w:rPr>
      <mc:AlternateContent>
        <mc:Choice Requires="wps">
          <w:drawing>
            <wp:anchor distT="0" distB="0" distL="114300" distR="114300" simplePos="0" relativeHeight="25180262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48" name="Text Box 151468164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48" o:spid="_x0000_s248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803648" o:allowincell="f" stroked="f">
              <v:textbox inset=",0,,0">
                <w:txbxContent>
                  <w:p w:rsidR="00BD6868" w:rsidP="009838BC" w14:paraId="3F946D8D" w14:textId="77777777">
                    <w:pPr>
                      <w:spacing w:before="40"/>
                      <w:jc w:val="right"/>
                      <w:rPr>
                        <w:rFonts w:ascii="Arial" w:hAnsi="Arial"/>
                        <w:b/>
                        <w:sz w:val="16"/>
                      </w:rPr>
                    </w:pPr>
                    <w:r>
                      <w:rPr>
                        <w:rFonts w:ascii="Arial" w:hAnsi="Arial"/>
                        <w:b/>
                        <w:sz w:val="16"/>
                      </w:rPr>
                      <w:t>News Media Information 202 / 418-0500</w:t>
                    </w:r>
                  </w:p>
                  <w:p w:rsidR="00BD6868" w:rsidP="009838BC" w14:paraId="3C3B7E8F"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5173009A"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797504"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51" name="Straight Connector 151468165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248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21728" from="416.8pt,56.7pt" to="884.8pt,56.7pt" o:allowincell="f">
              <w10:wrap anchorx="margin"/>
            </v:line>
          </w:pict>
        </mc:Fallback>
      </mc:AlternateContent>
    </w:r>
    <w:r>
      <w:rPr>
        <w:noProof/>
      </w:rPr>
      <mc:AlternateContent>
        <mc:Choice Requires="wps">
          <w:drawing>
            <wp:anchor distT="0" distB="0" distL="114300" distR="114300" simplePos="0" relativeHeight="25179852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52" name="Text Box 15146816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52" o:spid="_x0000_s248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799552" o:allowincell="f" stroked="f">
              <v:textbox inset=",0,,0">
                <w:txbxContent>
                  <w:p w:rsidR="00BD6868" w:rsidP="009838BC" w14:paraId="697AC5AB" w14:textId="77777777">
                    <w:pPr>
                      <w:spacing w:before="40"/>
                      <w:jc w:val="right"/>
                      <w:rPr>
                        <w:rFonts w:ascii="Arial" w:hAnsi="Arial"/>
                        <w:b/>
                        <w:sz w:val="16"/>
                      </w:rPr>
                    </w:pPr>
                    <w:r>
                      <w:rPr>
                        <w:rFonts w:ascii="Arial" w:hAnsi="Arial"/>
                        <w:b/>
                        <w:sz w:val="16"/>
                      </w:rPr>
                      <w:t>News Media Information 202 / 418-0500</w:t>
                    </w:r>
                  </w:p>
                  <w:p w:rsidR="00BD6868" w:rsidP="009838BC" w14:paraId="25FE117B"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1EF165CA"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793408"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53" name="Straight Connector 151468165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484"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74624" from="416.8pt,56.7pt" to="884.8pt,56.7pt" o:allowincell="f">
              <w10:wrap anchorx="margin"/>
            </v:line>
          </w:pict>
        </mc:Fallback>
      </mc:AlternateContent>
    </w:r>
    <w:r>
      <w:rPr>
        <w:noProof/>
      </w:rPr>
      <mc:AlternateContent>
        <mc:Choice Requires="wps">
          <w:drawing>
            <wp:anchor distT="0" distB="0" distL="114300" distR="114300" simplePos="0" relativeHeight="251794432"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54" name="Text Box 15146816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54" o:spid="_x0000_s2485"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795456" o:allowincell="f" stroked="f">
              <v:textbox inset=",0,,0">
                <w:txbxContent>
                  <w:p w:rsidR="00BD6868" w:rsidP="009838BC" w14:paraId="2DDAC283" w14:textId="77777777">
                    <w:pPr>
                      <w:spacing w:before="40"/>
                      <w:jc w:val="right"/>
                      <w:rPr>
                        <w:rFonts w:ascii="Arial" w:hAnsi="Arial"/>
                        <w:b/>
                        <w:sz w:val="16"/>
                      </w:rPr>
                    </w:pPr>
                    <w:r>
                      <w:rPr>
                        <w:rFonts w:ascii="Arial" w:hAnsi="Arial"/>
                        <w:b/>
                        <w:sz w:val="16"/>
                      </w:rPr>
                      <w:t>News Media Information 202 / 418-0500</w:t>
                    </w:r>
                  </w:p>
                  <w:p w:rsidR="00BD6868" w:rsidP="009838BC" w14:paraId="3C64E40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058D6CA4"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789312"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55" name="Straight Connector 151468165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486"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75648" from="416.8pt,56.7pt" to="884.8pt,56.7pt" o:allowincell="f">
              <w10:wrap anchorx="margin"/>
            </v:line>
          </w:pict>
        </mc:Fallback>
      </mc:AlternateContent>
    </w:r>
    <w:r>
      <w:rPr>
        <w:noProof/>
      </w:rPr>
      <mc:AlternateContent>
        <mc:Choice Requires="wps">
          <w:drawing>
            <wp:anchor distT="0" distB="0" distL="114300" distR="114300" simplePos="0" relativeHeight="251790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56" name="Text Box 15146816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56" o:spid="_x0000_s248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791360" o:allowincell="f" stroked="f">
              <v:textbox inset=",0,,0">
                <w:txbxContent>
                  <w:p w:rsidR="00BD6868" w:rsidP="009838BC" w14:paraId="103334CE" w14:textId="77777777">
                    <w:pPr>
                      <w:spacing w:before="40"/>
                      <w:jc w:val="right"/>
                      <w:rPr>
                        <w:rFonts w:ascii="Arial" w:hAnsi="Arial"/>
                        <w:b/>
                        <w:sz w:val="16"/>
                      </w:rPr>
                    </w:pPr>
                    <w:r>
                      <w:rPr>
                        <w:rFonts w:ascii="Arial" w:hAnsi="Arial"/>
                        <w:b/>
                        <w:sz w:val="16"/>
                      </w:rPr>
                      <w:t>News Media Information 202 / 418-0500</w:t>
                    </w:r>
                  </w:p>
                  <w:p w:rsidR="00BD6868" w:rsidP="009838BC" w14:paraId="177D7B1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43E8A475"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785216"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59" name="Straight Connector 151468165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2488"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22752" from="416.8pt,56.7pt" to="884.8pt,56.7pt" o:allowincell="f">
              <w10:wrap anchorx="margin"/>
            </v:line>
          </w:pict>
        </mc:Fallback>
      </mc:AlternateContent>
    </w:r>
    <w:r>
      <w:rPr>
        <w:noProof/>
      </w:rPr>
      <mc:AlternateContent>
        <mc:Choice Requires="wps">
          <w:drawing>
            <wp:anchor distT="0" distB="0" distL="114300" distR="114300" simplePos="0" relativeHeight="25178624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60" name="Text Box 151468166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60" o:spid="_x0000_s2489"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787264" o:allowincell="f" stroked="f">
              <v:textbox inset=",0,,0">
                <w:txbxContent>
                  <w:p w:rsidR="00BD6868" w:rsidP="009838BC" w14:paraId="1355F715" w14:textId="77777777">
                    <w:pPr>
                      <w:spacing w:before="40"/>
                      <w:jc w:val="right"/>
                      <w:rPr>
                        <w:rFonts w:ascii="Arial" w:hAnsi="Arial"/>
                        <w:b/>
                        <w:sz w:val="16"/>
                      </w:rPr>
                    </w:pPr>
                    <w:r>
                      <w:rPr>
                        <w:rFonts w:ascii="Arial" w:hAnsi="Arial"/>
                        <w:b/>
                        <w:sz w:val="16"/>
                      </w:rPr>
                      <w:t>News Media Information 202 / 418-0500</w:t>
                    </w:r>
                  </w:p>
                  <w:p w:rsidR="00BD6868" w:rsidP="009838BC" w14:paraId="63F49FF1"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3AA8CD0C"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781120"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61" name="Straight Connector 151468166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49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76672" from="416.8pt,56.7pt" to="884.8pt,56.7pt" o:allowincell="f">
              <w10:wrap anchorx="margin"/>
            </v:line>
          </w:pict>
        </mc:Fallback>
      </mc:AlternateContent>
    </w:r>
    <w:r>
      <w:rPr>
        <w:noProof/>
      </w:rPr>
      <mc:AlternateContent>
        <mc:Choice Requires="wps">
          <w:drawing>
            <wp:anchor distT="0" distB="0" distL="114300" distR="114300" simplePos="0" relativeHeight="25178214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62" name="Text Box 15146816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62" o:spid="_x0000_s249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783168" o:allowincell="f" stroked="f">
              <v:textbox inset=",0,,0">
                <w:txbxContent>
                  <w:p w:rsidR="00BD6868" w:rsidP="009838BC" w14:paraId="78CF1FCB" w14:textId="77777777">
                    <w:pPr>
                      <w:spacing w:before="40"/>
                      <w:jc w:val="right"/>
                      <w:rPr>
                        <w:rFonts w:ascii="Arial" w:hAnsi="Arial"/>
                        <w:b/>
                        <w:sz w:val="16"/>
                      </w:rPr>
                    </w:pPr>
                    <w:r>
                      <w:rPr>
                        <w:rFonts w:ascii="Arial" w:hAnsi="Arial"/>
                        <w:b/>
                        <w:sz w:val="16"/>
                      </w:rPr>
                      <w:t>News Media Information 202 / 418-0500</w:t>
                    </w:r>
                  </w:p>
                  <w:p w:rsidR="00BD6868" w:rsidP="009838BC" w14:paraId="3D03B82A"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52BD0231"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777024"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663" name="Straight Connector 151468166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49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77804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664" name="Text Box 151468166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664" o:spid="_x0000_s249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779072" o:allowincell="f" stroked="f">
              <v:textbox inset=",0,,0">
                <w:txbxContent>
                  <w:p w:rsidR="00BD6868" w:rsidP="009838BC" w14:paraId="3809F0F6" w14:textId="77777777">
                    <w:pPr>
                      <w:spacing w:before="40"/>
                      <w:jc w:val="right"/>
                      <w:rPr>
                        <w:rFonts w:ascii="Arial" w:hAnsi="Arial"/>
                        <w:b/>
                        <w:sz w:val="16"/>
                      </w:rPr>
                    </w:pPr>
                    <w:r>
                      <w:rPr>
                        <w:rFonts w:ascii="Arial" w:hAnsi="Arial"/>
                        <w:b/>
                        <w:sz w:val="16"/>
                      </w:rPr>
                      <w:t>News Media Information 202 / 418-0500</w:t>
                    </w:r>
                  </w:p>
                  <w:p w:rsidR="00BD6868" w:rsidP="009838BC" w14:paraId="706DDB11"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417A02E0"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756544"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577" name="Straight Connector 151468157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494"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77696" from="416.8pt,56.7pt" to="884.8pt,56.7pt" o:allowincell="f">
              <w10:wrap anchorx="margin"/>
            </v:line>
          </w:pict>
        </mc:Fallback>
      </mc:AlternateContent>
    </w:r>
    <w:r>
      <w:rPr>
        <w:noProof/>
      </w:rPr>
      <mc:AlternateContent>
        <mc:Choice Requires="wps">
          <w:drawing>
            <wp:anchor distT="0" distB="0" distL="114300" distR="114300" simplePos="0" relativeHeight="25175756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578" name="Text Box 151468157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578" o:spid="_x0000_s2495"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758592" o:allowincell="f" stroked="f">
              <v:textbox inset=",0,,0">
                <w:txbxContent>
                  <w:p w:rsidR="00BD6868" w:rsidP="009838BC" w14:paraId="230485EF" w14:textId="77777777">
                    <w:pPr>
                      <w:spacing w:before="40"/>
                      <w:jc w:val="right"/>
                      <w:rPr>
                        <w:rFonts w:ascii="Arial" w:hAnsi="Arial"/>
                        <w:b/>
                        <w:sz w:val="16"/>
                      </w:rPr>
                    </w:pPr>
                    <w:r>
                      <w:rPr>
                        <w:rFonts w:ascii="Arial" w:hAnsi="Arial"/>
                        <w:b/>
                        <w:sz w:val="16"/>
                      </w:rPr>
                      <w:t>News Media Information 202 / 418-0500</w:t>
                    </w:r>
                  </w:p>
                  <w:p w:rsidR="00BD6868" w:rsidP="009838BC" w14:paraId="7F92DFA3"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409A6ACC"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752448"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581" name="Straight Connector 151468158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2496"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23776" from="416.8pt,56.7pt" to="884.8pt,56.7pt" o:allowincell="f">
              <w10:wrap anchorx="margin"/>
            </v:line>
          </w:pict>
        </mc:Fallback>
      </mc:AlternateContent>
    </w:r>
    <w:r>
      <w:rPr>
        <w:noProof/>
      </w:rPr>
      <mc:AlternateContent>
        <mc:Choice Requires="wps">
          <w:drawing>
            <wp:anchor distT="0" distB="0" distL="114300" distR="114300" simplePos="0" relativeHeight="251753472"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582" name="Text Box 151468158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582" o:spid="_x0000_s249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754496" o:allowincell="f" stroked="f">
              <v:textbox inset=",0,,0">
                <w:txbxContent>
                  <w:p w:rsidR="00BD6868" w:rsidP="009838BC" w14:paraId="5B6BCA1E" w14:textId="77777777">
                    <w:pPr>
                      <w:spacing w:before="40"/>
                      <w:jc w:val="right"/>
                      <w:rPr>
                        <w:rFonts w:ascii="Arial" w:hAnsi="Arial"/>
                        <w:b/>
                        <w:sz w:val="16"/>
                      </w:rPr>
                    </w:pPr>
                    <w:r>
                      <w:rPr>
                        <w:rFonts w:ascii="Arial" w:hAnsi="Arial"/>
                        <w:b/>
                        <w:sz w:val="16"/>
                      </w:rPr>
                      <w:t>News Media Information 202 / 418-0500</w:t>
                    </w:r>
                  </w:p>
                  <w:p w:rsidR="00BD6868" w:rsidP="009838BC" w14:paraId="5135D603"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19600743"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748352" behindDoc="0" locked="0" layoutInCell="0" allowOverlap="1">
              <wp:simplePos x="0" y="0"/>
              <wp:positionH relativeFrom="margin">
                <wp:align>right</wp:align>
              </wp:positionH>
              <wp:positionV relativeFrom="paragraph">
                <wp:posOffset>720089</wp:posOffset>
              </wp:positionV>
              <wp:extent cx="5943600" cy="0"/>
              <wp:effectExtent l="0" t="0" r="0" b="0"/>
              <wp:wrapNone/>
              <wp:docPr id="1514681583" name="Straight Connector 151468158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498"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78720" from="416.8pt,56.7pt" to="884.8pt,56.7pt" o:allowincell="f">
              <w10:wrap anchorx="margin"/>
            </v:line>
          </w:pict>
        </mc:Fallback>
      </mc:AlternateContent>
    </w:r>
    <w:r>
      <w:rPr>
        <w:noProof/>
      </w:rPr>
      <mc:AlternateContent>
        <mc:Choice Requires="wps">
          <w:drawing>
            <wp:anchor distT="0" distB="0" distL="114300" distR="114300" simplePos="0" relativeHeight="25174937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514681584" name="Text Box 151468158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4681584" o:spid="_x0000_s2499"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750400" o:allowincell="f" stroked="f">
              <v:textbox inset=",0,,0">
                <w:txbxContent>
                  <w:p w:rsidR="00BD6868" w:rsidP="009838BC" w14:paraId="14034479" w14:textId="77777777">
                    <w:pPr>
                      <w:spacing w:before="40"/>
                      <w:jc w:val="right"/>
                      <w:rPr>
                        <w:rFonts w:ascii="Arial" w:hAnsi="Arial"/>
                        <w:b/>
                        <w:sz w:val="16"/>
                      </w:rPr>
                    </w:pPr>
                    <w:r>
                      <w:rPr>
                        <w:rFonts w:ascii="Arial" w:hAnsi="Arial"/>
                        <w:b/>
                        <w:sz w:val="16"/>
                      </w:rPr>
                      <w:t>News Media Information 202 / 418-0500</w:t>
                    </w:r>
                  </w:p>
                  <w:p w:rsidR="00BD6868" w:rsidP="009838BC" w14:paraId="5C669319"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66260850"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738112" behindDoc="0" locked="0" layoutInCell="0" allowOverlap="1">
              <wp:simplePos x="0" y="0"/>
              <wp:positionH relativeFrom="margin">
                <wp:align>right</wp:align>
              </wp:positionH>
              <wp:positionV relativeFrom="paragraph">
                <wp:posOffset>720089</wp:posOffset>
              </wp:positionV>
              <wp:extent cx="5943600" cy="0"/>
              <wp:effectExtent l="0" t="0" r="0" b="0"/>
              <wp:wrapNone/>
              <wp:docPr id="52" name="Straight Connector 5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50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79744" from="416.8pt,56.7pt" to="884.8pt,56.7pt" o:allowincell="f">
              <w10:wrap anchorx="margin"/>
            </v:line>
          </w:pict>
        </mc:Fallback>
      </mc:AlternateContent>
    </w:r>
    <w:r>
      <w:rPr>
        <w:noProof/>
      </w:rPr>
      <mc:AlternateContent>
        <mc:Choice Requires="wps">
          <w:drawing>
            <wp:anchor distT="0" distB="0" distL="114300" distR="114300" simplePos="0" relativeHeight="2517391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3" o:spid="_x0000_s250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740160" o:allowincell="f" stroked="f">
              <v:textbox inset=",0,,0">
                <w:txbxContent>
                  <w:p w:rsidR="00BD6868" w:rsidP="009838BC" w14:paraId="11EBAC14" w14:textId="77777777">
                    <w:pPr>
                      <w:spacing w:before="40"/>
                      <w:jc w:val="right"/>
                      <w:rPr>
                        <w:rFonts w:ascii="Arial" w:hAnsi="Arial"/>
                        <w:b/>
                        <w:sz w:val="16"/>
                      </w:rPr>
                    </w:pPr>
                    <w:r>
                      <w:rPr>
                        <w:rFonts w:ascii="Arial" w:hAnsi="Arial"/>
                        <w:b/>
                        <w:sz w:val="16"/>
                      </w:rPr>
                      <w:t>News Media Information 202 / 418-0500</w:t>
                    </w:r>
                  </w:p>
                  <w:p w:rsidR="00BD6868" w:rsidP="009838BC" w14:paraId="1935460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2BCCF87A"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731968" behindDoc="0" locked="0" layoutInCell="0" allowOverlap="1">
              <wp:simplePos x="0" y="0"/>
              <wp:positionH relativeFrom="margin">
                <wp:align>right</wp:align>
              </wp:positionH>
              <wp:positionV relativeFrom="paragraph">
                <wp:posOffset>720089</wp:posOffset>
              </wp:positionV>
              <wp:extent cx="5943600" cy="0"/>
              <wp:effectExtent l="0" t="0" r="0" b="0"/>
              <wp:wrapNone/>
              <wp:docPr id="18" name="Straight Connector 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250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724800" from="416.8pt,56.7pt" to="884.8pt,56.7pt" o:allowincell="f">
              <w10:wrap anchorx="margin"/>
            </v:line>
          </w:pict>
        </mc:Fallback>
      </mc:AlternateContent>
    </w:r>
    <w:r>
      <w:rPr>
        <w:noProof/>
      </w:rPr>
      <mc:AlternateContent>
        <mc:Choice Requires="wps">
          <w:drawing>
            <wp:anchor distT="0" distB="0" distL="114300" distR="114300" simplePos="0" relativeHeight="251732992"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9" o:spid="_x0000_s250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734016" o:allowincell="f" stroked="f">
              <v:textbox inset=",0,,0">
                <w:txbxContent>
                  <w:p w:rsidR="00BD6868" w:rsidP="009838BC" w14:paraId="77C84BA8" w14:textId="77777777">
                    <w:pPr>
                      <w:spacing w:before="40"/>
                      <w:jc w:val="right"/>
                      <w:rPr>
                        <w:rFonts w:ascii="Arial" w:hAnsi="Arial"/>
                        <w:b/>
                        <w:sz w:val="16"/>
                      </w:rPr>
                    </w:pPr>
                    <w:r>
                      <w:rPr>
                        <w:rFonts w:ascii="Arial" w:hAnsi="Arial"/>
                        <w:b/>
                        <w:sz w:val="16"/>
                      </w:rPr>
                      <w:t>News Media Information 202 / 418-0500</w:t>
                    </w:r>
                  </w:p>
                  <w:p w:rsidR="00BD6868" w:rsidP="009838BC" w14:paraId="5A0B6710"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027DB48C"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725824" behindDoc="0" locked="0" layoutInCell="0" allowOverlap="1">
              <wp:simplePos x="0" y="0"/>
              <wp:positionH relativeFrom="margin">
                <wp:align>right</wp:align>
              </wp:positionH>
              <wp:positionV relativeFrom="paragraph">
                <wp:posOffset>720089</wp:posOffset>
              </wp:positionV>
              <wp:extent cx="5943600" cy="0"/>
              <wp:effectExtent l="0" t="0" r="0" b="0"/>
              <wp:wrapNone/>
              <wp:docPr id="27" name="Straight Connector 2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2504"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80768" from="416.8pt,56.7pt" to="884.8pt,56.7pt" o:allowincell="f">
              <w10:wrap anchorx="margin"/>
            </v:line>
          </w:pict>
        </mc:Fallback>
      </mc:AlternateContent>
    </w:r>
    <w:r>
      <w:rPr>
        <w:noProof/>
      </w:rPr>
      <mc:AlternateContent>
        <mc:Choice Requires="wps">
          <w:drawing>
            <wp:anchor distT="0" distB="0" distL="114300" distR="114300" simplePos="0" relativeHeight="25172684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28"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BD6868" w:rsidP="009838BC" w14:textId="77777777">
                          <w:pPr>
                            <w:spacing w:before="40"/>
                            <w:jc w:val="right"/>
                            <w:rPr>
                              <w:rFonts w:ascii="Arial" w:hAnsi="Arial"/>
                              <w:b/>
                              <w:sz w:val="16"/>
                            </w:rPr>
                          </w:pPr>
                          <w:r>
                            <w:rPr>
                              <w:rFonts w:ascii="Arial" w:hAnsi="Arial"/>
                              <w:b/>
                              <w:sz w:val="16"/>
                            </w:rPr>
                            <w:t>News Media Information 202 / 418-0500</w:t>
                          </w:r>
                        </w:p>
                        <w:p w:rsidR="00BD6868"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28" o:spid="_x0000_s2505"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727872" o:allowincell="f" stroked="f">
              <v:textbox inset=",0,,0">
                <w:txbxContent>
                  <w:p w:rsidR="00BD6868" w:rsidP="009838BC" w14:paraId="611B75DB" w14:textId="77777777">
                    <w:pPr>
                      <w:spacing w:before="40"/>
                      <w:jc w:val="right"/>
                      <w:rPr>
                        <w:rFonts w:ascii="Arial" w:hAnsi="Arial"/>
                        <w:b/>
                        <w:sz w:val="16"/>
                      </w:rPr>
                    </w:pPr>
                    <w:r>
                      <w:rPr>
                        <w:rFonts w:ascii="Arial" w:hAnsi="Arial"/>
                        <w:b/>
                        <w:sz w:val="16"/>
                      </w:rPr>
                      <w:t>News Media Information 202 / 418-0500</w:t>
                    </w:r>
                  </w:p>
                  <w:p w:rsidR="00BD6868" w:rsidP="009838BC" w14:paraId="75854652"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BD6868" w:rsidP="009838BC" w14:paraId="14E7A9FC" w14:textId="77777777">
                    <w:pPr>
                      <w:jc w:val="right"/>
                    </w:pPr>
                    <w:r>
                      <w:rPr>
                        <w:rFonts w:ascii="Arial" w:hAnsi="Arial"/>
                        <w:b/>
                        <w:sz w:val="16"/>
                      </w:rPr>
                      <w:t>TTY: 1-888-835-5322</w:t>
                    </w:r>
                  </w:p>
                </w:txbxContent>
              </v:textbox>
            </v:shape>
          </w:pict>
        </mc:Fallback>
      </mc:AlternateContent>
    </w:r>
  </w:p>
  <w:p w:rsidR="00BD6868" w:rsidRPr="009838BC" w:rsidP="00483755" w14:paraId="4AB24E1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97B3A"/>
    <w:multiLevelType w:val="multilevel"/>
    <w:tmpl w:val="27F676D8"/>
    <w:styleLink w:val="AppendixHeadings"/>
    <w:lvl w:ilvl="0">
      <w:start w:val="2"/>
      <w:numFmt w:val="upperLetter"/>
      <w:pStyle w:val="AppendixHeading1"/>
      <w:suff w:val="nothing"/>
      <w:lvlText w:val="APPENDIX %1:"/>
      <w:lvlJc w:val="left"/>
      <w:pPr>
        <w:ind w:left="6030" w:firstLine="0"/>
      </w:pPr>
      <w:rPr>
        <w:rFonts w:hint="default"/>
        <w:b/>
        <w:i w:val="0"/>
        <w:caps/>
      </w:rPr>
    </w:lvl>
    <w:lvl w:ilvl="1">
      <w:start w:val="1"/>
      <w:numFmt w:val="decimal"/>
      <w:pStyle w:val="AppendixHeading2"/>
      <w:lvlText w:val="%2"/>
      <w:lvlJc w:val="left"/>
      <w:pPr>
        <w:ind w:left="1440" w:hanging="1440"/>
      </w:pPr>
      <w:rPr>
        <w:rFonts w:hint="default"/>
        <w:b/>
        <w:i w:val="0"/>
      </w:rPr>
    </w:lvl>
    <w:lvl w:ilvl="2">
      <w:start w:val="1"/>
      <w:numFmt w:val="decimal"/>
      <w:pStyle w:val="AppendixHeading3"/>
      <w:lvlText w:val="%2.%3"/>
      <w:lvlJc w:val="left"/>
      <w:pPr>
        <w:ind w:left="1440" w:hanging="1440"/>
      </w:pPr>
      <w:rPr>
        <w:rFonts w:hint="default"/>
        <w:b/>
        <w:i w:val="0"/>
      </w:rPr>
    </w:lvl>
    <w:lvl w:ilvl="3">
      <w:start w:val="1"/>
      <w:numFmt w:val="decimal"/>
      <w:pStyle w:val="AppendixHeading4"/>
      <w:lvlText w:val="%2.%3.%4"/>
      <w:lvlJc w:val="left"/>
      <w:pPr>
        <w:ind w:left="1440" w:hanging="1440"/>
      </w:pPr>
      <w:rPr>
        <w:rFonts w:hint="default"/>
        <w:b/>
        <w:i w:val="0"/>
      </w:rPr>
    </w:lvl>
    <w:lvl w:ilvl="4">
      <w:start w:val="1"/>
      <w:numFmt w:val="decimal"/>
      <w:lvlText w:val="%2.%3.%4.%5"/>
      <w:lvlJc w:val="left"/>
      <w:pPr>
        <w:ind w:left="1440" w:hanging="144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434318"/>
    <w:multiLevelType w:val="hybridMultilevel"/>
    <w:tmpl w:val="610A5ACA"/>
    <w:lvl w:ilvl="0">
      <w:start w:val="1"/>
      <w:numFmt w:val="upperRoman"/>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4D76407"/>
    <w:multiLevelType w:val="hybridMultilevel"/>
    <w:tmpl w:val="CC40396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3">
    <w:nsid w:val="065A507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14F11E89"/>
    <w:multiLevelType w:val="hybridMultilevel"/>
    <w:tmpl w:val="99DE6B4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E305C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2B1CC8"/>
    <w:multiLevelType w:val="hybridMultilevel"/>
    <w:tmpl w:val="91F02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376AF3"/>
    <w:multiLevelType w:val="hybridMultilevel"/>
    <w:tmpl w:val="8B304E9A"/>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36E5A40"/>
    <w:multiLevelType w:val="hybridMultilevel"/>
    <w:tmpl w:val="FF90C0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1">
    <w:nsid w:val="240D440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5667D4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06CBB"/>
    <w:multiLevelType w:val="multilevel"/>
    <w:tmpl w:val="85360F1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0567ED4"/>
    <w:multiLevelType w:val="hybridMultilevel"/>
    <w:tmpl w:val="1694B38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29002DD"/>
    <w:multiLevelType w:val="hybridMultilevel"/>
    <w:tmpl w:val="3A3A0BA8"/>
    <w:lvl w:ilvl="0">
      <w:start w:val="1"/>
      <w:numFmt w:val="decimal"/>
      <w:lvlText w:val="%1."/>
      <w:lvlJc w:val="left"/>
      <w:pPr>
        <w:ind w:left="1080" w:hanging="72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2DE256D"/>
    <w:multiLevelType w:val="hybridMultilevel"/>
    <w:tmpl w:val="EE9C7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F5159C2"/>
    <w:multiLevelType w:val="multilevel"/>
    <w:tmpl w:val="B820573A"/>
    <w:lvl w:ilvl="0">
      <w:start w:val="1"/>
      <w:numFmt w:val="upperLetter"/>
      <w:suff w:val="nothing"/>
      <w:lvlText w:val="APPENDIX %1:"/>
      <w:lvlJc w:val="left"/>
      <w:pPr>
        <w:ind w:left="0" w:firstLine="0"/>
      </w:pPr>
      <w:rPr>
        <w:rFonts w:hint="default"/>
        <w:b/>
        <w:i w:val="0"/>
        <w:caps/>
      </w:rPr>
    </w:lvl>
    <w:lvl w:ilvl="1">
      <w:start w:val="1"/>
      <w:numFmt w:val="decimal"/>
      <w:lvlText w:val="%2"/>
      <w:lvlJc w:val="left"/>
      <w:pPr>
        <w:ind w:left="1440" w:hanging="1440"/>
      </w:pPr>
      <w:rPr>
        <w:rFonts w:hint="default"/>
        <w:b/>
        <w:i w:val="0"/>
      </w:rPr>
    </w:lvl>
    <w:lvl w:ilvl="2">
      <w:start w:val="1"/>
      <w:numFmt w:val="decimal"/>
      <w:lvlText w:val="%2.%3"/>
      <w:lvlJc w:val="left"/>
      <w:pPr>
        <w:ind w:left="1440" w:hanging="1440"/>
      </w:pPr>
      <w:rPr>
        <w:rFonts w:hint="default"/>
        <w:b/>
        <w:i w:val="0"/>
      </w:rPr>
    </w:lvl>
    <w:lvl w:ilvl="3">
      <w:start w:val="1"/>
      <w:numFmt w:val="decimal"/>
      <w:lvlText w:val="%2.%3.%4"/>
      <w:lvlJc w:val="left"/>
      <w:pPr>
        <w:ind w:left="1440" w:hanging="1440"/>
      </w:pPr>
      <w:rPr>
        <w:rFonts w:hint="default"/>
        <w:b/>
        <w:i w:val="0"/>
      </w:rPr>
    </w:lvl>
    <w:lvl w:ilvl="4">
      <w:start w:val="1"/>
      <w:numFmt w:val="decimal"/>
      <w:lvlText w:val="%2.%3.%4.%5"/>
      <w:lvlJc w:val="left"/>
      <w:pPr>
        <w:ind w:left="1440" w:hanging="144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0CA4A38"/>
    <w:multiLevelType w:val="hybridMultilevel"/>
    <w:tmpl w:val="080AA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1ED7613"/>
    <w:multiLevelType w:val="hybridMultilevel"/>
    <w:tmpl w:val="2AE051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49127BBB"/>
    <w:multiLevelType w:val="hybridMultilevel"/>
    <w:tmpl w:val="2FA4F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B401E37"/>
    <w:multiLevelType w:val="hybridMultilevel"/>
    <w:tmpl w:val="ACEEBF3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4ECB16A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F00763C"/>
    <w:multiLevelType w:val="hybridMultilevel"/>
    <w:tmpl w:val="28B27C66"/>
    <w:lvl w:ilvl="0">
      <w:start w:val="4"/>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563C7393"/>
    <w:multiLevelType w:val="hybridMultilevel"/>
    <w:tmpl w:val="2E4C699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5A6407E3"/>
    <w:multiLevelType w:val="hybridMultilevel"/>
    <w:tmpl w:val="71181D6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5E146132"/>
    <w:multiLevelType w:val="hybridMultilevel"/>
    <w:tmpl w:val="EDCE893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5E8B42D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FF172DA"/>
    <w:multiLevelType w:val="multilevel"/>
    <w:tmpl w:val="E320C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1182925"/>
    <w:multiLevelType w:val="singleLevel"/>
    <w:tmpl w:val="70583BF8"/>
    <w:lvl w:ilvl="0">
      <w:start w:val="1"/>
      <w:numFmt w:val="decimal"/>
      <w:pStyle w:val="ParaNum"/>
      <w:lvlText w:val="%1."/>
      <w:lvlJc w:val="left"/>
      <w:pPr>
        <w:tabs>
          <w:tab w:val="num" w:pos="3690"/>
        </w:tabs>
        <w:ind w:left="2610" w:firstLine="720"/>
      </w:pPr>
      <w:rPr>
        <w:i w:val="0"/>
        <w:iCs w:val="0"/>
      </w:rPr>
    </w:lvl>
  </w:abstractNum>
  <w:abstractNum w:abstractNumId="33">
    <w:nsid w:val="61542EF5"/>
    <w:multiLevelType w:val="hybridMultilevel"/>
    <w:tmpl w:val="650CF824"/>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6252245F"/>
    <w:multiLevelType w:val="hybridMultilevel"/>
    <w:tmpl w:val="4FE8E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C8E4EAA"/>
    <w:multiLevelType w:val="hybridMultilevel"/>
    <w:tmpl w:val="8666725A"/>
    <w:lvl w:ilvl="0">
      <w:start w:val="1"/>
      <w:numFmt w:val="upperRoman"/>
      <w:lvlText w:val="%1."/>
      <w:lvlJc w:val="left"/>
      <w:pPr>
        <w:ind w:left="1080" w:hanging="72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23060F0"/>
    <w:multiLevelType w:val="multilevel"/>
    <w:tmpl w:val="27F676D8"/>
    <w:numStyleLink w:val="AppendixHeadings"/>
  </w:abstractNum>
  <w:abstractNum w:abstractNumId="37">
    <w:nsid w:val="7B7A3A97"/>
    <w:multiLevelType w:val="hybridMultilevel"/>
    <w:tmpl w:val="ED5A4CC2"/>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nsid w:val="7BB21EAF"/>
    <w:multiLevelType w:val="hybridMultilevel"/>
    <w:tmpl w:val="746821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10"/>
  </w:num>
  <w:num w:numId="3">
    <w:abstractNumId w:val="32"/>
  </w:num>
  <w:num w:numId="4">
    <w:abstractNumId w:val="15"/>
  </w:num>
  <w:num w:numId="5">
    <w:abstractNumId w:val="24"/>
  </w:num>
  <w:num w:numId="6">
    <w:abstractNumId w:val="12"/>
  </w:num>
  <w:num w:numId="7">
    <w:abstractNumId w:val="4"/>
  </w:num>
  <w:num w:numId="8">
    <w:abstractNumId w:val="19"/>
  </w:num>
  <w:num w:numId="9">
    <w:abstractNumId w:val="19"/>
  </w:num>
  <w:num w:numId="10">
    <w:abstractNumId w:val="19"/>
  </w:num>
  <w:num w:numId="11">
    <w:abstractNumId w:val="19"/>
  </w:num>
  <w:num w:numId="12">
    <w:abstractNumId w:val="0"/>
    <w:lvlOverride w:ilvl="0">
      <w:lvl w:ilvl="0">
        <w:start w:val="1"/>
        <w:numFmt w:val="upperLetter"/>
        <w:pStyle w:val="AppendixHeading1"/>
        <w:suff w:val="nothing"/>
        <w:lvlText w:val="APPENDIX %1:"/>
        <w:lvlJc w:val="left"/>
        <w:pPr>
          <w:ind w:left="6030" w:firstLine="0"/>
        </w:pPr>
        <w:rPr>
          <w:rFonts w:hint="default"/>
          <w:b/>
          <w:i w:val="0"/>
          <w:caps/>
        </w:rPr>
      </w:lvl>
    </w:lvlOverride>
  </w:num>
  <w:num w:numId="13">
    <w:abstractNumId w:val="22"/>
  </w:num>
  <w:num w:numId="14">
    <w:abstractNumId w:val="32"/>
    <w:lvlOverride w:ilvl="0">
      <w:startOverride w:val="1"/>
    </w:lvlOverride>
  </w:num>
  <w:num w:numId="15">
    <w:abstractNumId w:val="2"/>
  </w:num>
  <w:num w:numId="16">
    <w:abstractNumId w:val="13"/>
  </w:num>
  <w:num w:numId="17">
    <w:abstractNumId w:val="32"/>
    <w:lvlOverride w:ilvl="0">
      <w:startOverride w:val="1"/>
    </w:lvlOverride>
  </w:num>
  <w:num w:numId="18">
    <w:abstractNumId w:val="32"/>
    <w:lvlOverride w:ilvl="0">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num>
  <w:num w:numId="21">
    <w:abstractNumId w:val="5"/>
  </w:num>
  <w:num w:numId="22">
    <w:abstractNumId w:val="16"/>
  </w:num>
  <w:num w:numId="23">
    <w:abstractNumId w:val="17"/>
  </w:num>
  <w:num w:numId="24">
    <w:abstractNumId w:val="8"/>
  </w:num>
  <w:num w:numId="25">
    <w:abstractNumId w:val="29"/>
  </w:num>
  <w:num w:numId="26">
    <w:abstractNumId w:val="26"/>
  </w:num>
  <w:num w:numId="27">
    <w:abstractNumId w:val="28"/>
  </w:num>
  <w:num w:numId="28">
    <w:abstractNumId w:val="33"/>
  </w:num>
  <w:num w:numId="29">
    <w:abstractNumId w:val="1"/>
  </w:num>
  <w:num w:numId="30">
    <w:abstractNumId w:val="23"/>
  </w:num>
  <w:num w:numId="31">
    <w:abstractNumId w:val="35"/>
  </w:num>
  <w:num w:numId="32">
    <w:abstractNumId w:val="27"/>
  </w:num>
  <w:num w:numId="33">
    <w:abstractNumId w:val="7"/>
  </w:num>
  <w:num w:numId="34">
    <w:abstractNumId w:val="34"/>
  </w:num>
  <w:num w:numId="35">
    <w:abstractNumId w:val="0"/>
  </w:num>
  <w:num w:numId="36">
    <w:abstractNumId w:val="32"/>
  </w:num>
  <w:num w:numId="37">
    <w:abstractNumId w:val="32"/>
    <w:lvlOverride w:ilvl="0">
      <w:startOverride w:val="1"/>
    </w:lvlOverride>
  </w:num>
  <w:num w:numId="38">
    <w:abstractNumId w:val="32"/>
  </w:num>
  <w:num w:numId="39">
    <w:abstractNumId w:val="32"/>
    <w:lvlOverride w:ilvl="0">
      <w:startOverride w:val="1"/>
    </w:lvlOverride>
  </w:num>
  <w:num w:numId="40">
    <w:abstractNumId w:val="32"/>
    <w:lvlOverride w:ilvl="0">
      <w:startOverride w:val="1"/>
    </w:lvlOverride>
  </w:num>
  <w:num w:numId="41">
    <w:abstractNumId w:val="9"/>
  </w:num>
  <w:num w:numId="42">
    <w:abstractNumId w:val="21"/>
  </w:num>
  <w:num w:numId="43">
    <w:abstractNumId w:val="6"/>
  </w:num>
  <w:num w:numId="44">
    <w:abstractNumId w:val="3"/>
  </w:num>
  <w:num w:numId="45">
    <w:abstractNumId w:val="14"/>
  </w:num>
  <w:num w:numId="46">
    <w:abstractNumId w:val="11"/>
  </w:num>
  <w:num w:numId="47">
    <w:abstractNumId w:val="30"/>
  </w:num>
  <w:num w:numId="48">
    <w:abstractNumId w:val="25"/>
  </w:num>
  <w:num w:numId="49">
    <w:abstractNumId w:val="32"/>
  </w:num>
  <w:num w:numId="50">
    <w:abstractNumId w:val="18"/>
  </w:num>
  <w:num w:numId="51">
    <w:abstractNumId w:val="38"/>
  </w:num>
  <w:num w:numId="52">
    <w:abstractNumId w:val="31"/>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32"/>
    <w:lvlOverride w:ilvl="0">
      <w:startOverride w:val="1"/>
    </w:lvlOverride>
  </w:num>
  <w:num w:numId="59">
    <w:abstractNumId w:val="32"/>
    <w:lvlOverride w:ilvl="0">
      <w:startOverride w:val="1"/>
    </w:lvlOverride>
  </w:num>
  <w:num w:numId="60">
    <w:abstractNumId w:val="32"/>
    <w:lvlOverride w:ilvl="0">
      <w:startOverride w:val="1"/>
    </w:lvlOverride>
  </w:num>
  <w:num w:numId="61">
    <w:abstractNumId w:val="32"/>
    <w:lvlOverride w:ilvl="0">
      <w:startOverride w:val="1"/>
    </w:lvlOverride>
  </w:num>
  <w:num w:numId="62">
    <w:abstractNumId w:val="32"/>
    <w:lvlOverride w:ilvl="0">
      <w:startOverride w:val="1"/>
    </w:lvlOverride>
  </w:num>
  <w:num w:numId="63">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05"/>
    <w:rsid w:val="0000087A"/>
    <w:rsid w:val="00000AAE"/>
    <w:rsid w:val="00001257"/>
    <w:rsid w:val="000027A0"/>
    <w:rsid w:val="00003A75"/>
    <w:rsid w:val="00004D54"/>
    <w:rsid w:val="00005264"/>
    <w:rsid w:val="00005514"/>
    <w:rsid w:val="0000552F"/>
    <w:rsid w:val="00005E4D"/>
    <w:rsid w:val="00005EB4"/>
    <w:rsid w:val="000068EA"/>
    <w:rsid w:val="000072AD"/>
    <w:rsid w:val="000072CE"/>
    <w:rsid w:val="0001137C"/>
    <w:rsid w:val="00011F0E"/>
    <w:rsid w:val="00012568"/>
    <w:rsid w:val="00012573"/>
    <w:rsid w:val="00013A8B"/>
    <w:rsid w:val="00015527"/>
    <w:rsid w:val="0001587D"/>
    <w:rsid w:val="00015A81"/>
    <w:rsid w:val="00015BE3"/>
    <w:rsid w:val="00015D56"/>
    <w:rsid w:val="000163D0"/>
    <w:rsid w:val="00017492"/>
    <w:rsid w:val="00017635"/>
    <w:rsid w:val="0002004C"/>
    <w:rsid w:val="00021059"/>
    <w:rsid w:val="00021445"/>
    <w:rsid w:val="00021910"/>
    <w:rsid w:val="00023E7D"/>
    <w:rsid w:val="0002443F"/>
    <w:rsid w:val="000248DE"/>
    <w:rsid w:val="00025D6F"/>
    <w:rsid w:val="0002619F"/>
    <w:rsid w:val="0002749A"/>
    <w:rsid w:val="00030133"/>
    <w:rsid w:val="00030A21"/>
    <w:rsid w:val="00030BFF"/>
    <w:rsid w:val="00030F97"/>
    <w:rsid w:val="00031845"/>
    <w:rsid w:val="00032AC9"/>
    <w:rsid w:val="0003301F"/>
    <w:rsid w:val="00034116"/>
    <w:rsid w:val="00034478"/>
    <w:rsid w:val="00034B01"/>
    <w:rsid w:val="0003560B"/>
    <w:rsid w:val="00036039"/>
    <w:rsid w:val="00036BCC"/>
    <w:rsid w:val="00037C51"/>
    <w:rsid w:val="00037F90"/>
    <w:rsid w:val="0004066D"/>
    <w:rsid w:val="00040A58"/>
    <w:rsid w:val="00040AC2"/>
    <w:rsid w:val="00040CA6"/>
    <w:rsid w:val="00041555"/>
    <w:rsid w:val="0004179F"/>
    <w:rsid w:val="00042CEB"/>
    <w:rsid w:val="00043435"/>
    <w:rsid w:val="00043B3B"/>
    <w:rsid w:val="00043DED"/>
    <w:rsid w:val="00044D3B"/>
    <w:rsid w:val="000479C3"/>
    <w:rsid w:val="00047D2B"/>
    <w:rsid w:val="00050146"/>
    <w:rsid w:val="00050408"/>
    <w:rsid w:val="00051521"/>
    <w:rsid w:val="00051554"/>
    <w:rsid w:val="00051A5D"/>
    <w:rsid w:val="000523E9"/>
    <w:rsid w:val="0005324F"/>
    <w:rsid w:val="000537DB"/>
    <w:rsid w:val="00053DC2"/>
    <w:rsid w:val="000546D3"/>
    <w:rsid w:val="000549DF"/>
    <w:rsid w:val="00054DEB"/>
    <w:rsid w:val="000550B7"/>
    <w:rsid w:val="000552E1"/>
    <w:rsid w:val="0005561D"/>
    <w:rsid w:val="00055DDC"/>
    <w:rsid w:val="00055F85"/>
    <w:rsid w:val="00056A4B"/>
    <w:rsid w:val="00057F2E"/>
    <w:rsid w:val="00061125"/>
    <w:rsid w:val="00062004"/>
    <w:rsid w:val="00064952"/>
    <w:rsid w:val="00064FFB"/>
    <w:rsid w:val="000650A3"/>
    <w:rsid w:val="00065974"/>
    <w:rsid w:val="000702D1"/>
    <w:rsid w:val="0007056C"/>
    <w:rsid w:val="000707A3"/>
    <w:rsid w:val="00070B15"/>
    <w:rsid w:val="00070F6A"/>
    <w:rsid w:val="00071443"/>
    <w:rsid w:val="00072269"/>
    <w:rsid w:val="00072BE6"/>
    <w:rsid w:val="00072E85"/>
    <w:rsid w:val="00075732"/>
    <w:rsid w:val="00075E6B"/>
    <w:rsid w:val="000765C4"/>
    <w:rsid w:val="0007686B"/>
    <w:rsid w:val="0007695F"/>
    <w:rsid w:val="000774DA"/>
    <w:rsid w:val="000809D4"/>
    <w:rsid w:val="00080EEB"/>
    <w:rsid w:val="00082083"/>
    <w:rsid w:val="00082DCC"/>
    <w:rsid w:val="0008335B"/>
    <w:rsid w:val="00083EAE"/>
    <w:rsid w:val="00084178"/>
    <w:rsid w:val="00085603"/>
    <w:rsid w:val="000871D4"/>
    <w:rsid w:val="000875BF"/>
    <w:rsid w:val="0008762F"/>
    <w:rsid w:val="0008772A"/>
    <w:rsid w:val="00087765"/>
    <w:rsid w:val="00087D26"/>
    <w:rsid w:val="00091848"/>
    <w:rsid w:val="00092536"/>
    <w:rsid w:val="00092B22"/>
    <w:rsid w:val="000936E9"/>
    <w:rsid w:val="000939AB"/>
    <w:rsid w:val="00093F84"/>
    <w:rsid w:val="00095542"/>
    <w:rsid w:val="00096C9F"/>
    <w:rsid w:val="00096D8C"/>
    <w:rsid w:val="000A08A2"/>
    <w:rsid w:val="000A21D6"/>
    <w:rsid w:val="000A2C24"/>
    <w:rsid w:val="000A3145"/>
    <w:rsid w:val="000A4749"/>
    <w:rsid w:val="000A47CB"/>
    <w:rsid w:val="000A4BA9"/>
    <w:rsid w:val="000A505B"/>
    <w:rsid w:val="000A5DEA"/>
    <w:rsid w:val="000A5E75"/>
    <w:rsid w:val="000A5F1F"/>
    <w:rsid w:val="000A63CA"/>
    <w:rsid w:val="000A68BD"/>
    <w:rsid w:val="000A6EC2"/>
    <w:rsid w:val="000A7BA0"/>
    <w:rsid w:val="000A7BE0"/>
    <w:rsid w:val="000B0A71"/>
    <w:rsid w:val="000B1358"/>
    <w:rsid w:val="000B18CC"/>
    <w:rsid w:val="000B1EF0"/>
    <w:rsid w:val="000B3133"/>
    <w:rsid w:val="000B42A4"/>
    <w:rsid w:val="000B4899"/>
    <w:rsid w:val="000B5299"/>
    <w:rsid w:val="000B6525"/>
    <w:rsid w:val="000B6F35"/>
    <w:rsid w:val="000B7DA9"/>
    <w:rsid w:val="000C0140"/>
    <w:rsid w:val="000C0B65"/>
    <w:rsid w:val="000C0BC3"/>
    <w:rsid w:val="000C10E0"/>
    <w:rsid w:val="000C24AD"/>
    <w:rsid w:val="000C288C"/>
    <w:rsid w:val="000C3458"/>
    <w:rsid w:val="000C4116"/>
    <w:rsid w:val="000C51A1"/>
    <w:rsid w:val="000C6441"/>
    <w:rsid w:val="000C7E11"/>
    <w:rsid w:val="000C7E92"/>
    <w:rsid w:val="000D1E56"/>
    <w:rsid w:val="000D24A4"/>
    <w:rsid w:val="000D3084"/>
    <w:rsid w:val="000D3196"/>
    <w:rsid w:val="000D3880"/>
    <w:rsid w:val="000D4AAD"/>
    <w:rsid w:val="000D4C3E"/>
    <w:rsid w:val="000D502A"/>
    <w:rsid w:val="000D502B"/>
    <w:rsid w:val="000D556B"/>
    <w:rsid w:val="000D5763"/>
    <w:rsid w:val="000D65A5"/>
    <w:rsid w:val="000D66A6"/>
    <w:rsid w:val="000D7101"/>
    <w:rsid w:val="000E1574"/>
    <w:rsid w:val="000E1944"/>
    <w:rsid w:val="000E20ED"/>
    <w:rsid w:val="000E2221"/>
    <w:rsid w:val="000E257D"/>
    <w:rsid w:val="000E3043"/>
    <w:rsid w:val="000E3C5D"/>
    <w:rsid w:val="000E3D42"/>
    <w:rsid w:val="000E3E58"/>
    <w:rsid w:val="000E4F81"/>
    <w:rsid w:val="000E5884"/>
    <w:rsid w:val="000E5CF9"/>
    <w:rsid w:val="000E6296"/>
    <w:rsid w:val="000E70BE"/>
    <w:rsid w:val="000E7253"/>
    <w:rsid w:val="000F1196"/>
    <w:rsid w:val="000F1EA7"/>
    <w:rsid w:val="000F2784"/>
    <w:rsid w:val="000F2F28"/>
    <w:rsid w:val="000F3543"/>
    <w:rsid w:val="000F61A2"/>
    <w:rsid w:val="000F68F0"/>
    <w:rsid w:val="000F6A7B"/>
    <w:rsid w:val="000F6AF8"/>
    <w:rsid w:val="000F70D7"/>
    <w:rsid w:val="000F72D1"/>
    <w:rsid w:val="000F7876"/>
    <w:rsid w:val="000F7DA9"/>
    <w:rsid w:val="001001BC"/>
    <w:rsid w:val="0010142C"/>
    <w:rsid w:val="001015A5"/>
    <w:rsid w:val="00101AB0"/>
    <w:rsid w:val="00101F7E"/>
    <w:rsid w:val="00103171"/>
    <w:rsid w:val="0010324F"/>
    <w:rsid w:val="00103B76"/>
    <w:rsid w:val="001043B1"/>
    <w:rsid w:val="00104986"/>
    <w:rsid w:val="00104EA7"/>
    <w:rsid w:val="0010598E"/>
    <w:rsid w:val="00106B2B"/>
    <w:rsid w:val="00107CC5"/>
    <w:rsid w:val="00112EE1"/>
    <w:rsid w:val="00113772"/>
    <w:rsid w:val="001138FE"/>
    <w:rsid w:val="00113E45"/>
    <w:rsid w:val="00114B13"/>
    <w:rsid w:val="001150FA"/>
    <w:rsid w:val="00115420"/>
    <w:rsid w:val="00115E3F"/>
    <w:rsid w:val="00115E76"/>
    <w:rsid w:val="00115FE6"/>
    <w:rsid w:val="001162EB"/>
    <w:rsid w:val="0011669B"/>
    <w:rsid w:val="00120981"/>
    <w:rsid w:val="001222D6"/>
    <w:rsid w:val="00122BD5"/>
    <w:rsid w:val="00122C3A"/>
    <w:rsid w:val="00124E03"/>
    <w:rsid w:val="001260AB"/>
    <w:rsid w:val="00126144"/>
    <w:rsid w:val="00126533"/>
    <w:rsid w:val="001266CC"/>
    <w:rsid w:val="00126D89"/>
    <w:rsid w:val="001302A3"/>
    <w:rsid w:val="00130633"/>
    <w:rsid w:val="00130AFC"/>
    <w:rsid w:val="0013180D"/>
    <w:rsid w:val="001328AF"/>
    <w:rsid w:val="001334A7"/>
    <w:rsid w:val="00134884"/>
    <w:rsid w:val="001360FF"/>
    <w:rsid w:val="00136E20"/>
    <w:rsid w:val="001370D8"/>
    <w:rsid w:val="001376D4"/>
    <w:rsid w:val="0014047A"/>
    <w:rsid w:val="00140AE3"/>
    <w:rsid w:val="00141742"/>
    <w:rsid w:val="001426E8"/>
    <w:rsid w:val="0014289F"/>
    <w:rsid w:val="00144AA4"/>
    <w:rsid w:val="001450FF"/>
    <w:rsid w:val="00145BA4"/>
    <w:rsid w:val="00146778"/>
    <w:rsid w:val="001475E1"/>
    <w:rsid w:val="00147A06"/>
    <w:rsid w:val="00147F94"/>
    <w:rsid w:val="00150E2D"/>
    <w:rsid w:val="00152A48"/>
    <w:rsid w:val="0015378D"/>
    <w:rsid w:val="0015478C"/>
    <w:rsid w:val="00154BC3"/>
    <w:rsid w:val="001551F6"/>
    <w:rsid w:val="00155707"/>
    <w:rsid w:val="0015611C"/>
    <w:rsid w:val="00157850"/>
    <w:rsid w:val="001578F4"/>
    <w:rsid w:val="00157BC1"/>
    <w:rsid w:val="00157F15"/>
    <w:rsid w:val="001600B7"/>
    <w:rsid w:val="0016022D"/>
    <w:rsid w:val="00160318"/>
    <w:rsid w:val="0016071F"/>
    <w:rsid w:val="00161ED9"/>
    <w:rsid w:val="00162440"/>
    <w:rsid w:val="00163E64"/>
    <w:rsid w:val="00164217"/>
    <w:rsid w:val="00164DA3"/>
    <w:rsid w:val="0016531D"/>
    <w:rsid w:val="00165B45"/>
    <w:rsid w:val="00165C74"/>
    <w:rsid w:val="001667C5"/>
    <w:rsid w:val="00166EB9"/>
    <w:rsid w:val="00167A97"/>
    <w:rsid w:val="00170DEC"/>
    <w:rsid w:val="0017275C"/>
    <w:rsid w:val="00172A34"/>
    <w:rsid w:val="0017339D"/>
    <w:rsid w:val="0017362D"/>
    <w:rsid w:val="00173E13"/>
    <w:rsid w:val="001744DD"/>
    <w:rsid w:val="00174746"/>
    <w:rsid w:val="0017525A"/>
    <w:rsid w:val="00175DFD"/>
    <w:rsid w:val="00177D46"/>
    <w:rsid w:val="0018216F"/>
    <w:rsid w:val="00182396"/>
    <w:rsid w:val="00182CCC"/>
    <w:rsid w:val="00183BF6"/>
    <w:rsid w:val="00183E99"/>
    <w:rsid w:val="00184822"/>
    <w:rsid w:val="00184B01"/>
    <w:rsid w:val="001857AA"/>
    <w:rsid w:val="00185C84"/>
    <w:rsid w:val="00186633"/>
    <w:rsid w:val="00190C39"/>
    <w:rsid w:val="00190DFA"/>
    <w:rsid w:val="001919B8"/>
    <w:rsid w:val="00191E6C"/>
    <w:rsid w:val="001923D0"/>
    <w:rsid w:val="001937A6"/>
    <w:rsid w:val="00193C60"/>
    <w:rsid w:val="00196513"/>
    <w:rsid w:val="001979D9"/>
    <w:rsid w:val="00197F67"/>
    <w:rsid w:val="00197FE6"/>
    <w:rsid w:val="001A04E4"/>
    <w:rsid w:val="001A3286"/>
    <w:rsid w:val="001A4BF2"/>
    <w:rsid w:val="001A5B25"/>
    <w:rsid w:val="001A5B9B"/>
    <w:rsid w:val="001A6700"/>
    <w:rsid w:val="001B0857"/>
    <w:rsid w:val="001B10CF"/>
    <w:rsid w:val="001B3581"/>
    <w:rsid w:val="001B35F9"/>
    <w:rsid w:val="001B3992"/>
    <w:rsid w:val="001B452C"/>
    <w:rsid w:val="001B45F1"/>
    <w:rsid w:val="001B4DF3"/>
    <w:rsid w:val="001B4EB2"/>
    <w:rsid w:val="001B5E1E"/>
    <w:rsid w:val="001B6C59"/>
    <w:rsid w:val="001B75B4"/>
    <w:rsid w:val="001B79B6"/>
    <w:rsid w:val="001C083C"/>
    <w:rsid w:val="001C0C9B"/>
    <w:rsid w:val="001C0EC2"/>
    <w:rsid w:val="001C2A6A"/>
    <w:rsid w:val="001C455B"/>
    <w:rsid w:val="001C630E"/>
    <w:rsid w:val="001C6C2F"/>
    <w:rsid w:val="001C733D"/>
    <w:rsid w:val="001C7670"/>
    <w:rsid w:val="001C76C6"/>
    <w:rsid w:val="001D0D73"/>
    <w:rsid w:val="001D2F2B"/>
    <w:rsid w:val="001D3343"/>
    <w:rsid w:val="001D3681"/>
    <w:rsid w:val="001D3856"/>
    <w:rsid w:val="001D395D"/>
    <w:rsid w:val="001D41C2"/>
    <w:rsid w:val="001D4212"/>
    <w:rsid w:val="001D4B25"/>
    <w:rsid w:val="001D519E"/>
    <w:rsid w:val="001D524B"/>
    <w:rsid w:val="001D55D5"/>
    <w:rsid w:val="001D5D19"/>
    <w:rsid w:val="001D63AD"/>
    <w:rsid w:val="001D6BCF"/>
    <w:rsid w:val="001E0190"/>
    <w:rsid w:val="001E01CA"/>
    <w:rsid w:val="001E1A91"/>
    <w:rsid w:val="001E2EDF"/>
    <w:rsid w:val="001E373C"/>
    <w:rsid w:val="001E39A4"/>
    <w:rsid w:val="001E3B2A"/>
    <w:rsid w:val="001E4616"/>
    <w:rsid w:val="001E48E6"/>
    <w:rsid w:val="001E5B7F"/>
    <w:rsid w:val="001E5CD2"/>
    <w:rsid w:val="001E6413"/>
    <w:rsid w:val="001E6910"/>
    <w:rsid w:val="001E7FFC"/>
    <w:rsid w:val="001F0604"/>
    <w:rsid w:val="001F1060"/>
    <w:rsid w:val="001F1A18"/>
    <w:rsid w:val="001F3254"/>
    <w:rsid w:val="001F39DC"/>
    <w:rsid w:val="001F4F72"/>
    <w:rsid w:val="001F5011"/>
    <w:rsid w:val="001F5397"/>
    <w:rsid w:val="001F6684"/>
    <w:rsid w:val="001F6FF8"/>
    <w:rsid w:val="001F7D16"/>
    <w:rsid w:val="001F7E08"/>
    <w:rsid w:val="002000EB"/>
    <w:rsid w:val="00200A3F"/>
    <w:rsid w:val="0020270A"/>
    <w:rsid w:val="00202937"/>
    <w:rsid w:val="002035AD"/>
    <w:rsid w:val="0020463A"/>
    <w:rsid w:val="00204814"/>
    <w:rsid w:val="00204DDC"/>
    <w:rsid w:val="002056E8"/>
    <w:rsid w:val="00205BE0"/>
    <w:rsid w:val="00205D7A"/>
    <w:rsid w:val="002060D9"/>
    <w:rsid w:val="002066A3"/>
    <w:rsid w:val="00206EF2"/>
    <w:rsid w:val="002102BA"/>
    <w:rsid w:val="002108F2"/>
    <w:rsid w:val="00211B78"/>
    <w:rsid w:val="002127AD"/>
    <w:rsid w:val="00212C51"/>
    <w:rsid w:val="00212D8A"/>
    <w:rsid w:val="0021340F"/>
    <w:rsid w:val="00213812"/>
    <w:rsid w:val="00215C03"/>
    <w:rsid w:val="00216A76"/>
    <w:rsid w:val="00216BBB"/>
    <w:rsid w:val="00220FFD"/>
    <w:rsid w:val="0022179F"/>
    <w:rsid w:val="00222944"/>
    <w:rsid w:val="00223357"/>
    <w:rsid w:val="00224833"/>
    <w:rsid w:val="00225586"/>
    <w:rsid w:val="00225606"/>
    <w:rsid w:val="00226822"/>
    <w:rsid w:val="002277C4"/>
    <w:rsid w:val="002304F7"/>
    <w:rsid w:val="00230BE6"/>
    <w:rsid w:val="002317B9"/>
    <w:rsid w:val="00232404"/>
    <w:rsid w:val="002326EE"/>
    <w:rsid w:val="00233148"/>
    <w:rsid w:val="002342AD"/>
    <w:rsid w:val="002343FA"/>
    <w:rsid w:val="0024163B"/>
    <w:rsid w:val="00241DCD"/>
    <w:rsid w:val="0024245D"/>
    <w:rsid w:val="00242BD5"/>
    <w:rsid w:val="00242D80"/>
    <w:rsid w:val="00243A2F"/>
    <w:rsid w:val="002451DF"/>
    <w:rsid w:val="002461AE"/>
    <w:rsid w:val="00246719"/>
    <w:rsid w:val="00246C68"/>
    <w:rsid w:val="0024746D"/>
    <w:rsid w:val="002475C9"/>
    <w:rsid w:val="0025239D"/>
    <w:rsid w:val="0025327F"/>
    <w:rsid w:val="0025433E"/>
    <w:rsid w:val="002548A5"/>
    <w:rsid w:val="00256763"/>
    <w:rsid w:val="00256F47"/>
    <w:rsid w:val="00257668"/>
    <w:rsid w:val="00257F51"/>
    <w:rsid w:val="00260594"/>
    <w:rsid w:val="0026059E"/>
    <w:rsid w:val="002606A2"/>
    <w:rsid w:val="002606FE"/>
    <w:rsid w:val="00261A8A"/>
    <w:rsid w:val="00263082"/>
    <w:rsid w:val="00264CD6"/>
    <w:rsid w:val="0026569D"/>
    <w:rsid w:val="00265909"/>
    <w:rsid w:val="00266193"/>
    <w:rsid w:val="0026663C"/>
    <w:rsid w:val="00267601"/>
    <w:rsid w:val="002709C3"/>
    <w:rsid w:val="00270E6D"/>
    <w:rsid w:val="00270F4B"/>
    <w:rsid w:val="002729D1"/>
    <w:rsid w:val="00272F16"/>
    <w:rsid w:val="00273FF5"/>
    <w:rsid w:val="002756F0"/>
    <w:rsid w:val="002759E3"/>
    <w:rsid w:val="002763FB"/>
    <w:rsid w:val="002765FE"/>
    <w:rsid w:val="00277F15"/>
    <w:rsid w:val="002812AD"/>
    <w:rsid w:val="00282CCB"/>
    <w:rsid w:val="00283AC6"/>
    <w:rsid w:val="00283D77"/>
    <w:rsid w:val="00284896"/>
    <w:rsid w:val="00285012"/>
    <w:rsid w:val="00285017"/>
    <w:rsid w:val="002857B4"/>
    <w:rsid w:val="0028611D"/>
    <w:rsid w:val="00286B21"/>
    <w:rsid w:val="00287731"/>
    <w:rsid w:val="00287CE1"/>
    <w:rsid w:val="00290347"/>
    <w:rsid w:val="002904F4"/>
    <w:rsid w:val="002911C6"/>
    <w:rsid w:val="002917DA"/>
    <w:rsid w:val="002919B5"/>
    <w:rsid w:val="00294248"/>
    <w:rsid w:val="00294626"/>
    <w:rsid w:val="00294B5E"/>
    <w:rsid w:val="00296006"/>
    <w:rsid w:val="0029652D"/>
    <w:rsid w:val="00296CCD"/>
    <w:rsid w:val="00296E68"/>
    <w:rsid w:val="002971C4"/>
    <w:rsid w:val="00297AC3"/>
    <w:rsid w:val="002A16DB"/>
    <w:rsid w:val="002A25FF"/>
    <w:rsid w:val="002A2701"/>
    <w:rsid w:val="002A2C91"/>
    <w:rsid w:val="002A2D2E"/>
    <w:rsid w:val="002A307A"/>
    <w:rsid w:val="002A32B5"/>
    <w:rsid w:val="002A34EE"/>
    <w:rsid w:val="002A4AC0"/>
    <w:rsid w:val="002A4F66"/>
    <w:rsid w:val="002A5D7F"/>
    <w:rsid w:val="002A7703"/>
    <w:rsid w:val="002A79C8"/>
    <w:rsid w:val="002B02BD"/>
    <w:rsid w:val="002B0459"/>
    <w:rsid w:val="002B1148"/>
    <w:rsid w:val="002B1972"/>
    <w:rsid w:val="002B2E69"/>
    <w:rsid w:val="002B3AAE"/>
    <w:rsid w:val="002B47BF"/>
    <w:rsid w:val="002B640C"/>
    <w:rsid w:val="002B6617"/>
    <w:rsid w:val="002B7C92"/>
    <w:rsid w:val="002B7D0D"/>
    <w:rsid w:val="002C1145"/>
    <w:rsid w:val="002C1ED9"/>
    <w:rsid w:val="002C2C78"/>
    <w:rsid w:val="002C3796"/>
    <w:rsid w:val="002C4284"/>
    <w:rsid w:val="002C449A"/>
    <w:rsid w:val="002C5E77"/>
    <w:rsid w:val="002C747D"/>
    <w:rsid w:val="002C7B59"/>
    <w:rsid w:val="002D0F2C"/>
    <w:rsid w:val="002D0FED"/>
    <w:rsid w:val="002D3113"/>
    <w:rsid w:val="002D3D71"/>
    <w:rsid w:val="002D4C66"/>
    <w:rsid w:val="002D50F0"/>
    <w:rsid w:val="002D5A3E"/>
    <w:rsid w:val="002D5EDE"/>
    <w:rsid w:val="002D60D2"/>
    <w:rsid w:val="002D62C4"/>
    <w:rsid w:val="002D6360"/>
    <w:rsid w:val="002E0561"/>
    <w:rsid w:val="002E1F30"/>
    <w:rsid w:val="002E36AF"/>
    <w:rsid w:val="002E3DBF"/>
    <w:rsid w:val="002E4444"/>
    <w:rsid w:val="002E5134"/>
    <w:rsid w:val="002E5CFB"/>
    <w:rsid w:val="002E5E83"/>
    <w:rsid w:val="002E6EFA"/>
    <w:rsid w:val="002F0562"/>
    <w:rsid w:val="002F1419"/>
    <w:rsid w:val="002F1C06"/>
    <w:rsid w:val="002F1C45"/>
    <w:rsid w:val="002F2C14"/>
    <w:rsid w:val="002F3C98"/>
    <w:rsid w:val="002F45D8"/>
    <w:rsid w:val="002F4F70"/>
    <w:rsid w:val="002F5032"/>
    <w:rsid w:val="002F6A30"/>
    <w:rsid w:val="002F6A3A"/>
    <w:rsid w:val="002F7C84"/>
    <w:rsid w:val="00300208"/>
    <w:rsid w:val="003032A0"/>
    <w:rsid w:val="00303A36"/>
    <w:rsid w:val="00303B65"/>
    <w:rsid w:val="00303E8A"/>
    <w:rsid w:val="0030440B"/>
    <w:rsid w:val="003053A3"/>
    <w:rsid w:val="00305AE0"/>
    <w:rsid w:val="00305C4D"/>
    <w:rsid w:val="00307B6C"/>
    <w:rsid w:val="00310650"/>
    <w:rsid w:val="00310ED5"/>
    <w:rsid w:val="00311935"/>
    <w:rsid w:val="00311F64"/>
    <w:rsid w:val="0031227A"/>
    <w:rsid w:val="00312681"/>
    <w:rsid w:val="003132CC"/>
    <w:rsid w:val="00313FF5"/>
    <w:rsid w:val="00315CF5"/>
    <w:rsid w:val="0031758D"/>
    <w:rsid w:val="003202FF"/>
    <w:rsid w:val="00320AF0"/>
    <w:rsid w:val="0032113D"/>
    <w:rsid w:val="003213B2"/>
    <w:rsid w:val="00322A12"/>
    <w:rsid w:val="00323127"/>
    <w:rsid w:val="00323C60"/>
    <w:rsid w:val="003247AF"/>
    <w:rsid w:val="00325200"/>
    <w:rsid w:val="00325A76"/>
    <w:rsid w:val="003262E5"/>
    <w:rsid w:val="00327ECB"/>
    <w:rsid w:val="00331D80"/>
    <w:rsid w:val="003342A6"/>
    <w:rsid w:val="00334C62"/>
    <w:rsid w:val="00334CAD"/>
    <w:rsid w:val="00335154"/>
    <w:rsid w:val="00335752"/>
    <w:rsid w:val="00335E7F"/>
    <w:rsid w:val="00336D6E"/>
    <w:rsid w:val="00337FBF"/>
    <w:rsid w:val="00340228"/>
    <w:rsid w:val="003407FA"/>
    <w:rsid w:val="00340ADD"/>
    <w:rsid w:val="00340B66"/>
    <w:rsid w:val="00342606"/>
    <w:rsid w:val="00343749"/>
    <w:rsid w:val="003438DB"/>
    <w:rsid w:val="00343996"/>
    <w:rsid w:val="003463D2"/>
    <w:rsid w:val="003464F1"/>
    <w:rsid w:val="003501B7"/>
    <w:rsid w:val="00350A3E"/>
    <w:rsid w:val="00350B59"/>
    <w:rsid w:val="003511F1"/>
    <w:rsid w:val="003514C8"/>
    <w:rsid w:val="003519AE"/>
    <w:rsid w:val="00351A19"/>
    <w:rsid w:val="0035247E"/>
    <w:rsid w:val="003524E7"/>
    <w:rsid w:val="00352573"/>
    <w:rsid w:val="00352E0F"/>
    <w:rsid w:val="00353DAC"/>
    <w:rsid w:val="0035410A"/>
    <w:rsid w:val="00354C03"/>
    <w:rsid w:val="003555F1"/>
    <w:rsid w:val="003558D5"/>
    <w:rsid w:val="00357AE2"/>
    <w:rsid w:val="00357D50"/>
    <w:rsid w:val="00360050"/>
    <w:rsid w:val="00360AD7"/>
    <w:rsid w:val="00362026"/>
    <w:rsid w:val="003631C3"/>
    <w:rsid w:val="00363FC6"/>
    <w:rsid w:val="00364200"/>
    <w:rsid w:val="00364A73"/>
    <w:rsid w:val="003655AB"/>
    <w:rsid w:val="00365F6D"/>
    <w:rsid w:val="00366152"/>
    <w:rsid w:val="00366970"/>
    <w:rsid w:val="00366B92"/>
    <w:rsid w:val="00367BBE"/>
    <w:rsid w:val="00370406"/>
    <w:rsid w:val="00370976"/>
    <w:rsid w:val="0037153C"/>
    <w:rsid w:val="00371778"/>
    <w:rsid w:val="00373989"/>
    <w:rsid w:val="00374058"/>
    <w:rsid w:val="0037457B"/>
    <w:rsid w:val="00374669"/>
    <w:rsid w:val="003747B3"/>
    <w:rsid w:val="003771EA"/>
    <w:rsid w:val="00377966"/>
    <w:rsid w:val="003779DE"/>
    <w:rsid w:val="003806F4"/>
    <w:rsid w:val="00380D7B"/>
    <w:rsid w:val="003819AE"/>
    <w:rsid w:val="0038286F"/>
    <w:rsid w:val="00382D75"/>
    <w:rsid w:val="00382E83"/>
    <w:rsid w:val="00383225"/>
    <w:rsid w:val="0038595C"/>
    <w:rsid w:val="003863E9"/>
    <w:rsid w:val="003871D1"/>
    <w:rsid w:val="00390056"/>
    <w:rsid w:val="003925DC"/>
    <w:rsid w:val="00392C79"/>
    <w:rsid w:val="00392ED5"/>
    <w:rsid w:val="00393066"/>
    <w:rsid w:val="003937FA"/>
    <w:rsid w:val="00395628"/>
    <w:rsid w:val="00395F8B"/>
    <w:rsid w:val="00397394"/>
    <w:rsid w:val="00397B6F"/>
    <w:rsid w:val="003A0542"/>
    <w:rsid w:val="003A0EDB"/>
    <w:rsid w:val="003A1865"/>
    <w:rsid w:val="003A1E71"/>
    <w:rsid w:val="003A1F53"/>
    <w:rsid w:val="003A49D3"/>
    <w:rsid w:val="003A4A75"/>
    <w:rsid w:val="003A575C"/>
    <w:rsid w:val="003A60B1"/>
    <w:rsid w:val="003A6BB5"/>
    <w:rsid w:val="003A7594"/>
    <w:rsid w:val="003A79C2"/>
    <w:rsid w:val="003B0061"/>
    <w:rsid w:val="003B0550"/>
    <w:rsid w:val="003B064F"/>
    <w:rsid w:val="003B3BAE"/>
    <w:rsid w:val="003B4F2E"/>
    <w:rsid w:val="003B5E81"/>
    <w:rsid w:val="003B6342"/>
    <w:rsid w:val="003B694F"/>
    <w:rsid w:val="003B6F00"/>
    <w:rsid w:val="003B71E3"/>
    <w:rsid w:val="003C0581"/>
    <w:rsid w:val="003C2257"/>
    <w:rsid w:val="003C27A0"/>
    <w:rsid w:val="003C2ADC"/>
    <w:rsid w:val="003C332C"/>
    <w:rsid w:val="003C3E84"/>
    <w:rsid w:val="003C41A7"/>
    <w:rsid w:val="003C42CE"/>
    <w:rsid w:val="003C50B6"/>
    <w:rsid w:val="003C5379"/>
    <w:rsid w:val="003C62DA"/>
    <w:rsid w:val="003C6C69"/>
    <w:rsid w:val="003D03C3"/>
    <w:rsid w:val="003D06DE"/>
    <w:rsid w:val="003D0929"/>
    <w:rsid w:val="003D2E7A"/>
    <w:rsid w:val="003D4630"/>
    <w:rsid w:val="003D5D43"/>
    <w:rsid w:val="003D5E26"/>
    <w:rsid w:val="003D5E47"/>
    <w:rsid w:val="003D704F"/>
    <w:rsid w:val="003D7C54"/>
    <w:rsid w:val="003D7F70"/>
    <w:rsid w:val="003E171A"/>
    <w:rsid w:val="003E17D7"/>
    <w:rsid w:val="003E2496"/>
    <w:rsid w:val="003E3F3F"/>
    <w:rsid w:val="003E4114"/>
    <w:rsid w:val="003E4DAF"/>
    <w:rsid w:val="003E55EE"/>
    <w:rsid w:val="003E5CF8"/>
    <w:rsid w:val="003E65FC"/>
    <w:rsid w:val="003E6F2B"/>
    <w:rsid w:val="003F171C"/>
    <w:rsid w:val="003F177F"/>
    <w:rsid w:val="003F1A8F"/>
    <w:rsid w:val="003F1DA0"/>
    <w:rsid w:val="003F2132"/>
    <w:rsid w:val="003F2FE7"/>
    <w:rsid w:val="003F314A"/>
    <w:rsid w:val="003F3501"/>
    <w:rsid w:val="003F3B5C"/>
    <w:rsid w:val="003F54C7"/>
    <w:rsid w:val="003F5E5D"/>
    <w:rsid w:val="003F6117"/>
    <w:rsid w:val="003F6503"/>
    <w:rsid w:val="003F69C3"/>
    <w:rsid w:val="003F76A2"/>
    <w:rsid w:val="003F7D02"/>
    <w:rsid w:val="0040000F"/>
    <w:rsid w:val="00401D05"/>
    <w:rsid w:val="00401DD6"/>
    <w:rsid w:val="0040390C"/>
    <w:rsid w:val="00403D62"/>
    <w:rsid w:val="00404AC6"/>
    <w:rsid w:val="0040520B"/>
    <w:rsid w:val="0040619E"/>
    <w:rsid w:val="0041054A"/>
    <w:rsid w:val="00410EEA"/>
    <w:rsid w:val="00411418"/>
    <w:rsid w:val="00411EAB"/>
    <w:rsid w:val="00412FC5"/>
    <w:rsid w:val="00413101"/>
    <w:rsid w:val="004134C2"/>
    <w:rsid w:val="004137FD"/>
    <w:rsid w:val="004146FC"/>
    <w:rsid w:val="00414A65"/>
    <w:rsid w:val="00414BFB"/>
    <w:rsid w:val="004154DD"/>
    <w:rsid w:val="00415A33"/>
    <w:rsid w:val="00417F05"/>
    <w:rsid w:val="00420F8B"/>
    <w:rsid w:val="0042182E"/>
    <w:rsid w:val="00421DDA"/>
    <w:rsid w:val="00422276"/>
    <w:rsid w:val="00422A0F"/>
    <w:rsid w:val="00422A2F"/>
    <w:rsid w:val="00422AE7"/>
    <w:rsid w:val="0042340B"/>
    <w:rsid w:val="00423D81"/>
    <w:rsid w:val="00423FD0"/>
    <w:rsid w:val="004242F1"/>
    <w:rsid w:val="004309CA"/>
    <w:rsid w:val="00433360"/>
    <w:rsid w:val="00436C7A"/>
    <w:rsid w:val="00440004"/>
    <w:rsid w:val="00441AA4"/>
    <w:rsid w:val="00441D1D"/>
    <w:rsid w:val="00444411"/>
    <w:rsid w:val="00445A00"/>
    <w:rsid w:val="004468AB"/>
    <w:rsid w:val="00446988"/>
    <w:rsid w:val="00447E05"/>
    <w:rsid w:val="00450B99"/>
    <w:rsid w:val="00450C67"/>
    <w:rsid w:val="00451B0F"/>
    <w:rsid w:val="004523CD"/>
    <w:rsid w:val="00452BE3"/>
    <w:rsid w:val="0045303C"/>
    <w:rsid w:val="00454682"/>
    <w:rsid w:val="004556C6"/>
    <w:rsid w:val="00455843"/>
    <w:rsid w:val="00457B76"/>
    <w:rsid w:val="004606BC"/>
    <w:rsid w:val="00460FE7"/>
    <w:rsid w:val="0046125F"/>
    <w:rsid w:val="00461614"/>
    <w:rsid w:val="004623E3"/>
    <w:rsid w:val="004636A3"/>
    <w:rsid w:val="0046565A"/>
    <w:rsid w:val="00465747"/>
    <w:rsid w:val="004671D4"/>
    <w:rsid w:val="00470CF4"/>
    <w:rsid w:val="00471CF4"/>
    <w:rsid w:val="00471FDC"/>
    <w:rsid w:val="00473610"/>
    <w:rsid w:val="00473849"/>
    <w:rsid w:val="00473E4E"/>
    <w:rsid w:val="00473FBF"/>
    <w:rsid w:val="00474CDD"/>
    <w:rsid w:val="00475756"/>
    <w:rsid w:val="00475CC2"/>
    <w:rsid w:val="0048019D"/>
    <w:rsid w:val="004818F5"/>
    <w:rsid w:val="00483308"/>
    <w:rsid w:val="0048369A"/>
    <w:rsid w:val="00483755"/>
    <w:rsid w:val="0048407B"/>
    <w:rsid w:val="004855E1"/>
    <w:rsid w:val="004865C2"/>
    <w:rsid w:val="00486799"/>
    <w:rsid w:val="00487524"/>
    <w:rsid w:val="0049051E"/>
    <w:rsid w:val="00491A01"/>
    <w:rsid w:val="00492382"/>
    <w:rsid w:val="00493511"/>
    <w:rsid w:val="0049406D"/>
    <w:rsid w:val="00494CCF"/>
    <w:rsid w:val="00494E50"/>
    <w:rsid w:val="00495767"/>
    <w:rsid w:val="00496106"/>
    <w:rsid w:val="004963A4"/>
    <w:rsid w:val="00496500"/>
    <w:rsid w:val="004976F0"/>
    <w:rsid w:val="004978EE"/>
    <w:rsid w:val="004A086B"/>
    <w:rsid w:val="004A1589"/>
    <w:rsid w:val="004A1ABC"/>
    <w:rsid w:val="004A1C4D"/>
    <w:rsid w:val="004A23C9"/>
    <w:rsid w:val="004A3DE8"/>
    <w:rsid w:val="004A4D68"/>
    <w:rsid w:val="004A51A5"/>
    <w:rsid w:val="004A550D"/>
    <w:rsid w:val="004A58B6"/>
    <w:rsid w:val="004A691A"/>
    <w:rsid w:val="004A6F2A"/>
    <w:rsid w:val="004A7195"/>
    <w:rsid w:val="004A7B78"/>
    <w:rsid w:val="004B220D"/>
    <w:rsid w:val="004B2795"/>
    <w:rsid w:val="004B3976"/>
    <w:rsid w:val="004B4027"/>
    <w:rsid w:val="004B4C0B"/>
    <w:rsid w:val="004B4DCA"/>
    <w:rsid w:val="004B5588"/>
    <w:rsid w:val="004B5660"/>
    <w:rsid w:val="004B639E"/>
    <w:rsid w:val="004B6C2B"/>
    <w:rsid w:val="004B70E5"/>
    <w:rsid w:val="004B73F2"/>
    <w:rsid w:val="004C0324"/>
    <w:rsid w:val="004C0D05"/>
    <w:rsid w:val="004C12D0"/>
    <w:rsid w:val="004C1BCC"/>
    <w:rsid w:val="004C2BFE"/>
    <w:rsid w:val="004C2EE3"/>
    <w:rsid w:val="004C310B"/>
    <w:rsid w:val="004C35A1"/>
    <w:rsid w:val="004C49E4"/>
    <w:rsid w:val="004C4E3D"/>
    <w:rsid w:val="004C73AE"/>
    <w:rsid w:val="004C77DE"/>
    <w:rsid w:val="004C7B8A"/>
    <w:rsid w:val="004D0208"/>
    <w:rsid w:val="004D082A"/>
    <w:rsid w:val="004D08A7"/>
    <w:rsid w:val="004D0DEA"/>
    <w:rsid w:val="004D1448"/>
    <w:rsid w:val="004D187A"/>
    <w:rsid w:val="004D1CA3"/>
    <w:rsid w:val="004D1E34"/>
    <w:rsid w:val="004D2922"/>
    <w:rsid w:val="004D2EDA"/>
    <w:rsid w:val="004D30A6"/>
    <w:rsid w:val="004D32DF"/>
    <w:rsid w:val="004D437E"/>
    <w:rsid w:val="004D457E"/>
    <w:rsid w:val="004D5174"/>
    <w:rsid w:val="004D5C8C"/>
    <w:rsid w:val="004D6F0F"/>
    <w:rsid w:val="004D7BEE"/>
    <w:rsid w:val="004E116D"/>
    <w:rsid w:val="004E162F"/>
    <w:rsid w:val="004E16BB"/>
    <w:rsid w:val="004E2346"/>
    <w:rsid w:val="004E2945"/>
    <w:rsid w:val="004E36D6"/>
    <w:rsid w:val="004E3EEC"/>
    <w:rsid w:val="004E46FC"/>
    <w:rsid w:val="004E496F"/>
    <w:rsid w:val="004E4A22"/>
    <w:rsid w:val="004E5AA2"/>
    <w:rsid w:val="004E5C3A"/>
    <w:rsid w:val="004E5E73"/>
    <w:rsid w:val="004E6DA5"/>
    <w:rsid w:val="004F0B93"/>
    <w:rsid w:val="004F0E58"/>
    <w:rsid w:val="004F14D7"/>
    <w:rsid w:val="004F15CC"/>
    <w:rsid w:val="004F1E41"/>
    <w:rsid w:val="004F232A"/>
    <w:rsid w:val="004F2868"/>
    <w:rsid w:val="004F2DCD"/>
    <w:rsid w:val="004F2ED5"/>
    <w:rsid w:val="004F40E4"/>
    <w:rsid w:val="004F5188"/>
    <w:rsid w:val="004F67A3"/>
    <w:rsid w:val="004F684B"/>
    <w:rsid w:val="004F7148"/>
    <w:rsid w:val="0050101B"/>
    <w:rsid w:val="0050240A"/>
    <w:rsid w:val="005043F9"/>
    <w:rsid w:val="00506145"/>
    <w:rsid w:val="005063BD"/>
    <w:rsid w:val="00506551"/>
    <w:rsid w:val="00506F0C"/>
    <w:rsid w:val="00507721"/>
    <w:rsid w:val="00507CE9"/>
    <w:rsid w:val="00511968"/>
    <w:rsid w:val="00512037"/>
    <w:rsid w:val="00512464"/>
    <w:rsid w:val="00512D60"/>
    <w:rsid w:val="005130EB"/>
    <w:rsid w:val="00516C21"/>
    <w:rsid w:val="00516DCD"/>
    <w:rsid w:val="00516FE6"/>
    <w:rsid w:val="00516FFB"/>
    <w:rsid w:val="005170E0"/>
    <w:rsid w:val="00520467"/>
    <w:rsid w:val="00520A7A"/>
    <w:rsid w:val="00520DD4"/>
    <w:rsid w:val="00521E05"/>
    <w:rsid w:val="00521FFF"/>
    <w:rsid w:val="0052219E"/>
    <w:rsid w:val="005229A1"/>
    <w:rsid w:val="00522B3A"/>
    <w:rsid w:val="005239BC"/>
    <w:rsid w:val="00526A28"/>
    <w:rsid w:val="00526E37"/>
    <w:rsid w:val="005271E5"/>
    <w:rsid w:val="00527B09"/>
    <w:rsid w:val="00527E9C"/>
    <w:rsid w:val="00530FB0"/>
    <w:rsid w:val="00531B9B"/>
    <w:rsid w:val="005329DB"/>
    <w:rsid w:val="005355A7"/>
    <w:rsid w:val="00536060"/>
    <w:rsid w:val="005360A1"/>
    <w:rsid w:val="00537E9F"/>
    <w:rsid w:val="005413C3"/>
    <w:rsid w:val="00543DA1"/>
    <w:rsid w:val="0054596A"/>
    <w:rsid w:val="00546A11"/>
    <w:rsid w:val="005509D2"/>
    <w:rsid w:val="0055106D"/>
    <w:rsid w:val="0055163A"/>
    <w:rsid w:val="00551918"/>
    <w:rsid w:val="00552EC1"/>
    <w:rsid w:val="00552EE7"/>
    <w:rsid w:val="00553234"/>
    <w:rsid w:val="005548B1"/>
    <w:rsid w:val="0055614C"/>
    <w:rsid w:val="00556478"/>
    <w:rsid w:val="00557220"/>
    <w:rsid w:val="005573F2"/>
    <w:rsid w:val="00557C30"/>
    <w:rsid w:val="005601F8"/>
    <w:rsid w:val="00560664"/>
    <w:rsid w:val="00561720"/>
    <w:rsid w:val="005630BE"/>
    <w:rsid w:val="0056457D"/>
    <w:rsid w:val="00564825"/>
    <w:rsid w:val="00565BCB"/>
    <w:rsid w:val="00565DAA"/>
    <w:rsid w:val="00566258"/>
    <w:rsid w:val="005666A2"/>
    <w:rsid w:val="00566A8E"/>
    <w:rsid w:val="00567164"/>
    <w:rsid w:val="0056762A"/>
    <w:rsid w:val="005676DF"/>
    <w:rsid w:val="00570974"/>
    <w:rsid w:val="00571463"/>
    <w:rsid w:val="0057156C"/>
    <w:rsid w:val="0057186A"/>
    <w:rsid w:val="00571A44"/>
    <w:rsid w:val="00573112"/>
    <w:rsid w:val="00573A1E"/>
    <w:rsid w:val="00573A22"/>
    <w:rsid w:val="005748EA"/>
    <w:rsid w:val="00575D00"/>
    <w:rsid w:val="005763AB"/>
    <w:rsid w:val="00577D33"/>
    <w:rsid w:val="0058128A"/>
    <w:rsid w:val="00581BA7"/>
    <w:rsid w:val="00581E37"/>
    <w:rsid w:val="00582CF2"/>
    <w:rsid w:val="00583221"/>
    <w:rsid w:val="0058436D"/>
    <w:rsid w:val="00585007"/>
    <w:rsid w:val="00585151"/>
    <w:rsid w:val="00585244"/>
    <w:rsid w:val="00585786"/>
    <w:rsid w:val="005861BF"/>
    <w:rsid w:val="00586A85"/>
    <w:rsid w:val="00586AD0"/>
    <w:rsid w:val="005876D6"/>
    <w:rsid w:val="00590A69"/>
    <w:rsid w:val="00591F05"/>
    <w:rsid w:val="005944B6"/>
    <w:rsid w:val="005949C6"/>
    <w:rsid w:val="00595126"/>
    <w:rsid w:val="005955AA"/>
    <w:rsid w:val="00595D26"/>
    <w:rsid w:val="00597005"/>
    <w:rsid w:val="00597DF0"/>
    <w:rsid w:val="005A06A8"/>
    <w:rsid w:val="005A0778"/>
    <w:rsid w:val="005A115C"/>
    <w:rsid w:val="005A1849"/>
    <w:rsid w:val="005A311F"/>
    <w:rsid w:val="005A4CBD"/>
    <w:rsid w:val="005A6155"/>
    <w:rsid w:val="005A6199"/>
    <w:rsid w:val="005A6E5F"/>
    <w:rsid w:val="005A788B"/>
    <w:rsid w:val="005B07CF"/>
    <w:rsid w:val="005B0A32"/>
    <w:rsid w:val="005B0DFB"/>
    <w:rsid w:val="005B1E00"/>
    <w:rsid w:val="005B2622"/>
    <w:rsid w:val="005B379F"/>
    <w:rsid w:val="005B3B18"/>
    <w:rsid w:val="005B4DE4"/>
    <w:rsid w:val="005B627D"/>
    <w:rsid w:val="005B6D72"/>
    <w:rsid w:val="005B7A25"/>
    <w:rsid w:val="005B7D28"/>
    <w:rsid w:val="005B7EBC"/>
    <w:rsid w:val="005C01E2"/>
    <w:rsid w:val="005C0786"/>
    <w:rsid w:val="005C0A26"/>
    <w:rsid w:val="005C127A"/>
    <w:rsid w:val="005C1A99"/>
    <w:rsid w:val="005C2368"/>
    <w:rsid w:val="005C332A"/>
    <w:rsid w:val="005C3C51"/>
    <w:rsid w:val="005C4605"/>
    <w:rsid w:val="005C52F1"/>
    <w:rsid w:val="005C6588"/>
    <w:rsid w:val="005D1137"/>
    <w:rsid w:val="005D132A"/>
    <w:rsid w:val="005D385A"/>
    <w:rsid w:val="005D4178"/>
    <w:rsid w:val="005D4A10"/>
    <w:rsid w:val="005D4F47"/>
    <w:rsid w:val="005D53F5"/>
    <w:rsid w:val="005D5618"/>
    <w:rsid w:val="005D5DA6"/>
    <w:rsid w:val="005D7235"/>
    <w:rsid w:val="005E067A"/>
    <w:rsid w:val="005E0CC3"/>
    <w:rsid w:val="005E11B7"/>
    <w:rsid w:val="005E15BE"/>
    <w:rsid w:val="005E2260"/>
    <w:rsid w:val="005E33AA"/>
    <w:rsid w:val="005E3946"/>
    <w:rsid w:val="005E6FAE"/>
    <w:rsid w:val="005E7395"/>
    <w:rsid w:val="005E7BC7"/>
    <w:rsid w:val="005E7E0E"/>
    <w:rsid w:val="005F1F94"/>
    <w:rsid w:val="005F22EA"/>
    <w:rsid w:val="005F30E6"/>
    <w:rsid w:val="005F31D7"/>
    <w:rsid w:val="005F3AE8"/>
    <w:rsid w:val="005F4E34"/>
    <w:rsid w:val="005F5011"/>
    <w:rsid w:val="005F5271"/>
    <w:rsid w:val="005F5DCF"/>
    <w:rsid w:val="005F6C8C"/>
    <w:rsid w:val="005F6FC2"/>
    <w:rsid w:val="005F71DA"/>
    <w:rsid w:val="006003C5"/>
    <w:rsid w:val="00600BDD"/>
    <w:rsid w:val="0060104C"/>
    <w:rsid w:val="00602216"/>
    <w:rsid w:val="00602639"/>
    <w:rsid w:val="00603354"/>
    <w:rsid w:val="0060361F"/>
    <w:rsid w:val="00603D77"/>
    <w:rsid w:val="00607BA5"/>
    <w:rsid w:val="00612121"/>
    <w:rsid w:val="006127A2"/>
    <w:rsid w:val="00612AF1"/>
    <w:rsid w:val="00612E08"/>
    <w:rsid w:val="00614260"/>
    <w:rsid w:val="00615678"/>
    <w:rsid w:val="0061751A"/>
    <w:rsid w:val="00617596"/>
    <w:rsid w:val="00617B14"/>
    <w:rsid w:val="00617F7F"/>
    <w:rsid w:val="006202C7"/>
    <w:rsid w:val="00620984"/>
    <w:rsid w:val="006209E6"/>
    <w:rsid w:val="00620BDC"/>
    <w:rsid w:val="00620D5F"/>
    <w:rsid w:val="0062155F"/>
    <w:rsid w:val="0062207D"/>
    <w:rsid w:val="00622B7D"/>
    <w:rsid w:val="006234F7"/>
    <w:rsid w:val="00623654"/>
    <w:rsid w:val="00625879"/>
    <w:rsid w:val="00625AD0"/>
    <w:rsid w:val="00625DB7"/>
    <w:rsid w:val="00626EB6"/>
    <w:rsid w:val="006277C7"/>
    <w:rsid w:val="006279E4"/>
    <w:rsid w:val="006307F6"/>
    <w:rsid w:val="006315FE"/>
    <w:rsid w:val="00631C03"/>
    <w:rsid w:val="00632269"/>
    <w:rsid w:val="0063441D"/>
    <w:rsid w:val="006348FF"/>
    <w:rsid w:val="00634AEE"/>
    <w:rsid w:val="006353A3"/>
    <w:rsid w:val="00636490"/>
    <w:rsid w:val="0063735B"/>
    <w:rsid w:val="0064043E"/>
    <w:rsid w:val="00640649"/>
    <w:rsid w:val="00645550"/>
    <w:rsid w:val="006455B2"/>
    <w:rsid w:val="006475DA"/>
    <w:rsid w:val="00647608"/>
    <w:rsid w:val="00647ED0"/>
    <w:rsid w:val="0065021C"/>
    <w:rsid w:val="00650D7D"/>
    <w:rsid w:val="00651386"/>
    <w:rsid w:val="00652391"/>
    <w:rsid w:val="00652813"/>
    <w:rsid w:val="00653AAF"/>
    <w:rsid w:val="00653B23"/>
    <w:rsid w:val="00654155"/>
    <w:rsid w:val="0065417F"/>
    <w:rsid w:val="00654983"/>
    <w:rsid w:val="0065513B"/>
    <w:rsid w:val="006557A5"/>
    <w:rsid w:val="00655D03"/>
    <w:rsid w:val="006576C4"/>
    <w:rsid w:val="00657984"/>
    <w:rsid w:val="006615C8"/>
    <w:rsid w:val="0066162B"/>
    <w:rsid w:val="0066171C"/>
    <w:rsid w:val="00661FE9"/>
    <w:rsid w:val="0066396A"/>
    <w:rsid w:val="00664B6F"/>
    <w:rsid w:val="0066565B"/>
    <w:rsid w:val="00665DEA"/>
    <w:rsid w:val="0066723F"/>
    <w:rsid w:val="00667573"/>
    <w:rsid w:val="00670DCE"/>
    <w:rsid w:val="00671F22"/>
    <w:rsid w:val="0067211B"/>
    <w:rsid w:val="00672B61"/>
    <w:rsid w:val="00672FA1"/>
    <w:rsid w:val="00673861"/>
    <w:rsid w:val="00673903"/>
    <w:rsid w:val="006747B8"/>
    <w:rsid w:val="00674E70"/>
    <w:rsid w:val="006759C1"/>
    <w:rsid w:val="00676A94"/>
    <w:rsid w:val="00677A16"/>
    <w:rsid w:val="00677D79"/>
    <w:rsid w:val="006800D2"/>
    <w:rsid w:val="00680901"/>
    <w:rsid w:val="006813C2"/>
    <w:rsid w:val="00681978"/>
    <w:rsid w:val="006826EC"/>
    <w:rsid w:val="006833FC"/>
    <w:rsid w:val="00683545"/>
    <w:rsid w:val="00683F84"/>
    <w:rsid w:val="00683F97"/>
    <w:rsid w:val="00684619"/>
    <w:rsid w:val="00684D65"/>
    <w:rsid w:val="00685C49"/>
    <w:rsid w:val="00685D1E"/>
    <w:rsid w:val="00685E7F"/>
    <w:rsid w:val="00686821"/>
    <w:rsid w:val="0068744E"/>
    <w:rsid w:val="00687480"/>
    <w:rsid w:val="006903C7"/>
    <w:rsid w:val="00691052"/>
    <w:rsid w:val="00692562"/>
    <w:rsid w:val="0069258B"/>
    <w:rsid w:val="006926B8"/>
    <w:rsid w:val="00692798"/>
    <w:rsid w:val="00694294"/>
    <w:rsid w:val="0069489A"/>
    <w:rsid w:val="0069534A"/>
    <w:rsid w:val="00695AC5"/>
    <w:rsid w:val="00696D79"/>
    <w:rsid w:val="00697B9A"/>
    <w:rsid w:val="00697C4C"/>
    <w:rsid w:val="006A1F25"/>
    <w:rsid w:val="006A2231"/>
    <w:rsid w:val="006A2C0E"/>
    <w:rsid w:val="006A3FE9"/>
    <w:rsid w:val="006A419F"/>
    <w:rsid w:val="006A519C"/>
    <w:rsid w:val="006A567B"/>
    <w:rsid w:val="006A57C1"/>
    <w:rsid w:val="006A62D9"/>
    <w:rsid w:val="006A6A81"/>
    <w:rsid w:val="006A7448"/>
    <w:rsid w:val="006A7A22"/>
    <w:rsid w:val="006B0C97"/>
    <w:rsid w:val="006B0E34"/>
    <w:rsid w:val="006B100F"/>
    <w:rsid w:val="006B282F"/>
    <w:rsid w:val="006B286A"/>
    <w:rsid w:val="006B40C4"/>
    <w:rsid w:val="006B4224"/>
    <w:rsid w:val="006B504B"/>
    <w:rsid w:val="006B53EB"/>
    <w:rsid w:val="006B7142"/>
    <w:rsid w:val="006C022E"/>
    <w:rsid w:val="006C0588"/>
    <w:rsid w:val="006C302C"/>
    <w:rsid w:val="006C42EA"/>
    <w:rsid w:val="006C4301"/>
    <w:rsid w:val="006C4781"/>
    <w:rsid w:val="006C4CF9"/>
    <w:rsid w:val="006C51DE"/>
    <w:rsid w:val="006C53AC"/>
    <w:rsid w:val="006C7AE9"/>
    <w:rsid w:val="006C7B1C"/>
    <w:rsid w:val="006D1DFC"/>
    <w:rsid w:val="006D34EA"/>
    <w:rsid w:val="006D35E9"/>
    <w:rsid w:val="006D36A7"/>
    <w:rsid w:val="006D43D8"/>
    <w:rsid w:val="006D52FB"/>
    <w:rsid w:val="006D5A01"/>
    <w:rsid w:val="006D5BA5"/>
    <w:rsid w:val="006D71C6"/>
    <w:rsid w:val="006D7278"/>
    <w:rsid w:val="006E26AF"/>
    <w:rsid w:val="006E2F68"/>
    <w:rsid w:val="006E317F"/>
    <w:rsid w:val="006E39D6"/>
    <w:rsid w:val="006E3C27"/>
    <w:rsid w:val="006E3E72"/>
    <w:rsid w:val="006E42CC"/>
    <w:rsid w:val="006E5512"/>
    <w:rsid w:val="006E67BA"/>
    <w:rsid w:val="006E6D9D"/>
    <w:rsid w:val="006E74F4"/>
    <w:rsid w:val="006E751A"/>
    <w:rsid w:val="006E7A43"/>
    <w:rsid w:val="006F06DE"/>
    <w:rsid w:val="006F0E1C"/>
    <w:rsid w:val="006F18DE"/>
    <w:rsid w:val="006F2170"/>
    <w:rsid w:val="006F21F5"/>
    <w:rsid w:val="006F2A32"/>
    <w:rsid w:val="006F393B"/>
    <w:rsid w:val="006F5386"/>
    <w:rsid w:val="006F5782"/>
    <w:rsid w:val="006F6322"/>
    <w:rsid w:val="006F707C"/>
    <w:rsid w:val="006F71D0"/>
    <w:rsid w:val="006F7393"/>
    <w:rsid w:val="006F7626"/>
    <w:rsid w:val="00700530"/>
    <w:rsid w:val="0070055B"/>
    <w:rsid w:val="00700DDB"/>
    <w:rsid w:val="00701561"/>
    <w:rsid w:val="00701C18"/>
    <w:rsid w:val="0070224F"/>
    <w:rsid w:val="0070278A"/>
    <w:rsid w:val="00703D76"/>
    <w:rsid w:val="0070479C"/>
    <w:rsid w:val="007050AF"/>
    <w:rsid w:val="00705354"/>
    <w:rsid w:val="007063AA"/>
    <w:rsid w:val="007110E3"/>
    <w:rsid w:val="007115F7"/>
    <w:rsid w:val="00713F43"/>
    <w:rsid w:val="00714E08"/>
    <w:rsid w:val="007156D6"/>
    <w:rsid w:val="007157A3"/>
    <w:rsid w:val="007157E9"/>
    <w:rsid w:val="00716956"/>
    <w:rsid w:val="00720213"/>
    <w:rsid w:val="007204A5"/>
    <w:rsid w:val="007206EC"/>
    <w:rsid w:val="0072098A"/>
    <w:rsid w:val="00720C67"/>
    <w:rsid w:val="00721FD0"/>
    <w:rsid w:val="007229C3"/>
    <w:rsid w:val="00723350"/>
    <w:rsid w:val="00725363"/>
    <w:rsid w:val="007253CE"/>
    <w:rsid w:val="007258BA"/>
    <w:rsid w:val="00726B6C"/>
    <w:rsid w:val="00726F5C"/>
    <w:rsid w:val="007276EE"/>
    <w:rsid w:val="00727D8B"/>
    <w:rsid w:val="00733BD8"/>
    <w:rsid w:val="00734DD4"/>
    <w:rsid w:val="0073619E"/>
    <w:rsid w:val="00736293"/>
    <w:rsid w:val="007400BF"/>
    <w:rsid w:val="00740464"/>
    <w:rsid w:val="0074070B"/>
    <w:rsid w:val="00740D76"/>
    <w:rsid w:val="00741DDB"/>
    <w:rsid w:val="007426BC"/>
    <w:rsid w:val="00743827"/>
    <w:rsid w:val="00744444"/>
    <w:rsid w:val="007454B2"/>
    <w:rsid w:val="00746D2C"/>
    <w:rsid w:val="00746D4B"/>
    <w:rsid w:val="0075026C"/>
    <w:rsid w:val="00751D7F"/>
    <w:rsid w:val="0075219F"/>
    <w:rsid w:val="00752DCB"/>
    <w:rsid w:val="00753C69"/>
    <w:rsid w:val="007546F9"/>
    <w:rsid w:val="0075472F"/>
    <w:rsid w:val="007579F0"/>
    <w:rsid w:val="00760056"/>
    <w:rsid w:val="007606BD"/>
    <w:rsid w:val="0076120B"/>
    <w:rsid w:val="0076281C"/>
    <w:rsid w:val="007643E0"/>
    <w:rsid w:val="00764990"/>
    <w:rsid w:val="00764AB4"/>
    <w:rsid w:val="007652E3"/>
    <w:rsid w:val="007666DC"/>
    <w:rsid w:val="00766D7B"/>
    <w:rsid w:val="007677DC"/>
    <w:rsid w:val="0077045B"/>
    <w:rsid w:val="00770512"/>
    <w:rsid w:val="00770528"/>
    <w:rsid w:val="00770BC1"/>
    <w:rsid w:val="007710A9"/>
    <w:rsid w:val="0077198E"/>
    <w:rsid w:val="00771B6A"/>
    <w:rsid w:val="007723D3"/>
    <w:rsid w:val="007729D6"/>
    <w:rsid w:val="00772B0C"/>
    <w:rsid w:val="00773406"/>
    <w:rsid w:val="00773747"/>
    <w:rsid w:val="0077413B"/>
    <w:rsid w:val="00774226"/>
    <w:rsid w:val="00774574"/>
    <w:rsid w:val="00775078"/>
    <w:rsid w:val="00776EA3"/>
    <w:rsid w:val="007772F0"/>
    <w:rsid w:val="0077791F"/>
    <w:rsid w:val="00781994"/>
    <w:rsid w:val="00781CCC"/>
    <w:rsid w:val="00781D85"/>
    <w:rsid w:val="007823C7"/>
    <w:rsid w:val="007829DE"/>
    <w:rsid w:val="00783213"/>
    <w:rsid w:val="00783B17"/>
    <w:rsid w:val="00784012"/>
    <w:rsid w:val="00785689"/>
    <w:rsid w:val="0078627F"/>
    <w:rsid w:val="0078656D"/>
    <w:rsid w:val="00786BC4"/>
    <w:rsid w:val="0079062F"/>
    <w:rsid w:val="007909F5"/>
    <w:rsid w:val="00791108"/>
    <w:rsid w:val="0079132A"/>
    <w:rsid w:val="007913A7"/>
    <w:rsid w:val="007915E0"/>
    <w:rsid w:val="007917A6"/>
    <w:rsid w:val="00792A7A"/>
    <w:rsid w:val="00794723"/>
    <w:rsid w:val="00795671"/>
    <w:rsid w:val="007961CB"/>
    <w:rsid w:val="0079625F"/>
    <w:rsid w:val="00796389"/>
    <w:rsid w:val="007964F3"/>
    <w:rsid w:val="00796524"/>
    <w:rsid w:val="00797346"/>
    <w:rsid w:val="0079754B"/>
    <w:rsid w:val="00797C7B"/>
    <w:rsid w:val="007A1CF3"/>
    <w:rsid w:val="007A1E6D"/>
    <w:rsid w:val="007A4DB3"/>
    <w:rsid w:val="007A5B61"/>
    <w:rsid w:val="007A6A8B"/>
    <w:rsid w:val="007B01E5"/>
    <w:rsid w:val="007B137D"/>
    <w:rsid w:val="007B228E"/>
    <w:rsid w:val="007B41AF"/>
    <w:rsid w:val="007B465D"/>
    <w:rsid w:val="007B4944"/>
    <w:rsid w:val="007B4BBE"/>
    <w:rsid w:val="007B4EBF"/>
    <w:rsid w:val="007B58C3"/>
    <w:rsid w:val="007B6700"/>
    <w:rsid w:val="007B6864"/>
    <w:rsid w:val="007B6A9E"/>
    <w:rsid w:val="007B6B7D"/>
    <w:rsid w:val="007B6CF2"/>
    <w:rsid w:val="007B6F93"/>
    <w:rsid w:val="007B7583"/>
    <w:rsid w:val="007B7773"/>
    <w:rsid w:val="007C047A"/>
    <w:rsid w:val="007C1B0D"/>
    <w:rsid w:val="007C1C5A"/>
    <w:rsid w:val="007C1CA4"/>
    <w:rsid w:val="007C2693"/>
    <w:rsid w:val="007C2736"/>
    <w:rsid w:val="007C300C"/>
    <w:rsid w:val="007C400F"/>
    <w:rsid w:val="007C40B7"/>
    <w:rsid w:val="007C5EFE"/>
    <w:rsid w:val="007C756D"/>
    <w:rsid w:val="007C777B"/>
    <w:rsid w:val="007C789B"/>
    <w:rsid w:val="007C7C17"/>
    <w:rsid w:val="007C7D6A"/>
    <w:rsid w:val="007C7D8A"/>
    <w:rsid w:val="007D12EB"/>
    <w:rsid w:val="007D1CB8"/>
    <w:rsid w:val="007D2006"/>
    <w:rsid w:val="007D20EC"/>
    <w:rsid w:val="007D218C"/>
    <w:rsid w:val="007D3E6B"/>
    <w:rsid w:val="007D4141"/>
    <w:rsid w:val="007D6058"/>
    <w:rsid w:val="007D60AE"/>
    <w:rsid w:val="007D61A7"/>
    <w:rsid w:val="007D716B"/>
    <w:rsid w:val="007D771B"/>
    <w:rsid w:val="007D7C65"/>
    <w:rsid w:val="007E0F77"/>
    <w:rsid w:val="007E1003"/>
    <w:rsid w:val="007E13FD"/>
    <w:rsid w:val="007E2034"/>
    <w:rsid w:val="007E2693"/>
    <w:rsid w:val="007E26DB"/>
    <w:rsid w:val="007E2825"/>
    <w:rsid w:val="007E2B55"/>
    <w:rsid w:val="007E2D5A"/>
    <w:rsid w:val="007E2E14"/>
    <w:rsid w:val="007E3170"/>
    <w:rsid w:val="007E3372"/>
    <w:rsid w:val="007E37C3"/>
    <w:rsid w:val="007E3CBC"/>
    <w:rsid w:val="007E3DF7"/>
    <w:rsid w:val="007E444D"/>
    <w:rsid w:val="007E56FF"/>
    <w:rsid w:val="007E6D6D"/>
    <w:rsid w:val="007E70F4"/>
    <w:rsid w:val="007F0F42"/>
    <w:rsid w:val="007F1650"/>
    <w:rsid w:val="007F1AB1"/>
    <w:rsid w:val="007F1F8C"/>
    <w:rsid w:val="007F2677"/>
    <w:rsid w:val="007F6035"/>
    <w:rsid w:val="007F6D7F"/>
    <w:rsid w:val="007F6EF5"/>
    <w:rsid w:val="007F7ACA"/>
    <w:rsid w:val="007F7C5D"/>
    <w:rsid w:val="00801491"/>
    <w:rsid w:val="008017CC"/>
    <w:rsid w:val="00802704"/>
    <w:rsid w:val="008045EA"/>
    <w:rsid w:val="00805B7F"/>
    <w:rsid w:val="00805F40"/>
    <w:rsid w:val="0080666D"/>
    <w:rsid w:val="0080770A"/>
    <w:rsid w:val="00807C88"/>
    <w:rsid w:val="00811606"/>
    <w:rsid w:val="00811D35"/>
    <w:rsid w:val="00812046"/>
    <w:rsid w:val="00812AF7"/>
    <w:rsid w:val="0081463E"/>
    <w:rsid w:val="0081531D"/>
    <w:rsid w:val="00815D33"/>
    <w:rsid w:val="00817357"/>
    <w:rsid w:val="00817437"/>
    <w:rsid w:val="00820675"/>
    <w:rsid w:val="00821432"/>
    <w:rsid w:val="00821541"/>
    <w:rsid w:val="008217C0"/>
    <w:rsid w:val="00822CE0"/>
    <w:rsid w:val="00824DED"/>
    <w:rsid w:val="008250D3"/>
    <w:rsid w:val="00825A54"/>
    <w:rsid w:val="0082668F"/>
    <w:rsid w:val="008269E4"/>
    <w:rsid w:val="00826A9E"/>
    <w:rsid w:val="008274A0"/>
    <w:rsid w:val="00827762"/>
    <w:rsid w:val="0083102C"/>
    <w:rsid w:val="00831DF8"/>
    <w:rsid w:val="0083242F"/>
    <w:rsid w:val="008328D4"/>
    <w:rsid w:val="00832A5A"/>
    <w:rsid w:val="008333DF"/>
    <w:rsid w:val="00834199"/>
    <w:rsid w:val="0083491D"/>
    <w:rsid w:val="00835E72"/>
    <w:rsid w:val="00837214"/>
    <w:rsid w:val="00837C62"/>
    <w:rsid w:val="00840809"/>
    <w:rsid w:val="00840F4E"/>
    <w:rsid w:val="008415D6"/>
    <w:rsid w:val="00841978"/>
    <w:rsid w:val="00841AB1"/>
    <w:rsid w:val="00842A1F"/>
    <w:rsid w:val="00842CAA"/>
    <w:rsid w:val="00842E8D"/>
    <w:rsid w:val="00843D8B"/>
    <w:rsid w:val="008444CC"/>
    <w:rsid w:val="00844EC5"/>
    <w:rsid w:val="00845556"/>
    <w:rsid w:val="00845919"/>
    <w:rsid w:val="00845A25"/>
    <w:rsid w:val="0084690A"/>
    <w:rsid w:val="00846C8D"/>
    <w:rsid w:val="00847718"/>
    <w:rsid w:val="00847974"/>
    <w:rsid w:val="00850236"/>
    <w:rsid w:val="00850923"/>
    <w:rsid w:val="00850C64"/>
    <w:rsid w:val="00850F57"/>
    <w:rsid w:val="00850F7C"/>
    <w:rsid w:val="0085150A"/>
    <w:rsid w:val="0085199A"/>
    <w:rsid w:val="00852F6F"/>
    <w:rsid w:val="00853CB7"/>
    <w:rsid w:val="00854848"/>
    <w:rsid w:val="00855D2C"/>
    <w:rsid w:val="00860867"/>
    <w:rsid w:val="0086090D"/>
    <w:rsid w:val="00861275"/>
    <w:rsid w:val="00861BA5"/>
    <w:rsid w:val="00861FC1"/>
    <w:rsid w:val="008626E7"/>
    <w:rsid w:val="008638B7"/>
    <w:rsid w:val="008638EC"/>
    <w:rsid w:val="00864AA6"/>
    <w:rsid w:val="00865174"/>
    <w:rsid w:val="008662FE"/>
    <w:rsid w:val="00867412"/>
    <w:rsid w:val="00867F89"/>
    <w:rsid w:val="00870460"/>
    <w:rsid w:val="00872A94"/>
    <w:rsid w:val="00872DA3"/>
    <w:rsid w:val="00873420"/>
    <w:rsid w:val="008737AD"/>
    <w:rsid w:val="008749BC"/>
    <w:rsid w:val="00876677"/>
    <w:rsid w:val="00877FA7"/>
    <w:rsid w:val="0088032E"/>
    <w:rsid w:val="0088054B"/>
    <w:rsid w:val="008812FD"/>
    <w:rsid w:val="008819C0"/>
    <w:rsid w:val="008822D3"/>
    <w:rsid w:val="008830B5"/>
    <w:rsid w:val="008873D7"/>
    <w:rsid w:val="008878FA"/>
    <w:rsid w:val="00887F91"/>
    <w:rsid w:val="008905F3"/>
    <w:rsid w:val="00890B14"/>
    <w:rsid w:val="00890C1E"/>
    <w:rsid w:val="00890D29"/>
    <w:rsid w:val="0089110C"/>
    <w:rsid w:val="0089134C"/>
    <w:rsid w:val="008920E9"/>
    <w:rsid w:val="00894762"/>
    <w:rsid w:val="00897EB9"/>
    <w:rsid w:val="008A143C"/>
    <w:rsid w:val="008A280C"/>
    <w:rsid w:val="008A3B43"/>
    <w:rsid w:val="008A3D97"/>
    <w:rsid w:val="008A4388"/>
    <w:rsid w:val="008A5924"/>
    <w:rsid w:val="008A6950"/>
    <w:rsid w:val="008A7CEF"/>
    <w:rsid w:val="008B01B9"/>
    <w:rsid w:val="008B0DF2"/>
    <w:rsid w:val="008B384D"/>
    <w:rsid w:val="008B38CA"/>
    <w:rsid w:val="008B431D"/>
    <w:rsid w:val="008B4EF3"/>
    <w:rsid w:val="008B5571"/>
    <w:rsid w:val="008B59AE"/>
    <w:rsid w:val="008B5C2E"/>
    <w:rsid w:val="008B6D6F"/>
    <w:rsid w:val="008B6FB8"/>
    <w:rsid w:val="008C1296"/>
    <w:rsid w:val="008C22FD"/>
    <w:rsid w:val="008C2881"/>
    <w:rsid w:val="008C437A"/>
    <w:rsid w:val="008C4946"/>
    <w:rsid w:val="008C6312"/>
    <w:rsid w:val="008C6582"/>
    <w:rsid w:val="008D067F"/>
    <w:rsid w:val="008D15E7"/>
    <w:rsid w:val="008D2A4C"/>
    <w:rsid w:val="008D2DAE"/>
    <w:rsid w:val="008D49B0"/>
    <w:rsid w:val="008D4D04"/>
    <w:rsid w:val="008D529F"/>
    <w:rsid w:val="008D6A22"/>
    <w:rsid w:val="008D6A28"/>
    <w:rsid w:val="008E03F0"/>
    <w:rsid w:val="008E0870"/>
    <w:rsid w:val="008E2349"/>
    <w:rsid w:val="008E243A"/>
    <w:rsid w:val="008E2AEE"/>
    <w:rsid w:val="008E323D"/>
    <w:rsid w:val="008E427D"/>
    <w:rsid w:val="008E4589"/>
    <w:rsid w:val="008E46B9"/>
    <w:rsid w:val="008E50B9"/>
    <w:rsid w:val="008E5A3C"/>
    <w:rsid w:val="008E5B1F"/>
    <w:rsid w:val="008E662A"/>
    <w:rsid w:val="008E68AC"/>
    <w:rsid w:val="008F271C"/>
    <w:rsid w:val="008F27E4"/>
    <w:rsid w:val="008F31D0"/>
    <w:rsid w:val="008F4F34"/>
    <w:rsid w:val="008F506C"/>
    <w:rsid w:val="008F68E4"/>
    <w:rsid w:val="008F69EE"/>
    <w:rsid w:val="008F6DF1"/>
    <w:rsid w:val="008F6E65"/>
    <w:rsid w:val="008F70D2"/>
    <w:rsid w:val="008F72D9"/>
    <w:rsid w:val="008F7732"/>
    <w:rsid w:val="008F7CD3"/>
    <w:rsid w:val="00901F39"/>
    <w:rsid w:val="009023FD"/>
    <w:rsid w:val="00902781"/>
    <w:rsid w:val="00906943"/>
    <w:rsid w:val="0091009A"/>
    <w:rsid w:val="0091047C"/>
    <w:rsid w:val="00910F12"/>
    <w:rsid w:val="00912BB2"/>
    <w:rsid w:val="009145EF"/>
    <w:rsid w:val="0091478F"/>
    <w:rsid w:val="00914F70"/>
    <w:rsid w:val="00915323"/>
    <w:rsid w:val="00915540"/>
    <w:rsid w:val="00915828"/>
    <w:rsid w:val="00916039"/>
    <w:rsid w:val="00917119"/>
    <w:rsid w:val="0092017C"/>
    <w:rsid w:val="00920289"/>
    <w:rsid w:val="00921218"/>
    <w:rsid w:val="00921A75"/>
    <w:rsid w:val="00921D29"/>
    <w:rsid w:val="00922EF0"/>
    <w:rsid w:val="009231CF"/>
    <w:rsid w:val="0092335F"/>
    <w:rsid w:val="00924449"/>
    <w:rsid w:val="009249C9"/>
    <w:rsid w:val="00924E53"/>
    <w:rsid w:val="009257B6"/>
    <w:rsid w:val="00926503"/>
    <w:rsid w:val="00926865"/>
    <w:rsid w:val="0092713D"/>
    <w:rsid w:val="00927774"/>
    <w:rsid w:val="00927F8A"/>
    <w:rsid w:val="00930ECF"/>
    <w:rsid w:val="00931C4A"/>
    <w:rsid w:val="00932B8D"/>
    <w:rsid w:val="00932CE1"/>
    <w:rsid w:val="00932E1C"/>
    <w:rsid w:val="00932E44"/>
    <w:rsid w:val="00933DA2"/>
    <w:rsid w:val="009341B5"/>
    <w:rsid w:val="00934445"/>
    <w:rsid w:val="009358A6"/>
    <w:rsid w:val="0093702C"/>
    <w:rsid w:val="0093722D"/>
    <w:rsid w:val="009400C9"/>
    <w:rsid w:val="00940344"/>
    <w:rsid w:val="0094087E"/>
    <w:rsid w:val="00941D7E"/>
    <w:rsid w:val="00942EC4"/>
    <w:rsid w:val="00942F16"/>
    <w:rsid w:val="0094305F"/>
    <w:rsid w:val="00944405"/>
    <w:rsid w:val="00945210"/>
    <w:rsid w:val="00945755"/>
    <w:rsid w:val="00945B50"/>
    <w:rsid w:val="009464F2"/>
    <w:rsid w:val="009468AD"/>
    <w:rsid w:val="00950F5F"/>
    <w:rsid w:val="00952C4D"/>
    <w:rsid w:val="00953D09"/>
    <w:rsid w:val="009543A8"/>
    <w:rsid w:val="00954780"/>
    <w:rsid w:val="00954C01"/>
    <w:rsid w:val="009569F7"/>
    <w:rsid w:val="00956E33"/>
    <w:rsid w:val="0095721F"/>
    <w:rsid w:val="00957977"/>
    <w:rsid w:val="00957D7D"/>
    <w:rsid w:val="00960C09"/>
    <w:rsid w:val="00962C4B"/>
    <w:rsid w:val="00963E54"/>
    <w:rsid w:val="00964733"/>
    <w:rsid w:val="00964B31"/>
    <w:rsid w:val="009668F5"/>
    <w:rsid w:val="00966B1E"/>
    <w:rsid w:val="00967249"/>
    <w:rsid w:val="009673CE"/>
    <w:rsid w:val="00967C3B"/>
    <w:rsid w:val="009701F5"/>
    <w:rsid w:val="009705EB"/>
    <w:rsid w:val="00970DE1"/>
    <w:rsid w:val="00970E43"/>
    <w:rsid w:val="0097171A"/>
    <w:rsid w:val="00971B79"/>
    <w:rsid w:val="00972884"/>
    <w:rsid w:val="00972CAD"/>
    <w:rsid w:val="00972CBB"/>
    <w:rsid w:val="0097399A"/>
    <w:rsid w:val="00974072"/>
    <w:rsid w:val="009752C3"/>
    <w:rsid w:val="00975533"/>
    <w:rsid w:val="00975937"/>
    <w:rsid w:val="00975977"/>
    <w:rsid w:val="0097616C"/>
    <w:rsid w:val="00976860"/>
    <w:rsid w:val="009773ED"/>
    <w:rsid w:val="00977D95"/>
    <w:rsid w:val="0098015A"/>
    <w:rsid w:val="00980592"/>
    <w:rsid w:val="00980753"/>
    <w:rsid w:val="00980A81"/>
    <w:rsid w:val="00980D2A"/>
    <w:rsid w:val="009828D2"/>
    <w:rsid w:val="00982A1F"/>
    <w:rsid w:val="00983260"/>
    <w:rsid w:val="009838BC"/>
    <w:rsid w:val="00984756"/>
    <w:rsid w:val="00984EC1"/>
    <w:rsid w:val="00985224"/>
    <w:rsid w:val="009867AB"/>
    <w:rsid w:val="00986824"/>
    <w:rsid w:val="0098790B"/>
    <w:rsid w:val="0099005B"/>
    <w:rsid w:val="00991BFC"/>
    <w:rsid w:val="009924CB"/>
    <w:rsid w:val="0099306C"/>
    <w:rsid w:val="009934A5"/>
    <w:rsid w:val="009938F4"/>
    <w:rsid w:val="00993E1D"/>
    <w:rsid w:val="00993E24"/>
    <w:rsid w:val="009942DC"/>
    <w:rsid w:val="00994854"/>
    <w:rsid w:val="00994A4C"/>
    <w:rsid w:val="00994F02"/>
    <w:rsid w:val="00997003"/>
    <w:rsid w:val="00997135"/>
    <w:rsid w:val="009978A1"/>
    <w:rsid w:val="00997CEB"/>
    <w:rsid w:val="009A1390"/>
    <w:rsid w:val="009A1C20"/>
    <w:rsid w:val="009A1E60"/>
    <w:rsid w:val="009A2150"/>
    <w:rsid w:val="009A3BFA"/>
    <w:rsid w:val="009A59F4"/>
    <w:rsid w:val="009A6799"/>
    <w:rsid w:val="009A6C3C"/>
    <w:rsid w:val="009A7A1D"/>
    <w:rsid w:val="009B2505"/>
    <w:rsid w:val="009B5798"/>
    <w:rsid w:val="009B5F47"/>
    <w:rsid w:val="009B6BBD"/>
    <w:rsid w:val="009B6D9A"/>
    <w:rsid w:val="009B70BE"/>
    <w:rsid w:val="009B76D7"/>
    <w:rsid w:val="009B7FDF"/>
    <w:rsid w:val="009C03A3"/>
    <w:rsid w:val="009C0AAE"/>
    <w:rsid w:val="009C17C9"/>
    <w:rsid w:val="009C37B0"/>
    <w:rsid w:val="009C3DC8"/>
    <w:rsid w:val="009C4F53"/>
    <w:rsid w:val="009C5E0F"/>
    <w:rsid w:val="009C6430"/>
    <w:rsid w:val="009C6A7E"/>
    <w:rsid w:val="009C73C2"/>
    <w:rsid w:val="009C770E"/>
    <w:rsid w:val="009C7D38"/>
    <w:rsid w:val="009D0B11"/>
    <w:rsid w:val="009D2931"/>
    <w:rsid w:val="009D2B0E"/>
    <w:rsid w:val="009D344B"/>
    <w:rsid w:val="009D3E0F"/>
    <w:rsid w:val="009D3E40"/>
    <w:rsid w:val="009D44EF"/>
    <w:rsid w:val="009D5416"/>
    <w:rsid w:val="009D6B82"/>
    <w:rsid w:val="009D72E9"/>
    <w:rsid w:val="009D75B0"/>
    <w:rsid w:val="009E092D"/>
    <w:rsid w:val="009E0D98"/>
    <w:rsid w:val="009E1A5E"/>
    <w:rsid w:val="009E2090"/>
    <w:rsid w:val="009E323D"/>
    <w:rsid w:val="009E3823"/>
    <w:rsid w:val="009E3A30"/>
    <w:rsid w:val="009E3DA1"/>
    <w:rsid w:val="009E429B"/>
    <w:rsid w:val="009E4839"/>
    <w:rsid w:val="009E5DBF"/>
    <w:rsid w:val="009E6195"/>
    <w:rsid w:val="009E7694"/>
    <w:rsid w:val="009E7BCB"/>
    <w:rsid w:val="009F1481"/>
    <w:rsid w:val="009F2245"/>
    <w:rsid w:val="009F23BD"/>
    <w:rsid w:val="009F26C7"/>
    <w:rsid w:val="009F304C"/>
    <w:rsid w:val="009F3084"/>
    <w:rsid w:val="009F42DC"/>
    <w:rsid w:val="009F4447"/>
    <w:rsid w:val="009F5348"/>
    <w:rsid w:val="009F5D93"/>
    <w:rsid w:val="009F5E9F"/>
    <w:rsid w:val="009F70AB"/>
    <w:rsid w:val="009F7E10"/>
    <w:rsid w:val="00A00476"/>
    <w:rsid w:val="00A00605"/>
    <w:rsid w:val="00A01B9A"/>
    <w:rsid w:val="00A01DFE"/>
    <w:rsid w:val="00A034F5"/>
    <w:rsid w:val="00A035E0"/>
    <w:rsid w:val="00A03B8F"/>
    <w:rsid w:val="00A043F7"/>
    <w:rsid w:val="00A1172B"/>
    <w:rsid w:val="00A12B18"/>
    <w:rsid w:val="00A12DF0"/>
    <w:rsid w:val="00A14B80"/>
    <w:rsid w:val="00A16769"/>
    <w:rsid w:val="00A173E9"/>
    <w:rsid w:val="00A20151"/>
    <w:rsid w:val="00A20996"/>
    <w:rsid w:val="00A20C2B"/>
    <w:rsid w:val="00A21833"/>
    <w:rsid w:val="00A21C52"/>
    <w:rsid w:val="00A21D73"/>
    <w:rsid w:val="00A2231A"/>
    <w:rsid w:val="00A22555"/>
    <w:rsid w:val="00A22C76"/>
    <w:rsid w:val="00A23A82"/>
    <w:rsid w:val="00A23B4B"/>
    <w:rsid w:val="00A250A8"/>
    <w:rsid w:val="00A25D16"/>
    <w:rsid w:val="00A262EA"/>
    <w:rsid w:val="00A26817"/>
    <w:rsid w:val="00A26AC3"/>
    <w:rsid w:val="00A27399"/>
    <w:rsid w:val="00A273A7"/>
    <w:rsid w:val="00A3008E"/>
    <w:rsid w:val="00A30194"/>
    <w:rsid w:val="00A31CCB"/>
    <w:rsid w:val="00A33B6C"/>
    <w:rsid w:val="00A34A17"/>
    <w:rsid w:val="00A361EF"/>
    <w:rsid w:val="00A36669"/>
    <w:rsid w:val="00A40E65"/>
    <w:rsid w:val="00A41AEF"/>
    <w:rsid w:val="00A42390"/>
    <w:rsid w:val="00A433B6"/>
    <w:rsid w:val="00A43486"/>
    <w:rsid w:val="00A43AB2"/>
    <w:rsid w:val="00A43F4A"/>
    <w:rsid w:val="00A44C13"/>
    <w:rsid w:val="00A44C57"/>
    <w:rsid w:val="00A45B89"/>
    <w:rsid w:val="00A45F4F"/>
    <w:rsid w:val="00A461F5"/>
    <w:rsid w:val="00A47496"/>
    <w:rsid w:val="00A47720"/>
    <w:rsid w:val="00A50A99"/>
    <w:rsid w:val="00A50C47"/>
    <w:rsid w:val="00A51711"/>
    <w:rsid w:val="00A51795"/>
    <w:rsid w:val="00A53369"/>
    <w:rsid w:val="00A53900"/>
    <w:rsid w:val="00A54082"/>
    <w:rsid w:val="00A54B41"/>
    <w:rsid w:val="00A550F0"/>
    <w:rsid w:val="00A55EE2"/>
    <w:rsid w:val="00A56E8A"/>
    <w:rsid w:val="00A57A4F"/>
    <w:rsid w:val="00A57BDD"/>
    <w:rsid w:val="00A600A9"/>
    <w:rsid w:val="00A60817"/>
    <w:rsid w:val="00A61FC2"/>
    <w:rsid w:val="00A624B2"/>
    <w:rsid w:val="00A6268F"/>
    <w:rsid w:val="00A63262"/>
    <w:rsid w:val="00A6454E"/>
    <w:rsid w:val="00A66A92"/>
    <w:rsid w:val="00A6749B"/>
    <w:rsid w:val="00A70BA4"/>
    <w:rsid w:val="00A71419"/>
    <w:rsid w:val="00A714AB"/>
    <w:rsid w:val="00A71C34"/>
    <w:rsid w:val="00A727AA"/>
    <w:rsid w:val="00A7284F"/>
    <w:rsid w:val="00A73CEF"/>
    <w:rsid w:val="00A74747"/>
    <w:rsid w:val="00A75810"/>
    <w:rsid w:val="00A75BCD"/>
    <w:rsid w:val="00A75D86"/>
    <w:rsid w:val="00A77175"/>
    <w:rsid w:val="00A773B0"/>
    <w:rsid w:val="00A810C5"/>
    <w:rsid w:val="00A81A86"/>
    <w:rsid w:val="00A81AF0"/>
    <w:rsid w:val="00A82D64"/>
    <w:rsid w:val="00A82E3B"/>
    <w:rsid w:val="00A847AD"/>
    <w:rsid w:val="00A848CF"/>
    <w:rsid w:val="00A85915"/>
    <w:rsid w:val="00A866AC"/>
    <w:rsid w:val="00A86E53"/>
    <w:rsid w:val="00A87405"/>
    <w:rsid w:val="00A87723"/>
    <w:rsid w:val="00A87DBD"/>
    <w:rsid w:val="00A87F5F"/>
    <w:rsid w:val="00A90BDD"/>
    <w:rsid w:val="00A91672"/>
    <w:rsid w:val="00A9232E"/>
    <w:rsid w:val="00A928C4"/>
    <w:rsid w:val="00A93162"/>
    <w:rsid w:val="00A95AE1"/>
    <w:rsid w:val="00A95DE7"/>
    <w:rsid w:val="00A96418"/>
    <w:rsid w:val="00A964E0"/>
    <w:rsid w:val="00A97091"/>
    <w:rsid w:val="00AA2555"/>
    <w:rsid w:val="00AA36E3"/>
    <w:rsid w:val="00AA49BE"/>
    <w:rsid w:val="00AA55B7"/>
    <w:rsid w:val="00AA5A3D"/>
    <w:rsid w:val="00AA5B9E"/>
    <w:rsid w:val="00AA5C68"/>
    <w:rsid w:val="00AA5EEB"/>
    <w:rsid w:val="00AA60E8"/>
    <w:rsid w:val="00AA7F7F"/>
    <w:rsid w:val="00AB1A7B"/>
    <w:rsid w:val="00AB2407"/>
    <w:rsid w:val="00AB2652"/>
    <w:rsid w:val="00AB2957"/>
    <w:rsid w:val="00AB2EDB"/>
    <w:rsid w:val="00AB30B0"/>
    <w:rsid w:val="00AB3E6D"/>
    <w:rsid w:val="00AB53DF"/>
    <w:rsid w:val="00AB58C0"/>
    <w:rsid w:val="00AB5D53"/>
    <w:rsid w:val="00AB672B"/>
    <w:rsid w:val="00AB6EB2"/>
    <w:rsid w:val="00AB7B93"/>
    <w:rsid w:val="00AC0440"/>
    <w:rsid w:val="00AC049A"/>
    <w:rsid w:val="00AC07E2"/>
    <w:rsid w:val="00AC1D5B"/>
    <w:rsid w:val="00AC446A"/>
    <w:rsid w:val="00AC5441"/>
    <w:rsid w:val="00AC56CF"/>
    <w:rsid w:val="00AC579B"/>
    <w:rsid w:val="00AC5856"/>
    <w:rsid w:val="00AC5CD1"/>
    <w:rsid w:val="00AC5F55"/>
    <w:rsid w:val="00AC716F"/>
    <w:rsid w:val="00AC7C25"/>
    <w:rsid w:val="00AD021C"/>
    <w:rsid w:val="00AD15BB"/>
    <w:rsid w:val="00AD1B4C"/>
    <w:rsid w:val="00AD2966"/>
    <w:rsid w:val="00AD2BAB"/>
    <w:rsid w:val="00AD32F6"/>
    <w:rsid w:val="00AD52E3"/>
    <w:rsid w:val="00AD53F0"/>
    <w:rsid w:val="00AD5449"/>
    <w:rsid w:val="00AD55AD"/>
    <w:rsid w:val="00AD6ED8"/>
    <w:rsid w:val="00AD7437"/>
    <w:rsid w:val="00AD7981"/>
    <w:rsid w:val="00AD7FAF"/>
    <w:rsid w:val="00AE015D"/>
    <w:rsid w:val="00AE089F"/>
    <w:rsid w:val="00AE0C4F"/>
    <w:rsid w:val="00AE2F10"/>
    <w:rsid w:val="00AE422D"/>
    <w:rsid w:val="00AE4C0E"/>
    <w:rsid w:val="00AE64DF"/>
    <w:rsid w:val="00AF14D9"/>
    <w:rsid w:val="00AF1A3F"/>
    <w:rsid w:val="00AF2046"/>
    <w:rsid w:val="00AF2A15"/>
    <w:rsid w:val="00AF34AD"/>
    <w:rsid w:val="00AF412B"/>
    <w:rsid w:val="00AF425A"/>
    <w:rsid w:val="00AF5EBB"/>
    <w:rsid w:val="00AF6945"/>
    <w:rsid w:val="00B002E2"/>
    <w:rsid w:val="00B00517"/>
    <w:rsid w:val="00B021B1"/>
    <w:rsid w:val="00B02E94"/>
    <w:rsid w:val="00B03764"/>
    <w:rsid w:val="00B043C2"/>
    <w:rsid w:val="00B05397"/>
    <w:rsid w:val="00B06B01"/>
    <w:rsid w:val="00B0720D"/>
    <w:rsid w:val="00B076A7"/>
    <w:rsid w:val="00B07E5C"/>
    <w:rsid w:val="00B07F13"/>
    <w:rsid w:val="00B10171"/>
    <w:rsid w:val="00B1049D"/>
    <w:rsid w:val="00B10971"/>
    <w:rsid w:val="00B1117B"/>
    <w:rsid w:val="00B12953"/>
    <w:rsid w:val="00B130C7"/>
    <w:rsid w:val="00B1318C"/>
    <w:rsid w:val="00B13682"/>
    <w:rsid w:val="00B1588A"/>
    <w:rsid w:val="00B165A9"/>
    <w:rsid w:val="00B17053"/>
    <w:rsid w:val="00B17396"/>
    <w:rsid w:val="00B17838"/>
    <w:rsid w:val="00B21178"/>
    <w:rsid w:val="00B21B2B"/>
    <w:rsid w:val="00B21EA6"/>
    <w:rsid w:val="00B22A3E"/>
    <w:rsid w:val="00B22BDA"/>
    <w:rsid w:val="00B23E93"/>
    <w:rsid w:val="00B25226"/>
    <w:rsid w:val="00B25ECD"/>
    <w:rsid w:val="00B25EDA"/>
    <w:rsid w:val="00B265F8"/>
    <w:rsid w:val="00B268B7"/>
    <w:rsid w:val="00B30355"/>
    <w:rsid w:val="00B30C3B"/>
    <w:rsid w:val="00B30FD3"/>
    <w:rsid w:val="00B315A2"/>
    <w:rsid w:val="00B31ED2"/>
    <w:rsid w:val="00B326E3"/>
    <w:rsid w:val="00B32C3E"/>
    <w:rsid w:val="00B35B4F"/>
    <w:rsid w:val="00B36554"/>
    <w:rsid w:val="00B371E8"/>
    <w:rsid w:val="00B37B08"/>
    <w:rsid w:val="00B37E35"/>
    <w:rsid w:val="00B401DB"/>
    <w:rsid w:val="00B41FA7"/>
    <w:rsid w:val="00B423C2"/>
    <w:rsid w:val="00B424D7"/>
    <w:rsid w:val="00B428EA"/>
    <w:rsid w:val="00B42BF7"/>
    <w:rsid w:val="00B434BE"/>
    <w:rsid w:val="00B460D3"/>
    <w:rsid w:val="00B468DE"/>
    <w:rsid w:val="00B46E7C"/>
    <w:rsid w:val="00B473C7"/>
    <w:rsid w:val="00B50DCA"/>
    <w:rsid w:val="00B517AC"/>
    <w:rsid w:val="00B520F0"/>
    <w:rsid w:val="00B522E0"/>
    <w:rsid w:val="00B52C2D"/>
    <w:rsid w:val="00B54E89"/>
    <w:rsid w:val="00B5578C"/>
    <w:rsid w:val="00B561C2"/>
    <w:rsid w:val="00B565AF"/>
    <w:rsid w:val="00B60362"/>
    <w:rsid w:val="00B61114"/>
    <w:rsid w:val="00B61600"/>
    <w:rsid w:val="00B63658"/>
    <w:rsid w:val="00B63AB1"/>
    <w:rsid w:val="00B64808"/>
    <w:rsid w:val="00B64A75"/>
    <w:rsid w:val="00B6798E"/>
    <w:rsid w:val="00B67D56"/>
    <w:rsid w:val="00B70D36"/>
    <w:rsid w:val="00B70F73"/>
    <w:rsid w:val="00B72081"/>
    <w:rsid w:val="00B7250D"/>
    <w:rsid w:val="00B72992"/>
    <w:rsid w:val="00B72D26"/>
    <w:rsid w:val="00B738A9"/>
    <w:rsid w:val="00B73EFD"/>
    <w:rsid w:val="00B7439F"/>
    <w:rsid w:val="00B74442"/>
    <w:rsid w:val="00B7551F"/>
    <w:rsid w:val="00B75ACE"/>
    <w:rsid w:val="00B76082"/>
    <w:rsid w:val="00B76DEA"/>
    <w:rsid w:val="00B7740A"/>
    <w:rsid w:val="00B774F9"/>
    <w:rsid w:val="00B80435"/>
    <w:rsid w:val="00B808DE"/>
    <w:rsid w:val="00B80F10"/>
    <w:rsid w:val="00B811F7"/>
    <w:rsid w:val="00B831D4"/>
    <w:rsid w:val="00B8401E"/>
    <w:rsid w:val="00B85D61"/>
    <w:rsid w:val="00B85D7F"/>
    <w:rsid w:val="00B8607B"/>
    <w:rsid w:val="00B90D94"/>
    <w:rsid w:val="00B911F9"/>
    <w:rsid w:val="00B9156F"/>
    <w:rsid w:val="00B91570"/>
    <w:rsid w:val="00B92264"/>
    <w:rsid w:val="00B93667"/>
    <w:rsid w:val="00B95656"/>
    <w:rsid w:val="00B95807"/>
    <w:rsid w:val="00B95DEC"/>
    <w:rsid w:val="00B95FF8"/>
    <w:rsid w:val="00BA0221"/>
    <w:rsid w:val="00BA0765"/>
    <w:rsid w:val="00BA0CB9"/>
    <w:rsid w:val="00BA4713"/>
    <w:rsid w:val="00BA4DBD"/>
    <w:rsid w:val="00BA58ED"/>
    <w:rsid w:val="00BA5B29"/>
    <w:rsid w:val="00BA5DC6"/>
    <w:rsid w:val="00BA5EC9"/>
    <w:rsid w:val="00BA6196"/>
    <w:rsid w:val="00BA6359"/>
    <w:rsid w:val="00BA758C"/>
    <w:rsid w:val="00BB079B"/>
    <w:rsid w:val="00BB220E"/>
    <w:rsid w:val="00BB2B90"/>
    <w:rsid w:val="00BB2FA1"/>
    <w:rsid w:val="00BB5292"/>
    <w:rsid w:val="00BB58BC"/>
    <w:rsid w:val="00BB6EF7"/>
    <w:rsid w:val="00BB70E4"/>
    <w:rsid w:val="00BB7716"/>
    <w:rsid w:val="00BB7FA2"/>
    <w:rsid w:val="00BC062E"/>
    <w:rsid w:val="00BC0C09"/>
    <w:rsid w:val="00BC18D3"/>
    <w:rsid w:val="00BC3041"/>
    <w:rsid w:val="00BC361D"/>
    <w:rsid w:val="00BC3E8A"/>
    <w:rsid w:val="00BC41D1"/>
    <w:rsid w:val="00BC4680"/>
    <w:rsid w:val="00BC50C4"/>
    <w:rsid w:val="00BC5812"/>
    <w:rsid w:val="00BC5A46"/>
    <w:rsid w:val="00BC5B99"/>
    <w:rsid w:val="00BC605C"/>
    <w:rsid w:val="00BC6536"/>
    <w:rsid w:val="00BC6670"/>
    <w:rsid w:val="00BC6D8C"/>
    <w:rsid w:val="00BC7C56"/>
    <w:rsid w:val="00BD0059"/>
    <w:rsid w:val="00BD0F3E"/>
    <w:rsid w:val="00BD27D0"/>
    <w:rsid w:val="00BD2B13"/>
    <w:rsid w:val="00BD5BED"/>
    <w:rsid w:val="00BD6868"/>
    <w:rsid w:val="00BD74AE"/>
    <w:rsid w:val="00BE0AC2"/>
    <w:rsid w:val="00BE0DEF"/>
    <w:rsid w:val="00BE1054"/>
    <w:rsid w:val="00BE14B9"/>
    <w:rsid w:val="00BE2180"/>
    <w:rsid w:val="00BE23D0"/>
    <w:rsid w:val="00BE2933"/>
    <w:rsid w:val="00BE2A55"/>
    <w:rsid w:val="00BE3771"/>
    <w:rsid w:val="00BE5606"/>
    <w:rsid w:val="00BE6B6F"/>
    <w:rsid w:val="00BF04D8"/>
    <w:rsid w:val="00BF1665"/>
    <w:rsid w:val="00BF169C"/>
    <w:rsid w:val="00BF1DEE"/>
    <w:rsid w:val="00BF1EF6"/>
    <w:rsid w:val="00BF214F"/>
    <w:rsid w:val="00BF32D8"/>
    <w:rsid w:val="00BF32DD"/>
    <w:rsid w:val="00BF3451"/>
    <w:rsid w:val="00BF3D2D"/>
    <w:rsid w:val="00BF5C69"/>
    <w:rsid w:val="00BF5F25"/>
    <w:rsid w:val="00BF693F"/>
    <w:rsid w:val="00BF6991"/>
    <w:rsid w:val="00BF7B02"/>
    <w:rsid w:val="00C0015E"/>
    <w:rsid w:val="00C004D5"/>
    <w:rsid w:val="00C03EDE"/>
    <w:rsid w:val="00C043D8"/>
    <w:rsid w:val="00C04510"/>
    <w:rsid w:val="00C0481B"/>
    <w:rsid w:val="00C06494"/>
    <w:rsid w:val="00C0674A"/>
    <w:rsid w:val="00C121FC"/>
    <w:rsid w:val="00C12E88"/>
    <w:rsid w:val="00C13FC1"/>
    <w:rsid w:val="00C15ABF"/>
    <w:rsid w:val="00C16425"/>
    <w:rsid w:val="00C16AF2"/>
    <w:rsid w:val="00C178EE"/>
    <w:rsid w:val="00C178F0"/>
    <w:rsid w:val="00C17C3D"/>
    <w:rsid w:val="00C203E1"/>
    <w:rsid w:val="00C20EB2"/>
    <w:rsid w:val="00C24473"/>
    <w:rsid w:val="00C25EEB"/>
    <w:rsid w:val="00C2640A"/>
    <w:rsid w:val="00C27E05"/>
    <w:rsid w:val="00C30B62"/>
    <w:rsid w:val="00C30C75"/>
    <w:rsid w:val="00C339F2"/>
    <w:rsid w:val="00C34006"/>
    <w:rsid w:val="00C34557"/>
    <w:rsid w:val="00C34CE6"/>
    <w:rsid w:val="00C34F8D"/>
    <w:rsid w:val="00C35C28"/>
    <w:rsid w:val="00C3742C"/>
    <w:rsid w:val="00C37AFB"/>
    <w:rsid w:val="00C37BB3"/>
    <w:rsid w:val="00C37CBA"/>
    <w:rsid w:val="00C4019E"/>
    <w:rsid w:val="00C41BE9"/>
    <w:rsid w:val="00C426B1"/>
    <w:rsid w:val="00C42707"/>
    <w:rsid w:val="00C431A7"/>
    <w:rsid w:val="00C4322D"/>
    <w:rsid w:val="00C433DE"/>
    <w:rsid w:val="00C4401F"/>
    <w:rsid w:val="00C44EBF"/>
    <w:rsid w:val="00C45509"/>
    <w:rsid w:val="00C4638B"/>
    <w:rsid w:val="00C46E54"/>
    <w:rsid w:val="00C4729A"/>
    <w:rsid w:val="00C472AF"/>
    <w:rsid w:val="00C474E5"/>
    <w:rsid w:val="00C476E1"/>
    <w:rsid w:val="00C52373"/>
    <w:rsid w:val="00C5306B"/>
    <w:rsid w:val="00C5308D"/>
    <w:rsid w:val="00C536C9"/>
    <w:rsid w:val="00C53716"/>
    <w:rsid w:val="00C54627"/>
    <w:rsid w:val="00C54CED"/>
    <w:rsid w:val="00C55BF1"/>
    <w:rsid w:val="00C569A0"/>
    <w:rsid w:val="00C56BAF"/>
    <w:rsid w:val="00C605B3"/>
    <w:rsid w:val="00C62130"/>
    <w:rsid w:val="00C62BD4"/>
    <w:rsid w:val="00C63D87"/>
    <w:rsid w:val="00C64B03"/>
    <w:rsid w:val="00C64C86"/>
    <w:rsid w:val="00C676FA"/>
    <w:rsid w:val="00C6787F"/>
    <w:rsid w:val="00C67982"/>
    <w:rsid w:val="00C67A4E"/>
    <w:rsid w:val="00C70675"/>
    <w:rsid w:val="00C706B2"/>
    <w:rsid w:val="00C70CAB"/>
    <w:rsid w:val="00C71057"/>
    <w:rsid w:val="00C737B0"/>
    <w:rsid w:val="00C7414E"/>
    <w:rsid w:val="00C76265"/>
    <w:rsid w:val="00C76740"/>
    <w:rsid w:val="00C770A3"/>
    <w:rsid w:val="00C80559"/>
    <w:rsid w:val="00C80F63"/>
    <w:rsid w:val="00C81F3B"/>
    <w:rsid w:val="00C82B6B"/>
    <w:rsid w:val="00C8364B"/>
    <w:rsid w:val="00C83C18"/>
    <w:rsid w:val="00C84603"/>
    <w:rsid w:val="00C85354"/>
    <w:rsid w:val="00C868DD"/>
    <w:rsid w:val="00C87B2F"/>
    <w:rsid w:val="00C90D6A"/>
    <w:rsid w:val="00C91AE9"/>
    <w:rsid w:val="00C921E9"/>
    <w:rsid w:val="00C93001"/>
    <w:rsid w:val="00C93248"/>
    <w:rsid w:val="00C93CE6"/>
    <w:rsid w:val="00C93F18"/>
    <w:rsid w:val="00C940BC"/>
    <w:rsid w:val="00C948F6"/>
    <w:rsid w:val="00C95A5E"/>
    <w:rsid w:val="00C95F40"/>
    <w:rsid w:val="00C97858"/>
    <w:rsid w:val="00C97DB3"/>
    <w:rsid w:val="00CA1189"/>
    <w:rsid w:val="00CA1264"/>
    <w:rsid w:val="00CA1B21"/>
    <w:rsid w:val="00CA1F96"/>
    <w:rsid w:val="00CA3120"/>
    <w:rsid w:val="00CA3548"/>
    <w:rsid w:val="00CA3567"/>
    <w:rsid w:val="00CA36E2"/>
    <w:rsid w:val="00CA43BF"/>
    <w:rsid w:val="00CA499A"/>
    <w:rsid w:val="00CA7C80"/>
    <w:rsid w:val="00CB0894"/>
    <w:rsid w:val="00CB0FF4"/>
    <w:rsid w:val="00CB1DE4"/>
    <w:rsid w:val="00CB22A4"/>
    <w:rsid w:val="00CB3893"/>
    <w:rsid w:val="00CB5071"/>
    <w:rsid w:val="00CB50A1"/>
    <w:rsid w:val="00CB522D"/>
    <w:rsid w:val="00CB6F63"/>
    <w:rsid w:val="00CB7C92"/>
    <w:rsid w:val="00CC0046"/>
    <w:rsid w:val="00CC1C16"/>
    <w:rsid w:val="00CC1CEB"/>
    <w:rsid w:val="00CC566E"/>
    <w:rsid w:val="00CC63F5"/>
    <w:rsid w:val="00CC72B6"/>
    <w:rsid w:val="00CC7339"/>
    <w:rsid w:val="00CD0E0C"/>
    <w:rsid w:val="00CD12AA"/>
    <w:rsid w:val="00CD1616"/>
    <w:rsid w:val="00CD3AD2"/>
    <w:rsid w:val="00CD44FB"/>
    <w:rsid w:val="00CD4774"/>
    <w:rsid w:val="00CD590F"/>
    <w:rsid w:val="00CD677A"/>
    <w:rsid w:val="00CE0662"/>
    <w:rsid w:val="00CE0EC1"/>
    <w:rsid w:val="00CE1254"/>
    <w:rsid w:val="00CE189B"/>
    <w:rsid w:val="00CE1BA6"/>
    <w:rsid w:val="00CE3BE3"/>
    <w:rsid w:val="00CE453C"/>
    <w:rsid w:val="00CE4A37"/>
    <w:rsid w:val="00CE6972"/>
    <w:rsid w:val="00CF039E"/>
    <w:rsid w:val="00CF04B3"/>
    <w:rsid w:val="00CF205B"/>
    <w:rsid w:val="00CF3C4B"/>
    <w:rsid w:val="00CF609E"/>
    <w:rsid w:val="00CF6171"/>
    <w:rsid w:val="00CF6322"/>
    <w:rsid w:val="00CF6687"/>
    <w:rsid w:val="00D0036D"/>
    <w:rsid w:val="00D0218D"/>
    <w:rsid w:val="00D0341A"/>
    <w:rsid w:val="00D03886"/>
    <w:rsid w:val="00D0620D"/>
    <w:rsid w:val="00D071CE"/>
    <w:rsid w:val="00D077A1"/>
    <w:rsid w:val="00D10C50"/>
    <w:rsid w:val="00D11271"/>
    <w:rsid w:val="00D11BD9"/>
    <w:rsid w:val="00D127EE"/>
    <w:rsid w:val="00D137C3"/>
    <w:rsid w:val="00D13EEB"/>
    <w:rsid w:val="00D146CE"/>
    <w:rsid w:val="00D16060"/>
    <w:rsid w:val="00D16D34"/>
    <w:rsid w:val="00D17976"/>
    <w:rsid w:val="00D206BE"/>
    <w:rsid w:val="00D21449"/>
    <w:rsid w:val="00D216CD"/>
    <w:rsid w:val="00D2173F"/>
    <w:rsid w:val="00D22075"/>
    <w:rsid w:val="00D22323"/>
    <w:rsid w:val="00D2234E"/>
    <w:rsid w:val="00D2295A"/>
    <w:rsid w:val="00D23AFA"/>
    <w:rsid w:val="00D262D5"/>
    <w:rsid w:val="00D26405"/>
    <w:rsid w:val="00D264F5"/>
    <w:rsid w:val="00D2699D"/>
    <w:rsid w:val="00D26CD4"/>
    <w:rsid w:val="00D2719E"/>
    <w:rsid w:val="00D30AFC"/>
    <w:rsid w:val="00D30BB3"/>
    <w:rsid w:val="00D333C6"/>
    <w:rsid w:val="00D33CF9"/>
    <w:rsid w:val="00D346DB"/>
    <w:rsid w:val="00D34B90"/>
    <w:rsid w:val="00D37DFD"/>
    <w:rsid w:val="00D404DB"/>
    <w:rsid w:val="00D42EB2"/>
    <w:rsid w:val="00D44F32"/>
    <w:rsid w:val="00D46035"/>
    <w:rsid w:val="00D46996"/>
    <w:rsid w:val="00D50D5E"/>
    <w:rsid w:val="00D50DD4"/>
    <w:rsid w:val="00D5180F"/>
    <w:rsid w:val="00D5257E"/>
    <w:rsid w:val="00D5339D"/>
    <w:rsid w:val="00D54D5E"/>
    <w:rsid w:val="00D55012"/>
    <w:rsid w:val="00D55187"/>
    <w:rsid w:val="00D55341"/>
    <w:rsid w:val="00D55593"/>
    <w:rsid w:val="00D55D37"/>
    <w:rsid w:val="00D561FC"/>
    <w:rsid w:val="00D564ED"/>
    <w:rsid w:val="00D5760C"/>
    <w:rsid w:val="00D57A1C"/>
    <w:rsid w:val="00D608A5"/>
    <w:rsid w:val="00D61741"/>
    <w:rsid w:val="00D61AD1"/>
    <w:rsid w:val="00D61FBB"/>
    <w:rsid w:val="00D62C35"/>
    <w:rsid w:val="00D63FCE"/>
    <w:rsid w:val="00D640F6"/>
    <w:rsid w:val="00D64BF5"/>
    <w:rsid w:val="00D669EF"/>
    <w:rsid w:val="00D670B9"/>
    <w:rsid w:val="00D67BC2"/>
    <w:rsid w:val="00D67EF1"/>
    <w:rsid w:val="00D703A3"/>
    <w:rsid w:val="00D71DAA"/>
    <w:rsid w:val="00D725A0"/>
    <w:rsid w:val="00D726EC"/>
    <w:rsid w:val="00D72C36"/>
    <w:rsid w:val="00D7448A"/>
    <w:rsid w:val="00D74708"/>
    <w:rsid w:val="00D749E3"/>
    <w:rsid w:val="00D75313"/>
    <w:rsid w:val="00D75455"/>
    <w:rsid w:val="00D760BF"/>
    <w:rsid w:val="00D7775A"/>
    <w:rsid w:val="00D77BBD"/>
    <w:rsid w:val="00D80585"/>
    <w:rsid w:val="00D80A1C"/>
    <w:rsid w:val="00D81519"/>
    <w:rsid w:val="00D8419E"/>
    <w:rsid w:val="00D8680A"/>
    <w:rsid w:val="00D87A8D"/>
    <w:rsid w:val="00D87C43"/>
    <w:rsid w:val="00D87FBF"/>
    <w:rsid w:val="00D9092B"/>
    <w:rsid w:val="00D909B9"/>
    <w:rsid w:val="00D90ADC"/>
    <w:rsid w:val="00D91F48"/>
    <w:rsid w:val="00D93339"/>
    <w:rsid w:val="00D93600"/>
    <w:rsid w:val="00D9362C"/>
    <w:rsid w:val="00D95E48"/>
    <w:rsid w:val="00D96711"/>
    <w:rsid w:val="00D9715E"/>
    <w:rsid w:val="00D975A5"/>
    <w:rsid w:val="00D97BFD"/>
    <w:rsid w:val="00D97E4E"/>
    <w:rsid w:val="00DA1635"/>
    <w:rsid w:val="00DA2142"/>
    <w:rsid w:val="00DA2529"/>
    <w:rsid w:val="00DA4889"/>
    <w:rsid w:val="00DA4993"/>
    <w:rsid w:val="00DA4AB2"/>
    <w:rsid w:val="00DA5FBF"/>
    <w:rsid w:val="00DA6234"/>
    <w:rsid w:val="00DA6882"/>
    <w:rsid w:val="00DB0273"/>
    <w:rsid w:val="00DB045E"/>
    <w:rsid w:val="00DB130A"/>
    <w:rsid w:val="00DB25C4"/>
    <w:rsid w:val="00DB3ED9"/>
    <w:rsid w:val="00DB4751"/>
    <w:rsid w:val="00DB4917"/>
    <w:rsid w:val="00DB4A77"/>
    <w:rsid w:val="00DB5182"/>
    <w:rsid w:val="00DB5984"/>
    <w:rsid w:val="00DB5E38"/>
    <w:rsid w:val="00DB6294"/>
    <w:rsid w:val="00DB71F9"/>
    <w:rsid w:val="00DB74F5"/>
    <w:rsid w:val="00DB7EC7"/>
    <w:rsid w:val="00DC03FD"/>
    <w:rsid w:val="00DC06CD"/>
    <w:rsid w:val="00DC10A1"/>
    <w:rsid w:val="00DC20B3"/>
    <w:rsid w:val="00DC25EF"/>
    <w:rsid w:val="00DC2D6C"/>
    <w:rsid w:val="00DC2F10"/>
    <w:rsid w:val="00DC2F1A"/>
    <w:rsid w:val="00DC36F0"/>
    <w:rsid w:val="00DC584D"/>
    <w:rsid w:val="00DC6170"/>
    <w:rsid w:val="00DC61B0"/>
    <w:rsid w:val="00DC644C"/>
    <w:rsid w:val="00DC655F"/>
    <w:rsid w:val="00DC6E85"/>
    <w:rsid w:val="00DD03A1"/>
    <w:rsid w:val="00DD0662"/>
    <w:rsid w:val="00DD0858"/>
    <w:rsid w:val="00DD0AA0"/>
    <w:rsid w:val="00DD0F1A"/>
    <w:rsid w:val="00DD0FE5"/>
    <w:rsid w:val="00DD2EAF"/>
    <w:rsid w:val="00DD3A5C"/>
    <w:rsid w:val="00DD4D06"/>
    <w:rsid w:val="00DD55C9"/>
    <w:rsid w:val="00DD64CE"/>
    <w:rsid w:val="00DD66BA"/>
    <w:rsid w:val="00DD6D72"/>
    <w:rsid w:val="00DD7EBD"/>
    <w:rsid w:val="00DE02B4"/>
    <w:rsid w:val="00DE0B55"/>
    <w:rsid w:val="00DE0F51"/>
    <w:rsid w:val="00DE1F33"/>
    <w:rsid w:val="00DE2A8B"/>
    <w:rsid w:val="00DE30A2"/>
    <w:rsid w:val="00DE3362"/>
    <w:rsid w:val="00DE7CDD"/>
    <w:rsid w:val="00DE7F26"/>
    <w:rsid w:val="00DF00C6"/>
    <w:rsid w:val="00DF012F"/>
    <w:rsid w:val="00DF23C9"/>
    <w:rsid w:val="00DF28CC"/>
    <w:rsid w:val="00DF2BDC"/>
    <w:rsid w:val="00DF3221"/>
    <w:rsid w:val="00DF3BA6"/>
    <w:rsid w:val="00DF5D86"/>
    <w:rsid w:val="00DF62B6"/>
    <w:rsid w:val="00DF6938"/>
    <w:rsid w:val="00E0054E"/>
    <w:rsid w:val="00E00EBC"/>
    <w:rsid w:val="00E022F9"/>
    <w:rsid w:val="00E03413"/>
    <w:rsid w:val="00E03BB9"/>
    <w:rsid w:val="00E04BC1"/>
    <w:rsid w:val="00E04EB7"/>
    <w:rsid w:val="00E04F68"/>
    <w:rsid w:val="00E0582F"/>
    <w:rsid w:val="00E05BBC"/>
    <w:rsid w:val="00E07151"/>
    <w:rsid w:val="00E07225"/>
    <w:rsid w:val="00E0761B"/>
    <w:rsid w:val="00E077DF"/>
    <w:rsid w:val="00E10359"/>
    <w:rsid w:val="00E11C89"/>
    <w:rsid w:val="00E12103"/>
    <w:rsid w:val="00E1225A"/>
    <w:rsid w:val="00E1250F"/>
    <w:rsid w:val="00E12B6E"/>
    <w:rsid w:val="00E13EA3"/>
    <w:rsid w:val="00E1450F"/>
    <w:rsid w:val="00E14655"/>
    <w:rsid w:val="00E14F97"/>
    <w:rsid w:val="00E151CC"/>
    <w:rsid w:val="00E155B7"/>
    <w:rsid w:val="00E15A5A"/>
    <w:rsid w:val="00E17456"/>
    <w:rsid w:val="00E17C7F"/>
    <w:rsid w:val="00E20266"/>
    <w:rsid w:val="00E21A91"/>
    <w:rsid w:val="00E21B54"/>
    <w:rsid w:val="00E21E43"/>
    <w:rsid w:val="00E228E0"/>
    <w:rsid w:val="00E2345D"/>
    <w:rsid w:val="00E24046"/>
    <w:rsid w:val="00E24A10"/>
    <w:rsid w:val="00E24B77"/>
    <w:rsid w:val="00E2541E"/>
    <w:rsid w:val="00E25CCB"/>
    <w:rsid w:val="00E32770"/>
    <w:rsid w:val="00E34E12"/>
    <w:rsid w:val="00E35962"/>
    <w:rsid w:val="00E36253"/>
    <w:rsid w:val="00E36A04"/>
    <w:rsid w:val="00E40461"/>
    <w:rsid w:val="00E404BF"/>
    <w:rsid w:val="00E4097D"/>
    <w:rsid w:val="00E40D8F"/>
    <w:rsid w:val="00E40FA7"/>
    <w:rsid w:val="00E416BE"/>
    <w:rsid w:val="00E42D30"/>
    <w:rsid w:val="00E433F3"/>
    <w:rsid w:val="00E4396E"/>
    <w:rsid w:val="00E4450F"/>
    <w:rsid w:val="00E44B1A"/>
    <w:rsid w:val="00E454C9"/>
    <w:rsid w:val="00E47922"/>
    <w:rsid w:val="00E47DE5"/>
    <w:rsid w:val="00E506F8"/>
    <w:rsid w:val="00E50D6E"/>
    <w:rsid w:val="00E51681"/>
    <w:rsid w:val="00E53090"/>
    <w:rsid w:val="00E53FE8"/>
    <w:rsid w:val="00E54003"/>
    <w:rsid w:val="00E5409F"/>
    <w:rsid w:val="00E54195"/>
    <w:rsid w:val="00E542B0"/>
    <w:rsid w:val="00E54FEF"/>
    <w:rsid w:val="00E55911"/>
    <w:rsid w:val="00E55ABB"/>
    <w:rsid w:val="00E5702B"/>
    <w:rsid w:val="00E5783E"/>
    <w:rsid w:val="00E60D08"/>
    <w:rsid w:val="00E6153E"/>
    <w:rsid w:val="00E6184E"/>
    <w:rsid w:val="00E62842"/>
    <w:rsid w:val="00E63B17"/>
    <w:rsid w:val="00E642DC"/>
    <w:rsid w:val="00E653B3"/>
    <w:rsid w:val="00E65B31"/>
    <w:rsid w:val="00E65B53"/>
    <w:rsid w:val="00E70D58"/>
    <w:rsid w:val="00E71D94"/>
    <w:rsid w:val="00E73A00"/>
    <w:rsid w:val="00E73CE4"/>
    <w:rsid w:val="00E742BB"/>
    <w:rsid w:val="00E75D79"/>
    <w:rsid w:val="00E76008"/>
    <w:rsid w:val="00E7690E"/>
    <w:rsid w:val="00E809B1"/>
    <w:rsid w:val="00E8166E"/>
    <w:rsid w:val="00E855CF"/>
    <w:rsid w:val="00E85638"/>
    <w:rsid w:val="00E85E68"/>
    <w:rsid w:val="00E87DFE"/>
    <w:rsid w:val="00E90609"/>
    <w:rsid w:val="00E911B0"/>
    <w:rsid w:val="00E912DF"/>
    <w:rsid w:val="00E918B6"/>
    <w:rsid w:val="00E91BCC"/>
    <w:rsid w:val="00E91DF4"/>
    <w:rsid w:val="00E92288"/>
    <w:rsid w:val="00E9247F"/>
    <w:rsid w:val="00E9291C"/>
    <w:rsid w:val="00E939FD"/>
    <w:rsid w:val="00E94969"/>
    <w:rsid w:val="00E95B9B"/>
    <w:rsid w:val="00E95C38"/>
    <w:rsid w:val="00E9619B"/>
    <w:rsid w:val="00E96B32"/>
    <w:rsid w:val="00E96CA5"/>
    <w:rsid w:val="00E9779D"/>
    <w:rsid w:val="00EA0C07"/>
    <w:rsid w:val="00EA169A"/>
    <w:rsid w:val="00EA17BC"/>
    <w:rsid w:val="00EA47C7"/>
    <w:rsid w:val="00EA5CC6"/>
    <w:rsid w:val="00EA683F"/>
    <w:rsid w:val="00EA7C57"/>
    <w:rsid w:val="00EB066A"/>
    <w:rsid w:val="00EB14B3"/>
    <w:rsid w:val="00EB1F8D"/>
    <w:rsid w:val="00EB2B1A"/>
    <w:rsid w:val="00EB32BE"/>
    <w:rsid w:val="00EB3CA2"/>
    <w:rsid w:val="00EB46D6"/>
    <w:rsid w:val="00EB5152"/>
    <w:rsid w:val="00EB523C"/>
    <w:rsid w:val="00EB7360"/>
    <w:rsid w:val="00EC0185"/>
    <w:rsid w:val="00EC1351"/>
    <w:rsid w:val="00EC2450"/>
    <w:rsid w:val="00EC2472"/>
    <w:rsid w:val="00EC2B0D"/>
    <w:rsid w:val="00EC5402"/>
    <w:rsid w:val="00EC5F00"/>
    <w:rsid w:val="00EC6418"/>
    <w:rsid w:val="00EC6FD0"/>
    <w:rsid w:val="00EC7C8D"/>
    <w:rsid w:val="00ED18EB"/>
    <w:rsid w:val="00ED2004"/>
    <w:rsid w:val="00ED3EF5"/>
    <w:rsid w:val="00ED40A7"/>
    <w:rsid w:val="00ED45AB"/>
    <w:rsid w:val="00ED46FC"/>
    <w:rsid w:val="00ED4C71"/>
    <w:rsid w:val="00ED544B"/>
    <w:rsid w:val="00ED5A19"/>
    <w:rsid w:val="00ED7439"/>
    <w:rsid w:val="00ED79E2"/>
    <w:rsid w:val="00EE01D9"/>
    <w:rsid w:val="00EE173D"/>
    <w:rsid w:val="00EE2C0C"/>
    <w:rsid w:val="00EE32E4"/>
    <w:rsid w:val="00EE4EB1"/>
    <w:rsid w:val="00EE53B3"/>
    <w:rsid w:val="00EE588C"/>
    <w:rsid w:val="00EE5C0B"/>
    <w:rsid w:val="00EE5C6F"/>
    <w:rsid w:val="00EE6CA9"/>
    <w:rsid w:val="00EF09EA"/>
    <w:rsid w:val="00EF21E0"/>
    <w:rsid w:val="00EF2F66"/>
    <w:rsid w:val="00EF3963"/>
    <w:rsid w:val="00EF4930"/>
    <w:rsid w:val="00EF5E6F"/>
    <w:rsid w:val="00EF6B32"/>
    <w:rsid w:val="00F01A6B"/>
    <w:rsid w:val="00F01B0B"/>
    <w:rsid w:val="00F021FA"/>
    <w:rsid w:val="00F036EC"/>
    <w:rsid w:val="00F03A4B"/>
    <w:rsid w:val="00F053E0"/>
    <w:rsid w:val="00F05B00"/>
    <w:rsid w:val="00F07D7B"/>
    <w:rsid w:val="00F1075A"/>
    <w:rsid w:val="00F111A3"/>
    <w:rsid w:val="00F11310"/>
    <w:rsid w:val="00F11EB4"/>
    <w:rsid w:val="00F1201B"/>
    <w:rsid w:val="00F12D3B"/>
    <w:rsid w:val="00F13A44"/>
    <w:rsid w:val="00F13C50"/>
    <w:rsid w:val="00F15666"/>
    <w:rsid w:val="00F15D81"/>
    <w:rsid w:val="00F1605C"/>
    <w:rsid w:val="00F1667F"/>
    <w:rsid w:val="00F2006A"/>
    <w:rsid w:val="00F20352"/>
    <w:rsid w:val="00F2156E"/>
    <w:rsid w:val="00F2173B"/>
    <w:rsid w:val="00F22AC7"/>
    <w:rsid w:val="00F22AD4"/>
    <w:rsid w:val="00F240B0"/>
    <w:rsid w:val="00F2512B"/>
    <w:rsid w:val="00F25309"/>
    <w:rsid w:val="00F25F0C"/>
    <w:rsid w:val="00F271B0"/>
    <w:rsid w:val="00F27446"/>
    <w:rsid w:val="00F31188"/>
    <w:rsid w:val="00F31A28"/>
    <w:rsid w:val="00F32587"/>
    <w:rsid w:val="00F3272E"/>
    <w:rsid w:val="00F33197"/>
    <w:rsid w:val="00F3320A"/>
    <w:rsid w:val="00F3327F"/>
    <w:rsid w:val="00F33F24"/>
    <w:rsid w:val="00F35ABB"/>
    <w:rsid w:val="00F35B19"/>
    <w:rsid w:val="00F35B9B"/>
    <w:rsid w:val="00F35F44"/>
    <w:rsid w:val="00F37227"/>
    <w:rsid w:val="00F4078D"/>
    <w:rsid w:val="00F40881"/>
    <w:rsid w:val="00F418EC"/>
    <w:rsid w:val="00F42324"/>
    <w:rsid w:val="00F42585"/>
    <w:rsid w:val="00F430CB"/>
    <w:rsid w:val="00F4363D"/>
    <w:rsid w:val="00F4395A"/>
    <w:rsid w:val="00F44194"/>
    <w:rsid w:val="00F45C86"/>
    <w:rsid w:val="00F4615C"/>
    <w:rsid w:val="00F46F85"/>
    <w:rsid w:val="00F47B55"/>
    <w:rsid w:val="00F50A34"/>
    <w:rsid w:val="00F51071"/>
    <w:rsid w:val="00F51905"/>
    <w:rsid w:val="00F5281B"/>
    <w:rsid w:val="00F52FA2"/>
    <w:rsid w:val="00F5303B"/>
    <w:rsid w:val="00F54B91"/>
    <w:rsid w:val="00F54FAA"/>
    <w:rsid w:val="00F575EE"/>
    <w:rsid w:val="00F57626"/>
    <w:rsid w:val="00F57ACA"/>
    <w:rsid w:val="00F57DA9"/>
    <w:rsid w:val="00F57F26"/>
    <w:rsid w:val="00F60AD3"/>
    <w:rsid w:val="00F62806"/>
    <w:rsid w:val="00F62E97"/>
    <w:rsid w:val="00F6315C"/>
    <w:rsid w:val="00F6352C"/>
    <w:rsid w:val="00F639B3"/>
    <w:rsid w:val="00F63A89"/>
    <w:rsid w:val="00F64209"/>
    <w:rsid w:val="00F651DE"/>
    <w:rsid w:val="00F65B90"/>
    <w:rsid w:val="00F6627A"/>
    <w:rsid w:val="00F701C8"/>
    <w:rsid w:val="00F70459"/>
    <w:rsid w:val="00F7240C"/>
    <w:rsid w:val="00F7245F"/>
    <w:rsid w:val="00F73181"/>
    <w:rsid w:val="00F74553"/>
    <w:rsid w:val="00F7576D"/>
    <w:rsid w:val="00F75FA4"/>
    <w:rsid w:val="00F7769A"/>
    <w:rsid w:val="00F776EE"/>
    <w:rsid w:val="00F77B73"/>
    <w:rsid w:val="00F8029B"/>
    <w:rsid w:val="00F81581"/>
    <w:rsid w:val="00F81E50"/>
    <w:rsid w:val="00F82AE7"/>
    <w:rsid w:val="00F84681"/>
    <w:rsid w:val="00F84BEC"/>
    <w:rsid w:val="00F85590"/>
    <w:rsid w:val="00F85A6C"/>
    <w:rsid w:val="00F8678F"/>
    <w:rsid w:val="00F86CB0"/>
    <w:rsid w:val="00F9026D"/>
    <w:rsid w:val="00F9068E"/>
    <w:rsid w:val="00F91228"/>
    <w:rsid w:val="00F932E4"/>
    <w:rsid w:val="00F93BF5"/>
    <w:rsid w:val="00F93E76"/>
    <w:rsid w:val="00F9433B"/>
    <w:rsid w:val="00F94797"/>
    <w:rsid w:val="00F95F1C"/>
    <w:rsid w:val="00F96E5A"/>
    <w:rsid w:val="00F96F63"/>
    <w:rsid w:val="00FA07AA"/>
    <w:rsid w:val="00FA160A"/>
    <w:rsid w:val="00FA1F08"/>
    <w:rsid w:val="00FA30BC"/>
    <w:rsid w:val="00FA3325"/>
    <w:rsid w:val="00FA3892"/>
    <w:rsid w:val="00FA4BCB"/>
    <w:rsid w:val="00FA5E3A"/>
    <w:rsid w:val="00FA6C72"/>
    <w:rsid w:val="00FA6E63"/>
    <w:rsid w:val="00FB1000"/>
    <w:rsid w:val="00FB1834"/>
    <w:rsid w:val="00FB2DCE"/>
    <w:rsid w:val="00FB385B"/>
    <w:rsid w:val="00FB415B"/>
    <w:rsid w:val="00FB6BFB"/>
    <w:rsid w:val="00FB6E8D"/>
    <w:rsid w:val="00FB726B"/>
    <w:rsid w:val="00FB7514"/>
    <w:rsid w:val="00FB7585"/>
    <w:rsid w:val="00FB759B"/>
    <w:rsid w:val="00FB7FAF"/>
    <w:rsid w:val="00FC0CB1"/>
    <w:rsid w:val="00FC13E1"/>
    <w:rsid w:val="00FC1D8D"/>
    <w:rsid w:val="00FC1F57"/>
    <w:rsid w:val="00FC1FB6"/>
    <w:rsid w:val="00FC25BD"/>
    <w:rsid w:val="00FC2DA0"/>
    <w:rsid w:val="00FC3056"/>
    <w:rsid w:val="00FC38B9"/>
    <w:rsid w:val="00FC45CD"/>
    <w:rsid w:val="00FC47B3"/>
    <w:rsid w:val="00FC4F40"/>
    <w:rsid w:val="00FC51FF"/>
    <w:rsid w:val="00FC5365"/>
    <w:rsid w:val="00FC592C"/>
    <w:rsid w:val="00FC5DF9"/>
    <w:rsid w:val="00FC5F54"/>
    <w:rsid w:val="00FC78AB"/>
    <w:rsid w:val="00FD24F8"/>
    <w:rsid w:val="00FD2D8B"/>
    <w:rsid w:val="00FD37B1"/>
    <w:rsid w:val="00FD4367"/>
    <w:rsid w:val="00FD4A56"/>
    <w:rsid w:val="00FD67C0"/>
    <w:rsid w:val="00FD6924"/>
    <w:rsid w:val="00FD6C0C"/>
    <w:rsid w:val="00FD7784"/>
    <w:rsid w:val="00FE1CC2"/>
    <w:rsid w:val="00FE1E70"/>
    <w:rsid w:val="00FE349F"/>
    <w:rsid w:val="00FE5418"/>
    <w:rsid w:val="00FE550F"/>
    <w:rsid w:val="00FE56F3"/>
    <w:rsid w:val="00FE5E74"/>
    <w:rsid w:val="00FE6087"/>
    <w:rsid w:val="00FE6314"/>
    <w:rsid w:val="00FE64B1"/>
    <w:rsid w:val="00FE7D54"/>
    <w:rsid w:val="00FF01E6"/>
    <w:rsid w:val="00FF06D2"/>
    <w:rsid w:val="00FF083D"/>
    <w:rsid w:val="00FF0884"/>
    <w:rsid w:val="00FF11F6"/>
    <w:rsid w:val="00FF1D47"/>
    <w:rsid w:val="00FF1E97"/>
    <w:rsid w:val="00FF28F5"/>
    <w:rsid w:val="00FF2961"/>
    <w:rsid w:val="00FF3606"/>
    <w:rsid w:val="00FF3672"/>
    <w:rsid w:val="00FF45EC"/>
    <w:rsid w:val="00FF4642"/>
    <w:rsid w:val="00FF4CEF"/>
    <w:rsid w:val="00FF565F"/>
    <w:rsid w:val="00FF5F25"/>
    <w:rsid w:val="00FF6058"/>
    <w:rsid w:val="00FF690B"/>
    <w:rsid w:val="00FF70D1"/>
    <w:rsid w:val="00FF7B95"/>
    <w:rsid w:val="0214EB02"/>
    <w:rsid w:val="03B456E8"/>
    <w:rsid w:val="04B610DE"/>
    <w:rsid w:val="0559A9C9"/>
    <w:rsid w:val="07739B75"/>
    <w:rsid w:val="088F5F43"/>
    <w:rsid w:val="09D0EEBA"/>
    <w:rsid w:val="0ACF824E"/>
    <w:rsid w:val="0C5454F9"/>
    <w:rsid w:val="0CD149ED"/>
    <w:rsid w:val="0F28B34E"/>
    <w:rsid w:val="101A29A3"/>
    <w:rsid w:val="178E1FF5"/>
    <w:rsid w:val="1810EA96"/>
    <w:rsid w:val="19CB7CE2"/>
    <w:rsid w:val="22BFCCF4"/>
    <w:rsid w:val="270EBDD5"/>
    <w:rsid w:val="2A0CA283"/>
    <w:rsid w:val="2D75F366"/>
    <w:rsid w:val="2F9B97A5"/>
    <w:rsid w:val="38E0C470"/>
    <w:rsid w:val="3C605564"/>
    <w:rsid w:val="3D86063D"/>
    <w:rsid w:val="4450B0C9"/>
    <w:rsid w:val="44941BD5"/>
    <w:rsid w:val="4735D46C"/>
    <w:rsid w:val="4D80C733"/>
    <w:rsid w:val="4DE3DDF8"/>
    <w:rsid w:val="51D95464"/>
    <w:rsid w:val="534703FA"/>
    <w:rsid w:val="591A4993"/>
    <w:rsid w:val="5B7E706F"/>
    <w:rsid w:val="5E25674A"/>
    <w:rsid w:val="5F5030A4"/>
    <w:rsid w:val="612BB889"/>
    <w:rsid w:val="64691A03"/>
    <w:rsid w:val="65BB11CB"/>
    <w:rsid w:val="6A2E9CE1"/>
    <w:rsid w:val="6B3E1589"/>
    <w:rsid w:val="6C21A7C2"/>
    <w:rsid w:val="70599E4E"/>
    <w:rsid w:val="756B5B3B"/>
    <w:rsid w:val="7A4902FC"/>
    <w:rsid w:val="7AF212B0"/>
    <w:rsid w:val="7EBF36D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D11B683-3B07-2C44-857B-3B2DD934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956"/>
    <w:rPr>
      <w:sz w:val="24"/>
      <w:szCs w:val="24"/>
      <w:lang w:eastAsia="ja-JP"/>
    </w:rPr>
  </w:style>
  <w:style w:type="paragraph" w:styleId="Heading1">
    <w:name w:val="heading 1"/>
    <w:basedOn w:val="Normal"/>
    <w:next w:val="ParaNum"/>
    <w:link w:val="Heading1Char"/>
    <w:qFormat/>
    <w:rsid w:val="00626EB6"/>
    <w:pPr>
      <w:keepNext/>
      <w:widowControl w:val="0"/>
      <w:numPr>
        <w:numId w:val="4"/>
      </w:numPr>
      <w:tabs>
        <w:tab w:val="left" w:pos="720"/>
      </w:tabs>
      <w:suppressAutoHyphens/>
      <w:spacing w:after="120"/>
      <w:outlineLvl w:val="0"/>
    </w:pPr>
    <w:rPr>
      <w:rFonts w:ascii="Times New Roman Bold" w:hAnsi="Times New Roman Bold"/>
      <w:b/>
      <w:caps/>
      <w:snapToGrid w:val="0"/>
      <w:kern w:val="28"/>
      <w:sz w:val="22"/>
      <w:szCs w:val="20"/>
      <w:lang w:eastAsia="en-US"/>
    </w:rPr>
  </w:style>
  <w:style w:type="paragraph" w:styleId="Heading2">
    <w:name w:val="heading 2"/>
    <w:basedOn w:val="Normal"/>
    <w:next w:val="ParaNum"/>
    <w:link w:val="Heading2Char"/>
    <w:autoRedefine/>
    <w:qFormat/>
    <w:rsid w:val="002A32B5"/>
    <w:pPr>
      <w:keepNext/>
      <w:widowControl w:val="0"/>
      <w:numPr>
        <w:ilvl w:val="1"/>
        <w:numId w:val="4"/>
      </w:numPr>
      <w:spacing w:after="120"/>
      <w:outlineLvl w:val="1"/>
    </w:pPr>
    <w:rPr>
      <w:b/>
      <w:snapToGrid w:val="0"/>
      <w:kern w:val="28"/>
      <w:sz w:val="22"/>
      <w:szCs w:val="20"/>
      <w:lang w:eastAsia="en-US"/>
    </w:rPr>
  </w:style>
  <w:style w:type="paragraph" w:styleId="Heading3">
    <w:name w:val="heading 3"/>
    <w:basedOn w:val="Normal"/>
    <w:next w:val="ParaNum"/>
    <w:qFormat/>
    <w:rsid w:val="00BA6196"/>
    <w:pPr>
      <w:keepNext/>
      <w:widowControl w:val="0"/>
      <w:numPr>
        <w:ilvl w:val="2"/>
        <w:numId w:val="4"/>
      </w:numPr>
      <w:tabs>
        <w:tab w:val="left" w:pos="2160"/>
      </w:tabs>
      <w:spacing w:after="120"/>
      <w:outlineLvl w:val="2"/>
    </w:pPr>
    <w:rPr>
      <w:b/>
      <w:snapToGrid w:val="0"/>
      <w:kern w:val="28"/>
      <w:sz w:val="22"/>
      <w:szCs w:val="20"/>
      <w:lang w:eastAsia="en-US"/>
    </w:rPr>
  </w:style>
  <w:style w:type="paragraph" w:styleId="Heading4">
    <w:name w:val="heading 4"/>
    <w:basedOn w:val="Normal"/>
    <w:next w:val="ParaNum"/>
    <w:qFormat/>
    <w:rsid w:val="00C426B1"/>
    <w:pPr>
      <w:keepNext/>
      <w:widowControl w:val="0"/>
      <w:numPr>
        <w:ilvl w:val="3"/>
        <w:numId w:val="4"/>
      </w:numPr>
      <w:tabs>
        <w:tab w:val="left" w:pos="2880"/>
      </w:tabs>
      <w:spacing w:after="120"/>
      <w:outlineLvl w:val="3"/>
    </w:pPr>
    <w:rPr>
      <w:b/>
      <w:snapToGrid w:val="0"/>
      <w:kern w:val="28"/>
      <w:sz w:val="22"/>
      <w:szCs w:val="20"/>
      <w:lang w:eastAsia="en-US"/>
    </w:rPr>
  </w:style>
  <w:style w:type="paragraph" w:styleId="Heading5">
    <w:name w:val="heading 5"/>
    <w:basedOn w:val="Normal"/>
    <w:next w:val="ParaNum"/>
    <w:qFormat/>
    <w:rsid w:val="00511968"/>
    <w:pPr>
      <w:keepNext/>
      <w:widowControl w:val="0"/>
      <w:numPr>
        <w:ilvl w:val="4"/>
        <w:numId w:val="4"/>
      </w:numPr>
      <w:tabs>
        <w:tab w:val="left" w:pos="3600"/>
      </w:tabs>
      <w:suppressAutoHyphens/>
      <w:spacing w:after="120"/>
      <w:outlineLvl w:val="4"/>
    </w:pPr>
    <w:rPr>
      <w:b/>
      <w:snapToGrid w:val="0"/>
      <w:kern w:val="28"/>
      <w:sz w:val="22"/>
      <w:szCs w:val="20"/>
      <w:lang w:eastAsia="en-US"/>
    </w:rPr>
  </w:style>
  <w:style w:type="paragraph" w:styleId="Heading6">
    <w:name w:val="heading 6"/>
    <w:basedOn w:val="Normal"/>
    <w:next w:val="ParaNum"/>
    <w:qFormat/>
    <w:rsid w:val="00036039"/>
    <w:pPr>
      <w:widowControl w:val="0"/>
      <w:numPr>
        <w:ilvl w:val="5"/>
        <w:numId w:val="4"/>
      </w:numPr>
      <w:tabs>
        <w:tab w:val="left" w:pos="4320"/>
      </w:tabs>
      <w:spacing w:after="120"/>
      <w:outlineLvl w:val="5"/>
    </w:pPr>
    <w:rPr>
      <w:b/>
      <w:snapToGrid w:val="0"/>
      <w:kern w:val="28"/>
      <w:sz w:val="22"/>
      <w:szCs w:val="20"/>
      <w:lang w:eastAsia="en-US"/>
    </w:rPr>
  </w:style>
  <w:style w:type="paragraph" w:styleId="Heading7">
    <w:name w:val="heading 7"/>
    <w:basedOn w:val="Normal"/>
    <w:next w:val="ParaNum"/>
    <w:qFormat/>
    <w:rsid w:val="00036039"/>
    <w:pPr>
      <w:widowControl w:val="0"/>
      <w:numPr>
        <w:ilvl w:val="6"/>
        <w:numId w:val="4"/>
      </w:numPr>
      <w:tabs>
        <w:tab w:val="left" w:pos="5040"/>
      </w:tabs>
      <w:spacing w:after="120"/>
      <w:ind w:left="5040" w:hanging="720"/>
      <w:outlineLvl w:val="6"/>
    </w:pPr>
    <w:rPr>
      <w:b/>
      <w:snapToGrid w:val="0"/>
      <w:kern w:val="28"/>
      <w:sz w:val="22"/>
      <w:szCs w:val="20"/>
      <w:lang w:eastAsia="en-US"/>
    </w:rPr>
  </w:style>
  <w:style w:type="paragraph" w:styleId="Heading8">
    <w:name w:val="heading 8"/>
    <w:basedOn w:val="Normal"/>
    <w:next w:val="ParaNum"/>
    <w:qFormat/>
    <w:rsid w:val="001E01CA"/>
    <w:pPr>
      <w:widowControl w:val="0"/>
      <w:numPr>
        <w:ilvl w:val="7"/>
        <w:numId w:val="4"/>
      </w:numPr>
      <w:tabs>
        <w:tab w:val="clear" w:pos="5400"/>
        <w:tab w:val="left" w:pos="5760"/>
      </w:tabs>
      <w:spacing w:after="120"/>
      <w:ind w:left="5760" w:hanging="720"/>
      <w:outlineLvl w:val="7"/>
    </w:pPr>
    <w:rPr>
      <w:b/>
      <w:snapToGrid w:val="0"/>
      <w:kern w:val="28"/>
      <w:sz w:val="22"/>
      <w:szCs w:val="20"/>
      <w:lang w:eastAsia="en-US"/>
    </w:rPr>
  </w:style>
  <w:style w:type="paragraph" w:styleId="Heading9">
    <w:name w:val="heading 9"/>
    <w:basedOn w:val="Normal"/>
    <w:next w:val="ParaNum"/>
    <w:qFormat/>
    <w:rsid w:val="001E01CA"/>
    <w:pPr>
      <w:widowControl w:val="0"/>
      <w:numPr>
        <w:ilvl w:val="8"/>
        <w:numId w:val="4"/>
      </w:numPr>
      <w:tabs>
        <w:tab w:val="clear" w:pos="6120"/>
        <w:tab w:val="left" w:pos="6480"/>
      </w:tabs>
      <w:spacing w:after="120"/>
      <w:ind w:left="6480" w:hanging="720"/>
      <w:outlineLvl w:val="8"/>
    </w:pPr>
    <w:rPr>
      <w:b/>
      <w:snapToGrid w:val="0"/>
      <w:kern w:val="28"/>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widowControl w:val="0"/>
      <w:numPr>
        <w:numId w:val="3"/>
      </w:numPr>
      <w:tabs>
        <w:tab w:val="num" w:pos="1080"/>
        <w:tab w:val="clear" w:pos="3690"/>
      </w:tabs>
      <w:spacing w:after="120"/>
      <w:ind w:left="0"/>
    </w:pPr>
    <w:rPr>
      <w:snapToGrid w:val="0"/>
      <w:kern w:val="28"/>
      <w:sz w:val="22"/>
      <w:szCs w:val="20"/>
      <w:lang w:eastAsia="en-US"/>
    </w:rPr>
  </w:style>
  <w:style w:type="paragraph" w:styleId="EndnoteText">
    <w:name w:val="endnote text"/>
    <w:basedOn w:val="Normal"/>
    <w:semiHidden/>
    <w:pPr>
      <w:widowControl w:val="0"/>
    </w:pPr>
    <w:rPr>
      <w:snapToGrid w:val="0"/>
      <w:kern w:val="28"/>
      <w:sz w:val="20"/>
      <w:szCs w:val="20"/>
      <w:lang w:eastAsia="en-US"/>
    </w:rPr>
  </w:style>
  <w:style w:type="character" w:styleId="EndnoteReference">
    <w:name w:val="endnote reference"/>
    <w:semiHidden/>
    <w:rPr>
      <w:vertAlign w:val="superscript"/>
    </w:rPr>
  </w:style>
  <w:style w:type="paragraph" w:styleId="FootnoteText">
    <w:name w:val="footnote text"/>
    <w:link w:val="FootnoteTextChar"/>
    <w:uiPriority w:val="99"/>
    <w:qFormat/>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caps/>
      <w:noProof/>
      <w:snapToGrid w:val="0"/>
      <w:kern w:val="28"/>
      <w:sz w:val="22"/>
      <w:szCs w:val="20"/>
      <w:lang w:eastAsia="en-US"/>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sz w:val="22"/>
      <w:szCs w:val="20"/>
      <w:lang w:eastAsia="en-US"/>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sz w:val="22"/>
      <w:szCs w:val="20"/>
      <w:lang w:eastAsia="en-US"/>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sz w:val="22"/>
      <w:szCs w:val="20"/>
      <w:lang w:eastAsia="en-US"/>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sz w:val="22"/>
      <w:szCs w:val="20"/>
      <w:lang w:eastAsia="en-US"/>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sz w:val="22"/>
      <w:szCs w:val="20"/>
      <w:lang w:eastAsia="en-US"/>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noProof/>
      <w:snapToGrid w:val="0"/>
      <w:kern w:val="28"/>
      <w:sz w:val="22"/>
      <w:szCs w:val="20"/>
      <w:lang w:eastAsia="en-US"/>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noProof/>
      <w:snapToGrid w:val="0"/>
      <w:kern w:val="28"/>
      <w:sz w:val="22"/>
      <w:szCs w:val="20"/>
      <w:lang w:eastAsia="en-US"/>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noProof/>
      <w:snapToGrid w:val="0"/>
      <w:kern w:val="28"/>
      <w:sz w:val="22"/>
      <w:szCs w:val="20"/>
      <w:lang w:eastAsia="en-US"/>
    </w:rPr>
  </w:style>
  <w:style w:type="paragraph" w:styleId="TOAHeading">
    <w:name w:val="toa heading"/>
    <w:basedOn w:val="Normal"/>
    <w:next w:val="Normal"/>
    <w:semiHidden/>
    <w:pPr>
      <w:widowControl w:val="0"/>
      <w:tabs>
        <w:tab w:val="right" w:pos="9360"/>
      </w:tabs>
      <w:suppressAutoHyphens/>
    </w:pPr>
    <w:rPr>
      <w:snapToGrid w:val="0"/>
      <w:kern w:val="28"/>
      <w:sz w:val="22"/>
      <w:szCs w:val="20"/>
      <w:lang w:eastAsia="en-US"/>
    </w:rPr>
  </w:style>
  <w:style w:type="character" w:customStyle="1" w:styleId="EquationCaption">
    <w:name w:val="_Equation Caption"/>
  </w:style>
  <w:style w:type="paragraph" w:styleId="Header">
    <w:name w:val="header"/>
    <w:basedOn w:val="Normal"/>
    <w:link w:val="HeaderChar"/>
    <w:autoRedefine/>
    <w:uiPriority w:val="99"/>
    <w:rsid w:val="00483755"/>
    <w:pPr>
      <w:widowControl w:val="0"/>
      <w:tabs>
        <w:tab w:val="center" w:pos="4680"/>
        <w:tab w:val="right" w:pos="9360"/>
      </w:tabs>
      <w:spacing w:before="40"/>
    </w:pPr>
    <w:rPr>
      <w:rFonts w:ascii="Arial" w:hAnsi="Arial" w:cs="Arial"/>
      <w:b/>
      <w:snapToGrid w:val="0"/>
      <w:kern w:val="28"/>
      <w:sz w:val="96"/>
      <w:szCs w:val="96"/>
      <w:lang w:eastAsia="en-US"/>
    </w:rPr>
  </w:style>
  <w:style w:type="paragraph" w:styleId="Footer">
    <w:name w:val="footer"/>
    <w:basedOn w:val="Normal"/>
    <w:link w:val="FooterChar"/>
    <w:uiPriority w:val="99"/>
    <w:pPr>
      <w:widowControl w:val="0"/>
      <w:tabs>
        <w:tab w:val="center" w:pos="4320"/>
        <w:tab w:val="right" w:pos="8640"/>
      </w:tabs>
    </w:pPr>
    <w:rPr>
      <w:snapToGrid w:val="0"/>
      <w:kern w:val="28"/>
      <w:sz w:val="22"/>
      <w:szCs w:val="20"/>
      <w:lang w:eastAsia="en-US"/>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sz w:val="22"/>
      <w:szCs w:val="20"/>
      <w:lang w:eastAsia="en-US"/>
    </w:rPr>
  </w:style>
  <w:style w:type="paragraph" w:customStyle="1" w:styleId="Paratitle">
    <w:name w:val="Para title"/>
    <w:basedOn w:val="Normal"/>
    <w:pPr>
      <w:widowControl w:val="0"/>
      <w:tabs>
        <w:tab w:val="center" w:pos="9270"/>
      </w:tabs>
      <w:spacing w:after="240"/>
    </w:pPr>
    <w:rPr>
      <w:snapToGrid w:val="0"/>
      <w:spacing w:val="-2"/>
      <w:kern w:val="28"/>
      <w:sz w:val="22"/>
      <w:szCs w:val="20"/>
      <w:lang w:eastAsia="en-US"/>
    </w:rPr>
  </w:style>
  <w:style w:type="paragraph" w:customStyle="1" w:styleId="Bullet">
    <w:name w:val="Bullet"/>
    <w:basedOn w:val="Normal"/>
    <w:pPr>
      <w:widowControl w:val="0"/>
      <w:numPr>
        <w:numId w:val="2"/>
      </w:numPr>
      <w:tabs>
        <w:tab w:val="clear" w:pos="360"/>
        <w:tab w:val="left" w:pos="2160"/>
      </w:tabs>
      <w:spacing w:after="220"/>
      <w:ind w:left="2160" w:hanging="720"/>
    </w:pPr>
    <w:rPr>
      <w:snapToGrid w:val="0"/>
      <w:kern w:val="28"/>
      <w:sz w:val="22"/>
      <w:szCs w:val="20"/>
      <w:lang w:eastAsia="en-US"/>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sz w:val="22"/>
      <w:szCs w:val="20"/>
      <w:lang w:eastAsia="en-US"/>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 w:val="22"/>
      <w:szCs w:val="22"/>
      <w:lang w:eastAsia="en-U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AppendixHeading1">
    <w:name w:val="Appendix Heading 1"/>
    <w:basedOn w:val="Normal"/>
    <w:next w:val="Normal"/>
    <w:qFormat/>
    <w:rsid w:val="00E9619B"/>
    <w:pPr>
      <w:keepNext/>
      <w:widowControl w:val="0"/>
      <w:numPr>
        <w:numId w:val="63"/>
      </w:numPr>
      <w:spacing w:before="120" w:after="120" w:line="360" w:lineRule="auto"/>
      <w:jc w:val="center"/>
      <w:outlineLvl w:val="0"/>
    </w:pPr>
    <w:rPr>
      <w:b/>
      <w:snapToGrid w:val="0"/>
      <w:kern w:val="28"/>
      <w:sz w:val="22"/>
      <w:szCs w:val="20"/>
      <w:lang w:eastAsia="en-US"/>
    </w:rPr>
  </w:style>
  <w:style w:type="paragraph" w:customStyle="1" w:styleId="AppendixHeading2">
    <w:name w:val="Appendix Heading 2"/>
    <w:basedOn w:val="Normal"/>
    <w:next w:val="Normal"/>
    <w:qFormat/>
    <w:rsid w:val="007723D3"/>
    <w:pPr>
      <w:keepNext/>
      <w:keepLines/>
      <w:widowControl w:val="0"/>
      <w:numPr>
        <w:ilvl w:val="1"/>
        <w:numId w:val="63"/>
      </w:numPr>
      <w:spacing w:before="120" w:after="120"/>
      <w:outlineLvl w:val="1"/>
    </w:pPr>
    <w:rPr>
      <w:b/>
      <w:snapToGrid w:val="0"/>
      <w:kern w:val="28"/>
      <w:sz w:val="22"/>
      <w:szCs w:val="20"/>
      <w:lang w:eastAsia="en-US"/>
    </w:rPr>
  </w:style>
  <w:style w:type="paragraph" w:customStyle="1" w:styleId="AppendixHeading3">
    <w:name w:val="Appendix Heading 3"/>
    <w:basedOn w:val="Normal"/>
    <w:next w:val="Normal"/>
    <w:qFormat/>
    <w:rsid w:val="00E9619B"/>
    <w:pPr>
      <w:keepNext/>
      <w:keepLines/>
      <w:widowControl w:val="0"/>
      <w:numPr>
        <w:ilvl w:val="2"/>
        <w:numId w:val="63"/>
      </w:numPr>
      <w:spacing w:before="120" w:after="120"/>
      <w:outlineLvl w:val="2"/>
    </w:pPr>
    <w:rPr>
      <w:b/>
      <w:snapToGrid w:val="0"/>
      <w:kern w:val="28"/>
      <w:sz w:val="22"/>
      <w:szCs w:val="20"/>
      <w:lang w:eastAsia="en-US"/>
    </w:rPr>
  </w:style>
  <w:style w:type="paragraph" w:customStyle="1" w:styleId="AppendixHeading4">
    <w:name w:val="Appendix Heading 4"/>
    <w:basedOn w:val="Normal"/>
    <w:next w:val="Normal"/>
    <w:qFormat/>
    <w:rsid w:val="00E9619B"/>
    <w:pPr>
      <w:keepNext/>
      <w:widowControl w:val="0"/>
      <w:numPr>
        <w:ilvl w:val="3"/>
        <w:numId w:val="63"/>
      </w:numPr>
      <w:spacing w:before="120" w:after="120"/>
      <w:outlineLvl w:val="3"/>
    </w:pPr>
    <w:rPr>
      <w:b/>
      <w:bCs/>
      <w:snapToGrid w:val="0"/>
      <w:kern w:val="28"/>
      <w:sz w:val="22"/>
      <w:szCs w:val="20"/>
      <w:lang w:eastAsia="en-US"/>
    </w:rPr>
  </w:style>
  <w:style w:type="numbering" w:customStyle="1" w:styleId="AppendixHeadings">
    <w:name w:val="Appendix Headings"/>
    <w:uiPriority w:val="99"/>
    <w:rsid w:val="00E9619B"/>
    <w:pPr>
      <w:numPr>
        <w:numId w:val="35"/>
      </w:numPr>
    </w:pPr>
  </w:style>
  <w:style w:type="paragraph" w:styleId="BalloonText">
    <w:name w:val="Balloon Text"/>
    <w:basedOn w:val="Normal"/>
    <w:link w:val="BalloonTextChar"/>
    <w:uiPriority w:val="99"/>
    <w:semiHidden/>
    <w:unhideWhenUsed/>
    <w:rsid w:val="003C5379"/>
    <w:pPr>
      <w:widowControl w:val="0"/>
    </w:pPr>
    <w:rPr>
      <w:snapToGrid w:val="0"/>
      <w:kern w:val="28"/>
      <w:sz w:val="18"/>
      <w:szCs w:val="18"/>
      <w:lang w:eastAsia="en-US"/>
    </w:rPr>
  </w:style>
  <w:style w:type="character" w:customStyle="1" w:styleId="BalloonTextChar">
    <w:name w:val="Balloon Text Char"/>
    <w:basedOn w:val="DefaultParagraphFont"/>
    <w:link w:val="BalloonText"/>
    <w:uiPriority w:val="99"/>
    <w:semiHidden/>
    <w:rsid w:val="003C5379"/>
    <w:rPr>
      <w:snapToGrid w:val="0"/>
      <w:kern w:val="28"/>
      <w:sz w:val="18"/>
      <w:szCs w:val="18"/>
    </w:rPr>
  </w:style>
  <w:style w:type="character" w:styleId="CommentReference">
    <w:name w:val="annotation reference"/>
    <w:basedOn w:val="DefaultParagraphFont"/>
    <w:uiPriority w:val="99"/>
    <w:rsid w:val="003C5379"/>
    <w:rPr>
      <w:sz w:val="16"/>
      <w:szCs w:val="16"/>
    </w:rPr>
  </w:style>
  <w:style w:type="paragraph" w:styleId="CommentText">
    <w:name w:val="annotation text"/>
    <w:basedOn w:val="Normal"/>
    <w:link w:val="CommentTextChar"/>
    <w:uiPriority w:val="99"/>
    <w:rsid w:val="003C5379"/>
    <w:pPr>
      <w:widowControl w:val="0"/>
    </w:pPr>
    <w:rPr>
      <w:snapToGrid w:val="0"/>
      <w:kern w:val="28"/>
      <w:sz w:val="20"/>
      <w:szCs w:val="20"/>
      <w:lang w:eastAsia="en-US"/>
    </w:rPr>
  </w:style>
  <w:style w:type="character" w:customStyle="1" w:styleId="CommentTextChar">
    <w:name w:val="Comment Text Char"/>
    <w:basedOn w:val="DefaultParagraphFont"/>
    <w:link w:val="CommentText"/>
    <w:uiPriority w:val="99"/>
    <w:rsid w:val="003C5379"/>
    <w:rPr>
      <w:snapToGrid w:val="0"/>
      <w:kern w:val="28"/>
    </w:rPr>
  </w:style>
  <w:style w:type="character" w:customStyle="1" w:styleId="FootnoteTextChar">
    <w:name w:val="Footnote Text Char"/>
    <w:link w:val="FootnoteText"/>
    <w:uiPriority w:val="99"/>
    <w:rsid w:val="003C5379"/>
  </w:style>
  <w:style w:type="character" w:customStyle="1" w:styleId="ParaNumCharChar1">
    <w:name w:val="ParaNum Char Char1"/>
    <w:link w:val="ParaNum"/>
    <w:locked/>
    <w:rsid w:val="003C5379"/>
    <w:rPr>
      <w:snapToGrid w:val="0"/>
      <w:kern w:val="28"/>
      <w:sz w:val="22"/>
    </w:rPr>
  </w:style>
  <w:style w:type="paragraph" w:customStyle="1" w:styleId="Paranum0">
    <w:name w:val="Paranum"/>
    <w:basedOn w:val="Normal"/>
    <w:autoRedefine/>
    <w:rsid w:val="00824DED"/>
    <w:pPr>
      <w:spacing w:after="120"/>
    </w:pPr>
    <w:rPr>
      <w:kern w:val="28"/>
      <w:sz w:val="22"/>
      <w:szCs w:val="20"/>
      <w:lang w:eastAsia="en-US"/>
    </w:rPr>
  </w:style>
  <w:style w:type="character" w:styleId="FollowedHyperlink">
    <w:name w:val="FollowedHyperlink"/>
    <w:basedOn w:val="DefaultParagraphFont"/>
    <w:uiPriority w:val="99"/>
    <w:semiHidden/>
    <w:unhideWhenUsed/>
    <w:rsid w:val="0055163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F5032"/>
    <w:rPr>
      <w:b/>
      <w:bCs/>
    </w:rPr>
  </w:style>
  <w:style w:type="character" w:customStyle="1" w:styleId="CommentSubjectChar">
    <w:name w:val="Comment Subject Char"/>
    <w:basedOn w:val="CommentTextChar"/>
    <w:link w:val="CommentSubject"/>
    <w:uiPriority w:val="99"/>
    <w:semiHidden/>
    <w:rsid w:val="002F5032"/>
    <w:rPr>
      <w:b/>
      <w:bCs/>
      <w:snapToGrid w:val="0"/>
      <w:kern w:val="28"/>
    </w:rPr>
  </w:style>
  <w:style w:type="character" w:customStyle="1" w:styleId="UnresolvedMention">
    <w:name w:val="Unresolved Mention"/>
    <w:basedOn w:val="DefaultParagraphFont"/>
    <w:uiPriority w:val="99"/>
    <w:semiHidden/>
    <w:unhideWhenUsed/>
    <w:rsid w:val="006455B2"/>
    <w:rPr>
      <w:color w:val="605E5C"/>
      <w:shd w:val="clear" w:color="auto" w:fill="E1DFDD"/>
    </w:rPr>
  </w:style>
  <w:style w:type="character" w:customStyle="1" w:styleId="ParaNumChar">
    <w:name w:val="ParaNum Char"/>
    <w:locked/>
    <w:rsid w:val="009D2931"/>
    <w:rPr>
      <w:snapToGrid w:val="0"/>
      <w:kern w:val="28"/>
      <w:sz w:val="22"/>
    </w:rPr>
  </w:style>
  <w:style w:type="character" w:styleId="PlaceholderText">
    <w:name w:val="Placeholder Text"/>
    <w:basedOn w:val="DefaultParagraphFont"/>
    <w:uiPriority w:val="99"/>
    <w:semiHidden/>
    <w:rsid w:val="00130AFC"/>
    <w:rPr>
      <w:color w:val="808080"/>
    </w:rPr>
  </w:style>
  <w:style w:type="paragraph" w:styleId="ListParagraph">
    <w:name w:val="List Paragraph"/>
    <w:basedOn w:val="Normal"/>
    <w:uiPriority w:val="34"/>
    <w:qFormat/>
    <w:rsid w:val="00130AF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83755"/>
    <w:rPr>
      <w:rFonts w:ascii="Arial" w:hAnsi="Arial" w:cs="Arial"/>
      <w:b/>
      <w:snapToGrid w:val="0"/>
      <w:kern w:val="28"/>
      <w:sz w:val="96"/>
      <w:szCs w:val="96"/>
    </w:rPr>
  </w:style>
  <w:style w:type="paragraph" w:styleId="Caption">
    <w:name w:val="caption"/>
    <w:basedOn w:val="Normal"/>
    <w:next w:val="Normal"/>
    <w:uiPriority w:val="35"/>
    <w:unhideWhenUsed/>
    <w:qFormat/>
    <w:rsid w:val="00130AFC"/>
    <w:pPr>
      <w:spacing w:after="200"/>
    </w:pPr>
    <w:rPr>
      <w:rFonts w:asciiTheme="minorHAnsi" w:eastAsiaTheme="minorHAnsi" w:hAnsiTheme="minorHAnsi" w:cstheme="minorBidi"/>
      <w:i/>
      <w:iCs/>
      <w:color w:val="44546A" w:themeColor="text2"/>
      <w:sz w:val="18"/>
      <w:szCs w:val="18"/>
      <w:lang w:eastAsia="en-US"/>
    </w:rPr>
  </w:style>
  <w:style w:type="paragraph" w:styleId="Revision">
    <w:name w:val="Revision"/>
    <w:hidden/>
    <w:uiPriority w:val="99"/>
    <w:semiHidden/>
    <w:rsid w:val="00130AFC"/>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4D1CA3"/>
    <w:rPr>
      <w:rFonts w:ascii="Times New Roman Bold" w:hAnsi="Times New Roman Bold"/>
      <w:b/>
      <w:caps/>
      <w:snapToGrid w:val="0"/>
      <w:kern w:val="28"/>
      <w:sz w:val="22"/>
    </w:rPr>
  </w:style>
  <w:style w:type="character" w:customStyle="1" w:styleId="FootnoteTextChar1">
    <w:name w:val="Footnote Text Char1"/>
    <w:uiPriority w:val="99"/>
    <w:rsid w:val="00984EC1"/>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2A32B5"/>
    <w:rPr>
      <w:b/>
      <w:snapToGrid w:val="0"/>
      <w:kern w:val="28"/>
      <w:sz w:val="22"/>
    </w:rPr>
  </w:style>
  <w:style w:type="character" w:styleId="Emphasis">
    <w:name w:val="Emphasis"/>
    <w:basedOn w:val="DefaultParagraphFont"/>
    <w:uiPriority w:val="20"/>
    <w:qFormat/>
    <w:rsid w:val="005229A1"/>
    <w:rPr>
      <w:i/>
      <w:iCs/>
    </w:rPr>
  </w:style>
  <w:style w:type="character" w:customStyle="1" w:styleId="UnresolvedMention1">
    <w:name w:val="Unresolved Mention1"/>
    <w:basedOn w:val="DefaultParagraphFont"/>
    <w:uiPriority w:val="99"/>
    <w:semiHidden/>
    <w:unhideWhenUsed/>
    <w:rsid w:val="003D704F"/>
    <w:rPr>
      <w:color w:val="605E5C"/>
      <w:shd w:val="clear" w:color="auto" w:fill="E1DFDD"/>
    </w:rPr>
  </w:style>
  <w:style w:type="paragraph" w:customStyle="1" w:styleId="xmsonormal">
    <w:name w:val="x_msonormal"/>
    <w:basedOn w:val="Normal"/>
    <w:rsid w:val="00AC579B"/>
    <w:rPr>
      <w:rFonts w:ascii="Calibri" w:hAnsi="Calibri" w:eastAsiaTheme="minorHAnsi" w:cs="Calibri"/>
      <w:sz w:val="22"/>
      <w:szCs w:val="22"/>
      <w:lang w:eastAsia="en-US"/>
    </w:rPr>
  </w:style>
  <w:style w:type="paragraph" w:styleId="NormalWeb">
    <w:name w:val="Normal (Web)"/>
    <w:basedOn w:val="Normal"/>
    <w:uiPriority w:val="99"/>
    <w:unhideWhenUsed/>
    <w:rsid w:val="00A47720"/>
    <w:rPr>
      <w:rFonts w:ascii="Calibri" w:hAnsi="Calibri" w:eastAsiaTheme="minorHAnsi" w:cs="Calibri"/>
      <w:sz w:val="22"/>
      <w:szCs w:val="22"/>
      <w:lang w:eastAsia="en-US"/>
    </w:rPr>
  </w:style>
  <w:style w:type="table" w:styleId="TableGrid">
    <w:name w:val="Table Grid"/>
    <w:basedOn w:val="TableNormal"/>
    <w:uiPriority w:val="59"/>
    <w:rsid w:val="0024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emf" /><Relationship Id="rId11" Type="http://schemas.openxmlformats.org/officeDocument/2006/relationships/package" Target="embeddings/ooxmlPackage1.xlsx" /><Relationship Id="rId12" Type="http://schemas.openxmlformats.org/officeDocument/2006/relationships/image" Target="media/image3.emf" /><Relationship Id="rId13" Type="http://schemas.openxmlformats.org/officeDocument/2006/relationships/package" Target="embeddings/ooxmlPackage2.xlsx" /><Relationship Id="rId14" Type="http://schemas.openxmlformats.org/officeDocument/2006/relationships/image" Target="media/image4.emf" /><Relationship Id="rId15" Type="http://schemas.openxmlformats.org/officeDocument/2006/relationships/package" Target="embeddings/ooxmlPackage3.xlsx" /><Relationship Id="rId16" Type="http://schemas.openxmlformats.org/officeDocument/2006/relationships/image" Target="media/image5.emf" /><Relationship Id="rId17" Type="http://schemas.openxmlformats.org/officeDocument/2006/relationships/package" Target="embeddings/ooxmlPackage4.xlsx" /><Relationship Id="rId18" Type="http://schemas.openxmlformats.org/officeDocument/2006/relationships/header" Target="header4.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image" Target="media/image1.emf" /></Relationships>
</file>

<file path=word/_rels/footnotes.xml.rels>&#65279;<?xml version="1.0" encoding="utf-8" standalone="yes"?><Relationships xmlns="http://schemas.openxmlformats.org/package/2006/relationships"><Relationship Id="rId1" Type="http://schemas.openxmlformats.org/officeDocument/2006/relationships/hyperlink" Target="https://s.campbellsci.com/documents/us/technical-papers/link-budget.pdf" TargetMode="External" /><Relationship Id="rId10" Type="http://schemas.openxmlformats.org/officeDocument/2006/relationships/hyperlink" Target="https://www.fcc.gov/reports-research/data/staff-block-estimates" TargetMode="External" /><Relationship Id="rId11" Type="http://schemas.openxmlformats.org/officeDocument/2006/relationships/hyperlink" Target="https://data.census.gov/cedsci/" TargetMode="External" /><Relationship Id="rId12" Type="http://schemas.openxmlformats.org/officeDocument/2006/relationships/hyperlink" Target="https://www2.census.gov/geo/pdfs/maps-data/data/tiger/tgrshp2010/TGRSHP10SF1.pdf" TargetMode="External" /><Relationship Id="rId13" Type="http://schemas.openxmlformats.org/officeDocument/2006/relationships/hyperlink" Target="https://web.archive.org/web/20120526031804/http://www.census.gov/geo/www/tiger/rel_file_desc.pdf" TargetMode="External" /><Relationship Id="rId14" Type="http://schemas.openxmlformats.org/officeDocument/2006/relationships/hyperlink" Target="ftp://ftp2.census.gov/geo/tiger/TIGER2010/" TargetMode="External" /><Relationship Id="rId15" Type="http://schemas.openxmlformats.org/officeDocument/2006/relationships/hyperlink" Target="https://www.bea.gov/data/gdp/gdp-county-metro-and-other-areas" TargetMode="External" /><Relationship Id="rId16" Type="http://schemas.openxmlformats.org/officeDocument/2006/relationships/hyperlink" Target="https://apps.bea.gov/regional/pdf/FIPSModifications.pdf" TargetMode="External" /><Relationship Id="rId17" Type="http://schemas.openxmlformats.org/officeDocument/2006/relationships/hyperlink" Target="https://www.census.gov/data/datasets/2014/econ/cbp/2014-cbp.html" TargetMode="External" /><Relationship Id="rId18" Type="http://schemas.openxmlformats.org/officeDocument/2006/relationships/hyperlink" Target="https://www.census.gov/programs-surveys/cbp/about/glossary.html" TargetMode="External" /><Relationship Id="rId19" Type="http://schemas.openxmlformats.org/officeDocument/2006/relationships/hyperlink" Target="https://www.census.gov/programs-surveys/acs" TargetMode="External" /><Relationship Id="rId2" Type="http://schemas.openxmlformats.org/officeDocument/2006/relationships/hyperlink" Target="http://www.wirelessestimator.com/t_content.cfm?pagename=US-Cell-Tower-Companies-Complete-List" TargetMode="External" /><Relationship Id="rId20" Type="http://schemas.openxmlformats.org/officeDocument/2006/relationships/hyperlink" Target="https://www.usgs.gov/core-science-systems/national-geospatial-program/land-cover" TargetMode="External" /><Relationship Id="rId21" Type="http://schemas.openxmlformats.org/officeDocument/2006/relationships/hyperlink" Target="https://auctionfiling.fcc.gov/form175/search175/index.htm" TargetMode="External" /><Relationship Id="rId3" Type="http://schemas.openxmlformats.org/officeDocument/2006/relationships/hyperlink" Target="https://www.fcc.gov/auction/901" TargetMode="External" /><Relationship Id="rId4" Type="http://schemas.openxmlformats.org/officeDocument/2006/relationships/hyperlink" Target="https://www.census.gov/programs-surveys/geography/technical-documentation/complete-technical-documentation/census-geocoder.html" TargetMode="External" /><Relationship Id="rId5" Type="http://schemas.openxmlformats.org/officeDocument/2006/relationships/hyperlink" Target="https://catalog.data.gov/dataset/usgs-national-elevation-dataset-ned" TargetMode="External" /><Relationship Id="rId6" Type="http://schemas.openxmlformats.org/officeDocument/2006/relationships/hyperlink" Target="https://nationalmap.gov/small_scale/mld/elev100.html" TargetMode="External" /><Relationship Id="rId7" Type="http://schemas.openxmlformats.org/officeDocument/2006/relationships/hyperlink" Target="https://www.census.gov/geographies/mapping-files/time-series/geo/tiger-line-file.2010.html" TargetMode="External" /><Relationship Id="rId8" Type="http://schemas.openxmlformats.org/officeDocument/2006/relationships/hyperlink" Target="http://desktop.arcgis.com/en/arcmap/10.3/tools/spatial-analyst-toolbox/how-focal-statistics-works.htm" TargetMode="External" /><Relationship Id="rId9" Type="http://schemas.openxmlformats.org/officeDocument/2006/relationships/hyperlink" Target="http://desktop.arcgis.com/en/arcmap/10.3/tools/spatial-analyst-toolbox/h-how-zonal-statistics-works.htm" TargetMode="External" /></Relationships>
</file>

<file path=word/_rels/header5.xml.rels>&#65279;<?xml version="1.0" encoding="utf-8" standalone="yes"?><Relationships xmlns="http://schemas.openxmlformats.org/package/2006/relationships"><Relationship Id="rId1" Type="http://schemas.openxmlformats.org/officeDocument/2006/relationships/image" Target="media/image6.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