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2FF1A0E7" w14:textId="77777777">
      <w:pPr>
        <w:jc w:val="right"/>
        <w:rPr>
          <w:sz w:val="24"/>
        </w:rPr>
      </w:pPr>
    </w:p>
    <w:p w:rsidR="00013A8B" w:rsidRPr="00B20363" w:rsidP="00013A8B" w14:paraId="6AE96D30" w14:textId="1753C541">
      <w:pPr>
        <w:jc w:val="right"/>
        <w:rPr>
          <w:b/>
          <w:sz w:val="24"/>
        </w:rPr>
      </w:pPr>
      <w:r>
        <w:rPr>
          <w:b/>
          <w:sz w:val="24"/>
        </w:rPr>
        <w:t>DA 20-</w:t>
      </w:r>
      <w:r w:rsidR="004F1A11">
        <w:rPr>
          <w:b/>
          <w:sz w:val="24"/>
        </w:rPr>
        <w:t>599</w:t>
      </w:r>
    </w:p>
    <w:p w:rsidR="00013A8B" w:rsidRPr="00B20363" w:rsidP="00013A8B" w14:paraId="180EAD1F" w14:textId="18189E05">
      <w:pPr>
        <w:spacing w:before="60"/>
        <w:jc w:val="right"/>
        <w:rPr>
          <w:b/>
          <w:sz w:val="24"/>
        </w:rPr>
      </w:pPr>
      <w:r>
        <w:rPr>
          <w:b/>
          <w:sz w:val="24"/>
        </w:rPr>
        <w:t xml:space="preserve">Released:  </w:t>
      </w:r>
      <w:r w:rsidR="004F0093">
        <w:rPr>
          <w:b/>
          <w:sz w:val="24"/>
        </w:rPr>
        <w:t>June 8, 2020</w:t>
      </w:r>
    </w:p>
    <w:p w:rsidR="00013A8B" w:rsidP="00013A8B" w14:paraId="06143A48" w14:textId="77777777">
      <w:pPr>
        <w:jc w:val="right"/>
        <w:rPr>
          <w:sz w:val="24"/>
        </w:rPr>
      </w:pPr>
    </w:p>
    <w:p w:rsidR="00013A8B" w:rsidRPr="00B20363" w:rsidP="00013A8B" w14:paraId="510CA297" w14:textId="5F16C95E">
      <w:pPr>
        <w:spacing w:after="240"/>
        <w:jc w:val="center"/>
        <w:rPr>
          <w:rFonts w:ascii="Times New Roman Bold" w:hAnsi="Times New Roman Bold"/>
          <w:b/>
          <w:caps/>
          <w:sz w:val="24"/>
        </w:rPr>
      </w:pPr>
      <w:r>
        <w:rPr>
          <w:rFonts w:ascii="Times New Roman Bold" w:hAnsi="Times New Roman Bold"/>
          <w:b/>
          <w:caps/>
          <w:sz w:val="24"/>
        </w:rPr>
        <w:t xml:space="preserve">wireless Telecommunications Bureau Announces </w:t>
      </w:r>
      <w:r w:rsidR="007142DF">
        <w:rPr>
          <w:rFonts w:ascii="Times New Roman Bold" w:hAnsi="Times New Roman Bold"/>
          <w:b/>
          <w:caps/>
          <w:sz w:val="24"/>
        </w:rPr>
        <w:t xml:space="preserve">relocation Payment ClearingHouse </w:t>
      </w:r>
      <w:r>
        <w:rPr>
          <w:rFonts w:ascii="Times New Roman Bold" w:hAnsi="Times New Roman Bold"/>
          <w:b/>
          <w:caps/>
          <w:sz w:val="24"/>
        </w:rPr>
        <w:t>request for Proposal</w:t>
      </w:r>
      <w:r w:rsidR="007142DF">
        <w:rPr>
          <w:rFonts w:ascii="Times New Roman Bold" w:hAnsi="Times New Roman Bold"/>
          <w:b/>
          <w:caps/>
          <w:sz w:val="24"/>
        </w:rPr>
        <w:t>,</w:t>
      </w:r>
      <w:r w:rsidR="008C32E3">
        <w:rPr>
          <w:rFonts w:ascii="Times New Roman Bold" w:hAnsi="Times New Roman Bold"/>
          <w:b/>
          <w:caps/>
          <w:sz w:val="24"/>
        </w:rPr>
        <w:t xml:space="preserve"> Selection Crit</w:t>
      </w:r>
      <w:r w:rsidR="00BA5C70">
        <w:rPr>
          <w:rFonts w:ascii="Times New Roman Bold" w:hAnsi="Times New Roman Bold"/>
          <w:b/>
          <w:caps/>
          <w:sz w:val="24"/>
        </w:rPr>
        <w:t>eria</w:t>
      </w:r>
      <w:r w:rsidR="007142DF">
        <w:rPr>
          <w:rFonts w:ascii="Times New Roman Bold" w:hAnsi="Times New Roman Bold"/>
          <w:b/>
          <w:caps/>
          <w:sz w:val="24"/>
        </w:rPr>
        <w:t>,</w:t>
      </w:r>
      <w:r w:rsidR="008C32E3">
        <w:rPr>
          <w:rFonts w:ascii="Times New Roman Bold" w:hAnsi="Times New Roman Bold"/>
          <w:b/>
          <w:caps/>
          <w:sz w:val="24"/>
        </w:rPr>
        <w:t xml:space="preserve"> and </w:t>
      </w:r>
      <w:r w:rsidR="007142DF">
        <w:rPr>
          <w:rFonts w:ascii="Times New Roman Bold" w:hAnsi="Times New Roman Bold"/>
          <w:b/>
          <w:caps/>
          <w:sz w:val="24"/>
        </w:rPr>
        <w:t xml:space="preserve">Application </w:t>
      </w:r>
      <w:r w:rsidR="008C32E3">
        <w:rPr>
          <w:rFonts w:ascii="Times New Roman Bold" w:hAnsi="Times New Roman Bold"/>
          <w:b/>
          <w:caps/>
          <w:sz w:val="24"/>
        </w:rPr>
        <w:t>Deadlines</w:t>
      </w:r>
      <w:r>
        <w:rPr>
          <w:rFonts w:ascii="Times New Roman Bold" w:hAnsi="Times New Roman Bold"/>
          <w:b/>
          <w:caps/>
          <w:sz w:val="24"/>
        </w:rPr>
        <w:t xml:space="preserve"> In 3.7-4.2 GHz Band Transition</w:t>
      </w:r>
      <w:r w:rsidR="008C32E3">
        <w:rPr>
          <w:rFonts w:ascii="Times New Roman Bold" w:hAnsi="Times New Roman Bold"/>
          <w:b/>
          <w:caps/>
          <w:sz w:val="24"/>
        </w:rPr>
        <w:t xml:space="preserve"> </w:t>
      </w:r>
    </w:p>
    <w:p w:rsidR="00013A8B" w:rsidP="00013A8B" w14:paraId="0E309369" w14:textId="63CCB19C">
      <w:pPr>
        <w:jc w:val="center"/>
        <w:rPr>
          <w:b/>
          <w:sz w:val="24"/>
        </w:rPr>
      </w:pPr>
      <w:r>
        <w:rPr>
          <w:b/>
          <w:sz w:val="24"/>
        </w:rPr>
        <w:t>GN Docket No. 18-122</w:t>
      </w:r>
    </w:p>
    <w:p w:rsidR="00F96F63" w:rsidRPr="00930ECF" w:rsidP="00F96F63" w14:paraId="7893DD36" w14:textId="77777777">
      <w:pPr>
        <w:rPr>
          <w:sz w:val="24"/>
        </w:rPr>
      </w:pPr>
      <w:bookmarkStart w:id="0" w:name="TOChere"/>
    </w:p>
    <w:bookmarkEnd w:id="0"/>
    <w:p w:rsidR="007142DF" w:rsidP="00F9700F" w14:paraId="62BD4D70" w14:textId="6519DA16">
      <w:pPr>
        <w:ind w:firstLine="720"/>
        <w:rPr>
          <w:sz w:val="24"/>
        </w:rPr>
      </w:pPr>
      <w:r>
        <w:rPr>
          <w:sz w:val="24"/>
        </w:rPr>
        <w:t xml:space="preserve">With this </w:t>
      </w:r>
      <w:r w:rsidRPr="00F9700F">
        <w:rPr>
          <w:sz w:val="24"/>
        </w:rPr>
        <w:t>Public Notice, the Wireless Telecommunications Bureau (the Bureau)</w:t>
      </w:r>
      <w:r>
        <w:rPr>
          <w:sz w:val="24"/>
        </w:rPr>
        <w:t xml:space="preserve"> announces </w:t>
      </w:r>
      <w:r w:rsidR="00E3523A">
        <w:rPr>
          <w:sz w:val="24"/>
        </w:rPr>
        <w:t xml:space="preserve">that </w:t>
      </w:r>
      <w:r w:rsidR="004344DC">
        <w:rPr>
          <w:sz w:val="24"/>
        </w:rPr>
        <w:t>it has received</w:t>
      </w:r>
      <w:r w:rsidR="00E3523A">
        <w:rPr>
          <w:sz w:val="24"/>
        </w:rPr>
        <w:t xml:space="preserve"> </w:t>
      </w:r>
      <w:r>
        <w:rPr>
          <w:sz w:val="24"/>
        </w:rPr>
        <w:t xml:space="preserve">the </w:t>
      </w:r>
      <w:r w:rsidR="004344DC">
        <w:rPr>
          <w:sz w:val="24"/>
        </w:rPr>
        <w:t xml:space="preserve">attached </w:t>
      </w:r>
      <w:r>
        <w:rPr>
          <w:sz w:val="24"/>
        </w:rPr>
        <w:t>Request for Proposal</w:t>
      </w:r>
      <w:r w:rsidR="00AA79B1">
        <w:rPr>
          <w:sz w:val="24"/>
        </w:rPr>
        <w:t>,</w:t>
      </w:r>
      <w:r w:rsidR="0006444F">
        <w:rPr>
          <w:sz w:val="24"/>
        </w:rPr>
        <w:t xml:space="preserve"> which</w:t>
      </w:r>
      <w:r>
        <w:rPr>
          <w:sz w:val="24"/>
        </w:rPr>
        <w:t xml:space="preserve"> </w:t>
      </w:r>
      <w:r w:rsidR="008C32E3">
        <w:rPr>
          <w:sz w:val="24"/>
        </w:rPr>
        <w:t>contain</w:t>
      </w:r>
      <w:r w:rsidR="0006444F">
        <w:rPr>
          <w:sz w:val="24"/>
        </w:rPr>
        <w:t>s</w:t>
      </w:r>
      <w:r w:rsidR="008C32E3">
        <w:rPr>
          <w:sz w:val="24"/>
        </w:rPr>
        <w:t xml:space="preserve"> the selection criteria</w:t>
      </w:r>
      <w:r>
        <w:rPr>
          <w:sz w:val="24"/>
        </w:rPr>
        <w:t xml:space="preserve"> </w:t>
      </w:r>
      <w:r w:rsidR="0006444F">
        <w:rPr>
          <w:sz w:val="24"/>
        </w:rPr>
        <w:t xml:space="preserve">and </w:t>
      </w:r>
      <w:r w:rsidR="00E3523A">
        <w:rPr>
          <w:sz w:val="24"/>
        </w:rPr>
        <w:t xml:space="preserve">filing </w:t>
      </w:r>
      <w:r w:rsidR="0006444F">
        <w:rPr>
          <w:sz w:val="24"/>
        </w:rPr>
        <w:t>instruction</w:t>
      </w:r>
      <w:r w:rsidR="00E3523A">
        <w:rPr>
          <w:sz w:val="24"/>
        </w:rPr>
        <w:t>s</w:t>
      </w:r>
      <w:r w:rsidR="0006444F">
        <w:rPr>
          <w:sz w:val="24"/>
        </w:rPr>
        <w:t xml:space="preserve"> for proposals </w:t>
      </w:r>
      <w:r>
        <w:rPr>
          <w:sz w:val="24"/>
        </w:rPr>
        <w:t xml:space="preserve">for the </w:t>
      </w:r>
      <w:r w:rsidR="0006444F">
        <w:rPr>
          <w:sz w:val="24"/>
        </w:rPr>
        <w:t xml:space="preserve">position of </w:t>
      </w:r>
      <w:r>
        <w:rPr>
          <w:sz w:val="24"/>
        </w:rPr>
        <w:t>Relocation Payment Clearinghouse (Clearinghouse) in the 3.7-4.2 GHz band</w:t>
      </w:r>
      <w:r w:rsidR="00E0468A">
        <w:rPr>
          <w:sz w:val="24"/>
        </w:rPr>
        <w:t xml:space="preserve"> (C-band)</w:t>
      </w:r>
      <w:r>
        <w:rPr>
          <w:sz w:val="24"/>
        </w:rPr>
        <w:t xml:space="preserve"> transition</w:t>
      </w:r>
      <w:r w:rsidR="00FF75EA">
        <w:rPr>
          <w:sz w:val="24"/>
        </w:rPr>
        <w:t>.</w:t>
      </w:r>
    </w:p>
    <w:p w:rsidR="007142DF" w:rsidP="00F9700F" w14:paraId="1AC0E9CC" w14:textId="77777777">
      <w:pPr>
        <w:ind w:firstLine="720"/>
        <w:rPr>
          <w:sz w:val="24"/>
        </w:rPr>
      </w:pPr>
    </w:p>
    <w:p w:rsidR="00F96F63" w:rsidRPr="00155021" w:rsidP="00F9700F" w14:paraId="5B9A580D" w14:textId="2899AF63">
      <w:pPr>
        <w:ind w:firstLine="720"/>
        <w:rPr>
          <w:sz w:val="24"/>
        </w:rPr>
      </w:pPr>
      <w:r w:rsidRPr="00F546F1">
        <w:rPr>
          <w:sz w:val="24"/>
          <w:szCs w:val="24"/>
        </w:rPr>
        <w:t xml:space="preserve">In the </w:t>
      </w:r>
      <w:r w:rsidRPr="00F546F1">
        <w:rPr>
          <w:i/>
          <w:iCs/>
          <w:sz w:val="24"/>
          <w:szCs w:val="24"/>
        </w:rPr>
        <w:t>3.7 GHz Band Report and Order</w:t>
      </w:r>
      <w:r w:rsidRPr="00F546F1">
        <w:rPr>
          <w:sz w:val="24"/>
          <w:szCs w:val="24"/>
        </w:rPr>
        <w:t>, the Commission adopted rules to make 280 megahertz of mid-band spectrum available for flexible use, plus a 20 megahertz guard band, throughout the contiguous United States by transitioning existing services out of the lower portion</w:t>
      </w:r>
      <w:r w:rsidR="00D80528">
        <w:rPr>
          <w:sz w:val="24"/>
          <w:szCs w:val="24"/>
        </w:rPr>
        <w:t xml:space="preserve"> of the band</w:t>
      </w:r>
      <w:r w:rsidRPr="00F546F1">
        <w:rPr>
          <w:sz w:val="24"/>
          <w:szCs w:val="24"/>
        </w:rPr>
        <w:t xml:space="preserve"> and into the upper 200 megahertz of the C-band.</w:t>
      </w:r>
      <w:r>
        <w:rPr>
          <w:sz w:val="24"/>
          <w:szCs w:val="24"/>
          <w:vertAlign w:val="superscript"/>
        </w:rPr>
        <w:footnoteReference w:id="3"/>
      </w:r>
      <w:r w:rsidRPr="00F546F1">
        <w:rPr>
          <w:sz w:val="24"/>
          <w:szCs w:val="24"/>
        </w:rPr>
        <w:t xml:space="preserve">  </w:t>
      </w:r>
      <w:r w:rsidR="00155021">
        <w:rPr>
          <w:sz w:val="24"/>
          <w:szCs w:val="24"/>
        </w:rPr>
        <w:t xml:space="preserve">The </w:t>
      </w:r>
      <w:r w:rsidRPr="00F546F1">
        <w:rPr>
          <w:i/>
          <w:iCs/>
          <w:sz w:val="24"/>
          <w:szCs w:val="24"/>
        </w:rPr>
        <w:t xml:space="preserve">3.7 GHz Band </w:t>
      </w:r>
      <w:r w:rsidR="00245E33">
        <w:rPr>
          <w:i/>
          <w:iCs/>
          <w:sz w:val="24"/>
          <w:szCs w:val="24"/>
        </w:rPr>
        <w:t xml:space="preserve">Report and </w:t>
      </w:r>
      <w:r w:rsidR="00155021">
        <w:rPr>
          <w:i/>
          <w:iCs/>
          <w:sz w:val="24"/>
          <w:szCs w:val="24"/>
        </w:rPr>
        <w:t>Order</w:t>
      </w:r>
      <w:r w:rsidR="00155021">
        <w:rPr>
          <w:sz w:val="24"/>
          <w:szCs w:val="24"/>
        </w:rPr>
        <w:t xml:space="preserve"> provided for the creation of a neutral, independent Relocation Payment Clearinghouse to </w:t>
      </w:r>
      <w:r w:rsidRPr="007238F2" w:rsidR="00155021">
        <w:rPr>
          <w:sz w:val="24"/>
          <w:szCs w:val="24"/>
        </w:rPr>
        <w:t>oversee the cost-related aspects of the transition</w:t>
      </w:r>
      <w:r w:rsidR="00155021">
        <w:rPr>
          <w:sz w:val="24"/>
          <w:szCs w:val="24"/>
        </w:rPr>
        <w:t xml:space="preserve">, including collecting relocation payments from </w:t>
      </w:r>
      <w:r>
        <w:rPr>
          <w:sz w:val="24"/>
          <w:szCs w:val="24"/>
        </w:rPr>
        <w:t>new 3.7 GHz Service</w:t>
      </w:r>
      <w:r w:rsidR="00155021">
        <w:rPr>
          <w:sz w:val="24"/>
          <w:szCs w:val="24"/>
        </w:rPr>
        <w:t xml:space="preserve"> licensees and disbursing those payments to incumbents.</w:t>
      </w:r>
      <w:r>
        <w:rPr>
          <w:rStyle w:val="FootnoteReference"/>
          <w:szCs w:val="24"/>
        </w:rPr>
        <w:footnoteReference w:id="4"/>
      </w:r>
      <w:r w:rsidR="00155021">
        <w:rPr>
          <w:sz w:val="24"/>
          <w:szCs w:val="24"/>
        </w:rPr>
        <w:t xml:space="preserve">  In the </w:t>
      </w:r>
      <w:r w:rsidRPr="00F546F1" w:rsidR="00E3523A">
        <w:rPr>
          <w:i/>
          <w:iCs/>
          <w:sz w:val="24"/>
          <w:szCs w:val="24"/>
        </w:rPr>
        <w:t xml:space="preserve">3.7 GHz Band </w:t>
      </w:r>
      <w:r w:rsidR="00245E33">
        <w:rPr>
          <w:i/>
          <w:iCs/>
          <w:sz w:val="24"/>
          <w:szCs w:val="24"/>
        </w:rPr>
        <w:t xml:space="preserve">Report and </w:t>
      </w:r>
      <w:r w:rsidR="00155021">
        <w:rPr>
          <w:i/>
          <w:iCs/>
          <w:sz w:val="24"/>
          <w:szCs w:val="24"/>
        </w:rPr>
        <w:t>Order</w:t>
      </w:r>
      <w:r w:rsidR="004551D7">
        <w:rPr>
          <w:sz w:val="24"/>
          <w:szCs w:val="24"/>
        </w:rPr>
        <w:t>,</w:t>
      </w:r>
      <w:r w:rsidR="00155021">
        <w:rPr>
          <w:sz w:val="24"/>
          <w:szCs w:val="24"/>
        </w:rPr>
        <w:t xml:space="preserve"> the Commission invited a committee of stakeholders in the C-band to </w:t>
      </w:r>
      <w:r w:rsidR="00E0468A">
        <w:rPr>
          <w:sz w:val="24"/>
          <w:szCs w:val="24"/>
        </w:rPr>
        <w:t xml:space="preserve">establish detailed selection criteria and to </w:t>
      </w:r>
      <w:r w:rsidR="00155021">
        <w:rPr>
          <w:sz w:val="24"/>
          <w:szCs w:val="24"/>
        </w:rPr>
        <w:t>select</w:t>
      </w:r>
      <w:r w:rsidR="0030123F">
        <w:rPr>
          <w:sz w:val="24"/>
          <w:szCs w:val="24"/>
        </w:rPr>
        <w:t xml:space="preserve"> the Clearinghous</w:t>
      </w:r>
      <w:r w:rsidR="004551D7">
        <w:rPr>
          <w:sz w:val="24"/>
          <w:szCs w:val="24"/>
        </w:rPr>
        <w:t>e</w:t>
      </w:r>
      <w:r w:rsidR="008C32E3">
        <w:rPr>
          <w:sz w:val="24"/>
          <w:szCs w:val="24"/>
        </w:rPr>
        <w:t>.</w:t>
      </w:r>
      <w:r>
        <w:rPr>
          <w:rStyle w:val="FootnoteReference"/>
          <w:szCs w:val="24"/>
        </w:rPr>
        <w:footnoteReference w:id="5"/>
      </w:r>
      <w:r w:rsidR="008C32E3">
        <w:rPr>
          <w:sz w:val="24"/>
          <w:szCs w:val="24"/>
        </w:rPr>
        <w:t xml:space="preserve">  </w:t>
      </w:r>
      <w:r w:rsidR="00E0468A">
        <w:rPr>
          <w:sz w:val="24"/>
          <w:szCs w:val="24"/>
        </w:rPr>
        <w:t xml:space="preserve">The </w:t>
      </w:r>
      <w:r w:rsidRPr="00F546F1">
        <w:rPr>
          <w:i/>
          <w:iCs/>
          <w:sz w:val="24"/>
          <w:szCs w:val="24"/>
        </w:rPr>
        <w:t xml:space="preserve">3.7 GHz Band </w:t>
      </w:r>
      <w:r w:rsidR="00245E33">
        <w:rPr>
          <w:i/>
          <w:iCs/>
          <w:sz w:val="24"/>
          <w:szCs w:val="24"/>
        </w:rPr>
        <w:t xml:space="preserve">Report and </w:t>
      </w:r>
      <w:r w:rsidR="00E0468A">
        <w:rPr>
          <w:i/>
          <w:iCs/>
          <w:sz w:val="24"/>
          <w:szCs w:val="24"/>
        </w:rPr>
        <w:t xml:space="preserve">Order </w:t>
      </w:r>
      <w:r w:rsidR="004551D7">
        <w:rPr>
          <w:sz w:val="24"/>
          <w:szCs w:val="24"/>
        </w:rPr>
        <w:t xml:space="preserve">directed the Bureau to issue a </w:t>
      </w:r>
      <w:r w:rsidRPr="004551D7" w:rsidR="004551D7">
        <w:rPr>
          <w:sz w:val="24"/>
          <w:szCs w:val="24"/>
        </w:rPr>
        <w:t xml:space="preserve">Public Notice </w:t>
      </w:r>
      <w:r w:rsidR="00D80528">
        <w:rPr>
          <w:sz w:val="24"/>
          <w:szCs w:val="24"/>
        </w:rPr>
        <w:t xml:space="preserve">that:  (1) </w:t>
      </w:r>
      <w:r w:rsidRPr="004551D7" w:rsidR="004551D7">
        <w:rPr>
          <w:sz w:val="24"/>
          <w:szCs w:val="24"/>
        </w:rPr>
        <w:t>notif</w:t>
      </w:r>
      <w:r w:rsidR="00D80528">
        <w:rPr>
          <w:sz w:val="24"/>
          <w:szCs w:val="24"/>
        </w:rPr>
        <w:t>ied</w:t>
      </w:r>
      <w:r w:rsidRPr="004551D7" w:rsidR="004551D7">
        <w:rPr>
          <w:sz w:val="24"/>
          <w:szCs w:val="24"/>
        </w:rPr>
        <w:t xml:space="preserve"> the public that the search committee ha</w:t>
      </w:r>
      <w:r w:rsidR="008F3ED7">
        <w:rPr>
          <w:sz w:val="24"/>
          <w:szCs w:val="24"/>
        </w:rPr>
        <w:t>d</w:t>
      </w:r>
      <w:r w:rsidRPr="004551D7" w:rsidR="004551D7">
        <w:rPr>
          <w:sz w:val="24"/>
          <w:szCs w:val="24"/>
        </w:rPr>
        <w:t xml:space="preserve"> published criteria for the selection of the Clearinghouse</w:t>
      </w:r>
      <w:r w:rsidR="007142DF">
        <w:rPr>
          <w:sz w:val="24"/>
          <w:szCs w:val="24"/>
        </w:rPr>
        <w:t>;</w:t>
      </w:r>
      <w:r w:rsidRPr="004551D7" w:rsidR="004551D7">
        <w:rPr>
          <w:sz w:val="24"/>
          <w:szCs w:val="24"/>
        </w:rPr>
        <w:t xml:space="preserve"> </w:t>
      </w:r>
      <w:r w:rsidR="00D80528">
        <w:rPr>
          <w:sz w:val="24"/>
          <w:szCs w:val="24"/>
        </w:rPr>
        <w:t xml:space="preserve">(2) </w:t>
      </w:r>
      <w:r w:rsidRPr="004551D7" w:rsidR="004551D7">
        <w:rPr>
          <w:sz w:val="24"/>
          <w:szCs w:val="24"/>
        </w:rPr>
        <w:t>outlin</w:t>
      </w:r>
      <w:r w:rsidR="00D80528">
        <w:rPr>
          <w:sz w:val="24"/>
          <w:szCs w:val="24"/>
        </w:rPr>
        <w:t>ed</w:t>
      </w:r>
      <w:r w:rsidRPr="004551D7" w:rsidR="004551D7">
        <w:rPr>
          <w:sz w:val="24"/>
          <w:szCs w:val="24"/>
        </w:rPr>
        <w:t xml:space="preserve"> the submission requirements</w:t>
      </w:r>
      <w:r w:rsidR="007142DF">
        <w:rPr>
          <w:sz w:val="24"/>
          <w:szCs w:val="24"/>
        </w:rPr>
        <w:t>;</w:t>
      </w:r>
      <w:r w:rsidRPr="004551D7" w:rsidR="004551D7">
        <w:rPr>
          <w:sz w:val="24"/>
          <w:szCs w:val="24"/>
        </w:rPr>
        <w:t xml:space="preserve"> and </w:t>
      </w:r>
      <w:r w:rsidR="00D80528">
        <w:rPr>
          <w:sz w:val="24"/>
          <w:szCs w:val="24"/>
        </w:rPr>
        <w:t xml:space="preserve">(3) </w:t>
      </w:r>
      <w:r w:rsidRPr="004551D7" w:rsidR="004551D7">
        <w:rPr>
          <w:sz w:val="24"/>
          <w:szCs w:val="24"/>
        </w:rPr>
        <w:t>provid</w:t>
      </w:r>
      <w:r w:rsidR="00D80528">
        <w:rPr>
          <w:sz w:val="24"/>
          <w:szCs w:val="24"/>
        </w:rPr>
        <w:t>ed</w:t>
      </w:r>
      <w:r w:rsidRPr="004551D7" w:rsidR="004551D7">
        <w:rPr>
          <w:sz w:val="24"/>
          <w:szCs w:val="24"/>
        </w:rPr>
        <w:t xml:space="preserve"> the closing dates for the selection of the Clearinghouse</w:t>
      </w:r>
      <w:r w:rsidR="007142DF">
        <w:rPr>
          <w:sz w:val="24"/>
          <w:szCs w:val="24"/>
        </w:rPr>
        <w:t>.</w:t>
      </w:r>
      <w:r>
        <w:rPr>
          <w:rStyle w:val="FootnoteReference"/>
          <w:szCs w:val="24"/>
        </w:rPr>
        <w:footnoteReference w:id="6"/>
      </w:r>
      <w:r w:rsidR="007142DF">
        <w:rPr>
          <w:sz w:val="24"/>
          <w:szCs w:val="24"/>
        </w:rPr>
        <w:t xml:space="preserve"> </w:t>
      </w:r>
      <w:r w:rsidRPr="004551D7" w:rsidR="004551D7">
        <w:rPr>
          <w:sz w:val="24"/>
          <w:szCs w:val="24"/>
        </w:rPr>
        <w:t xml:space="preserve"> </w:t>
      </w:r>
      <w:r w:rsidR="004E32F0">
        <w:rPr>
          <w:sz w:val="24"/>
          <w:szCs w:val="24"/>
        </w:rPr>
        <w:t>The search committee submitted the Request for Proposal to the Commission on June 1, 2020.</w:t>
      </w:r>
      <w:r>
        <w:rPr>
          <w:rStyle w:val="FootnoteReference"/>
          <w:szCs w:val="24"/>
        </w:rPr>
        <w:footnoteReference w:id="7"/>
      </w:r>
    </w:p>
    <w:p w:rsidR="00930ECF" w:rsidP="00F96F63" w14:paraId="4B30D93E" w14:textId="4BE44093">
      <w:pPr>
        <w:rPr>
          <w:sz w:val="24"/>
        </w:rPr>
      </w:pPr>
    </w:p>
    <w:p w:rsidR="000D06BC" w:rsidP="000D06BC" w14:paraId="0E8E16AE" w14:textId="46AA8E17">
      <w:pPr>
        <w:ind w:firstLine="720"/>
        <w:rPr>
          <w:sz w:val="24"/>
        </w:rPr>
      </w:pPr>
      <w:r>
        <w:rPr>
          <w:sz w:val="24"/>
        </w:rPr>
        <w:t xml:space="preserve">The </w:t>
      </w:r>
      <w:r w:rsidR="00E3523A">
        <w:rPr>
          <w:sz w:val="24"/>
        </w:rPr>
        <w:t xml:space="preserve">search committee’s </w:t>
      </w:r>
      <w:r>
        <w:rPr>
          <w:sz w:val="24"/>
        </w:rPr>
        <w:t>Request for Proposal, attached to this Public Notice, detail</w:t>
      </w:r>
      <w:r w:rsidR="00485359">
        <w:rPr>
          <w:sz w:val="24"/>
        </w:rPr>
        <w:t>s</w:t>
      </w:r>
      <w:r>
        <w:rPr>
          <w:sz w:val="24"/>
        </w:rPr>
        <w:t xml:space="preserve"> the </w:t>
      </w:r>
      <w:r>
        <w:rPr>
          <w:sz w:val="24"/>
        </w:rPr>
        <w:t>selection criteria and instructions for filing proposals</w:t>
      </w:r>
      <w:r w:rsidR="00485359">
        <w:rPr>
          <w:sz w:val="24"/>
        </w:rPr>
        <w:t xml:space="preserve"> for the Clearinghouse position</w:t>
      </w:r>
      <w:r>
        <w:rPr>
          <w:sz w:val="24"/>
        </w:rPr>
        <w:t xml:space="preserve">.  Entities must file proposals </w:t>
      </w:r>
      <w:r w:rsidR="007142DF">
        <w:rPr>
          <w:sz w:val="24"/>
        </w:rPr>
        <w:t>electronically</w:t>
      </w:r>
      <w:r w:rsidR="008F3ED7">
        <w:rPr>
          <w:sz w:val="24"/>
        </w:rPr>
        <w:t xml:space="preserve"> with the search committee,</w:t>
      </w:r>
      <w:r w:rsidR="007142DF">
        <w:rPr>
          <w:sz w:val="24"/>
        </w:rPr>
        <w:t xml:space="preserve"> according to the filing instructions contained in the Request for Proposal, </w:t>
      </w:r>
      <w:r>
        <w:rPr>
          <w:sz w:val="24"/>
        </w:rPr>
        <w:t xml:space="preserve">by </w:t>
      </w:r>
      <w:r w:rsidRPr="00F546F1">
        <w:rPr>
          <w:sz w:val="24"/>
        </w:rPr>
        <w:t xml:space="preserve">June </w:t>
      </w:r>
      <w:r w:rsidRPr="00F546F1" w:rsidR="00F546F1">
        <w:rPr>
          <w:sz w:val="24"/>
        </w:rPr>
        <w:t>2</w:t>
      </w:r>
      <w:r w:rsidR="00F546F1">
        <w:rPr>
          <w:sz w:val="24"/>
        </w:rPr>
        <w:t>9</w:t>
      </w:r>
      <w:r>
        <w:rPr>
          <w:sz w:val="24"/>
        </w:rPr>
        <w:t>, 2020.</w:t>
      </w:r>
      <w:r>
        <w:rPr>
          <w:rStyle w:val="FootnoteReference"/>
        </w:rPr>
        <w:footnoteReference w:id="8"/>
      </w:r>
      <w:r>
        <w:rPr>
          <w:sz w:val="24"/>
        </w:rPr>
        <w:t xml:space="preserve">  </w:t>
      </w:r>
    </w:p>
    <w:p w:rsidR="00E0468A" w:rsidP="000D06BC" w14:paraId="698BD73F" w14:textId="38C71708">
      <w:pPr>
        <w:ind w:firstLine="720"/>
        <w:rPr>
          <w:sz w:val="24"/>
        </w:rPr>
      </w:pPr>
      <w:bookmarkStart w:id="1" w:name="_GoBack"/>
      <w:bookmarkEnd w:id="1"/>
    </w:p>
    <w:p w:rsidR="00E0468A" w:rsidRPr="00E0468A" w:rsidP="00E0468A" w14:paraId="3EBE522F" w14:textId="77777777">
      <w:pPr>
        <w:jc w:val="center"/>
        <w:rPr>
          <w:sz w:val="24"/>
        </w:rPr>
      </w:pPr>
      <w:r w:rsidRPr="00E0468A">
        <w:rPr>
          <w:sz w:val="24"/>
        </w:rPr>
        <w:t>***</w:t>
      </w:r>
    </w:p>
    <w:p w:rsidR="00E0468A" w:rsidP="000D06BC" w14:paraId="48CB66EC" w14:textId="77777777">
      <w:pPr>
        <w:ind w:firstLine="720"/>
        <w:rPr>
          <w:sz w:val="24"/>
        </w:rPr>
      </w:pPr>
    </w:p>
    <w:p w:rsidR="00291C87" w:rsidP="000D06BC" w14:paraId="4DCD5C4A" w14:textId="7615A232">
      <w:pPr>
        <w:ind w:firstLine="720"/>
        <w:rPr>
          <w:sz w:val="24"/>
        </w:rPr>
      </w:pPr>
      <w:r w:rsidRPr="00E0468A">
        <w:rPr>
          <w:i/>
          <w:iCs/>
          <w:sz w:val="24"/>
        </w:rPr>
        <w:t>People with Disabilities</w:t>
      </w:r>
      <w:r w:rsidRPr="00E0468A">
        <w:rPr>
          <w:sz w:val="24"/>
        </w:rPr>
        <w:t xml:space="preserve">:  To request materials in accessible formats for people with disabilities (braille, large print, electronic files, audio format), send an e-mail to </w:t>
      </w:r>
      <w:hyperlink r:id="rId5" w:history="1">
        <w:r w:rsidRPr="00E0468A">
          <w:rPr>
            <w:rStyle w:val="Hyperlink"/>
            <w:sz w:val="24"/>
          </w:rPr>
          <w:t>fcc504@fcc.gov</w:t>
        </w:r>
      </w:hyperlink>
      <w:r w:rsidRPr="00E0468A">
        <w:rPr>
          <w:sz w:val="24"/>
        </w:rPr>
        <w:t xml:space="preserve"> or call the Consumer &amp; Government Affairs Bureau at 202-418-0530 (voice, 202-418-0432 (tty).</w:t>
      </w:r>
    </w:p>
    <w:p w:rsidR="007142DF" w:rsidP="000D06BC" w14:paraId="42B66EE1" w14:textId="267507B4">
      <w:pPr>
        <w:ind w:firstLine="720"/>
        <w:rPr>
          <w:sz w:val="24"/>
        </w:rPr>
      </w:pPr>
    </w:p>
    <w:p w:rsidR="00E0468A" w:rsidRPr="00930ECF" w:rsidP="000D06BC" w14:paraId="72B55622" w14:textId="77777777">
      <w:pPr>
        <w:ind w:firstLine="720"/>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0C5A7A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9BDF8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9EB0D16" w14:textId="663E1C2A">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CC20A1" w:rsidP="00CC20A1" w14:paraId="77CB6C11" w14:textId="796F98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CC20A1" w14:paraId="4DA2AB97" w14:textId="12D5E5B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0B09" w14:paraId="78FE4C46" w14:textId="77777777">
      <w:r>
        <w:separator/>
      </w:r>
    </w:p>
  </w:footnote>
  <w:footnote w:type="continuationSeparator" w:id="1">
    <w:p w:rsidR="00230B09" w14:paraId="602C772B" w14:textId="77777777">
      <w:pPr>
        <w:rPr>
          <w:sz w:val="20"/>
        </w:rPr>
      </w:pPr>
      <w:r>
        <w:rPr>
          <w:sz w:val="20"/>
        </w:rPr>
        <w:t xml:space="preserve">(Continued from previous page)  </w:t>
      </w:r>
      <w:r>
        <w:rPr>
          <w:sz w:val="20"/>
        </w:rPr>
        <w:separator/>
      </w:r>
    </w:p>
  </w:footnote>
  <w:footnote w:type="continuationNotice" w:id="2">
    <w:p w:rsidR="00230B09" w:rsidP="00910F12" w14:paraId="6EB686A6" w14:textId="77777777">
      <w:pPr>
        <w:jc w:val="right"/>
        <w:rPr>
          <w:sz w:val="20"/>
        </w:rPr>
      </w:pPr>
      <w:r>
        <w:rPr>
          <w:sz w:val="20"/>
        </w:rPr>
        <w:t>(continued….)</w:t>
      </w:r>
    </w:p>
  </w:footnote>
  <w:footnote w:id="3">
    <w:p w:rsidR="00F546F1" w:rsidRPr="00B95F55" w:rsidP="00F546F1" w14:paraId="767A09E8" w14:textId="77777777">
      <w:pPr>
        <w:pStyle w:val="FootnoteText"/>
      </w:pPr>
      <w:r>
        <w:rPr>
          <w:rStyle w:val="FootnoteReference"/>
        </w:rPr>
        <w:footnoteRef/>
      </w:r>
      <w:r>
        <w:t xml:space="preserve"> </w:t>
      </w:r>
      <w:r w:rsidRPr="00B95F55">
        <w:rPr>
          <w:i/>
          <w:iCs/>
        </w:rPr>
        <w:t>Expanding Flexible Use of the 3.7 to 4.2 GHz Band</w:t>
      </w:r>
      <w:r>
        <w:t xml:space="preserve">, Report and Order and Order of Proposed Modification, </w:t>
      </w:r>
      <w:r w:rsidRPr="00C27A1D">
        <w:t>35 FCC Rcd 2343</w:t>
      </w:r>
      <w:r>
        <w:t>, 2345, para. 4 (2020) (</w:t>
      </w:r>
      <w:r w:rsidRPr="005C52BC">
        <w:rPr>
          <w:i/>
          <w:iCs/>
        </w:rPr>
        <w:t xml:space="preserve">3.7 GHz </w:t>
      </w:r>
      <w:r>
        <w:rPr>
          <w:i/>
          <w:iCs/>
        </w:rPr>
        <w:t>Report and Order</w:t>
      </w:r>
      <w:r>
        <w:t>).</w:t>
      </w:r>
    </w:p>
  </w:footnote>
  <w:footnote w:id="4">
    <w:p w:rsidR="00155021" w:rsidRPr="0036324F" w:rsidP="00155021" w14:paraId="328DC174" w14:textId="53F0039F">
      <w:pPr>
        <w:pStyle w:val="FootnoteText"/>
      </w:pPr>
      <w:r>
        <w:rPr>
          <w:rStyle w:val="FootnoteReference"/>
        </w:rPr>
        <w:footnoteRef/>
      </w:r>
      <w:r>
        <w:t xml:space="preserve"> </w:t>
      </w:r>
      <w:r>
        <w:rPr>
          <w:i/>
          <w:iCs/>
        </w:rPr>
        <w:t>Id.</w:t>
      </w:r>
      <w:r>
        <w:t xml:space="preserve"> at </w:t>
      </w:r>
      <w:r w:rsidR="00F546F1">
        <w:t>2446</w:t>
      </w:r>
      <w:r>
        <w:t>, para. 255.</w:t>
      </w:r>
    </w:p>
  </w:footnote>
  <w:footnote w:id="5">
    <w:p w:rsidR="007142DF" w14:paraId="2D97AB82" w14:textId="223170DF">
      <w:pPr>
        <w:pStyle w:val="FootnoteText"/>
      </w:pPr>
      <w:r>
        <w:rPr>
          <w:rStyle w:val="FootnoteReference"/>
        </w:rPr>
        <w:footnoteRef/>
      </w:r>
      <w:r>
        <w:t xml:space="preserve"> </w:t>
      </w:r>
      <w:r w:rsidR="00E0468A">
        <w:rPr>
          <w:i/>
          <w:iCs/>
        </w:rPr>
        <w:t>Id.</w:t>
      </w:r>
      <w:r w:rsidR="00E0468A">
        <w:t xml:space="preserve"> at </w:t>
      </w:r>
      <w:r w:rsidR="00F546F1">
        <w:t>2450-51</w:t>
      </w:r>
      <w:r w:rsidR="00E0468A">
        <w:t>, paras. 273-75.</w:t>
      </w:r>
    </w:p>
  </w:footnote>
  <w:footnote w:id="6">
    <w:p w:rsidR="007142DF" w:rsidP="007142DF" w14:paraId="086F9E17" w14:textId="1A3FF8E8">
      <w:pPr>
        <w:pStyle w:val="FootnoteText"/>
      </w:pPr>
      <w:r>
        <w:rPr>
          <w:rStyle w:val="FootnoteReference"/>
        </w:rPr>
        <w:footnoteRef/>
      </w:r>
      <w:r>
        <w:t xml:space="preserve"> </w:t>
      </w:r>
      <w:r>
        <w:rPr>
          <w:i/>
          <w:iCs/>
        </w:rPr>
        <w:t>Id.</w:t>
      </w:r>
      <w:r>
        <w:t xml:space="preserve"> at </w:t>
      </w:r>
      <w:r w:rsidR="00F546F1">
        <w:t>2451</w:t>
      </w:r>
      <w:r>
        <w:t>, para</w:t>
      </w:r>
      <w:r w:rsidR="00E0468A">
        <w:t>s</w:t>
      </w:r>
      <w:r>
        <w:t>. 275</w:t>
      </w:r>
      <w:r w:rsidR="00E0468A">
        <w:t>, 278</w:t>
      </w:r>
      <w:r>
        <w:t xml:space="preserve">.  </w:t>
      </w:r>
    </w:p>
  </w:footnote>
  <w:footnote w:id="7">
    <w:p w:rsidR="004E32F0" w:rsidRPr="004E32F0" w14:paraId="6EAE18C8" w14:textId="279EB9AA">
      <w:pPr>
        <w:pStyle w:val="FootnoteText"/>
      </w:pPr>
      <w:r>
        <w:rPr>
          <w:rStyle w:val="FootnoteReference"/>
        </w:rPr>
        <w:footnoteRef/>
      </w:r>
      <w:r>
        <w:t xml:space="preserve"> </w:t>
      </w:r>
      <w:r>
        <w:rPr>
          <w:i/>
          <w:iCs/>
        </w:rPr>
        <w:t xml:space="preserve">See </w:t>
      </w:r>
      <w:r>
        <w:t>Letter from Ross J. Lieberman, Senior Vice President of Government Affairs, ACA Connects – America’s Communications Association</w:t>
      </w:r>
      <w:r w:rsidR="00E3523A">
        <w:t xml:space="preserve"> et al.</w:t>
      </w:r>
      <w:r>
        <w:t xml:space="preserve">, to Marlene H. Dortch, Secretary, FCC, </w:t>
      </w:r>
      <w:r w:rsidR="00E3523A">
        <w:t xml:space="preserve">GN Docket No 18-122, </w:t>
      </w:r>
      <w:r>
        <w:t xml:space="preserve">Attach., Request for Proposal:  Relocation Payment Clearinghouse (filed June 1, 2020). </w:t>
      </w:r>
    </w:p>
  </w:footnote>
  <w:footnote w:id="8">
    <w:p w:rsidR="004C37A4" w:rsidRPr="004C37A4" w14:paraId="1819D4EF" w14:textId="1623ED9C">
      <w:pPr>
        <w:pStyle w:val="FootnoteText"/>
      </w:pPr>
      <w:r>
        <w:rPr>
          <w:rStyle w:val="FootnoteReference"/>
        </w:rPr>
        <w:footnoteRef/>
      </w:r>
      <w:r>
        <w:t xml:space="preserve"> </w:t>
      </w:r>
      <w:r>
        <w:rPr>
          <w:i/>
          <w:iCs/>
        </w:rPr>
        <w:t>Id.</w:t>
      </w:r>
      <w:r>
        <w:t>, Attach.</w:t>
      </w:r>
      <w:r>
        <w:rPr>
          <w:i/>
          <w:iCs/>
        </w:rPr>
        <w:t xml:space="preserve"> </w:t>
      </w:r>
      <w:r>
        <w:t>at 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6226092" w14:textId="02A04B6D">
    <w:pPr>
      <w:tabs>
        <w:tab w:val="center" w:pos="4680"/>
        <w:tab w:val="right" w:pos="9360"/>
      </w:tabs>
    </w:pPr>
    <w:r w:rsidRPr="009838BC">
      <w:rPr>
        <w:b/>
      </w:rPr>
      <w:tab/>
      <w:t>Federal Communications Commission</w:t>
    </w:r>
    <w:r w:rsidRPr="009838BC">
      <w:rPr>
        <w:b/>
      </w:rPr>
      <w:tab/>
    </w:r>
    <w:r w:rsidR="003D416E">
      <w:rPr>
        <w:b/>
      </w:rPr>
      <w:t>DA 20</w:t>
    </w:r>
    <w:r w:rsidR="004F1A11">
      <w:rPr>
        <w:b/>
      </w:rPr>
      <w:t>-599</w:t>
    </w:r>
  </w:p>
  <w:p w:rsidR="009838BC" w:rsidRPr="009838BC" w:rsidP="009838BC" w14:paraId="2FDFA140" w14:textId="5185C06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139E76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E4BF97B" w14:textId="1305E1CD">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D1B8A0F" w14:textId="77777777">
                    <w:pPr>
                      <w:rPr>
                        <w:rFonts w:ascii="Arial" w:hAnsi="Arial"/>
                        <w:b/>
                      </w:rPr>
                    </w:pPr>
                    <w:r>
                      <w:rPr>
                        <w:rFonts w:ascii="Arial" w:hAnsi="Arial"/>
                        <w:b/>
                      </w:rPr>
                      <w:t>Federal Communications Commission</w:t>
                    </w:r>
                  </w:p>
                  <w:p w:rsidR="009838BC" w:rsidP="009838BC" w14:paraId="048C5C7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7C4BE44"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57421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3AED3C7" w14:textId="40A15AA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0648FDE0" w14:textId="77777777">
                    <w:pPr>
                      <w:spacing w:before="40"/>
                      <w:jc w:val="right"/>
                      <w:rPr>
                        <w:rFonts w:ascii="Arial" w:hAnsi="Arial"/>
                        <w:b/>
                        <w:sz w:val="16"/>
                      </w:rPr>
                    </w:pPr>
                    <w:r>
                      <w:rPr>
                        <w:rFonts w:ascii="Arial" w:hAnsi="Arial"/>
                        <w:b/>
                        <w:sz w:val="16"/>
                      </w:rPr>
                      <w:t>News Media Information 202 / 418-0500</w:t>
                    </w:r>
                  </w:p>
                  <w:p w:rsidR="009838BC" w:rsidP="009838BC" w14:paraId="39402CA7"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DFDD7EF" w14:textId="77777777">
                    <w:pPr>
                      <w:jc w:val="right"/>
                    </w:pPr>
                    <w:r>
                      <w:rPr>
                        <w:rFonts w:ascii="Arial" w:hAnsi="Arial"/>
                        <w:b/>
                        <w:sz w:val="16"/>
                      </w:rPr>
                      <w:t>TTY: 1-888-835-5322</w:t>
                    </w:r>
                  </w:p>
                </w:txbxContent>
              </v:textbox>
            </v:shape>
          </w:pict>
        </mc:Fallback>
      </mc:AlternateContent>
    </w:r>
  </w:p>
  <w:p w:rsidR="006F7393" w:rsidRPr="009838BC" w:rsidP="009838BC" w14:paraId="74FF48F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0F"/>
    <w:rsid w:val="000072CE"/>
    <w:rsid w:val="00013A8B"/>
    <w:rsid w:val="00021445"/>
    <w:rsid w:val="00036039"/>
    <w:rsid w:val="00037F90"/>
    <w:rsid w:val="00053271"/>
    <w:rsid w:val="0006444F"/>
    <w:rsid w:val="000875BF"/>
    <w:rsid w:val="00096D8C"/>
    <w:rsid w:val="000C0B65"/>
    <w:rsid w:val="000D06BC"/>
    <w:rsid w:val="000D5678"/>
    <w:rsid w:val="000E3D42"/>
    <w:rsid w:val="000E5884"/>
    <w:rsid w:val="00122BD5"/>
    <w:rsid w:val="001469DC"/>
    <w:rsid w:val="00155021"/>
    <w:rsid w:val="001979D9"/>
    <w:rsid w:val="001D6BCF"/>
    <w:rsid w:val="001E01CA"/>
    <w:rsid w:val="002060D9"/>
    <w:rsid w:val="00226822"/>
    <w:rsid w:val="00230B09"/>
    <w:rsid w:val="00245E33"/>
    <w:rsid w:val="00260594"/>
    <w:rsid w:val="00285017"/>
    <w:rsid w:val="00291C87"/>
    <w:rsid w:val="002A2D2E"/>
    <w:rsid w:val="0030123F"/>
    <w:rsid w:val="003417E7"/>
    <w:rsid w:val="00343749"/>
    <w:rsid w:val="00357D50"/>
    <w:rsid w:val="0036324F"/>
    <w:rsid w:val="003925DC"/>
    <w:rsid w:val="003B0550"/>
    <w:rsid w:val="003B694F"/>
    <w:rsid w:val="003D416E"/>
    <w:rsid w:val="003F171C"/>
    <w:rsid w:val="00412FC5"/>
    <w:rsid w:val="00422276"/>
    <w:rsid w:val="004242F1"/>
    <w:rsid w:val="004344DC"/>
    <w:rsid w:val="00445A00"/>
    <w:rsid w:val="00451B0F"/>
    <w:rsid w:val="004551D7"/>
    <w:rsid w:val="0046125F"/>
    <w:rsid w:val="00472653"/>
    <w:rsid w:val="00485359"/>
    <w:rsid w:val="00487524"/>
    <w:rsid w:val="00496106"/>
    <w:rsid w:val="004C12D0"/>
    <w:rsid w:val="004C2EE3"/>
    <w:rsid w:val="004C37A4"/>
    <w:rsid w:val="004E32F0"/>
    <w:rsid w:val="004E4274"/>
    <w:rsid w:val="004E4A22"/>
    <w:rsid w:val="004F0093"/>
    <w:rsid w:val="004F1A11"/>
    <w:rsid w:val="00511968"/>
    <w:rsid w:val="0055614C"/>
    <w:rsid w:val="00574921"/>
    <w:rsid w:val="005B297D"/>
    <w:rsid w:val="005C52BC"/>
    <w:rsid w:val="00602F9F"/>
    <w:rsid w:val="00607BA5"/>
    <w:rsid w:val="00626EB6"/>
    <w:rsid w:val="006353A3"/>
    <w:rsid w:val="00655D03"/>
    <w:rsid w:val="00683F84"/>
    <w:rsid w:val="006A6A81"/>
    <w:rsid w:val="006E26AF"/>
    <w:rsid w:val="006F7393"/>
    <w:rsid w:val="0070224F"/>
    <w:rsid w:val="007115F7"/>
    <w:rsid w:val="007142DF"/>
    <w:rsid w:val="007238F2"/>
    <w:rsid w:val="00785689"/>
    <w:rsid w:val="0079754B"/>
    <w:rsid w:val="007A1E6D"/>
    <w:rsid w:val="008174AC"/>
    <w:rsid w:val="00822CE0"/>
    <w:rsid w:val="00837C62"/>
    <w:rsid w:val="00841AB1"/>
    <w:rsid w:val="00864552"/>
    <w:rsid w:val="008A3FD2"/>
    <w:rsid w:val="008A461C"/>
    <w:rsid w:val="008C1D58"/>
    <w:rsid w:val="008C22FD"/>
    <w:rsid w:val="008C32E3"/>
    <w:rsid w:val="008F3ED7"/>
    <w:rsid w:val="00910F12"/>
    <w:rsid w:val="00926503"/>
    <w:rsid w:val="00930ECF"/>
    <w:rsid w:val="009838BC"/>
    <w:rsid w:val="009B5873"/>
    <w:rsid w:val="009E3EBE"/>
    <w:rsid w:val="00A11DB6"/>
    <w:rsid w:val="00A45F4F"/>
    <w:rsid w:val="00A600A9"/>
    <w:rsid w:val="00A866AC"/>
    <w:rsid w:val="00A8772C"/>
    <w:rsid w:val="00AA55B7"/>
    <w:rsid w:val="00AA5B9E"/>
    <w:rsid w:val="00AA79B1"/>
    <w:rsid w:val="00AB2407"/>
    <w:rsid w:val="00AB53DF"/>
    <w:rsid w:val="00AF2EAE"/>
    <w:rsid w:val="00B05082"/>
    <w:rsid w:val="00B07E5C"/>
    <w:rsid w:val="00B20363"/>
    <w:rsid w:val="00B326E3"/>
    <w:rsid w:val="00B47442"/>
    <w:rsid w:val="00B811F7"/>
    <w:rsid w:val="00B87F74"/>
    <w:rsid w:val="00B90A55"/>
    <w:rsid w:val="00B95F55"/>
    <w:rsid w:val="00BA5C70"/>
    <w:rsid w:val="00BA5DC6"/>
    <w:rsid w:val="00BA6196"/>
    <w:rsid w:val="00BC6D8C"/>
    <w:rsid w:val="00BE01BE"/>
    <w:rsid w:val="00C1000E"/>
    <w:rsid w:val="00C16AF2"/>
    <w:rsid w:val="00C27A1D"/>
    <w:rsid w:val="00C34006"/>
    <w:rsid w:val="00C426B1"/>
    <w:rsid w:val="00C57CC4"/>
    <w:rsid w:val="00C705B0"/>
    <w:rsid w:val="00C82B6B"/>
    <w:rsid w:val="00C90D6A"/>
    <w:rsid w:val="00CC20A1"/>
    <w:rsid w:val="00CC72B6"/>
    <w:rsid w:val="00CF3A4D"/>
    <w:rsid w:val="00D0218D"/>
    <w:rsid w:val="00D216CD"/>
    <w:rsid w:val="00D80528"/>
    <w:rsid w:val="00DA2529"/>
    <w:rsid w:val="00DB130A"/>
    <w:rsid w:val="00DC10A1"/>
    <w:rsid w:val="00DC655F"/>
    <w:rsid w:val="00DD5532"/>
    <w:rsid w:val="00DD7EBD"/>
    <w:rsid w:val="00DF62B6"/>
    <w:rsid w:val="00E0468A"/>
    <w:rsid w:val="00E07225"/>
    <w:rsid w:val="00E155B7"/>
    <w:rsid w:val="00E3523A"/>
    <w:rsid w:val="00E5409F"/>
    <w:rsid w:val="00EC0185"/>
    <w:rsid w:val="00EC10CE"/>
    <w:rsid w:val="00EC3412"/>
    <w:rsid w:val="00ED1063"/>
    <w:rsid w:val="00F021FA"/>
    <w:rsid w:val="00F10E5A"/>
    <w:rsid w:val="00F546F1"/>
    <w:rsid w:val="00F57ACA"/>
    <w:rsid w:val="00F62E97"/>
    <w:rsid w:val="00F64209"/>
    <w:rsid w:val="00F93BF5"/>
    <w:rsid w:val="00F96F63"/>
    <w:rsid w:val="00F9700F"/>
    <w:rsid w:val="00FF75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FA190AB-D797-4E64-B7D4-56C0AC9F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Footnote Text Char Char,Footnote Text Char Char Char Char,Footnote Text Char Char Char Char1 Char Char,Footnote Text Char1 Char Char Char Char,Footnote Text Char2 Char,Footnote Text Char2 Char Char Char Char Char Char"/>
    <w:link w:val="FootnoteText"/>
    <w:uiPriority w:val="99"/>
    <w:locked/>
    <w:rsid w:val="00F9700F"/>
  </w:style>
  <w:style w:type="paragraph" w:styleId="BalloonText">
    <w:name w:val="Balloon Text"/>
    <w:basedOn w:val="Normal"/>
    <w:link w:val="BalloonTextChar"/>
    <w:uiPriority w:val="99"/>
    <w:semiHidden/>
    <w:unhideWhenUsed/>
    <w:rsid w:val="00155021"/>
    <w:rPr>
      <w:rFonts w:ascii="Segoe UI" w:hAnsi="Segoe UI" w:cs="Segoe UI"/>
      <w:sz w:val="18"/>
      <w:szCs w:val="18"/>
    </w:rPr>
  </w:style>
  <w:style w:type="character" w:customStyle="1" w:styleId="BalloonTextChar">
    <w:name w:val="Balloon Text Char"/>
    <w:link w:val="BalloonText"/>
    <w:uiPriority w:val="99"/>
    <w:semiHidden/>
    <w:rsid w:val="00155021"/>
    <w:rPr>
      <w:rFonts w:ascii="Segoe UI" w:hAnsi="Segoe UI" w:cs="Segoe UI"/>
      <w:snapToGrid w:val="0"/>
      <w:kern w:val="28"/>
      <w:sz w:val="18"/>
      <w:szCs w:val="18"/>
    </w:rPr>
  </w:style>
  <w:style w:type="character" w:customStyle="1" w:styleId="UnresolvedMention">
    <w:name w:val="Unresolved Mention"/>
    <w:uiPriority w:val="99"/>
    <w:semiHidden/>
    <w:unhideWhenUsed/>
    <w:rsid w:val="00E0468A"/>
    <w:rPr>
      <w:color w:val="605E5C"/>
      <w:shd w:val="clear" w:color="auto" w:fill="E1DFDD"/>
    </w:rPr>
  </w:style>
  <w:style w:type="character" w:styleId="CommentReference">
    <w:name w:val="annotation reference"/>
    <w:uiPriority w:val="99"/>
    <w:semiHidden/>
    <w:unhideWhenUsed/>
    <w:rsid w:val="0006444F"/>
    <w:rPr>
      <w:sz w:val="16"/>
      <w:szCs w:val="16"/>
    </w:rPr>
  </w:style>
  <w:style w:type="paragraph" w:styleId="CommentText">
    <w:name w:val="annotation text"/>
    <w:basedOn w:val="Normal"/>
    <w:link w:val="CommentTextChar"/>
    <w:uiPriority w:val="99"/>
    <w:semiHidden/>
    <w:unhideWhenUsed/>
    <w:rsid w:val="0006444F"/>
    <w:rPr>
      <w:sz w:val="20"/>
    </w:rPr>
  </w:style>
  <w:style w:type="character" w:customStyle="1" w:styleId="CommentTextChar">
    <w:name w:val="Comment Text Char"/>
    <w:link w:val="CommentText"/>
    <w:uiPriority w:val="99"/>
    <w:semiHidden/>
    <w:rsid w:val="0006444F"/>
    <w:rPr>
      <w:snapToGrid w:val="0"/>
      <w:kern w:val="28"/>
    </w:rPr>
  </w:style>
  <w:style w:type="paragraph" w:styleId="CommentSubject">
    <w:name w:val="annotation subject"/>
    <w:basedOn w:val="CommentText"/>
    <w:next w:val="CommentText"/>
    <w:link w:val="CommentSubjectChar"/>
    <w:uiPriority w:val="99"/>
    <w:semiHidden/>
    <w:unhideWhenUsed/>
    <w:rsid w:val="0006444F"/>
    <w:rPr>
      <w:b/>
      <w:bCs/>
    </w:rPr>
  </w:style>
  <w:style w:type="character" w:customStyle="1" w:styleId="CommentSubjectChar">
    <w:name w:val="Comment Subject Char"/>
    <w:link w:val="CommentSubject"/>
    <w:uiPriority w:val="99"/>
    <w:semiHidden/>
    <w:rsid w:val="0006444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