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D1776E" w14:paraId="5CD7B01C" w14:textId="77777777">
      <w:pPr>
        <w:widowControl/>
        <w:jc w:val="center"/>
        <w:rPr>
          <w:b/>
        </w:rPr>
      </w:pPr>
      <w:r>
        <w:rPr>
          <w:b/>
          <w:kern w:val="0"/>
        </w:rPr>
        <w:t>Before</w:t>
      </w:r>
      <w:r>
        <w:rPr>
          <w:b/>
        </w:rPr>
        <w:t xml:space="preserve"> the</w:t>
      </w:r>
    </w:p>
    <w:p w:rsidR="00D1776E" w:rsidP="00D1776E" w14:paraId="598BFA5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6A10939B"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18FB88A3" w14:textId="77777777">
      <w:pPr>
        <w:widowControl/>
      </w:pPr>
    </w:p>
    <w:p w:rsidR="00D1776E" w:rsidP="00D1776E" w14:paraId="04B59B34" w14:textId="77777777">
      <w:pPr>
        <w:widowControl/>
      </w:pPr>
    </w:p>
    <w:tbl>
      <w:tblPr>
        <w:tblW w:w="0" w:type="auto"/>
        <w:tblLayout w:type="fixed"/>
        <w:tblLook w:val="0000"/>
      </w:tblPr>
      <w:tblGrid>
        <w:gridCol w:w="4698"/>
        <w:gridCol w:w="630"/>
        <w:gridCol w:w="4248"/>
      </w:tblGrid>
      <w:tr w14:paraId="3BD513F1" w14:textId="77777777" w:rsidTr="00D1776E">
        <w:tblPrEx>
          <w:tblW w:w="0" w:type="auto"/>
          <w:tblLayout w:type="fixed"/>
          <w:tblLook w:val="0000"/>
        </w:tblPrEx>
        <w:tc>
          <w:tcPr>
            <w:tcW w:w="4698" w:type="dxa"/>
          </w:tcPr>
          <w:p w:rsidR="00D1776E" w:rsidP="00D1776E" w14:paraId="460FC007" w14:textId="77777777">
            <w:pPr>
              <w:widowControl/>
              <w:tabs>
                <w:tab w:val="center" w:pos="4680"/>
              </w:tabs>
              <w:suppressAutoHyphens/>
              <w:rPr>
                <w:spacing w:val="-2"/>
              </w:rPr>
            </w:pPr>
            <w:r>
              <w:rPr>
                <w:spacing w:val="-2"/>
              </w:rPr>
              <w:t>In the Matter of</w:t>
            </w:r>
          </w:p>
          <w:p w:rsidR="00D1776E" w:rsidP="00D1776E" w14:paraId="6546B7D7" w14:textId="77777777">
            <w:pPr>
              <w:widowControl/>
              <w:tabs>
                <w:tab w:val="center" w:pos="4680"/>
              </w:tabs>
              <w:suppressAutoHyphens/>
              <w:rPr>
                <w:spacing w:val="-2"/>
              </w:rPr>
            </w:pPr>
          </w:p>
          <w:p w:rsidR="00D1776E" w:rsidP="00D1776E" w14:paraId="65079123" w14:textId="6E056F88">
            <w:pPr>
              <w:widowControl/>
            </w:pPr>
            <w:r>
              <w:t>Nassau</w:t>
            </w:r>
            <w:r w:rsidR="00E77092">
              <w:t xml:space="preserve"> County, New York</w:t>
            </w:r>
          </w:p>
          <w:p w:rsidR="00D1776E" w:rsidP="00D1776E" w14:paraId="6E57EA57" w14:textId="77777777">
            <w:pPr>
              <w:widowControl/>
            </w:pPr>
          </w:p>
          <w:p w:rsidR="00D1776E" w:rsidP="00D1776E" w14:paraId="3DC60AC2" w14:textId="77777777">
            <w:pPr>
              <w:widowControl/>
              <w:tabs>
                <w:tab w:val="center" w:pos="4680"/>
              </w:tabs>
              <w:suppressAutoHyphens/>
              <w:rPr>
                <w:spacing w:val="-2"/>
              </w:rPr>
            </w:pPr>
            <w:r>
              <w:t>Request for Waiver of Section 90.551 of the Commission’s Rules</w:t>
            </w:r>
          </w:p>
        </w:tc>
        <w:tc>
          <w:tcPr>
            <w:tcW w:w="630" w:type="dxa"/>
          </w:tcPr>
          <w:p w:rsidR="00D1776E" w:rsidP="00D1776E" w14:paraId="719797C1" w14:textId="77777777">
            <w:pPr>
              <w:widowControl/>
              <w:tabs>
                <w:tab w:val="center" w:pos="4680"/>
              </w:tabs>
              <w:suppressAutoHyphens/>
              <w:rPr>
                <w:b/>
                <w:spacing w:val="-2"/>
              </w:rPr>
            </w:pPr>
            <w:r>
              <w:rPr>
                <w:b/>
                <w:spacing w:val="-2"/>
              </w:rPr>
              <w:t>)</w:t>
            </w:r>
          </w:p>
          <w:p w:rsidR="00D1776E" w:rsidP="00D1776E" w14:paraId="5FA5BACD" w14:textId="77777777">
            <w:pPr>
              <w:widowControl/>
              <w:tabs>
                <w:tab w:val="center" w:pos="4680"/>
              </w:tabs>
              <w:suppressAutoHyphens/>
              <w:rPr>
                <w:b/>
                <w:spacing w:val="-2"/>
              </w:rPr>
            </w:pPr>
            <w:r>
              <w:rPr>
                <w:b/>
                <w:spacing w:val="-2"/>
              </w:rPr>
              <w:t>)</w:t>
            </w:r>
          </w:p>
          <w:p w:rsidR="00D1776E" w:rsidP="00D1776E" w14:paraId="73FC35B1" w14:textId="77777777">
            <w:pPr>
              <w:widowControl/>
              <w:tabs>
                <w:tab w:val="center" w:pos="4680"/>
              </w:tabs>
              <w:suppressAutoHyphens/>
              <w:rPr>
                <w:b/>
                <w:spacing w:val="-2"/>
              </w:rPr>
            </w:pPr>
            <w:r>
              <w:rPr>
                <w:b/>
                <w:spacing w:val="-2"/>
              </w:rPr>
              <w:t>)</w:t>
            </w:r>
          </w:p>
          <w:p w:rsidR="00D1776E" w:rsidP="00D1776E" w14:paraId="2DA4C4BB" w14:textId="77777777">
            <w:pPr>
              <w:widowControl/>
              <w:tabs>
                <w:tab w:val="center" w:pos="4680"/>
              </w:tabs>
              <w:suppressAutoHyphens/>
              <w:rPr>
                <w:b/>
                <w:spacing w:val="-2"/>
              </w:rPr>
            </w:pPr>
            <w:r>
              <w:rPr>
                <w:b/>
                <w:spacing w:val="-2"/>
              </w:rPr>
              <w:t>)</w:t>
            </w:r>
          </w:p>
          <w:p w:rsidR="00D1776E" w:rsidP="00D1776E" w14:paraId="251C1679" w14:textId="77777777">
            <w:pPr>
              <w:widowControl/>
              <w:tabs>
                <w:tab w:val="center" w:pos="4680"/>
              </w:tabs>
              <w:suppressAutoHyphens/>
              <w:rPr>
                <w:b/>
                <w:spacing w:val="-2"/>
              </w:rPr>
            </w:pPr>
            <w:r>
              <w:rPr>
                <w:b/>
                <w:spacing w:val="-2"/>
              </w:rPr>
              <w:t>)</w:t>
            </w:r>
          </w:p>
          <w:p w:rsidR="00D1776E" w:rsidP="00D1776E" w14:paraId="4196DFF2" w14:textId="77777777">
            <w:pPr>
              <w:widowControl/>
              <w:tabs>
                <w:tab w:val="center" w:pos="4680"/>
              </w:tabs>
              <w:suppressAutoHyphens/>
              <w:rPr>
                <w:b/>
                <w:spacing w:val="-2"/>
              </w:rPr>
            </w:pPr>
            <w:r>
              <w:rPr>
                <w:b/>
                <w:spacing w:val="-2"/>
              </w:rPr>
              <w:t>)</w:t>
            </w:r>
          </w:p>
        </w:tc>
        <w:tc>
          <w:tcPr>
            <w:tcW w:w="4248" w:type="dxa"/>
          </w:tcPr>
          <w:p w:rsidR="00D1776E" w:rsidP="00D1776E" w14:paraId="541A2566" w14:textId="77777777">
            <w:pPr>
              <w:widowControl/>
              <w:tabs>
                <w:tab w:val="center" w:pos="4680"/>
              </w:tabs>
              <w:suppressAutoHyphens/>
              <w:rPr>
                <w:spacing w:val="-2"/>
              </w:rPr>
            </w:pPr>
          </w:p>
          <w:p w:rsidR="00D1776E" w:rsidP="00D1776E" w14:paraId="0A1995C5" w14:textId="77777777">
            <w:pPr>
              <w:pStyle w:val="TOAHeading"/>
              <w:widowControl/>
              <w:tabs>
                <w:tab w:val="center" w:pos="4680"/>
                <w:tab w:val="clear" w:pos="9360"/>
              </w:tabs>
              <w:rPr>
                <w:spacing w:val="-2"/>
              </w:rPr>
            </w:pPr>
          </w:p>
          <w:p w:rsidR="00D1776E" w:rsidP="00E00C84" w14:paraId="129366A2" w14:textId="1047CB03">
            <w:pPr>
              <w:widowControl/>
              <w:tabs>
                <w:tab w:val="center" w:pos="4680"/>
              </w:tabs>
              <w:suppressAutoHyphens/>
              <w:rPr>
                <w:spacing w:val="-2"/>
              </w:rPr>
            </w:pPr>
            <w:r>
              <w:t xml:space="preserve">File No. </w:t>
            </w:r>
            <w:r w:rsidRPr="008B2205">
              <w:t>0008</w:t>
            </w:r>
            <w:r w:rsidR="004A363D">
              <w:t>742642</w:t>
            </w:r>
            <w:r>
              <w:t xml:space="preserve">, </w:t>
            </w:r>
            <w:r w:rsidRPr="008B2205" w:rsidR="00E00C84">
              <w:t>0008</w:t>
            </w:r>
            <w:r w:rsidR="00FB6D1F">
              <w:t>74</w:t>
            </w:r>
            <w:r w:rsidR="008F164F">
              <w:t>2654</w:t>
            </w:r>
          </w:p>
        </w:tc>
      </w:tr>
    </w:tbl>
    <w:p w:rsidR="00D1776E" w:rsidP="00D1776E" w14:paraId="786ADC24" w14:textId="77777777">
      <w:pPr>
        <w:widowControl/>
      </w:pPr>
    </w:p>
    <w:p w:rsidR="00D1776E" w:rsidP="00D1776E" w14:paraId="368C37E1" w14:textId="77777777">
      <w:pPr>
        <w:pStyle w:val="StyleBoldCentered"/>
        <w:widowControl/>
        <w:rPr>
          <w:rFonts w:ascii="Times New Roman" w:hAnsi="Times New Roman"/>
        </w:rPr>
      </w:pPr>
      <w:r>
        <w:rPr>
          <w:rFonts w:ascii="Times New Roman" w:hAnsi="Times New Roman"/>
        </w:rPr>
        <w:t>Order</w:t>
      </w:r>
    </w:p>
    <w:p w:rsidR="00D1776E" w:rsidP="00D1776E" w14:paraId="3C4894AC" w14:textId="77777777">
      <w:pPr>
        <w:widowControl/>
        <w:tabs>
          <w:tab w:val="left" w:pos="-720"/>
        </w:tabs>
        <w:suppressAutoHyphens/>
        <w:spacing w:line="227" w:lineRule="auto"/>
        <w:rPr>
          <w:spacing w:val="-2"/>
        </w:rPr>
      </w:pPr>
    </w:p>
    <w:p w:rsidR="00D1776E" w:rsidP="00D1776E" w14:paraId="477C4D78" w14:textId="375B2026">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EB4C12">
        <w:rPr>
          <w:b/>
          <w:spacing w:val="-2"/>
          <w:szCs w:val="22"/>
        </w:rPr>
        <w:t>January 3</w:t>
      </w:r>
      <w:r w:rsidR="00D0500E">
        <w:rPr>
          <w:b/>
          <w:spacing w:val="-2"/>
          <w:szCs w:val="22"/>
        </w:rPr>
        <w:t>,</w:t>
      </w:r>
      <w:r>
        <w:rPr>
          <w:b/>
          <w:spacing w:val="-2"/>
          <w:szCs w:val="22"/>
        </w:rPr>
        <w:t xml:space="preserve"> 20</w:t>
      </w:r>
      <w:r w:rsidR="0019383C">
        <w:rPr>
          <w:b/>
          <w:spacing w:val="-2"/>
          <w:szCs w:val="22"/>
        </w:rPr>
        <w:t>20</w:t>
      </w:r>
      <w:r>
        <w:rPr>
          <w:b/>
          <w:spacing w:val="-2"/>
          <w:szCs w:val="22"/>
        </w:rPr>
        <w:tab/>
      </w:r>
      <w:r>
        <w:rPr>
          <w:b/>
          <w:spacing w:val="-2"/>
          <w:szCs w:val="22"/>
        </w:rPr>
        <w:tab/>
        <w:t xml:space="preserve">Released: </w:t>
      </w:r>
      <w:r w:rsidR="00EB4C12">
        <w:rPr>
          <w:b/>
          <w:spacing w:val="-2"/>
          <w:szCs w:val="22"/>
        </w:rPr>
        <w:t>January 3</w:t>
      </w:r>
      <w:r>
        <w:rPr>
          <w:b/>
          <w:spacing w:val="-2"/>
          <w:szCs w:val="22"/>
        </w:rPr>
        <w:t>, 20</w:t>
      </w:r>
      <w:r w:rsidR="0019383C">
        <w:rPr>
          <w:b/>
          <w:spacing w:val="-2"/>
          <w:szCs w:val="22"/>
        </w:rPr>
        <w:t>20</w:t>
      </w:r>
    </w:p>
    <w:p w:rsidR="00D1776E" w:rsidP="00D1776E" w14:paraId="06B4DD46" w14:textId="77777777">
      <w:pPr>
        <w:widowControl/>
        <w:rPr>
          <w:szCs w:val="22"/>
        </w:rPr>
      </w:pPr>
    </w:p>
    <w:p w:rsidR="00D1776E" w:rsidP="00D1776E" w14:paraId="63997063"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10797B61" w14:textId="77777777">
      <w:pPr>
        <w:widowControl/>
      </w:pPr>
    </w:p>
    <w:p w:rsidR="00D1776E" w:rsidP="00D1776E" w14:paraId="1F7F03EB" w14:textId="77777777">
      <w:pPr>
        <w:pStyle w:val="Heading1"/>
        <w:widowControl/>
      </w:pPr>
      <w:r>
        <w:t>introduction</w:t>
      </w:r>
    </w:p>
    <w:p w:rsidR="00D1776E" w:rsidRPr="002E27B5" w:rsidP="00D5375A" w14:paraId="66C61361" w14:textId="5C81D5EC">
      <w:pPr>
        <w:pStyle w:val="ParaNum"/>
        <w:widowControl/>
      </w:pPr>
      <w:r>
        <w:t>Nassau</w:t>
      </w:r>
      <w:r w:rsidR="00E77092">
        <w:t xml:space="preserve"> County, New </w:t>
      </w:r>
      <w:r w:rsidR="00CE26DC">
        <w:t>York (</w:t>
      </w:r>
      <w:r w:rsidR="00E77092">
        <w:t>County)</w:t>
      </w:r>
      <w:r w:rsidR="000E2F6E">
        <w:rPr>
          <w:szCs w:val="22"/>
        </w:rPr>
        <w:t xml:space="preserve"> is </w:t>
      </w:r>
      <w:r w:rsidR="00E77092">
        <w:rPr>
          <w:szCs w:val="22"/>
        </w:rPr>
        <w:t xml:space="preserve">the licensee of </w:t>
      </w:r>
      <w:r>
        <w:rPr>
          <w:szCs w:val="22"/>
        </w:rPr>
        <w:t>two</w:t>
      </w:r>
      <w:r w:rsidR="00E77092">
        <w:rPr>
          <w:szCs w:val="22"/>
        </w:rPr>
        <w:t xml:space="preserve"> 700 MHz trunked public safety </w:t>
      </w:r>
      <w:r w:rsidR="003F411B">
        <w:rPr>
          <w:szCs w:val="22"/>
        </w:rPr>
        <w:t>stations</w:t>
      </w:r>
      <w:r w:rsidR="00DF7031">
        <w:rPr>
          <w:szCs w:val="22"/>
        </w:rPr>
        <w:t>, call signs</w:t>
      </w:r>
      <w:r w:rsidR="00E77092">
        <w:rPr>
          <w:szCs w:val="22"/>
        </w:rPr>
        <w:t xml:space="preserve"> </w:t>
      </w:r>
      <w:r>
        <w:rPr>
          <w:szCs w:val="22"/>
        </w:rPr>
        <w:t>WQUM833</w:t>
      </w:r>
      <w:r w:rsidR="00E77092">
        <w:rPr>
          <w:szCs w:val="22"/>
        </w:rPr>
        <w:t xml:space="preserve"> and WQU</w:t>
      </w:r>
      <w:r>
        <w:rPr>
          <w:szCs w:val="22"/>
        </w:rPr>
        <w:t>T752</w:t>
      </w:r>
      <w:r w:rsidR="00E77092">
        <w:rPr>
          <w:szCs w:val="22"/>
        </w:rPr>
        <w:t xml:space="preserve">. </w:t>
      </w:r>
      <w:r w:rsidR="00EE462C">
        <w:rPr>
          <w:szCs w:val="22"/>
        </w:rPr>
        <w:t xml:space="preserve"> The </w:t>
      </w:r>
      <w:r w:rsidR="000B07E7">
        <w:rPr>
          <w:szCs w:val="22"/>
        </w:rPr>
        <w:t xml:space="preserve">Bureau </w:t>
      </w:r>
      <w:r w:rsidR="00EE462C">
        <w:rPr>
          <w:szCs w:val="22"/>
        </w:rPr>
        <w:t>granted the County</w:t>
      </w:r>
      <w:r w:rsidR="000E2F6E">
        <w:t xml:space="preserve"> </w:t>
      </w:r>
      <w:r w:rsidR="00F92223">
        <w:rPr>
          <w:szCs w:val="22"/>
        </w:rPr>
        <w:t xml:space="preserve">an </w:t>
      </w:r>
      <w:r w:rsidR="000E2F6E">
        <w:rPr>
          <w:szCs w:val="22"/>
        </w:rPr>
        <w:t xml:space="preserve">extended period </w:t>
      </w:r>
      <w:r w:rsidR="00881ED9">
        <w:rPr>
          <w:szCs w:val="22"/>
        </w:rPr>
        <w:t xml:space="preserve">until August 19, 2019, </w:t>
      </w:r>
      <w:r w:rsidR="000E2F6E">
        <w:rPr>
          <w:szCs w:val="22"/>
        </w:rPr>
        <w:t>to construct the</w:t>
      </w:r>
      <w:r w:rsidR="00EE462C">
        <w:rPr>
          <w:szCs w:val="22"/>
        </w:rPr>
        <w:t>se</w:t>
      </w:r>
      <w:r w:rsidR="000E2F6E">
        <w:rPr>
          <w:szCs w:val="22"/>
        </w:rPr>
        <w:t xml:space="preserve"> </w:t>
      </w:r>
      <w:r w:rsidR="00EE462C">
        <w:rPr>
          <w:szCs w:val="22"/>
        </w:rPr>
        <w:t>authorizations</w:t>
      </w:r>
      <w:r>
        <w:rPr>
          <w:szCs w:val="22"/>
        </w:rPr>
        <w:t xml:space="preserve">.  </w:t>
      </w:r>
      <w:r w:rsidR="000E2F6E">
        <w:t xml:space="preserve">On </w:t>
      </w:r>
      <w:r w:rsidR="00182DCF">
        <w:t>July 26, 2019</w:t>
      </w:r>
      <w:r w:rsidR="00CE26DC">
        <w:t xml:space="preserve">, </w:t>
      </w:r>
      <w:r w:rsidR="00367ED2">
        <w:rPr>
          <w:szCs w:val="22"/>
        </w:rPr>
        <w:t xml:space="preserve">the County </w:t>
      </w:r>
      <w:r w:rsidR="000E2F6E">
        <w:t xml:space="preserve">submitted the instant request </w:t>
      </w:r>
      <w:r w:rsidR="003365B5">
        <w:t xml:space="preserve">for waiver </w:t>
      </w:r>
      <w:r w:rsidR="000E2F6E">
        <w:t>to extend the construction period</w:t>
      </w:r>
      <w:r w:rsidR="003365B5">
        <w:t xml:space="preserve"> </w:t>
      </w:r>
      <w:r w:rsidR="00565013">
        <w:t xml:space="preserve">for </w:t>
      </w:r>
      <w:r w:rsidR="00182DCF">
        <w:t xml:space="preserve">nine frequency pairs at three fixed base locations for call sign </w:t>
      </w:r>
      <w:r w:rsidR="00182DCF">
        <w:rPr>
          <w:szCs w:val="22"/>
        </w:rPr>
        <w:t xml:space="preserve">WQUM833 </w:t>
      </w:r>
      <w:r w:rsidR="00565013">
        <w:t>a</w:t>
      </w:r>
      <w:r w:rsidR="00774A64">
        <w:t xml:space="preserve">nd for nine frequency pairs at three fixed base locations for call sign </w:t>
      </w:r>
      <w:r w:rsidR="00774A64">
        <w:rPr>
          <w:szCs w:val="22"/>
        </w:rPr>
        <w:t>WQUT752</w:t>
      </w:r>
      <w:r w:rsidR="000E2F6E">
        <w:t>.</w:t>
      </w:r>
      <w:r>
        <w:rPr>
          <w:rStyle w:val="FootnoteReference"/>
        </w:rPr>
        <w:footnoteReference w:id="3"/>
      </w:r>
      <w:r w:rsidRPr="002D3939" w:rsidR="003B2B20">
        <w:rPr>
          <w:szCs w:val="22"/>
        </w:rPr>
        <w:t xml:space="preserve"> </w:t>
      </w:r>
      <w:r w:rsidR="003B2B20">
        <w:rPr>
          <w:szCs w:val="22"/>
        </w:rPr>
        <w:t xml:space="preserve"> </w:t>
      </w:r>
      <w:r w:rsidR="00D5375A">
        <w:rPr>
          <w:szCs w:val="22"/>
        </w:rPr>
        <w:t>For the reasons set out below, we grant the County’s waiver request.</w:t>
      </w:r>
      <w:r>
        <w:rPr>
          <w:szCs w:val="22"/>
          <w:vertAlign w:val="superscript"/>
        </w:rPr>
        <w:footnoteReference w:id="4"/>
      </w:r>
      <w:r w:rsidR="00565013">
        <w:t xml:space="preserve"> </w:t>
      </w:r>
    </w:p>
    <w:p w:rsidR="00D1776E" w:rsidP="00D1776E" w14:paraId="57E2553E" w14:textId="77777777">
      <w:pPr>
        <w:pStyle w:val="Heading1"/>
        <w:widowControl/>
      </w:pPr>
      <w:r>
        <w:t>background</w:t>
      </w:r>
    </w:p>
    <w:p w:rsidR="00D1776E" w:rsidP="00D1776E" w14:paraId="20ECFFAC" w14:textId="5D8F1C52">
      <w:pPr>
        <w:pStyle w:val="ParaNum"/>
        <w:widowControl/>
        <w:rPr>
          <w:szCs w:val="22"/>
        </w:rPr>
      </w:pPr>
      <w:r w:rsidRPr="00F875C5">
        <w:rPr>
          <w:i/>
          <w:szCs w:val="22"/>
        </w:rPr>
        <w:t>Extended Implementation</w:t>
      </w:r>
      <w:r>
        <w:rPr>
          <w:i/>
          <w:szCs w:val="22"/>
        </w:rPr>
        <w:t>.</w:t>
      </w:r>
      <w:r>
        <w:rPr>
          <w:szCs w:val="22"/>
        </w:rPr>
        <w:t xml:space="preserve">  </w:t>
      </w:r>
      <w:r w:rsidRPr="00F875C5">
        <w:rPr>
          <w:szCs w:val="22"/>
        </w:rPr>
        <w:t>Section 90.551 of the Commission’s rules requires</w:t>
      </w:r>
      <w:r>
        <w:rPr>
          <w:szCs w:val="22"/>
        </w:rPr>
        <w:t xml:space="preserve"> </w:t>
      </w:r>
      <w:r w:rsidRPr="00F875C5">
        <w:rPr>
          <w:szCs w:val="22"/>
        </w:rPr>
        <w:t>700</w:t>
      </w:r>
      <w:r>
        <w:rPr>
          <w:szCs w:val="22"/>
        </w:rPr>
        <w:t xml:space="preserve"> MHz narrowband stations to </w:t>
      </w:r>
      <w:r w:rsidRPr="00F875C5">
        <w:rPr>
          <w:szCs w:val="22"/>
        </w:rPr>
        <w:t>be constructed and placed into operation within 12 months from the date of grant of the authorization</w:t>
      </w:r>
      <w:r w:rsidR="00CE26DC">
        <w:rPr>
          <w:szCs w:val="22"/>
        </w:rPr>
        <w:t>.</w:t>
      </w:r>
      <w:r>
        <w:rPr>
          <w:rStyle w:val="FootnoteReference"/>
          <w:szCs w:val="22"/>
        </w:rPr>
        <w:footnoteReference w:id="5"/>
      </w:r>
      <w:r w:rsidRPr="00F875C5">
        <w:rPr>
          <w:szCs w:val="22"/>
        </w:rPr>
        <w:t xml:space="preserve"> </w:t>
      </w:r>
      <w:r w:rsidR="00B7601A">
        <w:rPr>
          <w:szCs w:val="22"/>
        </w:rPr>
        <w:t xml:space="preserve"> </w:t>
      </w:r>
      <w:r w:rsidR="00C5035B">
        <w:rPr>
          <w:szCs w:val="22"/>
        </w:rPr>
        <w:t xml:space="preserve">Section </w:t>
      </w:r>
      <w:r w:rsidRPr="00C5035B" w:rsidR="00C5035B">
        <w:rPr>
          <w:szCs w:val="22"/>
        </w:rPr>
        <w:t>90.629</w:t>
      </w:r>
      <w:r w:rsidR="00C5035B">
        <w:rPr>
          <w:szCs w:val="22"/>
        </w:rPr>
        <w:t xml:space="preserve"> of the Commission’s rules</w:t>
      </w:r>
      <w:r w:rsidR="00B7601A">
        <w:rPr>
          <w:szCs w:val="22"/>
        </w:rPr>
        <w:t>, however,</w:t>
      </w:r>
      <w:r w:rsidR="00C5035B">
        <w:rPr>
          <w:szCs w:val="22"/>
        </w:rPr>
        <w:t xml:space="preserve"> </w:t>
      </w:r>
      <w:r>
        <w:rPr>
          <w:szCs w:val="22"/>
        </w:rPr>
        <w:t>allow</w:t>
      </w:r>
      <w:r w:rsidR="00B7601A">
        <w:rPr>
          <w:szCs w:val="22"/>
        </w:rPr>
        <w:t>s</w:t>
      </w:r>
      <w:r w:rsidR="00C5035B">
        <w:rPr>
          <w:szCs w:val="22"/>
        </w:rPr>
        <w:t xml:space="preserve"> licensees a one-time</w:t>
      </w:r>
      <w:r>
        <w:rPr>
          <w:szCs w:val="22"/>
        </w:rPr>
        <w:t xml:space="preserve"> extended </w:t>
      </w:r>
      <w:r w:rsidRPr="00F875C5">
        <w:rPr>
          <w:szCs w:val="22"/>
        </w:rPr>
        <w:t>construction period</w:t>
      </w:r>
      <w:r>
        <w:rPr>
          <w:szCs w:val="22"/>
        </w:rPr>
        <w:t xml:space="preserve"> of up to 5 years</w:t>
      </w:r>
      <w:r w:rsidR="00C5035B">
        <w:rPr>
          <w:szCs w:val="22"/>
        </w:rPr>
        <w:t xml:space="preserve"> subject to certain conditions</w:t>
      </w:r>
      <w:r w:rsidR="004B387D">
        <w:rPr>
          <w:szCs w:val="22"/>
        </w:rPr>
        <w:t>.</w:t>
      </w:r>
      <w:r>
        <w:rPr>
          <w:rStyle w:val="FootnoteReference"/>
          <w:sz w:val="22"/>
          <w:szCs w:val="22"/>
        </w:rPr>
        <w:footnoteReference w:id="6"/>
      </w:r>
    </w:p>
    <w:p w:rsidR="00D1776E" w:rsidP="00B17C6F" w14:paraId="3F191C49" w14:textId="4F828EAA">
      <w:pPr>
        <w:pStyle w:val="ParaNum"/>
      </w:pPr>
      <w:r>
        <w:t>T</w:t>
      </w:r>
      <w:r w:rsidR="00D03F60">
        <w:t xml:space="preserve">he County </w:t>
      </w:r>
      <w:r w:rsidR="002B6D40">
        <w:t>states</w:t>
      </w:r>
      <w:r w:rsidR="00D03F60">
        <w:t xml:space="preserve"> that it </w:t>
      </w:r>
      <w:r w:rsidRPr="0057458F" w:rsidR="0057458F">
        <w:t xml:space="preserve">has made significant progress within the overall implementation effort for the build-out of the 700 MHz </w:t>
      </w:r>
      <w:r w:rsidR="0019383C">
        <w:t>s</w:t>
      </w:r>
      <w:r w:rsidRPr="0057458F" w:rsidR="0057458F">
        <w:t>ystem</w:t>
      </w:r>
      <w:r w:rsidR="00EF761D">
        <w:t xml:space="preserve"> and that it has completed a</w:t>
      </w:r>
      <w:r w:rsidRPr="0057458F" w:rsidR="0057458F">
        <w:t>ll</w:t>
      </w:r>
      <w:r w:rsidR="00EF761D">
        <w:t xml:space="preserve"> necess</w:t>
      </w:r>
      <w:r w:rsidR="00E1541A">
        <w:t>ary</w:t>
      </w:r>
      <w:r w:rsidRPr="0057458F" w:rsidR="0057458F">
        <w:t xml:space="preserve"> design work</w:t>
      </w:r>
      <w:r w:rsidR="00E1541A">
        <w:t xml:space="preserve"> </w:t>
      </w:r>
      <w:r>
        <w:t xml:space="preserve">and </w:t>
      </w:r>
      <w:r w:rsidR="00662D4D">
        <w:t>requisite</w:t>
      </w:r>
      <w:r w:rsidRPr="0057458F" w:rsidR="0057458F">
        <w:t xml:space="preserve"> equipment ordering, staging and delivery</w:t>
      </w:r>
      <w:r w:rsidR="00D03F60">
        <w:t>.</w:t>
      </w:r>
      <w:r>
        <w:rPr>
          <w:rStyle w:val="FootnoteReference"/>
        </w:rPr>
        <w:footnoteReference w:id="7"/>
      </w:r>
      <w:r w:rsidR="00360C29">
        <w:t xml:space="preserve"> </w:t>
      </w:r>
      <w:r w:rsidR="00B2146C">
        <w:t xml:space="preserve"> </w:t>
      </w:r>
      <w:r w:rsidR="002B6D40">
        <w:t xml:space="preserve">However, it </w:t>
      </w:r>
      <w:r w:rsidR="005D4166">
        <w:t>contends that</w:t>
      </w:r>
      <w:r w:rsidRPr="005D4166" w:rsidR="005D4166">
        <w:t xml:space="preserve"> several contractual, procedural, and technical issues </w:t>
      </w:r>
      <w:r w:rsidR="003162D9">
        <w:t xml:space="preserve">have arisen </w:t>
      </w:r>
      <w:r w:rsidRPr="005D4166" w:rsidR="005D4166">
        <w:t xml:space="preserve">that require </w:t>
      </w:r>
      <w:r w:rsidR="003162D9">
        <w:t xml:space="preserve">it </w:t>
      </w:r>
      <w:r w:rsidRPr="005D4166" w:rsidR="005D4166">
        <w:t xml:space="preserve">to request a </w:t>
      </w:r>
      <w:r w:rsidR="0019383C">
        <w:t>s</w:t>
      </w:r>
      <w:r w:rsidRPr="005D4166" w:rsidR="005D4166">
        <w:t xml:space="preserve">low </w:t>
      </w:r>
      <w:r w:rsidR="0019383C">
        <w:t>g</w:t>
      </w:r>
      <w:r w:rsidRPr="005D4166" w:rsidR="005D4166">
        <w:t xml:space="preserve">rowth </w:t>
      </w:r>
      <w:r w:rsidR="0019383C">
        <w:t>e</w:t>
      </w:r>
      <w:r w:rsidRPr="005D4166" w:rsidR="005D4166">
        <w:t xml:space="preserve">xtension to fully complete the </w:t>
      </w:r>
      <w:r w:rsidR="0019383C">
        <w:t>s</w:t>
      </w:r>
      <w:r w:rsidRPr="005D4166" w:rsidR="005D4166">
        <w:t>ystem build-out.</w:t>
      </w:r>
      <w:r>
        <w:rPr>
          <w:rStyle w:val="FootnoteReference"/>
        </w:rPr>
        <w:footnoteReference w:id="8"/>
      </w:r>
    </w:p>
    <w:p w:rsidR="00867DF3" w:rsidP="00B17C6F" w14:paraId="0F65DD15" w14:textId="5EA7EB2B">
      <w:pPr>
        <w:pStyle w:val="ParaNum"/>
      </w:pPr>
      <w:r w:rsidRPr="00B32B1F">
        <w:t xml:space="preserve">The </w:t>
      </w:r>
      <w:r w:rsidR="00927C99">
        <w:t xml:space="preserve">County received its </w:t>
      </w:r>
      <w:r w:rsidR="00214F87">
        <w:t xml:space="preserve">initial </w:t>
      </w:r>
      <w:r w:rsidRPr="00B32B1F">
        <w:t xml:space="preserve">grant </w:t>
      </w:r>
      <w:r w:rsidR="00231620">
        <w:t xml:space="preserve">funding </w:t>
      </w:r>
      <w:r w:rsidR="00214F87">
        <w:t xml:space="preserve">on </w:t>
      </w:r>
      <w:r w:rsidRPr="00B32B1F">
        <w:t xml:space="preserve">August 27, 2015. </w:t>
      </w:r>
      <w:r w:rsidR="003365B5">
        <w:t xml:space="preserve"> It issued </w:t>
      </w:r>
      <w:r w:rsidRPr="00B32B1F">
        <w:t xml:space="preserve">final contract and purchase orders to Motorola that allowed </w:t>
      </w:r>
      <w:r w:rsidR="003365B5">
        <w:t xml:space="preserve">it </w:t>
      </w:r>
      <w:r w:rsidRPr="00B32B1F">
        <w:t xml:space="preserve">to commence work on implementation of the 700 MHz Radio System </w:t>
      </w:r>
      <w:r w:rsidR="0011625D">
        <w:t>on</w:t>
      </w:r>
      <w:r w:rsidRPr="00B32B1F">
        <w:t xml:space="preserve"> December 29, 2017. </w:t>
      </w:r>
      <w:r w:rsidR="00231620">
        <w:t xml:space="preserve"> </w:t>
      </w:r>
      <w:r w:rsidR="00214F87">
        <w:t xml:space="preserve">The County </w:t>
      </w:r>
      <w:r w:rsidRPr="00B32B1F">
        <w:t>received two grant funding extensions</w:t>
      </w:r>
      <w:r w:rsidR="0019383C">
        <w:t>:</w:t>
      </w:r>
      <w:r w:rsidR="00231620">
        <w:t xml:space="preserve"> one</w:t>
      </w:r>
      <w:r w:rsidRPr="00B32B1F">
        <w:t xml:space="preserve"> extension through December 31, 2018</w:t>
      </w:r>
      <w:r w:rsidR="00231620">
        <w:t>,</w:t>
      </w:r>
      <w:r w:rsidRPr="00B32B1F">
        <w:t xml:space="preserve"> and </w:t>
      </w:r>
      <w:r w:rsidR="00231620">
        <w:t>a</w:t>
      </w:r>
      <w:r w:rsidRPr="00B32B1F">
        <w:t xml:space="preserve"> second extension through December 31, 2019.</w:t>
      </w:r>
      <w:r w:rsidR="00DE29E5">
        <w:t xml:space="preserve">  </w:t>
      </w:r>
      <w:r w:rsidR="00151FCC">
        <w:t xml:space="preserve">The </w:t>
      </w:r>
      <w:r w:rsidR="002F638C">
        <w:t xml:space="preserve">County </w:t>
      </w:r>
      <w:r w:rsidR="0011625D">
        <w:t>claims</w:t>
      </w:r>
      <w:r w:rsidR="002F638C">
        <w:t xml:space="preserve"> that the </w:t>
      </w:r>
      <w:r w:rsidR="00FF6403">
        <w:t xml:space="preserve">timing of the grants and the subsequent delay in </w:t>
      </w:r>
      <w:r w:rsidRPr="00151FCC" w:rsidR="00151FCC">
        <w:t>the processing and approval of contracts and purchase orders resulted in the loss of over three years of implementation time.</w:t>
      </w:r>
      <w:r>
        <w:rPr>
          <w:rStyle w:val="FootnoteReference"/>
        </w:rPr>
        <w:footnoteReference w:id="9"/>
      </w:r>
    </w:p>
    <w:p w:rsidR="006D7BD6" w:rsidP="0011153F" w14:paraId="24D50A95" w14:textId="6AF5C189">
      <w:pPr>
        <w:pStyle w:val="ParaNum"/>
      </w:pPr>
      <w:r>
        <w:t xml:space="preserve">The County notes that call sign </w:t>
      </w:r>
      <w:r w:rsidRPr="004676B2">
        <w:t>WQUM833</w:t>
      </w:r>
      <w:r w:rsidR="00A7003B">
        <w:t xml:space="preserve"> (</w:t>
      </w:r>
      <w:r>
        <w:t>l</w:t>
      </w:r>
      <w:r w:rsidRPr="004676B2">
        <w:t>ocation 1</w:t>
      </w:r>
      <w:r w:rsidR="00A7003B">
        <w:t>)</w:t>
      </w:r>
      <w:r w:rsidRPr="004676B2">
        <w:t xml:space="preserve"> </w:t>
      </w:r>
      <w:r>
        <w:t xml:space="preserve">still </w:t>
      </w:r>
      <w:r w:rsidRPr="004676B2">
        <w:t xml:space="preserve">requires a significant amount of civil </w:t>
      </w:r>
      <w:r>
        <w:t xml:space="preserve">engineering </w:t>
      </w:r>
      <w:r w:rsidRPr="004676B2">
        <w:t xml:space="preserve">work </w:t>
      </w:r>
      <w:r>
        <w:t xml:space="preserve">before it is operational.  This latter effort was complicated by the need to remove legacy </w:t>
      </w:r>
      <w:r w:rsidRPr="004676B2">
        <w:t>equipment to make room for the new 700 MHz equipment.</w:t>
      </w:r>
      <w:r>
        <w:rPr>
          <w:rStyle w:val="FootnoteReference"/>
        </w:rPr>
        <w:footnoteReference w:id="10"/>
      </w:r>
      <w:r w:rsidRPr="004676B2">
        <w:t xml:space="preserve"> </w:t>
      </w:r>
      <w:r w:rsidR="0019383C">
        <w:t xml:space="preserve"> </w:t>
      </w:r>
      <w:r w:rsidRPr="004676B2" w:rsidR="004676B2">
        <w:t xml:space="preserve">The County </w:t>
      </w:r>
      <w:r>
        <w:t xml:space="preserve">also </w:t>
      </w:r>
      <w:r w:rsidR="00043792">
        <w:t>notes that</w:t>
      </w:r>
      <w:r w:rsidR="003510B6">
        <w:t>,</w:t>
      </w:r>
      <w:r w:rsidR="00043792">
        <w:t xml:space="preserve"> </w:t>
      </w:r>
      <w:r w:rsidR="00631CAA">
        <w:t xml:space="preserve">although </w:t>
      </w:r>
      <w:r w:rsidR="00043792">
        <w:t>it</w:t>
      </w:r>
      <w:r w:rsidRPr="004676B2" w:rsidR="004676B2">
        <w:t xml:space="preserve"> </w:t>
      </w:r>
      <w:r w:rsidR="00631CAA">
        <w:t xml:space="preserve">encountered </w:t>
      </w:r>
      <w:r w:rsidRPr="004676B2" w:rsidR="004676B2">
        <w:t xml:space="preserve">significant </w:t>
      </w:r>
      <w:r w:rsidR="00631CAA">
        <w:t xml:space="preserve">delays </w:t>
      </w:r>
      <w:r w:rsidR="003310A2">
        <w:t xml:space="preserve">in </w:t>
      </w:r>
      <w:r w:rsidR="003510B6">
        <w:t xml:space="preserve">obtaining access to the site where </w:t>
      </w:r>
      <w:r w:rsidRPr="003510B6" w:rsidR="003510B6">
        <w:t>call sign WQUT752</w:t>
      </w:r>
      <w:r w:rsidR="00A7003B">
        <w:t xml:space="preserve"> (</w:t>
      </w:r>
      <w:r w:rsidR="003510B6">
        <w:t>location 2</w:t>
      </w:r>
      <w:r w:rsidR="00A7003B">
        <w:t>)</w:t>
      </w:r>
      <w:r w:rsidR="003510B6">
        <w:t xml:space="preserve"> is to be constructed, and </w:t>
      </w:r>
      <w:r w:rsidR="00104247">
        <w:t>difficulty in obtain</w:t>
      </w:r>
      <w:r w:rsidR="003510B6">
        <w:t>ing permission to use that site, the access and permission</w:t>
      </w:r>
      <w:r w:rsidR="005D569F">
        <w:t xml:space="preserve"> issues have been resolved</w:t>
      </w:r>
      <w:r w:rsidR="003510B6">
        <w:t xml:space="preserve">.  It anticipates, </w:t>
      </w:r>
      <w:r w:rsidR="00706D64">
        <w:t xml:space="preserve">however, that it will need an </w:t>
      </w:r>
      <w:r w:rsidRPr="004676B2" w:rsidR="004676B2">
        <w:t>additional 3-4 months to get all equipment delivered to the site</w:t>
      </w:r>
      <w:r w:rsidR="007D017A">
        <w:t xml:space="preserve"> and installed,</w:t>
      </w:r>
      <w:r w:rsidR="00706D64">
        <w:t xml:space="preserve"> all</w:t>
      </w:r>
      <w:r w:rsidR="007D017A">
        <w:t xml:space="preserve"> </w:t>
      </w:r>
      <w:r w:rsidR="00706D64">
        <w:t>configuration of the equipment completed</w:t>
      </w:r>
      <w:r w:rsidR="00A7003B">
        <w:t>,</w:t>
      </w:r>
      <w:r w:rsidR="00706D64">
        <w:t xml:space="preserve"> and</w:t>
      </w:r>
      <w:r w:rsidR="00A7003B">
        <w:t xml:space="preserve"> </w:t>
      </w:r>
      <w:r w:rsidRPr="004676B2" w:rsidR="004676B2">
        <w:t>final testing</w:t>
      </w:r>
      <w:r w:rsidR="007D017A">
        <w:t xml:space="preserve"> conducted</w:t>
      </w:r>
      <w:r w:rsidRPr="004676B2" w:rsidR="004676B2">
        <w:t>.</w:t>
      </w:r>
      <w:r>
        <w:rPr>
          <w:rStyle w:val="FootnoteReference"/>
        </w:rPr>
        <w:footnoteReference w:id="11"/>
      </w:r>
      <w:r w:rsidRPr="004676B2" w:rsidR="004676B2">
        <w:t xml:space="preserve"> </w:t>
      </w:r>
      <w:r w:rsidR="007D017A">
        <w:t xml:space="preserve"> </w:t>
      </w:r>
    </w:p>
    <w:p w:rsidR="006552BE" w:rsidP="00B17C6F" w14:paraId="0936439B" w14:textId="36B922CC">
      <w:pPr>
        <w:pStyle w:val="ParaNum"/>
      </w:pPr>
      <w:r>
        <w:t xml:space="preserve">The County states it </w:t>
      </w:r>
      <w:r w:rsidRPr="00D905BE" w:rsidR="00D905BE">
        <w:t xml:space="preserve">faced issues with lease agreements </w:t>
      </w:r>
      <w:r w:rsidR="00104247">
        <w:t xml:space="preserve">for the sites where call sign </w:t>
      </w:r>
      <w:r w:rsidR="000962C1">
        <w:t>WQUM833</w:t>
      </w:r>
      <w:r w:rsidR="005B6A43">
        <w:t xml:space="preserve"> (</w:t>
      </w:r>
      <w:r w:rsidR="00EF742F">
        <w:t>location 3</w:t>
      </w:r>
      <w:r w:rsidR="005B6A43">
        <w:t>)</w:t>
      </w:r>
      <w:r w:rsidR="00EF742F">
        <w:t xml:space="preserve"> </w:t>
      </w:r>
      <w:r w:rsidR="00736300">
        <w:t xml:space="preserve">and </w:t>
      </w:r>
      <w:r w:rsidR="009E5208">
        <w:t xml:space="preserve">call sign </w:t>
      </w:r>
      <w:r w:rsidRPr="00D905BE" w:rsidR="00D905BE">
        <w:t>WQUT752</w:t>
      </w:r>
      <w:r w:rsidR="000962C1">
        <w:t xml:space="preserve"> </w:t>
      </w:r>
      <w:r w:rsidR="005B6A43">
        <w:t>(</w:t>
      </w:r>
      <w:r w:rsidR="000962C1">
        <w:t xml:space="preserve">locations </w:t>
      </w:r>
      <w:r w:rsidR="00AA00B4">
        <w:t>1 and 3</w:t>
      </w:r>
      <w:r w:rsidR="005B6A43">
        <w:t>)</w:t>
      </w:r>
      <w:r w:rsidR="00104247">
        <w:t xml:space="preserve"> are to be constructed</w:t>
      </w:r>
      <w:r w:rsidRPr="00D905BE" w:rsidR="00D905BE">
        <w:t>.</w:t>
      </w:r>
      <w:r>
        <w:rPr>
          <w:rStyle w:val="FootnoteReference"/>
        </w:rPr>
        <w:footnoteReference w:id="12"/>
      </w:r>
      <w:r w:rsidRPr="00D905BE" w:rsidR="00D905BE">
        <w:t xml:space="preserve"> </w:t>
      </w:r>
      <w:r w:rsidR="003E4DE0">
        <w:t xml:space="preserve"> </w:t>
      </w:r>
      <w:r w:rsidR="00631CAA">
        <w:t>It</w:t>
      </w:r>
      <w:r w:rsidR="003E4DE0">
        <w:t xml:space="preserve"> states </w:t>
      </w:r>
      <w:r w:rsidR="00AE42C4">
        <w:t xml:space="preserve">it </w:t>
      </w:r>
      <w:r w:rsidRPr="00D905BE" w:rsidR="00D905BE">
        <w:t xml:space="preserve">was required to lease additional space </w:t>
      </w:r>
      <w:r w:rsidR="00DF323F">
        <w:t xml:space="preserve">because </w:t>
      </w:r>
      <w:r w:rsidR="00104247">
        <w:t>its</w:t>
      </w:r>
      <w:r w:rsidR="00DF323F">
        <w:t xml:space="preserve"> prior leased space – adequate to support the existing UHF system – could not </w:t>
      </w:r>
      <w:r w:rsidRPr="00DF323F" w:rsidR="00DF323F">
        <w:t xml:space="preserve">accommodate </w:t>
      </w:r>
      <w:r w:rsidR="00DF323F">
        <w:t xml:space="preserve">the </w:t>
      </w:r>
      <w:r w:rsidRPr="00DF323F" w:rsidR="00DF323F">
        <w:t>new 700 MHz combiner and filter systems</w:t>
      </w:r>
      <w:r w:rsidR="00DF323F">
        <w:t xml:space="preserve">. </w:t>
      </w:r>
      <w:r w:rsidRPr="00D905BE" w:rsidR="00D905BE">
        <w:t xml:space="preserve"> Th</w:t>
      </w:r>
      <w:r w:rsidR="00736300">
        <w:t>e</w:t>
      </w:r>
      <w:r w:rsidRPr="00D905BE" w:rsidR="00D905BE">
        <w:t xml:space="preserve"> </w:t>
      </w:r>
      <w:r w:rsidR="00DF323F">
        <w:t xml:space="preserve">need to negotiate and obtain new </w:t>
      </w:r>
      <w:r w:rsidR="00631CAA">
        <w:t xml:space="preserve">lease </w:t>
      </w:r>
      <w:r w:rsidR="00736300">
        <w:t xml:space="preserve">agreements </w:t>
      </w:r>
      <w:r w:rsidRPr="00D905BE" w:rsidR="00D905BE">
        <w:t>delayed construction at these locations.</w:t>
      </w:r>
      <w:r>
        <w:rPr>
          <w:rStyle w:val="FootnoteReference"/>
        </w:rPr>
        <w:footnoteReference w:id="13"/>
      </w:r>
      <w:r w:rsidRPr="00D905BE" w:rsidR="00D905BE">
        <w:t xml:space="preserve"> </w:t>
      </w:r>
      <w:r w:rsidR="00DF323F">
        <w:t xml:space="preserve"> </w:t>
      </w:r>
      <w:r w:rsidR="001B731C">
        <w:t xml:space="preserve">The County </w:t>
      </w:r>
      <w:r w:rsidR="00DF323F">
        <w:t>reports</w:t>
      </w:r>
      <w:r w:rsidR="001B731C">
        <w:t xml:space="preserve"> that </w:t>
      </w:r>
      <w:r w:rsidR="00736300">
        <w:t xml:space="preserve">it entered into the new agreements in </w:t>
      </w:r>
      <w:r w:rsidR="00DF323F">
        <w:t xml:space="preserve">the </w:t>
      </w:r>
      <w:r w:rsidRPr="00D905BE" w:rsidR="00D905BE">
        <w:t>third quarter</w:t>
      </w:r>
      <w:r w:rsidR="00DF323F">
        <w:t xml:space="preserve"> of</w:t>
      </w:r>
      <w:r w:rsidRPr="00D905BE" w:rsidR="00D905BE">
        <w:t xml:space="preserve"> 2019 </w:t>
      </w:r>
      <w:r w:rsidR="00DF323F">
        <w:t xml:space="preserve">and </w:t>
      </w:r>
      <w:r w:rsidR="00736300">
        <w:t xml:space="preserve">has completed colocation analyses and procurement activities </w:t>
      </w:r>
      <w:r w:rsidRPr="00D905BE" w:rsidR="00D905BE">
        <w:t>for all the above sites.</w:t>
      </w:r>
      <w:r>
        <w:rPr>
          <w:rStyle w:val="FootnoteReference"/>
        </w:rPr>
        <w:footnoteReference w:id="14"/>
      </w:r>
      <w:r w:rsidRPr="00D905BE" w:rsidR="00D905BE">
        <w:t xml:space="preserve"> </w:t>
      </w:r>
    </w:p>
    <w:p w:rsidR="005252DB" w:rsidP="00D5375A" w14:paraId="2A2171DD" w14:textId="2C1D1F2C">
      <w:pPr>
        <w:pStyle w:val="ParaNum"/>
      </w:pPr>
      <w:r w:rsidRPr="00D905BE">
        <w:t xml:space="preserve">The </w:t>
      </w:r>
      <w:r w:rsidR="006552BE">
        <w:t xml:space="preserve">County </w:t>
      </w:r>
      <w:r w:rsidR="00736300">
        <w:t>a</w:t>
      </w:r>
      <w:r w:rsidR="00D5375A">
        <w:t>rgues</w:t>
      </w:r>
      <w:r w:rsidR="00736300">
        <w:t xml:space="preserve"> that the</w:t>
      </w:r>
      <w:r w:rsidR="00D5375A">
        <w:t xml:space="preserve"> </w:t>
      </w:r>
      <w:r w:rsidRPr="00D905BE">
        <w:t xml:space="preserve">County-Wide 700 MHz P25 system is </w:t>
      </w:r>
      <w:r w:rsidR="00D5375A">
        <w:t>“</w:t>
      </w:r>
      <w:r w:rsidRPr="00D905BE">
        <w:t xml:space="preserve">vital to public safety ensuring a fully functional radio for this large and complex system. </w:t>
      </w:r>
      <w:r w:rsidR="009E5208">
        <w:t xml:space="preserve"> </w:t>
      </w:r>
      <w:r w:rsidRPr="00D905BE">
        <w:t>As the full scope of this project serves the public interest by providing necessary upgrades to a first responder radio network, applying the five</w:t>
      </w:r>
      <w:r w:rsidR="00D06763">
        <w:t>-</w:t>
      </w:r>
      <w:r w:rsidRPr="00D905BE">
        <w:t xml:space="preserve">year extended implementation limit under §90.551 or §90.629, would be contrary to public interest by forcing </w:t>
      </w:r>
      <w:r w:rsidR="007B404C">
        <w:t>[the County]</w:t>
      </w:r>
      <w:r w:rsidRPr="00D905BE">
        <w:t xml:space="preserve"> to reapply</w:t>
      </w:r>
      <w:r w:rsidR="00D5375A">
        <w:t>`</w:t>
      </w:r>
      <w:r w:rsidRPr="00D905BE">
        <w:t xml:space="preserve"> for the same frequencies. Forcing </w:t>
      </w:r>
      <w:r w:rsidR="007B404C">
        <w:t>[the County]</w:t>
      </w:r>
      <w:r w:rsidRPr="00D905BE">
        <w:t xml:space="preserve"> to refile for the same frequencies will place undue burden on this project. </w:t>
      </w:r>
      <w:r w:rsidR="009E5208">
        <w:t xml:space="preserve"> </w:t>
      </w:r>
      <w:r w:rsidRPr="00D905BE">
        <w:t xml:space="preserve">Refiling could also potentially delay the replacement of </w:t>
      </w:r>
      <w:r w:rsidR="007B404C">
        <w:t>the [Coun</w:t>
      </w:r>
      <w:r w:rsidR="00E84C59">
        <w:t>ty]</w:t>
      </w:r>
      <w:r w:rsidRPr="00D905BE">
        <w:t>’s current, aging UHF T</w:t>
      </w:r>
      <w:r w:rsidR="001D4E4D">
        <w:t>-</w:t>
      </w:r>
      <w:r w:rsidRPr="00D905BE">
        <w:t>Band system.</w:t>
      </w:r>
      <w:r w:rsidR="00D5375A">
        <w:t>”</w:t>
      </w:r>
      <w:r>
        <w:rPr>
          <w:rStyle w:val="FootnoteReference"/>
        </w:rPr>
        <w:footnoteReference w:id="15"/>
      </w:r>
    </w:p>
    <w:p w:rsidR="00D1776E" w:rsidP="00D1776E" w14:paraId="415EFC34" w14:textId="77777777">
      <w:pPr>
        <w:pStyle w:val="Heading1"/>
        <w:widowControl/>
      </w:pPr>
      <w:r>
        <w:t>Discussion</w:t>
      </w:r>
    </w:p>
    <w:p w:rsidR="00D1776E" w:rsidRPr="0050320F" w:rsidP="00D1776E" w14:paraId="73FE2F01" w14:textId="77777777">
      <w:pPr>
        <w:pStyle w:val="ParaNum"/>
        <w:widowControl/>
      </w:pPr>
      <w:r w:rsidRPr="00C15259">
        <w:t xml:space="preserve">To </w:t>
      </w:r>
      <w:r w:rsidRPr="0050320F">
        <w:t xml:space="preserve">obtain a waiver of the Commission’s rules, a petitioner must demonstrate either that (i) the </w:t>
      </w:r>
      <w:bookmarkStart w:id="0" w:name="_Hlk4774672"/>
      <w:r w:rsidRPr="0050320F">
        <w:t>underlying purpose of the rule</w:t>
      </w:r>
      <w:bookmarkEnd w:id="0"/>
      <w:r w:rsidRPr="0050320F">
        <w:t xml:space="preserve">(s) would not be served or would be frustrated by application to the present case, and that a grant of the waiver would be in the public interest; or (ii) in view of unique or unusual factual </w:t>
      </w:r>
      <w:r w:rsidRPr="0050320F">
        <w:rPr>
          <w:szCs w:val="22"/>
        </w:rPr>
        <w:t>circumstances of the instant case, application of the rule(s) would be inequitable, unduly burdensome, or contrary to the public interest, or the applicant has no reasonable alternative.</w:t>
      </w:r>
      <w:r>
        <w:rPr>
          <w:rStyle w:val="FootnoteReference"/>
          <w:sz w:val="22"/>
        </w:rPr>
        <w:footnoteReference w:id="16"/>
      </w:r>
      <w:r w:rsidRPr="0050320F">
        <w:rPr>
          <w:szCs w:val="22"/>
        </w:rPr>
        <w:t xml:space="preserve">  An applicant seeking a </w:t>
      </w:r>
      <w:r w:rsidRPr="0050320F">
        <w:rPr>
          <w:bCs/>
          <w:szCs w:val="22"/>
        </w:rPr>
        <w:t>waiver</w:t>
      </w:r>
      <w:r w:rsidRPr="0050320F">
        <w:rPr>
          <w:szCs w:val="22"/>
        </w:rPr>
        <w:t xml:space="preserve"> faces a high hurdle and must plead with particularity the facts and circumstances that warrant a </w:t>
      </w:r>
      <w:r w:rsidRPr="0050320F">
        <w:rPr>
          <w:bCs/>
          <w:szCs w:val="22"/>
        </w:rPr>
        <w:t>waiver</w:t>
      </w:r>
      <w:r w:rsidRPr="0050320F">
        <w:rPr>
          <w:szCs w:val="22"/>
        </w:rPr>
        <w:t>.</w:t>
      </w:r>
      <w:r>
        <w:rPr>
          <w:rStyle w:val="FootnoteReference"/>
          <w:szCs w:val="22"/>
        </w:rPr>
        <w:footnoteReference w:id="17"/>
      </w:r>
      <w:r w:rsidRPr="0050320F">
        <w:rPr>
          <w:szCs w:val="22"/>
        </w:rPr>
        <w:t xml:space="preserve">  </w:t>
      </w:r>
    </w:p>
    <w:p w:rsidR="00203796" w:rsidRPr="008075BE" w:rsidP="008075BE" w14:paraId="795E2A94" w14:textId="55C6A34A">
      <w:pPr>
        <w:pStyle w:val="ParaNum"/>
        <w:widowControl/>
        <w:rPr>
          <w:szCs w:val="22"/>
        </w:rPr>
      </w:pPr>
      <w:r w:rsidRPr="008075BE">
        <w:rPr>
          <w:szCs w:val="22"/>
        </w:rPr>
        <w:t xml:space="preserve">  W</w:t>
      </w:r>
      <w:r w:rsidRPr="008075BE" w:rsidR="008075BE">
        <w:rPr>
          <w:szCs w:val="22"/>
        </w:rPr>
        <w:t>e</w:t>
      </w:r>
      <w:r w:rsidRPr="00925DFA">
        <w:rPr>
          <w:szCs w:val="22"/>
        </w:rPr>
        <w:t xml:space="preserve"> </w:t>
      </w:r>
      <w:r w:rsidRPr="008075BE" w:rsidR="008075BE">
        <w:rPr>
          <w:szCs w:val="22"/>
        </w:rPr>
        <w:t xml:space="preserve">find the County has met </w:t>
      </w:r>
      <w:r w:rsidRPr="008075BE">
        <w:rPr>
          <w:szCs w:val="22"/>
        </w:rPr>
        <w:t>the first prong of the Commission’s waiver standard</w:t>
      </w:r>
      <w:r w:rsidRPr="008075BE" w:rsidR="008075BE">
        <w:rPr>
          <w:szCs w:val="22"/>
        </w:rPr>
        <w:t>.</w:t>
      </w:r>
      <w:r w:rsidRPr="008075BE">
        <w:rPr>
          <w:szCs w:val="22"/>
        </w:rPr>
        <w:t xml:space="preserve"> </w:t>
      </w:r>
      <w:r w:rsidRPr="008075BE" w:rsidR="008075BE">
        <w:rPr>
          <w:szCs w:val="22"/>
        </w:rPr>
        <w:t xml:space="preserve"> </w:t>
      </w:r>
      <w:r w:rsidR="00736300">
        <w:rPr>
          <w:szCs w:val="22"/>
        </w:rPr>
        <w:t xml:space="preserve">There is </w:t>
      </w:r>
      <w:r w:rsidRPr="00144912" w:rsidR="00144912">
        <w:rPr>
          <w:szCs w:val="22"/>
        </w:rPr>
        <w:t xml:space="preserve">no indication that </w:t>
      </w:r>
      <w:r w:rsidR="00DC5D6E">
        <w:rPr>
          <w:szCs w:val="22"/>
        </w:rPr>
        <w:t xml:space="preserve">the County </w:t>
      </w:r>
      <w:r w:rsidRPr="00144912" w:rsidR="00144912">
        <w:rPr>
          <w:szCs w:val="22"/>
        </w:rPr>
        <w:t>is “warehousing” spectrum</w:t>
      </w:r>
      <w:r w:rsidR="00463862">
        <w:rPr>
          <w:szCs w:val="22"/>
        </w:rPr>
        <w:t xml:space="preserve"> – which the Commission avoids by imposing fixed construction periods.</w:t>
      </w:r>
      <w:r>
        <w:rPr>
          <w:rStyle w:val="FootnoteReference"/>
          <w:szCs w:val="22"/>
        </w:rPr>
        <w:footnoteReference w:id="18"/>
      </w:r>
      <w:r w:rsidR="00463862">
        <w:rPr>
          <w:szCs w:val="22"/>
        </w:rPr>
        <w:t xml:space="preserve"> </w:t>
      </w:r>
      <w:r w:rsidR="00DC4540">
        <w:rPr>
          <w:szCs w:val="22"/>
        </w:rPr>
        <w:t xml:space="preserve"> </w:t>
      </w:r>
      <w:r w:rsidR="00736300">
        <w:rPr>
          <w:szCs w:val="22"/>
        </w:rPr>
        <w:t>Instead</w:t>
      </w:r>
      <w:r w:rsidRPr="00144912" w:rsidR="00144912">
        <w:rPr>
          <w:szCs w:val="22"/>
        </w:rPr>
        <w:t xml:space="preserve">, </w:t>
      </w:r>
      <w:r w:rsidR="00811981">
        <w:rPr>
          <w:szCs w:val="22"/>
        </w:rPr>
        <w:t xml:space="preserve">it has </w:t>
      </w:r>
      <w:r w:rsidRPr="00144912" w:rsidR="00144912">
        <w:rPr>
          <w:szCs w:val="22"/>
        </w:rPr>
        <w:t>shown to our satisfaction that it has taken concrete steps to implement</w:t>
      </w:r>
      <w:r w:rsidR="00631CAA">
        <w:rPr>
          <w:szCs w:val="22"/>
        </w:rPr>
        <w:t xml:space="preserve"> </w:t>
      </w:r>
      <w:r w:rsidRPr="00144912" w:rsidR="00144912">
        <w:rPr>
          <w:szCs w:val="22"/>
        </w:rPr>
        <w:t>it</w:t>
      </w:r>
      <w:r w:rsidR="00463862">
        <w:rPr>
          <w:szCs w:val="22"/>
        </w:rPr>
        <w:t>s proposed system</w:t>
      </w:r>
      <w:r w:rsidRPr="00144912" w:rsidR="00144912">
        <w:rPr>
          <w:szCs w:val="22"/>
        </w:rPr>
        <w:t>, </w:t>
      </w:r>
      <w:r w:rsidRPr="00144912" w:rsidR="00144912">
        <w:rPr>
          <w:i/>
          <w:iCs/>
          <w:szCs w:val="22"/>
        </w:rPr>
        <w:t>e.g.</w:t>
      </w:r>
      <w:r w:rsidRPr="00144912" w:rsidR="00144912">
        <w:rPr>
          <w:szCs w:val="22"/>
        </w:rPr>
        <w:t>, developing an implementation schedule, awarding a contract, certifying funding</w:t>
      </w:r>
      <w:r w:rsidR="00463862">
        <w:rPr>
          <w:szCs w:val="22"/>
        </w:rPr>
        <w:t>,</w:t>
      </w:r>
      <w:r w:rsidRPr="00144912" w:rsidR="00144912">
        <w:rPr>
          <w:szCs w:val="22"/>
        </w:rPr>
        <w:t xml:space="preserve"> and expending substantial funds on th</w:t>
      </w:r>
      <w:r w:rsidR="00631CAA">
        <w:rPr>
          <w:szCs w:val="22"/>
        </w:rPr>
        <w:t>e</w:t>
      </w:r>
      <w:r w:rsidRPr="00144912" w:rsidR="00144912">
        <w:rPr>
          <w:szCs w:val="22"/>
        </w:rPr>
        <w:t xml:space="preserve"> project.</w:t>
      </w:r>
      <w:r w:rsidR="005B6A43">
        <w:rPr>
          <w:szCs w:val="22"/>
        </w:rPr>
        <w:t xml:space="preserve"> </w:t>
      </w:r>
      <w:r w:rsidRPr="00144912" w:rsidR="00144912">
        <w:rPr>
          <w:szCs w:val="22"/>
        </w:rPr>
        <w:t> We therefore believe that the underlying purpose of</w:t>
      </w:r>
      <w:r w:rsidR="0072526D">
        <w:rPr>
          <w:szCs w:val="22"/>
        </w:rPr>
        <w:t xml:space="preserve"> Section</w:t>
      </w:r>
      <w:r w:rsidR="006C2686">
        <w:rPr>
          <w:szCs w:val="22"/>
        </w:rPr>
        <w:t>s</w:t>
      </w:r>
      <w:r w:rsidR="0072526D">
        <w:rPr>
          <w:szCs w:val="22"/>
        </w:rPr>
        <w:t xml:space="preserve"> 90.629</w:t>
      </w:r>
      <w:r w:rsidR="006C2686">
        <w:rPr>
          <w:szCs w:val="22"/>
        </w:rPr>
        <w:t xml:space="preserve"> and </w:t>
      </w:r>
      <w:r w:rsidRPr="006C2686" w:rsidR="006C2686">
        <w:rPr>
          <w:szCs w:val="22"/>
        </w:rPr>
        <w:t>90.551</w:t>
      </w:r>
      <w:r>
        <w:rPr>
          <w:rStyle w:val="FootnoteReference"/>
          <w:szCs w:val="22"/>
        </w:rPr>
        <w:footnoteReference w:id="19"/>
      </w:r>
      <w:r w:rsidRPr="00144912" w:rsidR="00144912">
        <w:rPr>
          <w:szCs w:val="22"/>
        </w:rPr>
        <w:t>—preventing the warehousing of spectrum to the exclusion of other potential users—would not be frustrated by grant of the requested waiver</w:t>
      </w:r>
      <w:r w:rsidR="00477647">
        <w:rPr>
          <w:szCs w:val="22"/>
        </w:rPr>
        <w:t>.</w:t>
      </w:r>
      <w:r w:rsidRPr="00144912" w:rsidR="00144912">
        <w:rPr>
          <w:szCs w:val="22"/>
        </w:rPr>
        <w:t xml:space="preserve"> </w:t>
      </w:r>
      <w:r w:rsidR="005B6A43">
        <w:rPr>
          <w:szCs w:val="22"/>
        </w:rPr>
        <w:t xml:space="preserve"> </w:t>
      </w:r>
      <w:r w:rsidR="00B04391">
        <w:rPr>
          <w:szCs w:val="22"/>
        </w:rPr>
        <w:t xml:space="preserve">We </w:t>
      </w:r>
      <w:r w:rsidR="001D4E4D">
        <w:rPr>
          <w:szCs w:val="22"/>
        </w:rPr>
        <w:t xml:space="preserve">also </w:t>
      </w:r>
      <w:r w:rsidR="00B04391">
        <w:rPr>
          <w:szCs w:val="22"/>
        </w:rPr>
        <w:t>find that a</w:t>
      </w:r>
      <w:r w:rsidR="005B6A43">
        <w:rPr>
          <w:szCs w:val="22"/>
        </w:rPr>
        <w:t xml:space="preserve">pplication of the </w:t>
      </w:r>
      <w:r w:rsidR="006C2686">
        <w:rPr>
          <w:szCs w:val="22"/>
        </w:rPr>
        <w:t>rule</w:t>
      </w:r>
      <w:r w:rsidR="00D5375A">
        <w:rPr>
          <w:szCs w:val="22"/>
        </w:rPr>
        <w:t>s</w:t>
      </w:r>
      <w:r w:rsidR="005B6A43">
        <w:rPr>
          <w:szCs w:val="22"/>
        </w:rPr>
        <w:t xml:space="preserve"> in this case</w:t>
      </w:r>
      <w:r w:rsidR="00042F15">
        <w:rPr>
          <w:szCs w:val="22"/>
        </w:rPr>
        <w:t xml:space="preserve"> </w:t>
      </w:r>
      <w:r w:rsidRPr="008075BE" w:rsidR="004B387D">
        <w:rPr>
          <w:szCs w:val="22"/>
        </w:rPr>
        <w:t>w</w:t>
      </w:r>
      <w:r w:rsidRPr="008075BE" w:rsidR="00896615">
        <w:rPr>
          <w:szCs w:val="22"/>
        </w:rPr>
        <w:t xml:space="preserve">ould </w:t>
      </w:r>
      <w:r w:rsidR="00B04391">
        <w:rPr>
          <w:szCs w:val="22"/>
        </w:rPr>
        <w:t>be unduly burdensome and contrary to the public interest since</w:t>
      </w:r>
      <w:r w:rsidRPr="008075BE">
        <w:rPr>
          <w:szCs w:val="22"/>
        </w:rPr>
        <w:t xml:space="preserve"> the County </w:t>
      </w:r>
      <w:r w:rsidR="00B04391">
        <w:rPr>
          <w:szCs w:val="22"/>
        </w:rPr>
        <w:t xml:space="preserve">would need </w:t>
      </w:r>
      <w:r w:rsidRPr="008075BE">
        <w:rPr>
          <w:szCs w:val="22"/>
        </w:rPr>
        <w:t xml:space="preserve">to </w:t>
      </w:r>
      <w:r w:rsidR="00042F15">
        <w:rPr>
          <w:szCs w:val="22"/>
        </w:rPr>
        <w:t xml:space="preserve">frequency-coordinate and </w:t>
      </w:r>
      <w:r w:rsidR="00FC6C49">
        <w:rPr>
          <w:szCs w:val="22"/>
        </w:rPr>
        <w:t xml:space="preserve">reapply for </w:t>
      </w:r>
      <w:r w:rsidR="00042F15">
        <w:rPr>
          <w:szCs w:val="22"/>
        </w:rPr>
        <w:t xml:space="preserve">its currently-licensed </w:t>
      </w:r>
      <w:r w:rsidR="00FC6C49">
        <w:rPr>
          <w:szCs w:val="22"/>
        </w:rPr>
        <w:t>frequencies</w:t>
      </w:r>
      <w:r w:rsidR="00042F15">
        <w:rPr>
          <w:szCs w:val="22"/>
        </w:rPr>
        <w:t xml:space="preserve"> for which it has obtained sites and ordered equipment.</w:t>
      </w:r>
      <w:r w:rsidR="00103B71">
        <w:rPr>
          <w:szCs w:val="22"/>
        </w:rPr>
        <w:t xml:space="preserve"> </w:t>
      </w:r>
      <w:r w:rsidR="00D5375A">
        <w:rPr>
          <w:szCs w:val="22"/>
        </w:rPr>
        <w:t xml:space="preserve"> Thus, we </w:t>
      </w:r>
      <w:r w:rsidRPr="008075BE" w:rsidR="00BD422A">
        <w:rPr>
          <w:szCs w:val="22"/>
        </w:rPr>
        <w:t xml:space="preserve">afford </w:t>
      </w:r>
      <w:r w:rsidR="00042F15">
        <w:rPr>
          <w:szCs w:val="22"/>
        </w:rPr>
        <w:t xml:space="preserve">the </w:t>
      </w:r>
      <w:r w:rsidR="00D5375A">
        <w:rPr>
          <w:szCs w:val="22"/>
        </w:rPr>
        <w:t xml:space="preserve">County the </w:t>
      </w:r>
      <w:r w:rsidR="00042F15">
        <w:rPr>
          <w:szCs w:val="22"/>
        </w:rPr>
        <w:t xml:space="preserve">requested </w:t>
      </w:r>
      <w:r w:rsidRPr="008075BE" w:rsidR="00BD422A">
        <w:rPr>
          <w:szCs w:val="22"/>
        </w:rPr>
        <w:t xml:space="preserve">additional time </w:t>
      </w:r>
      <w:r w:rsidRPr="008075BE" w:rsidR="00180A5C">
        <w:rPr>
          <w:szCs w:val="22"/>
        </w:rPr>
        <w:t>to</w:t>
      </w:r>
      <w:r w:rsidR="00042F15">
        <w:rPr>
          <w:szCs w:val="22"/>
        </w:rPr>
        <w:t xml:space="preserve"> construct its system, thereby </w:t>
      </w:r>
      <w:r w:rsidRPr="008075BE" w:rsidR="00180A5C">
        <w:rPr>
          <w:szCs w:val="22"/>
        </w:rPr>
        <w:t>avoid</w:t>
      </w:r>
      <w:r w:rsidR="00042F15">
        <w:rPr>
          <w:szCs w:val="22"/>
        </w:rPr>
        <w:t>ing</w:t>
      </w:r>
      <w:r w:rsidRPr="008075BE" w:rsidR="00180A5C">
        <w:rPr>
          <w:szCs w:val="22"/>
        </w:rPr>
        <w:t xml:space="preserve"> uncertainty and </w:t>
      </w:r>
      <w:r w:rsidRPr="008075BE" w:rsidR="008075BE">
        <w:rPr>
          <w:szCs w:val="22"/>
        </w:rPr>
        <w:t xml:space="preserve">the potential for incurring </w:t>
      </w:r>
      <w:r w:rsidRPr="008075BE" w:rsidR="004E39C9">
        <w:rPr>
          <w:szCs w:val="22"/>
        </w:rPr>
        <w:t>unnecessary cost</w:t>
      </w:r>
      <w:r w:rsidR="00042F15">
        <w:rPr>
          <w:szCs w:val="22"/>
        </w:rPr>
        <w:t>.</w:t>
      </w:r>
      <w:r w:rsidRPr="008075BE" w:rsidR="00AC65C3">
        <w:rPr>
          <w:szCs w:val="22"/>
        </w:rPr>
        <w:t xml:space="preserve"> </w:t>
      </w:r>
      <w:r w:rsidR="00B04391">
        <w:rPr>
          <w:szCs w:val="22"/>
        </w:rPr>
        <w:t xml:space="preserve"> </w:t>
      </w:r>
      <w:r w:rsidR="00042F15">
        <w:rPr>
          <w:szCs w:val="22"/>
        </w:rPr>
        <w:t xml:space="preserve">Although the County requested extension dates earlier than </w:t>
      </w:r>
      <w:r w:rsidRPr="00042F15" w:rsidR="00042F15">
        <w:rPr>
          <w:szCs w:val="22"/>
        </w:rPr>
        <w:t>June 30, 2020</w:t>
      </w:r>
      <w:r w:rsidR="00042F15">
        <w:rPr>
          <w:szCs w:val="22"/>
        </w:rPr>
        <w:t xml:space="preserve"> for some sites in its system, for administrative convenience</w:t>
      </w:r>
      <w:r w:rsidR="00B04391">
        <w:rPr>
          <w:szCs w:val="22"/>
        </w:rPr>
        <w:t>,</w:t>
      </w:r>
      <w:r w:rsidR="00042F15">
        <w:rPr>
          <w:szCs w:val="22"/>
        </w:rPr>
        <w:t xml:space="preserve"> we are extending the completion date for all sites to </w:t>
      </w:r>
      <w:r w:rsidRPr="00042F15" w:rsidR="00042F15">
        <w:rPr>
          <w:szCs w:val="22"/>
        </w:rPr>
        <w:t>June 30, 2020</w:t>
      </w:r>
      <w:r w:rsidR="00042F15">
        <w:rPr>
          <w:szCs w:val="22"/>
        </w:rPr>
        <w:t>.</w:t>
      </w:r>
    </w:p>
    <w:p w:rsidR="00C35FD1" w:rsidP="00C35FD1" w14:paraId="2C945B4A" w14:textId="77777777">
      <w:pPr>
        <w:pStyle w:val="Heading1"/>
        <w:widowControl/>
      </w:pPr>
      <w:r>
        <w:t>Ordering clauses</w:t>
      </w:r>
    </w:p>
    <w:p w:rsidR="00042F15" w:rsidP="00C35FD1" w14:paraId="54F17BED" w14:textId="51EF6DB3">
      <w:pPr>
        <w:pStyle w:val="ParaNum"/>
        <w:widowControl/>
      </w:pPr>
      <w:r>
        <w:t xml:space="preserve"> </w:t>
      </w:r>
      <w:r w:rsidRPr="009E09B2">
        <w:t xml:space="preserve">Accordingly, </w:t>
      </w:r>
      <w:r w:rsidRPr="00631CAA">
        <w:rPr>
          <w:b/>
        </w:rPr>
        <w:t>IT IS ORDERED</w:t>
      </w:r>
      <w:r w:rsidRPr="009E09B2">
        <w:t>, pursuant to Sections 4(i) and 303(c) of the Communications Act of 1934, as amended, 47 U.S.C. §§ 154(i), 303(c), and Section 1.925 of the Commission’s rules, 47 CFR § 1.925, that the waiver request</w:t>
      </w:r>
      <w:r>
        <w:t>s</w:t>
      </w:r>
      <w:r w:rsidRPr="009E09B2">
        <w:t xml:space="preserve"> associated with File No</w:t>
      </w:r>
      <w:r>
        <w:t>s</w:t>
      </w:r>
      <w:r w:rsidRPr="009E09B2">
        <w:t xml:space="preserve">. </w:t>
      </w:r>
      <w:r w:rsidRPr="008B2205">
        <w:t>0008</w:t>
      </w:r>
      <w:r w:rsidR="00DC2DFD">
        <w:t xml:space="preserve">742642 </w:t>
      </w:r>
      <w:r w:rsidR="001D37CB">
        <w:t xml:space="preserve">and </w:t>
      </w:r>
      <w:r w:rsidRPr="008B2205">
        <w:t>0008</w:t>
      </w:r>
      <w:r w:rsidR="001D37CB">
        <w:t>742654</w:t>
      </w:r>
      <w:r w:rsidRPr="009E09B2">
        <w:t xml:space="preserve"> filed by </w:t>
      </w:r>
      <w:r w:rsidR="00D0500E">
        <w:t>Nassau</w:t>
      </w:r>
      <w:r>
        <w:t xml:space="preserve"> County, New York </w:t>
      </w:r>
      <w:r w:rsidRPr="00631CAA" w:rsidR="00631CAA">
        <w:rPr>
          <w:b/>
        </w:rPr>
        <w:t>ARE</w:t>
      </w:r>
      <w:r w:rsidRPr="00631CAA">
        <w:rPr>
          <w:b/>
        </w:rPr>
        <w:t xml:space="preserve"> </w:t>
      </w:r>
      <w:r w:rsidRPr="00631CAA" w:rsidR="00AE3E4E">
        <w:rPr>
          <w:b/>
        </w:rPr>
        <w:t>GRANTE</w:t>
      </w:r>
      <w:r w:rsidRPr="00631CAA">
        <w:rPr>
          <w:b/>
        </w:rPr>
        <w:t>D</w:t>
      </w:r>
      <w:r>
        <w:t>.</w:t>
      </w:r>
    </w:p>
    <w:p w:rsidR="00042F15" w:rsidP="00D5375A" w14:paraId="182F0670" w14:textId="736E0F8F">
      <w:pPr>
        <w:pStyle w:val="ParaNum"/>
        <w:widowControl/>
      </w:pPr>
      <w:r w:rsidRPr="00631CAA">
        <w:rPr>
          <w:b/>
        </w:rPr>
        <w:t>IT IS FURTHER ORDERED</w:t>
      </w:r>
      <w:r>
        <w:t xml:space="preserve"> that the licensing staff of the Policy and Licensing Division of the Public Safety and Homeland Security Bureau </w:t>
      </w:r>
      <w:r w:rsidRPr="00631CAA">
        <w:rPr>
          <w:b/>
        </w:rPr>
        <w:t>SHALL MODIFY</w:t>
      </w:r>
      <w:r>
        <w:t xml:space="preserve"> the licenses associated with call signs</w:t>
      </w:r>
      <w:r w:rsidRPr="00042F15">
        <w:rPr>
          <w:szCs w:val="22"/>
        </w:rPr>
        <w:t xml:space="preserve"> </w:t>
      </w:r>
      <w:r w:rsidRPr="00042F15">
        <w:t>WQUM833 and WQUT752</w:t>
      </w:r>
      <w:r w:rsidR="00D5375A">
        <w:t xml:space="preserve"> </w:t>
      </w:r>
      <w:r>
        <w:t>to specify a completion date of June</w:t>
      </w:r>
      <w:r w:rsidRPr="00042F15">
        <w:t xml:space="preserve"> 30, 2020</w:t>
      </w:r>
      <w:r>
        <w:t>.</w:t>
      </w:r>
    </w:p>
    <w:p w:rsidR="00C35FD1" w:rsidP="008F1338" w14:paraId="6B2B44A3" w14:textId="77777777">
      <w:pPr>
        <w:pStyle w:val="ParaNum"/>
        <w:keepNext/>
        <w:keepLines/>
        <w:widowControl/>
      </w:pPr>
      <w:r>
        <w:t xml:space="preserve">This action is taken under delegated authority pursuant to Section 155(c) of the Communications Act of 1934, as amended, 47 U.S.C. § 155(c) and Sections 0.191 and 0.392 of the Commission’s rules, 47 CFR §§ 0.191, 0.392.  </w:t>
      </w:r>
    </w:p>
    <w:p w:rsidR="00C35FD1" w:rsidP="008F1338" w14:paraId="75F51D5E" w14:textId="77777777">
      <w:pPr>
        <w:pStyle w:val="ParaNum"/>
        <w:keepNext/>
        <w:keepLines/>
        <w:widowControl/>
        <w:numPr>
          <w:ilvl w:val="0"/>
          <w:numId w:val="0"/>
        </w:numPr>
        <w:ind w:firstLine="720"/>
      </w:pPr>
    </w:p>
    <w:p w:rsidR="00C35FD1" w:rsidP="008F1338" w14:paraId="57749E9A" w14:textId="77777777">
      <w:pPr>
        <w:pStyle w:val="ParaNum"/>
        <w:keepNext/>
        <w:keepLines/>
        <w:widowControl/>
        <w:numPr>
          <w:ilvl w:val="0"/>
          <w:numId w:val="0"/>
        </w:numPr>
        <w:spacing w:after="0"/>
        <w:ind w:left="3600" w:firstLine="720"/>
      </w:pPr>
      <w:r>
        <w:t xml:space="preserve">FEDERAL COMMUNICATIONS COMMISSION </w:t>
      </w:r>
    </w:p>
    <w:p w:rsidR="00C35FD1" w:rsidP="008F1338" w14:paraId="2FF552BD" w14:textId="77777777">
      <w:pPr>
        <w:pStyle w:val="ParaNum"/>
        <w:keepNext/>
        <w:keepLines/>
        <w:widowControl/>
        <w:numPr>
          <w:ilvl w:val="0"/>
          <w:numId w:val="0"/>
        </w:numPr>
        <w:spacing w:after="0"/>
        <w:ind w:left="720"/>
      </w:pPr>
    </w:p>
    <w:p w:rsidR="00C35FD1" w:rsidP="008F1338" w14:paraId="7173D980" w14:textId="77777777">
      <w:pPr>
        <w:pStyle w:val="ParaNum"/>
        <w:keepNext/>
        <w:keepLines/>
        <w:widowControl/>
        <w:numPr>
          <w:ilvl w:val="0"/>
          <w:numId w:val="0"/>
        </w:numPr>
        <w:spacing w:after="0"/>
        <w:ind w:left="720"/>
      </w:pPr>
    </w:p>
    <w:p w:rsidR="00C35FD1" w:rsidP="008F1338" w14:paraId="046BF03A" w14:textId="77777777">
      <w:pPr>
        <w:pStyle w:val="ParaNum"/>
        <w:keepNext/>
        <w:keepLines/>
        <w:widowControl/>
        <w:numPr>
          <w:ilvl w:val="0"/>
          <w:numId w:val="0"/>
        </w:numPr>
        <w:spacing w:after="0"/>
        <w:ind w:left="720"/>
      </w:pPr>
    </w:p>
    <w:p w:rsidR="00C35FD1" w:rsidP="008F1338" w14:paraId="3BEB83C3" w14:textId="77777777">
      <w:pPr>
        <w:pStyle w:val="ParaNum"/>
        <w:keepNext/>
        <w:keepLines/>
        <w:widowControl/>
        <w:numPr>
          <w:ilvl w:val="0"/>
          <w:numId w:val="0"/>
        </w:numPr>
        <w:spacing w:after="0"/>
        <w:ind w:left="720"/>
      </w:pPr>
    </w:p>
    <w:p w:rsidR="00C35FD1" w:rsidP="008F1338" w14:paraId="552AAD80" w14:textId="77777777">
      <w:pPr>
        <w:pStyle w:val="ParaNum"/>
        <w:keepNext/>
        <w:keepLines/>
        <w:widowControl/>
        <w:numPr>
          <w:ilvl w:val="0"/>
          <w:numId w:val="0"/>
        </w:numPr>
        <w:spacing w:after="0"/>
        <w:ind w:left="3600" w:firstLine="720"/>
      </w:pPr>
      <w:r>
        <w:t xml:space="preserve">Michael J. Wilhelm  </w:t>
      </w:r>
    </w:p>
    <w:p w:rsidR="00C35FD1" w:rsidP="008F1338" w14:paraId="614EE349" w14:textId="77777777">
      <w:pPr>
        <w:pStyle w:val="ParaNum"/>
        <w:keepNext/>
        <w:keepLines/>
        <w:widowControl/>
        <w:numPr>
          <w:ilvl w:val="0"/>
          <w:numId w:val="0"/>
        </w:numPr>
        <w:spacing w:after="0"/>
        <w:ind w:left="3600" w:firstLine="720"/>
      </w:pPr>
      <w:r>
        <w:t xml:space="preserve">Chief, Policy and Licensing Division </w:t>
      </w:r>
    </w:p>
    <w:p w:rsidR="00C35FD1" w:rsidRPr="0074239C" w:rsidP="008F1338" w14:paraId="2A7254EB" w14:textId="77777777">
      <w:pPr>
        <w:pStyle w:val="ParaNum"/>
        <w:keepNext/>
        <w:keepLines/>
        <w:widowControl/>
        <w:numPr>
          <w:ilvl w:val="0"/>
          <w:numId w:val="0"/>
        </w:numPr>
        <w:spacing w:after="0"/>
        <w:ind w:left="3600" w:firstLine="720"/>
      </w:pPr>
      <w:r>
        <w:t>Public Safety and Homeland Security Bureau</w:t>
      </w:r>
    </w:p>
    <w:p w:rsidR="00C35FD1" w:rsidRPr="00541919" w:rsidP="008F1338" w14:paraId="7F307656" w14:textId="77777777">
      <w:pPr>
        <w:keepNext/>
        <w:keepLines/>
        <w:widowControl/>
      </w:pPr>
    </w:p>
    <w:p w:rsidR="00C35FD1" w:rsidP="00C35FD1" w14:paraId="0138BF93" w14:textId="77777777">
      <w:pPr>
        <w:pStyle w:val="ParaNum"/>
        <w:widowControl/>
        <w:numPr>
          <w:ilvl w:val="0"/>
          <w:numId w:val="0"/>
        </w:numPr>
      </w:pPr>
    </w:p>
    <w:p w:rsidR="00D1776E" w:rsidP="000B07E7" w14:paraId="791A2777" w14:textId="77777777">
      <w:pPr>
        <w:widowControl/>
      </w:pPr>
    </w:p>
    <w:sectPr w:rsidSect="00D1776E">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03A9E4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3324" w14:paraId="27A093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777C27A4" w14:textId="77777777">
    <w:pPr>
      <w:pStyle w:val="Footer"/>
      <w:framePr w:wrap="around" w:vAnchor="text" w:hAnchor="margin" w:xAlign="center" w:y="1"/>
    </w:pPr>
    <w:r>
      <w:fldChar w:fldCharType="begin"/>
    </w:r>
    <w:r>
      <w:instrText xml:space="preserve">PAGE  </w:instrText>
    </w:r>
    <w:r>
      <w:fldChar w:fldCharType="separate"/>
    </w:r>
    <w:r w:rsidR="000B3AF7">
      <w:rPr>
        <w:noProof/>
      </w:rPr>
      <w:t>2</w:t>
    </w:r>
    <w:r>
      <w:fldChar w:fldCharType="end"/>
    </w:r>
  </w:p>
  <w:p w:rsidR="00433324" w14:paraId="7109B5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14:paraId="65F0E4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6436" w14:paraId="2729CBF5" w14:textId="77777777">
      <w:r>
        <w:separator/>
      </w:r>
    </w:p>
  </w:footnote>
  <w:footnote w:type="continuationSeparator" w:id="1">
    <w:p w:rsidR="00856436" w:rsidP="00D1776E" w14:paraId="6629EF8E" w14:textId="77777777">
      <w:pPr>
        <w:spacing w:before="120"/>
        <w:rPr>
          <w:sz w:val="20"/>
        </w:rPr>
      </w:pPr>
      <w:r>
        <w:rPr>
          <w:sz w:val="20"/>
        </w:rPr>
        <w:t xml:space="preserve">(Continued from previous page)  </w:t>
      </w:r>
      <w:r>
        <w:rPr>
          <w:sz w:val="20"/>
        </w:rPr>
        <w:separator/>
      </w:r>
    </w:p>
  </w:footnote>
  <w:footnote w:type="continuationNotice" w:id="2">
    <w:p w:rsidR="00856436" w:rsidP="00D1776E" w14:paraId="0683775B" w14:textId="77777777">
      <w:pPr>
        <w:jc w:val="right"/>
        <w:rPr>
          <w:sz w:val="20"/>
        </w:rPr>
      </w:pPr>
    </w:p>
  </w:footnote>
  <w:footnote w:id="3">
    <w:p w:rsidR="00433324" w:rsidP="00D1776E" w14:paraId="6CBB187E" w14:textId="0157DEFE">
      <w:pPr>
        <w:pStyle w:val="FootnoteText"/>
      </w:pPr>
      <w:r>
        <w:rPr>
          <w:rStyle w:val="FootnoteReference"/>
        </w:rPr>
        <w:footnoteRef/>
      </w:r>
      <w:r>
        <w:t xml:space="preserve"> </w:t>
      </w:r>
      <w:r w:rsidRPr="006C5234">
        <w:rPr>
          <w:i/>
          <w:spacing w:val="-2"/>
        </w:rPr>
        <w:t xml:space="preserve">See </w:t>
      </w:r>
      <w:r>
        <w:rPr>
          <w:spacing w:val="-2"/>
        </w:rPr>
        <w:t>Request</w:t>
      </w:r>
      <w:r w:rsidR="0055678B">
        <w:rPr>
          <w:spacing w:val="-2"/>
        </w:rPr>
        <w:t>s</w:t>
      </w:r>
      <w:r>
        <w:rPr>
          <w:spacing w:val="-2"/>
        </w:rPr>
        <w:t xml:space="preserve"> for </w:t>
      </w:r>
      <w:r w:rsidR="0055678B">
        <w:rPr>
          <w:spacing w:val="-2"/>
        </w:rPr>
        <w:t>Extended Implementation (Slow Gr</w:t>
      </w:r>
      <w:r w:rsidR="00D776AE">
        <w:rPr>
          <w:spacing w:val="-2"/>
        </w:rPr>
        <w:t xml:space="preserve">owth) and Waiver of 90.551 To Increase </w:t>
      </w:r>
      <w:r w:rsidR="00FA5D21">
        <w:rPr>
          <w:spacing w:val="-2"/>
        </w:rPr>
        <w:t>Extended Implementation Period</w:t>
      </w:r>
      <w:r>
        <w:rPr>
          <w:spacing w:val="-2"/>
        </w:rPr>
        <w:t xml:space="preserve">, filed by </w:t>
      </w:r>
      <w:r w:rsidR="002B6B20">
        <w:rPr>
          <w:spacing w:val="-2"/>
        </w:rPr>
        <w:t>David K. Stern, Vice Preside</w:t>
      </w:r>
      <w:r w:rsidR="00971DEC">
        <w:rPr>
          <w:spacing w:val="-2"/>
        </w:rPr>
        <w:t>nt, V-COMM, L.L.C.</w:t>
      </w:r>
      <w:r>
        <w:rPr>
          <w:spacing w:val="-2"/>
        </w:rPr>
        <w:t xml:space="preserve"> (Waiver Request). </w:t>
      </w:r>
      <w:r w:rsidRPr="00D5375A" w:rsidR="00D5375A">
        <w:rPr>
          <w:spacing w:val="-2"/>
        </w:rPr>
        <w:t>Specifically, the County seeks relief for the following frequency pairs at locations 1 and 3 for station call signWQUM833: 770.26875/800.26875 MHz ,771.14375/801.14375 MHz, 771.39375/801.39375 MHz, 771.90625/801.90625 MHz, 772.04375/802.04375 MHz, 773.40625/803.40625 MHz, 773.46875/803.46875 MHz, 773.69375/803.69375 MHz and 774.66875/804.66875 MHz.</w:t>
      </w:r>
      <w:r w:rsidRPr="00D5375A" w:rsidR="00D5375A">
        <w:rPr>
          <w:spacing w:val="-2"/>
          <w:vertAlign w:val="superscript"/>
        </w:rPr>
        <w:t xml:space="preserve"> </w:t>
      </w:r>
      <w:r w:rsidRPr="00D5375A" w:rsidR="00D5375A">
        <w:rPr>
          <w:spacing w:val="-2"/>
          <w:vertAlign w:val="superscript"/>
        </w:rPr>
        <w:footnoteRef/>
      </w:r>
      <w:r w:rsidRPr="00D5375A" w:rsidR="00D5375A">
        <w:rPr>
          <w:spacing w:val="-2"/>
        </w:rPr>
        <w:t xml:space="preserve">  The County also seeks relief for the following frequency pairs at locations 1, 2</w:t>
      </w:r>
      <w:r w:rsidR="0019383C">
        <w:rPr>
          <w:spacing w:val="-2"/>
        </w:rPr>
        <w:t>,</w:t>
      </w:r>
      <w:r w:rsidRPr="00D5375A" w:rsidR="00D5375A">
        <w:rPr>
          <w:spacing w:val="-2"/>
        </w:rPr>
        <w:t xml:space="preserve"> and 3 for station call sign WQUT752:  771.13125/801.13125 MHz, 771.38125/801.38125 MHz, 771.86875/801.86875 MHz, 771.91875/801.91875 MHz ,772.03125/802.03125 MHz, 772.96875/802.96875 MHz, 773.21875/803.21875 MHz, 773.41875/803.41875 MHz, and 774.65625/804.65625 </w:t>
      </w:r>
      <w:r w:rsidR="00D5375A">
        <w:rPr>
          <w:spacing w:val="-2"/>
        </w:rPr>
        <w:t>MHz.</w:t>
      </w:r>
    </w:p>
  </w:footnote>
  <w:footnote w:id="4">
    <w:p w:rsidR="00CE26DC" w:rsidP="00CE26DC" w14:paraId="5E898B25" w14:textId="7241B7AF">
      <w:pPr>
        <w:pStyle w:val="FootnoteText"/>
      </w:pPr>
      <w:r>
        <w:rPr>
          <w:rStyle w:val="FootnoteReference"/>
        </w:rPr>
        <w:footnoteRef/>
      </w:r>
      <w:r>
        <w:t xml:space="preserve"> Although the County requested earlier completion dates for some of its sites, for administrative convenience we are extending all site completion dates to June 20, 2020.  </w:t>
      </w:r>
      <w:r w:rsidRPr="00CE26DC">
        <w:rPr>
          <w:i/>
        </w:rPr>
        <w:t>See</w:t>
      </w:r>
      <w:r>
        <w:t xml:space="preserve"> </w:t>
      </w:r>
      <w:r w:rsidRPr="00CE26DC">
        <w:rPr>
          <w:i/>
        </w:rPr>
        <w:t>infra</w:t>
      </w:r>
      <w:r>
        <w:t xml:space="preserve"> para. 9.</w:t>
      </w:r>
    </w:p>
  </w:footnote>
  <w:footnote w:id="5">
    <w:p w:rsidR="00433324" w:rsidP="00D1776E" w14:paraId="151C07FD" w14:textId="77777777">
      <w:pPr>
        <w:pStyle w:val="FootnoteText"/>
      </w:pPr>
      <w:r>
        <w:rPr>
          <w:rStyle w:val="FootnoteReference"/>
        </w:rPr>
        <w:footnoteRef/>
      </w:r>
      <w:r w:rsidR="00B36406">
        <w:t xml:space="preserve"> 47 CFR § 90.551. </w:t>
      </w:r>
    </w:p>
  </w:footnote>
  <w:footnote w:id="6">
    <w:p w:rsidR="00433324" w:rsidP="00D1776E" w14:paraId="6F6B37E5" w14:textId="2E14F5BA">
      <w:pPr>
        <w:pStyle w:val="FootnoteText"/>
      </w:pPr>
      <w:r>
        <w:rPr>
          <w:rStyle w:val="FootnoteReference"/>
        </w:rPr>
        <w:footnoteRef/>
      </w:r>
      <w:r>
        <w:t xml:space="preserve"> </w:t>
      </w:r>
      <w:r w:rsidR="0019383C">
        <w:t xml:space="preserve">47 CFR § 90.629.  </w:t>
      </w:r>
      <w:r w:rsidRPr="00B7601A">
        <w:rPr>
          <w:color w:val="0D0D0D" w:themeColor="text1" w:themeTint="F2"/>
        </w:rPr>
        <w:t>The conditions include</w:t>
      </w:r>
      <w:r>
        <w:rPr>
          <w:color w:val="0D0D0D" w:themeColor="text1" w:themeTint="F2"/>
        </w:rPr>
        <w:t xml:space="preserve"> but are not limited to</w:t>
      </w:r>
      <w:r w:rsidRPr="00B7601A">
        <w:rPr>
          <w:color w:val="0D0D0D" w:themeColor="text1" w:themeTint="F2"/>
        </w:rPr>
        <w:t xml:space="preserve"> the following:  The applicant must justify an extended implementation period. </w:t>
      </w:r>
      <w:r w:rsidR="004B387D">
        <w:rPr>
          <w:color w:val="0D0D0D" w:themeColor="text1" w:themeTint="F2"/>
        </w:rPr>
        <w:t xml:space="preserve"> </w:t>
      </w:r>
      <w:r w:rsidRPr="00B7601A">
        <w:rPr>
          <w:color w:val="0D0D0D" w:themeColor="text1" w:themeTint="F2"/>
        </w:rPr>
        <w:t>The justification must describe the proposed system, </w:t>
      </w:r>
      <w:hyperlink r:id="rId1" w:history="1">
        <w:r w:rsidRPr="00B7601A">
          <w:rPr>
            <w:rStyle w:val="Hyperlink"/>
            <w:color w:val="0D0D0D" w:themeColor="text1" w:themeTint="F2"/>
            <w:u w:val="none"/>
          </w:rPr>
          <w:t>state</w:t>
        </w:r>
      </w:hyperlink>
      <w:r w:rsidRPr="00B7601A">
        <w:rPr>
          <w:color w:val="0D0D0D" w:themeColor="text1" w:themeTint="F2"/>
        </w:rPr>
        <w:t> the amount of time necessary to construct and place the system in </w:t>
      </w:r>
      <w:hyperlink r:id="rId1" w:history="1">
        <w:r w:rsidRPr="00B7601A">
          <w:rPr>
            <w:rStyle w:val="Hyperlink"/>
            <w:color w:val="0D0D0D" w:themeColor="text1" w:themeTint="F2"/>
            <w:u w:val="none"/>
          </w:rPr>
          <w:t>operation</w:t>
        </w:r>
      </w:hyperlink>
      <w:r w:rsidRPr="00B7601A">
        <w:rPr>
          <w:color w:val="0D0D0D" w:themeColor="text1" w:themeTint="F2"/>
        </w:rPr>
        <w:t>, identify the number of </w:t>
      </w:r>
      <w:hyperlink r:id="rId1" w:history="1">
        <w:r w:rsidRPr="00B7601A">
          <w:rPr>
            <w:rStyle w:val="Hyperlink"/>
            <w:color w:val="0D0D0D" w:themeColor="text1" w:themeTint="F2"/>
            <w:u w:val="none"/>
          </w:rPr>
          <w:t>base stations</w:t>
        </w:r>
      </w:hyperlink>
      <w:r w:rsidRPr="00B7601A">
        <w:rPr>
          <w:color w:val="0D0D0D" w:themeColor="text1" w:themeTint="F2"/>
        </w:rPr>
        <w:t> to be constructed and placed in </w:t>
      </w:r>
      <w:hyperlink r:id="rId1" w:history="1">
        <w:r w:rsidRPr="00B7601A">
          <w:rPr>
            <w:rStyle w:val="Hyperlink"/>
            <w:color w:val="0D0D0D" w:themeColor="text1" w:themeTint="F2"/>
            <w:u w:val="none"/>
          </w:rPr>
          <w:t>operation</w:t>
        </w:r>
      </w:hyperlink>
      <w:r w:rsidRPr="00B7601A">
        <w:rPr>
          <w:color w:val="0D0D0D" w:themeColor="text1" w:themeTint="F2"/>
        </w:rPr>
        <w:t xml:space="preserve"> during each year of the extended construction period, and show that: </w:t>
      </w:r>
      <w:r w:rsidRPr="00B7601A">
        <w:rPr>
          <w:bCs/>
          <w:color w:val="0D0D0D" w:themeColor="text1" w:themeTint="F2"/>
        </w:rPr>
        <w:t>(1)</w:t>
      </w:r>
      <w:r w:rsidRPr="00B7601A">
        <w:rPr>
          <w:color w:val="0D0D0D" w:themeColor="text1" w:themeTint="F2"/>
        </w:rPr>
        <w:t> </w:t>
      </w:r>
      <w:r w:rsidR="00881ED9">
        <w:rPr>
          <w:color w:val="0D0D0D" w:themeColor="text1" w:themeTint="F2"/>
        </w:rPr>
        <w:t>t</w:t>
      </w:r>
      <w:r w:rsidRPr="00B7601A">
        <w:rPr>
          <w:color w:val="0D0D0D" w:themeColor="text1" w:themeTint="F2"/>
        </w:rPr>
        <w:t>he proposed system will require longer than twelve (12) months to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because of its purpose, size, or complexity; or </w:t>
      </w:r>
      <w:r w:rsidRPr="00B7601A">
        <w:rPr>
          <w:bCs/>
          <w:color w:val="0D0D0D" w:themeColor="text1" w:themeTint="F2"/>
        </w:rPr>
        <w:t>(2)</w:t>
      </w:r>
      <w:r w:rsidRPr="00B7601A">
        <w:rPr>
          <w:color w:val="0D0D0D" w:themeColor="text1" w:themeTint="F2"/>
        </w:rPr>
        <w:t> </w:t>
      </w:r>
      <w:r w:rsidR="00881ED9">
        <w:rPr>
          <w:color w:val="0D0D0D" w:themeColor="text1" w:themeTint="F2"/>
        </w:rPr>
        <w:t>t</w:t>
      </w:r>
      <w:r w:rsidRPr="00B7601A">
        <w:rPr>
          <w:color w:val="0D0D0D" w:themeColor="text1" w:themeTint="F2"/>
        </w:rPr>
        <w:t>he proposed system is to be part of a coordinated or integrated wide-area system which will require more than twelve (12) months to plan, approve, fund, purchase,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or </w:t>
      </w:r>
      <w:r w:rsidRPr="00B7601A">
        <w:rPr>
          <w:bCs/>
          <w:color w:val="0D0D0D" w:themeColor="text1" w:themeTint="F2"/>
        </w:rPr>
        <w:t>(3)</w:t>
      </w:r>
      <w:r w:rsidRPr="00B7601A">
        <w:rPr>
          <w:color w:val="0D0D0D" w:themeColor="text1" w:themeTint="F2"/>
        </w:rPr>
        <w:t> </w:t>
      </w:r>
      <w:r w:rsidR="00881ED9">
        <w:rPr>
          <w:color w:val="0D0D0D" w:themeColor="text1" w:themeTint="F2"/>
        </w:rPr>
        <w:t>t</w:t>
      </w:r>
      <w:r w:rsidRPr="00B7601A">
        <w:rPr>
          <w:color w:val="0D0D0D" w:themeColor="text1" w:themeTint="F2"/>
        </w:rPr>
        <w:t>he applicant is required by law to follow a multi-year cycle for planning, approval, funding, and purchasing the proposed system.</w:t>
      </w:r>
      <w:r>
        <w:t xml:space="preserve"> </w:t>
      </w:r>
    </w:p>
  </w:footnote>
  <w:footnote w:id="7">
    <w:p w:rsidR="00D45ED5" w14:paraId="6D261F84" w14:textId="38389F75">
      <w:pPr>
        <w:pStyle w:val="FootnoteText"/>
      </w:pPr>
      <w:r>
        <w:rPr>
          <w:rStyle w:val="FootnoteReference"/>
        </w:rPr>
        <w:footnoteRef/>
      </w:r>
      <w:r>
        <w:t xml:space="preserve"> </w:t>
      </w:r>
      <w:r w:rsidR="00C40C5A">
        <w:t>Waiver Reque</w:t>
      </w:r>
      <w:r w:rsidR="00F1765D">
        <w:t xml:space="preserve">st </w:t>
      </w:r>
      <w:r w:rsidR="00953DF0">
        <w:t>at 3.</w:t>
      </w:r>
    </w:p>
  </w:footnote>
  <w:footnote w:id="8">
    <w:p w:rsidR="003A7167" w:rsidRPr="003A7167" w14:paraId="452A3D94" w14:textId="3C0338AB">
      <w:pPr>
        <w:pStyle w:val="FootnoteText"/>
      </w:pPr>
      <w:r>
        <w:rPr>
          <w:rStyle w:val="FootnoteReference"/>
        </w:rPr>
        <w:footnoteRef/>
      </w:r>
      <w:r>
        <w:t xml:space="preserve"> </w:t>
      </w:r>
      <w:r>
        <w:rPr>
          <w:i/>
        </w:rPr>
        <w:t>Id.</w:t>
      </w:r>
      <w:r>
        <w:t xml:space="preserve"> at 4.</w:t>
      </w:r>
    </w:p>
  </w:footnote>
  <w:footnote w:id="9">
    <w:p w:rsidR="00214F87" w:rsidRPr="008824B4" w14:paraId="7ED636C6" w14:textId="2DCB93D0">
      <w:pPr>
        <w:pStyle w:val="FootnoteText"/>
      </w:pPr>
      <w:r>
        <w:rPr>
          <w:rStyle w:val="FootnoteReference"/>
        </w:rPr>
        <w:footnoteRef/>
      </w:r>
      <w:r>
        <w:t xml:space="preserve"> </w:t>
      </w:r>
      <w:r w:rsidR="0056467A">
        <w:rPr>
          <w:i/>
        </w:rPr>
        <w:t>Id.</w:t>
      </w:r>
      <w:r w:rsidR="008824B4">
        <w:t xml:space="preserve"> at 4-5.</w:t>
      </w:r>
    </w:p>
  </w:footnote>
  <w:footnote w:id="10">
    <w:p w:rsidR="005B6A43" w:rsidRPr="007D017A" w:rsidP="005B6A43" w14:paraId="78964368" w14:textId="77777777">
      <w:pPr>
        <w:pStyle w:val="FootnoteText"/>
      </w:pPr>
      <w:r>
        <w:rPr>
          <w:rStyle w:val="FootnoteReference"/>
        </w:rPr>
        <w:footnoteRef/>
      </w:r>
      <w:r>
        <w:t xml:space="preserve"> </w:t>
      </w:r>
      <w:r>
        <w:rPr>
          <w:i/>
        </w:rPr>
        <w:t xml:space="preserve">Id.  </w:t>
      </w:r>
      <w:r>
        <w:t xml:space="preserve">We note that the County requested an extension until </w:t>
      </w:r>
      <w:r w:rsidRPr="007D017A">
        <w:t>December 31, 2019 for these two sites</w:t>
      </w:r>
      <w:r>
        <w:t xml:space="preserve">.  As discussed </w:t>
      </w:r>
      <w:r w:rsidRPr="00CE26DC">
        <w:rPr>
          <w:i/>
        </w:rPr>
        <w:t>supra</w:t>
      </w:r>
      <w:r>
        <w:t>,</w:t>
      </w:r>
      <w:r>
        <w:rPr>
          <w:i/>
        </w:rPr>
        <w:t xml:space="preserve"> </w:t>
      </w:r>
      <w:r>
        <w:t>however,</w:t>
      </w:r>
      <w:r>
        <w:rPr>
          <w:i/>
        </w:rPr>
        <w:t xml:space="preserve"> </w:t>
      </w:r>
      <w:r>
        <w:t xml:space="preserve">we are granting an extension through June 30, 2020 for all sites. </w:t>
      </w:r>
    </w:p>
  </w:footnote>
  <w:footnote w:id="11">
    <w:p w:rsidR="009458E6" w:rsidRPr="009458E6" w14:paraId="61ABE64D" w14:textId="54AE49BD">
      <w:pPr>
        <w:pStyle w:val="FootnoteText"/>
      </w:pPr>
      <w:r>
        <w:rPr>
          <w:rStyle w:val="FootnoteReference"/>
        </w:rPr>
        <w:footnoteRef/>
      </w:r>
      <w:r>
        <w:t xml:space="preserve"> </w:t>
      </w:r>
      <w:r>
        <w:rPr>
          <w:i/>
        </w:rPr>
        <w:t xml:space="preserve">Id. </w:t>
      </w:r>
      <w:r>
        <w:t>at 5.</w:t>
      </w:r>
    </w:p>
  </w:footnote>
  <w:footnote w:id="12">
    <w:p w:rsidR="00ED0AD5" w:rsidRPr="003E4DE0" w14:paraId="0A0DC358" w14:textId="2860B3D4">
      <w:pPr>
        <w:pStyle w:val="FootnoteText"/>
      </w:pPr>
      <w:r>
        <w:rPr>
          <w:rStyle w:val="FootnoteReference"/>
        </w:rPr>
        <w:footnoteRef/>
      </w:r>
      <w:r>
        <w:t xml:space="preserve"> </w:t>
      </w:r>
      <w:r w:rsidR="003E4DE0">
        <w:rPr>
          <w:i/>
        </w:rPr>
        <w:t>Id.</w:t>
      </w:r>
      <w:r w:rsidR="003E4DE0">
        <w:t xml:space="preserve"> at 6.</w:t>
      </w:r>
    </w:p>
  </w:footnote>
  <w:footnote w:id="13">
    <w:p w:rsidR="001B731C" w:rsidRPr="001B731C" w14:paraId="413A9436" w14:textId="7C4A362B">
      <w:pPr>
        <w:pStyle w:val="FootnoteText"/>
        <w:rPr>
          <w:i/>
        </w:rPr>
      </w:pPr>
      <w:r>
        <w:rPr>
          <w:rStyle w:val="FootnoteReference"/>
        </w:rPr>
        <w:footnoteRef/>
      </w:r>
      <w:r>
        <w:t xml:space="preserve"> </w:t>
      </w:r>
      <w:r>
        <w:rPr>
          <w:i/>
        </w:rPr>
        <w:t>Id.</w:t>
      </w:r>
    </w:p>
  </w:footnote>
  <w:footnote w:id="14">
    <w:p w:rsidR="00EF07C6" w:rsidRPr="003418B0" w14:paraId="10536DBC" w14:textId="6446893C">
      <w:pPr>
        <w:pStyle w:val="FootnoteText"/>
        <w:rPr>
          <w:i/>
        </w:rPr>
      </w:pPr>
      <w:r>
        <w:rPr>
          <w:rStyle w:val="FootnoteReference"/>
        </w:rPr>
        <w:footnoteRef/>
      </w:r>
      <w:r>
        <w:t xml:space="preserve"> </w:t>
      </w:r>
      <w:r w:rsidR="003418B0">
        <w:rPr>
          <w:i/>
        </w:rPr>
        <w:t>Id.</w:t>
      </w:r>
    </w:p>
  </w:footnote>
  <w:footnote w:id="15">
    <w:p w:rsidR="00E84C59" w:rsidRPr="00E84C59" w14:paraId="79B1312F" w14:textId="39A73D50">
      <w:pPr>
        <w:pStyle w:val="FootnoteText"/>
        <w:rPr>
          <w:i/>
        </w:rPr>
      </w:pPr>
      <w:r>
        <w:rPr>
          <w:rStyle w:val="FootnoteReference"/>
        </w:rPr>
        <w:footnoteRef/>
      </w:r>
      <w:r>
        <w:t xml:space="preserve"> </w:t>
      </w:r>
      <w:r>
        <w:rPr>
          <w:i/>
        </w:rPr>
        <w:t>Id.</w:t>
      </w:r>
    </w:p>
  </w:footnote>
  <w:footnote w:id="16">
    <w:p w:rsidR="00433324" w:rsidP="00D1776E" w14:paraId="04478BAB" w14:textId="77777777">
      <w:pPr>
        <w:pStyle w:val="FootnoteText"/>
      </w:pPr>
      <w:r>
        <w:rPr>
          <w:rStyle w:val="FootnoteReference"/>
        </w:rPr>
        <w:footnoteRef/>
      </w:r>
      <w:r>
        <w:t xml:space="preserve"> 47 CFR § 1.925(a)(3).</w:t>
      </w:r>
    </w:p>
  </w:footnote>
  <w:footnote w:id="17">
    <w:p w:rsidR="00433324" w:rsidP="00D1776E" w14:paraId="47C5E062" w14:textId="77777777">
      <w:pPr>
        <w:pStyle w:val="FootnoteText"/>
        <w:spacing w:before="120"/>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w:t>
      </w:r>
      <w:r w:rsidRPr="005D2BAC">
        <w:rPr>
          <w:i/>
        </w:rPr>
        <w:t>Birach</w:t>
      </w:r>
      <w:r w:rsidRPr="005D2BAC">
        <w:rPr>
          <w:i/>
        </w:rPr>
        <w:t xml:space="preserve"> Broad. Corp</w:t>
      </w:r>
      <w:r>
        <w:t xml:space="preserve">., </w:t>
      </w:r>
      <w:r w:rsidRPr="005D2BAC">
        <w:t>Memorandum Opinion and Order</w:t>
      </w:r>
      <w:r>
        <w:rPr>
          <w:i/>
        </w:rPr>
        <w:t xml:space="preserve">, </w:t>
      </w:r>
      <w:r>
        <w:t>18 FCC Rcd 1414, 1415 (2003).</w:t>
      </w:r>
    </w:p>
  </w:footnote>
  <w:footnote w:id="18">
    <w:p w:rsidR="00463862" w14:paraId="2B4451C7" w14:textId="6374D39F">
      <w:pPr>
        <w:pStyle w:val="FootnoteText"/>
      </w:pPr>
      <w:r>
        <w:rPr>
          <w:rStyle w:val="FootnoteReference"/>
        </w:rPr>
        <w:footnoteRef/>
      </w:r>
      <w:r>
        <w:t xml:space="preserve"> </w:t>
      </w:r>
      <w:r w:rsidRPr="006C2686" w:rsidR="006C2686">
        <w:rPr>
          <w:i/>
        </w:rPr>
        <w:t>See</w:t>
      </w:r>
      <w:r w:rsidR="006C2686">
        <w:rPr>
          <w:i/>
        </w:rPr>
        <w:t>,</w:t>
      </w:r>
      <w:r w:rsidRPr="006C2686" w:rsidR="006C2686">
        <w:rPr>
          <w:i/>
        </w:rPr>
        <w:t xml:space="preserve"> e.g., </w:t>
      </w:r>
      <w:r w:rsidRPr="006C2686">
        <w:rPr>
          <w:i/>
        </w:rPr>
        <w:t>Amendment of Part 90 of the Commission’s Rules Governing Extended Implementation Periods,</w:t>
      </w:r>
      <w:r w:rsidR="006C2686">
        <w:rPr>
          <w:i/>
        </w:rPr>
        <w:t xml:space="preserve"> </w:t>
      </w:r>
      <w:r w:rsidR="006C2686">
        <w:t xml:space="preserve">Report and Order, </w:t>
      </w:r>
      <w:r w:rsidRPr="006C2686" w:rsidR="006C2686">
        <w:t>8 FCC Rcd 3975</w:t>
      </w:r>
      <w:r w:rsidR="006C2686">
        <w:t>,</w:t>
      </w:r>
      <w:r w:rsidRPr="006C2686" w:rsidR="006C2686">
        <w:t xml:space="preserve"> 3976 para 12 (1993).</w:t>
      </w:r>
    </w:p>
  </w:footnote>
  <w:footnote w:id="19">
    <w:p w:rsidR="006C2686" w14:paraId="4023FDA1" w14:textId="39056F32">
      <w:pPr>
        <w:pStyle w:val="FootnoteText"/>
      </w:pPr>
      <w:r>
        <w:rPr>
          <w:rStyle w:val="FootnoteReference"/>
        </w:rPr>
        <w:footnoteRef/>
      </w:r>
      <w:r>
        <w:t xml:space="preserve"> 47 CFR </w:t>
      </w:r>
      <w:bookmarkStart w:id="1" w:name="_Hlk22035977"/>
      <w:r>
        <w:t>§</w:t>
      </w:r>
      <w:bookmarkEnd w:id="1"/>
      <w:r w:rsidRPr="006C2686">
        <w:t>§</w:t>
      </w:r>
      <w:r>
        <w:t xml:space="preserve"> 90.629, 90.551.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C12" w14:paraId="6CC3AB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463C6AD8" w14:textId="7A9B780F">
    <w:pPr>
      <w:pStyle w:val="Header"/>
      <w:rPr>
        <w:b w:val="0"/>
      </w:rPr>
    </w:pPr>
    <w:r>
      <w:tab/>
      <w:t>Federal Communications Commission</w:t>
    </w:r>
    <w:r>
      <w:tab/>
      <w:t xml:space="preserve">DA </w:t>
    </w:r>
    <w:r w:rsidR="00514ACF">
      <w:t>20</w:t>
    </w:r>
    <w:r>
      <w:t>-</w:t>
    </w:r>
    <w:r w:rsidR="00EB4C12">
      <w:t>5</w:t>
    </w:r>
  </w:p>
  <w:p w:rsidR="00433324" w14:paraId="16DBB93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33324" w14:paraId="065C1C5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07CE1A11" w14:textId="360209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514ACF">
      <w:rPr>
        <w:spacing w:val="-2"/>
      </w:rPr>
      <w:t>20</w:t>
    </w:r>
    <w:r>
      <w:rPr>
        <w:spacing w:val="-2"/>
      </w:rPr>
      <w:t>-</w:t>
    </w:r>
    <w:r w:rsidR="00EB4C12">
      <w:rPr>
        <w:spacing w:val="-2"/>
      </w:rPr>
      <w:t>5</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6B66"/>
    <w:rsid w:val="00026879"/>
    <w:rsid w:val="00042F15"/>
    <w:rsid w:val="00043792"/>
    <w:rsid w:val="00052A93"/>
    <w:rsid w:val="00072E75"/>
    <w:rsid w:val="000731D0"/>
    <w:rsid w:val="0008099D"/>
    <w:rsid w:val="00085CB3"/>
    <w:rsid w:val="000962C1"/>
    <w:rsid w:val="00097630"/>
    <w:rsid w:val="000A03A9"/>
    <w:rsid w:val="000A7E13"/>
    <w:rsid w:val="000B07E7"/>
    <w:rsid w:val="000B3AF7"/>
    <w:rsid w:val="000E2F6E"/>
    <w:rsid w:val="000E52AA"/>
    <w:rsid w:val="00103B71"/>
    <w:rsid w:val="00104247"/>
    <w:rsid w:val="0011153F"/>
    <w:rsid w:val="0011625D"/>
    <w:rsid w:val="001169CB"/>
    <w:rsid w:val="00121789"/>
    <w:rsid w:val="00124CDB"/>
    <w:rsid w:val="00144912"/>
    <w:rsid w:val="00151FCC"/>
    <w:rsid w:val="001540BA"/>
    <w:rsid w:val="0016140F"/>
    <w:rsid w:val="00161FF8"/>
    <w:rsid w:val="00170BA4"/>
    <w:rsid w:val="00180A5C"/>
    <w:rsid w:val="00182DCF"/>
    <w:rsid w:val="0019383C"/>
    <w:rsid w:val="001A3FF8"/>
    <w:rsid w:val="001A466C"/>
    <w:rsid w:val="001B731C"/>
    <w:rsid w:val="001D37CB"/>
    <w:rsid w:val="001D4E4D"/>
    <w:rsid w:val="001D6C41"/>
    <w:rsid w:val="001E2A95"/>
    <w:rsid w:val="001F70F3"/>
    <w:rsid w:val="00203796"/>
    <w:rsid w:val="00214F87"/>
    <w:rsid w:val="00227DDB"/>
    <w:rsid w:val="00227F22"/>
    <w:rsid w:val="00231620"/>
    <w:rsid w:val="00250F6A"/>
    <w:rsid w:val="00252FBF"/>
    <w:rsid w:val="002740BC"/>
    <w:rsid w:val="002A321D"/>
    <w:rsid w:val="002A4C50"/>
    <w:rsid w:val="002B4A57"/>
    <w:rsid w:val="002B6B20"/>
    <w:rsid w:val="002B6D40"/>
    <w:rsid w:val="002D2749"/>
    <w:rsid w:val="002D3939"/>
    <w:rsid w:val="002E1E6B"/>
    <w:rsid w:val="002E27B5"/>
    <w:rsid w:val="002F638C"/>
    <w:rsid w:val="003162D9"/>
    <w:rsid w:val="00322F5C"/>
    <w:rsid w:val="003237AB"/>
    <w:rsid w:val="003310A2"/>
    <w:rsid w:val="0033239E"/>
    <w:rsid w:val="003365B5"/>
    <w:rsid w:val="003418B0"/>
    <w:rsid w:val="00342B51"/>
    <w:rsid w:val="003510B6"/>
    <w:rsid w:val="00353407"/>
    <w:rsid w:val="00360C29"/>
    <w:rsid w:val="00367ED2"/>
    <w:rsid w:val="003A7167"/>
    <w:rsid w:val="003B2B20"/>
    <w:rsid w:val="003B7419"/>
    <w:rsid w:val="003B7D1B"/>
    <w:rsid w:val="003D1EE9"/>
    <w:rsid w:val="003E47EC"/>
    <w:rsid w:val="003E4DE0"/>
    <w:rsid w:val="003F411B"/>
    <w:rsid w:val="00415478"/>
    <w:rsid w:val="0041573D"/>
    <w:rsid w:val="004311BA"/>
    <w:rsid w:val="00433324"/>
    <w:rsid w:val="00462035"/>
    <w:rsid w:val="00463862"/>
    <w:rsid w:val="004676B2"/>
    <w:rsid w:val="00477647"/>
    <w:rsid w:val="00484548"/>
    <w:rsid w:val="00495DD3"/>
    <w:rsid w:val="004A363D"/>
    <w:rsid w:val="004B387D"/>
    <w:rsid w:val="004C125E"/>
    <w:rsid w:val="004C5E5D"/>
    <w:rsid w:val="004E39C9"/>
    <w:rsid w:val="004E3CF7"/>
    <w:rsid w:val="004F4550"/>
    <w:rsid w:val="004F661F"/>
    <w:rsid w:val="00502C89"/>
    <w:rsid w:val="0050320F"/>
    <w:rsid w:val="00514ACF"/>
    <w:rsid w:val="005252DB"/>
    <w:rsid w:val="0052585A"/>
    <w:rsid w:val="00534C5B"/>
    <w:rsid w:val="00541919"/>
    <w:rsid w:val="00542A7A"/>
    <w:rsid w:val="0055678B"/>
    <w:rsid w:val="0056467A"/>
    <w:rsid w:val="00565013"/>
    <w:rsid w:val="0057229E"/>
    <w:rsid w:val="0057458F"/>
    <w:rsid w:val="00574E16"/>
    <w:rsid w:val="00592BA8"/>
    <w:rsid w:val="005B6A43"/>
    <w:rsid w:val="005D2BAC"/>
    <w:rsid w:val="005D4166"/>
    <w:rsid w:val="005D569F"/>
    <w:rsid w:val="005D5C52"/>
    <w:rsid w:val="005E335E"/>
    <w:rsid w:val="005E5EFF"/>
    <w:rsid w:val="005F09E1"/>
    <w:rsid w:val="005F3B63"/>
    <w:rsid w:val="005F5184"/>
    <w:rsid w:val="00607798"/>
    <w:rsid w:val="00621C44"/>
    <w:rsid w:val="00631CAA"/>
    <w:rsid w:val="006552BE"/>
    <w:rsid w:val="00657504"/>
    <w:rsid w:val="00662D4D"/>
    <w:rsid w:val="00677AA6"/>
    <w:rsid w:val="00683944"/>
    <w:rsid w:val="00686B67"/>
    <w:rsid w:val="00690FEA"/>
    <w:rsid w:val="0069471E"/>
    <w:rsid w:val="00696C02"/>
    <w:rsid w:val="006B34B5"/>
    <w:rsid w:val="006C2686"/>
    <w:rsid w:val="006C5234"/>
    <w:rsid w:val="006D17BE"/>
    <w:rsid w:val="006D7BD6"/>
    <w:rsid w:val="007009D8"/>
    <w:rsid w:val="00703C04"/>
    <w:rsid w:val="00706D64"/>
    <w:rsid w:val="0070767A"/>
    <w:rsid w:val="00722AAE"/>
    <w:rsid w:val="0072526D"/>
    <w:rsid w:val="007254F6"/>
    <w:rsid w:val="007258B8"/>
    <w:rsid w:val="00727A10"/>
    <w:rsid w:val="00736300"/>
    <w:rsid w:val="0074239C"/>
    <w:rsid w:val="007552C2"/>
    <w:rsid w:val="00755DF6"/>
    <w:rsid w:val="00774A64"/>
    <w:rsid w:val="007813A4"/>
    <w:rsid w:val="007A0E5A"/>
    <w:rsid w:val="007B404C"/>
    <w:rsid w:val="007D017A"/>
    <w:rsid w:val="007D21D8"/>
    <w:rsid w:val="007F51FF"/>
    <w:rsid w:val="008075BE"/>
    <w:rsid w:val="008115C5"/>
    <w:rsid w:val="00811981"/>
    <w:rsid w:val="00833092"/>
    <w:rsid w:val="00856436"/>
    <w:rsid w:val="00867DF3"/>
    <w:rsid w:val="00881ED9"/>
    <w:rsid w:val="008824B4"/>
    <w:rsid w:val="00890ECC"/>
    <w:rsid w:val="00896615"/>
    <w:rsid w:val="008A7D8D"/>
    <w:rsid w:val="008B2205"/>
    <w:rsid w:val="008B4F11"/>
    <w:rsid w:val="008F1338"/>
    <w:rsid w:val="008F164F"/>
    <w:rsid w:val="008F7B37"/>
    <w:rsid w:val="0091252E"/>
    <w:rsid w:val="00925DFA"/>
    <w:rsid w:val="00927136"/>
    <w:rsid w:val="00927ADF"/>
    <w:rsid w:val="00927C99"/>
    <w:rsid w:val="00931A16"/>
    <w:rsid w:val="009458E6"/>
    <w:rsid w:val="00953DF0"/>
    <w:rsid w:val="009603B5"/>
    <w:rsid w:val="00966A4E"/>
    <w:rsid w:val="00971DEC"/>
    <w:rsid w:val="00997E47"/>
    <w:rsid w:val="009B155C"/>
    <w:rsid w:val="009C6E15"/>
    <w:rsid w:val="009D1015"/>
    <w:rsid w:val="009D1026"/>
    <w:rsid w:val="009E09B2"/>
    <w:rsid w:val="009E5208"/>
    <w:rsid w:val="00A028AD"/>
    <w:rsid w:val="00A17624"/>
    <w:rsid w:val="00A30813"/>
    <w:rsid w:val="00A41305"/>
    <w:rsid w:val="00A7003B"/>
    <w:rsid w:val="00A71740"/>
    <w:rsid w:val="00A755AE"/>
    <w:rsid w:val="00A831F0"/>
    <w:rsid w:val="00AA00B4"/>
    <w:rsid w:val="00AA2711"/>
    <w:rsid w:val="00AB18AB"/>
    <w:rsid w:val="00AC163A"/>
    <w:rsid w:val="00AC377E"/>
    <w:rsid w:val="00AC65C3"/>
    <w:rsid w:val="00AE2644"/>
    <w:rsid w:val="00AE3E4E"/>
    <w:rsid w:val="00AE42C4"/>
    <w:rsid w:val="00AF43A9"/>
    <w:rsid w:val="00AF6130"/>
    <w:rsid w:val="00B04391"/>
    <w:rsid w:val="00B11C25"/>
    <w:rsid w:val="00B17C6F"/>
    <w:rsid w:val="00B2146C"/>
    <w:rsid w:val="00B32B1F"/>
    <w:rsid w:val="00B33A84"/>
    <w:rsid w:val="00B36406"/>
    <w:rsid w:val="00B73F95"/>
    <w:rsid w:val="00B7588B"/>
    <w:rsid w:val="00B7601A"/>
    <w:rsid w:val="00B776EE"/>
    <w:rsid w:val="00B924A4"/>
    <w:rsid w:val="00B97E3D"/>
    <w:rsid w:val="00BA4198"/>
    <w:rsid w:val="00BA4401"/>
    <w:rsid w:val="00BD422A"/>
    <w:rsid w:val="00BD7C00"/>
    <w:rsid w:val="00C105C4"/>
    <w:rsid w:val="00C15259"/>
    <w:rsid w:val="00C34E88"/>
    <w:rsid w:val="00C35FD1"/>
    <w:rsid w:val="00C40C5A"/>
    <w:rsid w:val="00C5035B"/>
    <w:rsid w:val="00C53D5E"/>
    <w:rsid w:val="00C5439C"/>
    <w:rsid w:val="00C660C8"/>
    <w:rsid w:val="00C736FE"/>
    <w:rsid w:val="00CB523C"/>
    <w:rsid w:val="00CC08C3"/>
    <w:rsid w:val="00CE26DC"/>
    <w:rsid w:val="00CF1D57"/>
    <w:rsid w:val="00D03F60"/>
    <w:rsid w:val="00D0500E"/>
    <w:rsid w:val="00D06763"/>
    <w:rsid w:val="00D1776E"/>
    <w:rsid w:val="00D35A7D"/>
    <w:rsid w:val="00D420BE"/>
    <w:rsid w:val="00D45ED5"/>
    <w:rsid w:val="00D46F02"/>
    <w:rsid w:val="00D5375A"/>
    <w:rsid w:val="00D776AE"/>
    <w:rsid w:val="00D905BE"/>
    <w:rsid w:val="00DA4FB2"/>
    <w:rsid w:val="00DB422A"/>
    <w:rsid w:val="00DC17CA"/>
    <w:rsid w:val="00DC2DFD"/>
    <w:rsid w:val="00DC4540"/>
    <w:rsid w:val="00DC5D6E"/>
    <w:rsid w:val="00DD44B0"/>
    <w:rsid w:val="00DD574F"/>
    <w:rsid w:val="00DE29E5"/>
    <w:rsid w:val="00DE4A92"/>
    <w:rsid w:val="00DF0E8D"/>
    <w:rsid w:val="00DF28BC"/>
    <w:rsid w:val="00DF323F"/>
    <w:rsid w:val="00DF7031"/>
    <w:rsid w:val="00DF7772"/>
    <w:rsid w:val="00E00C84"/>
    <w:rsid w:val="00E10E72"/>
    <w:rsid w:val="00E1541A"/>
    <w:rsid w:val="00E245B8"/>
    <w:rsid w:val="00E35535"/>
    <w:rsid w:val="00E44FCE"/>
    <w:rsid w:val="00E4589A"/>
    <w:rsid w:val="00E50257"/>
    <w:rsid w:val="00E50849"/>
    <w:rsid w:val="00E512BE"/>
    <w:rsid w:val="00E51704"/>
    <w:rsid w:val="00E728B7"/>
    <w:rsid w:val="00E77092"/>
    <w:rsid w:val="00E84C59"/>
    <w:rsid w:val="00E944ED"/>
    <w:rsid w:val="00EB4C12"/>
    <w:rsid w:val="00EC2D5B"/>
    <w:rsid w:val="00ED0AD5"/>
    <w:rsid w:val="00EE07B8"/>
    <w:rsid w:val="00EE420B"/>
    <w:rsid w:val="00EE462C"/>
    <w:rsid w:val="00EF07C6"/>
    <w:rsid w:val="00EF252D"/>
    <w:rsid w:val="00EF742F"/>
    <w:rsid w:val="00EF761D"/>
    <w:rsid w:val="00F13D84"/>
    <w:rsid w:val="00F1765D"/>
    <w:rsid w:val="00F17C9F"/>
    <w:rsid w:val="00F214EB"/>
    <w:rsid w:val="00F22942"/>
    <w:rsid w:val="00F22962"/>
    <w:rsid w:val="00F42690"/>
    <w:rsid w:val="00F54D6D"/>
    <w:rsid w:val="00F875C5"/>
    <w:rsid w:val="00F92223"/>
    <w:rsid w:val="00F9283D"/>
    <w:rsid w:val="00FA5D21"/>
    <w:rsid w:val="00FB3080"/>
    <w:rsid w:val="00FB6D1F"/>
    <w:rsid w:val="00FC6C49"/>
    <w:rsid w:val="00FE1CB9"/>
    <w:rsid w:val="00FE3103"/>
    <w:rsid w:val="00FF6403"/>
    <w:rsid w:val="00FF6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UnresolvedMention1">
    <w:name w:val="Unresolved Mention1"/>
    <w:basedOn w:val="DefaultParagraphFont"/>
    <w:uiPriority w:val="99"/>
    <w:semiHidden/>
    <w:unhideWhenUsed/>
    <w:rsid w:val="00203796"/>
    <w:rPr>
      <w:color w:val="605E5C"/>
      <w:shd w:val="clear" w:color="auto" w:fill="E1DFDD"/>
    </w:rPr>
  </w:style>
  <w:style w:type="character" w:customStyle="1" w:styleId="UnresolvedMention2">
    <w:name w:val="Unresolved Mention2"/>
    <w:basedOn w:val="DefaultParagraphFont"/>
    <w:rsid w:val="0014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90.62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