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bookmarkStart w:id="2" w:name="_GoBack"/>
      <w:r>
        <w:rPr>
          <w:b/>
          <w:szCs w:val="22"/>
        </w:rPr>
        <w:t>DA 20-</w:t>
      </w:r>
      <w:r w:rsidR="000534AC">
        <w:rPr>
          <w:b/>
          <w:szCs w:val="22"/>
        </w:rPr>
        <w:t>602</w:t>
      </w:r>
    </w:p>
    <w:p w:rsidR="00E7033D">
      <w:pPr>
        <w:spacing w:before="60"/>
        <w:jc w:val="right"/>
        <w:rPr>
          <w:b/>
          <w:szCs w:val="22"/>
        </w:rPr>
      </w:pPr>
      <w:r>
        <w:rPr>
          <w:b/>
          <w:szCs w:val="22"/>
        </w:rPr>
        <w:t xml:space="preserve">June </w:t>
      </w:r>
      <w:r w:rsidR="00353CB5">
        <w:rPr>
          <w:b/>
          <w:szCs w:val="22"/>
        </w:rPr>
        <w:t>8</w:t>
      </w:r>
      <w:r>
        <w:rPr>
          <w:b/>
          <w:szCs w:val="22"/>
        </w:rPr>
        <w:t>, 2020</w:t>
      </w:r>
    </w:p>
    <w:p w:rsidR="00E7033D">
      <w:pPr>
        <w:tabs>
          <w:tab w:val="left" w:pos="5900"/>
        </w:tabs>
        <w:rPr>
          <w:szCs w:val="22"/>
        </w:rPr>
      </w:pPr>
      <w:r>
        <w:rPr>
          <w:szCs w:val="22"/>
        </w:rPr>
        <w:tab/>
      </w:r>
    </w:p>
    <w:p w:rsidR="00E7033D">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TRANSFER OF CONTROL OF CITIZENS TELEPHONE COMPANY OF HIGGINSVILLE, MISSOURI AND CITIZENS LONG DISTANCE COMPANY </w:t>
      </w:r>
    </w:p>
    <w:p w:rsidR="00E7033D">
      <w:pPr>
        <w:jc w:val="center"/>
        <w:rPr>
          <w:rFonts w:eastAsia="Calibri"/>
          <w:b/>
          <w:caps/>
          <w:szCs w:val="22"/>
        </w:rPr>
      </w:pPr>
      <w:r>
        <w:rPr>
          <w:b/>
          <w:bCs/>
          <w:szCs w:val="22"/>
        </w:rPr>
        <w:t>TO GREEN HILLS</w:t>
      </w:r>
      <w:bookmarkEnd w:id="3"/>
      <w:bookmarkEnd w:id="4"/>
      <w:bookmarkEnd w:id="5"/>
      <w:r>
        <w:rPr>
          <w:b/>
          <w:bCs/>
          <w:szCs w:val="22"/>
        </w:rPr>
        <w:t xml:space="preserve"> TELEPHONE CORPORATION</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20-147</w:t>
      </w:r>
    </w:p>
    <w:p w:rsidR="00E7033D">
      <w:pPr>
        <w:jc w:val="center"/>
        <w:rPr>
          <w:szCs w:val="22"/>
        </w:rPr>
      </w:pPr>
    </w:p>
    <w:p w:rsidR="00E7033D">
      <w:pPr>
        <w:pStyle w:val="NoSpacing"/>
        <w:rPr>
          <w:b/>
          <w:szCs w:val="22"/>
        </w:rPr>
      </w:pPr>
      <w:r>
        <w:rPr>
          <w:b/>
          <w:szCs w:val="22"/>
        </w:rPr>
        <w:t xml:space="preserve">Comments Due:  June </w:t>
      </w:r>
      <w:r w:rsidR="00353CB5">
        <w:rPr>
          <w:b/>
          <w:szCs w:val="22"/>
        </w:rPr>
        <w:t>22</w:t>
      </w:r>
      <w:r>
        <w:rPr>
          <w:b/>
          <w:szCs w:val="22"/>
        </w:rPr>
        <w:t>, 2020</w:t>
      </w:r>
    </w:p>
    <w:p w:rsidR="00E7033D">
      <w:pPr>
        <w:pStyle w:val="NoSpacing"/>
        <w:rPr>
          <w:b/>
          <w:szCs w:val="22"/>
        </w:rPr>
      </w:pPr>
      <w:r>
        <w:rPr>
          <w:b/>
          <w:szCs w:val="22"/>
        </w:rPr>
        <w:t xml:space="preserve">Reply Comments Due:  June </w:t>
      </w:r>
      <w:r w:rsidR="00353CB5">
        <w:rPr>
          <w:b/>
          <w:szCs w:val="22"/>
        </w:rPr>
        <w:t>29</w:t>
      </w:r>
      <w:r>
        <w:rPr>
          <w:b/>
          <w:szCs w:val="22"/>
        </w:rPr>
        <w:t>, 2020</w:t>
      </w:r>
    </w:p>
    <w:bookmarkEnd w:id="1"/>
    <w:bookmarkEnd w:id="2"/>
    <w:p w:rsidR="00E7033D">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E7033D">
      <w:pPr>
        <w:autoSpaceDE w:val="0"/>
        <w:autoSpaceDN w:val="0"/>
        <w:adjustRightInd w:val="0"/>
        <w:ind w:firstLine="720"/>
        <w:rPr>
          <w:szCs w:val="22"/>
        </w:rPr>
      </w:pPr>
      <w:r>
        <w:rPr>
          <w:szCs w:val="22"/>
        </w:rPr>
        <w:t>By this Public Notice, the Wireline Competition Bureau seeks comment from interested parties on an application filed by Citizens Communications Corporation (CCC), Citizens Telephone Company of Higginsville, Missouri (CTC), Citizens Long Distance Company (CLD) and Green Hills Telephone Corporation (Green Hills) (collectively, Applicants), pursuant to section 214 of the Communications Act of 1934, as amended, and sections 63.03-04 of the Commission’s rules, requesting consent to transfer control of CTC and CLD to Green Hills.</w:t>
      </w:r>
      <w:r>
        <w:rPr>
          <w:rStyle w:val="FootnoteReference"/>
          <w:szCs w:val="22"/>
        </w:rPr>
        <w:footnoteReference w:id="3"/>
      </w:r>
    </w:p>
    <w:p w:rsidR="00E7033D" w:rsidP="004808FC">
      <w:pPr>
        <w:autoSpaceDE w:val="0"/>
        <w:autoSpaceDN w:val="0"/>
        <w:adjustRightInd w:val="0"/>
        <w:spacing w:before="120" w:after="120"/>
        <w:ind w:firstLine="720"/>
        <w:rPr>
          <w:rFonts w:ascii="TimesNewRomanPSMT" w:hAnsi="TimesNewRomanPSMT" w:cs="TimesNewRomanPSMT"/>
          <w:sz w:val="24"/>
          <w:szCs w:val="24"/>
        </w:rPr>
      </w:pPr>
      <w:r>
        <w:rPr>
          <w:szCs w:val="22"/>
        </w:rPr>
        <w:t>CCC, a Missouri corporation, is the parent holding company of CTC and CLD.</w:t>
      </w:r>
      <w:r>
        <w:rPr>
          <w:rStyle w:val="FootnoteReference"/>
          <w:szCs w:val="22"/>
        </w:rPr>
        <w:footnoteReference w:id="4"/>
      </w:r>
      <w:r>
        <w:rPr>
          <w:szCs w:val="22"/>
        </w:rPr>
        <w:t xml:space="preserve">  CTC</w:t>
      </w:r>
      <w:r w:rsidR="00903DE0">
        <w:rPr>
          <w:szCs w:val="22"/>
        </w:rPr>
        <w:t xml:space="preserve"> provides services as</w:t>
      </w:r>
      <w:r>
        <w:rPr>
          <w:szCs w:val="22"/>
        </w:rPr>
        <w:t xml:space="preserve"> a rural incumbent local exchange carrier (LEC)</w:t>
      </w:r>
      <w:r w:rsidR="00903DE0">
        <w:rPr>
          <w:szCs w:val="22"/>
        </w:rPr>
        <w:t xml:space="preserve"> to approximately 2,300 access lines</w:t>
      </w:r>
      <w:r>
        <w:rPr>
          <w:szCs w:val="22"/>
        </w:rPr>
        <w:t xml:space="preserve"> in west central Missouri.  CLD provide</w:t>
      </w:r>
      <w:r w:rsidR="00903DE0">
        <w:rPr>
          <w:szCs w:val="22"/>
        </w:rPr>
        <w:t>s</w:t>
      </w:r>
      <w:r>
        <w:rPr>
          <w:szCs w:val="22"/>
        </w:rPr>
        <w:t xml:space="preserve"> resold domestic </w:t>
      </w:r>
      <w:r>
        <w:rPr>
          <w:szCs w:val="22"/>
        </w:rPr>
        <w:t>long distance</w:t>
      </w:r>
      <w:r>
        <w:rPr>
          <w:szCs w:val="22"/>
        </w:rPr>
        <w:t xml:space="preserve"> services. </w:t>
      </w:r>
    </w:p>
    <w:p w:rsidR="00E7033D">
      <w:pPr>
        <w:autoSpaceDE w:val="0"/>
        <w:autoSpaceDN w:val="0"/>
        <w:adjustRightInd w:val="0"/>
        <w:ind w:firstLine="720"/>
        <w:rPr>
          <w:color w:val="231F20"/>
          <w:szCs w:val="22"/>
        </w:rPr>
      </w:pPr>
      <w:r>
        <w:rPr>
          <w:szCs w:val="22"/>
        </w:rPr>
        <w:t>Green Hills, a Missouri corporation</w:t>
      </w:r>
      <w:r w:rsidR="004808FC">
        <w:rPr>
          <w:szCs w:val="22"/>
        </w:rPr>
        <w:t>,</w:t>
      </w:r>
      <w:r>
        <w:rPr>
          <w:szCs w:val="22"/>
        </w:rPr>
        <w:t xml:space="preserve"> </w:t>
      </w:r>
      <w:r w:rsidR="00A11865">
        <w:rPr>
          <w:szCs w:val="22"/>
        </w:rPr>
        <w:t>is</w:t>
      </w:r>
      <w:r w:rsidR="00253247">
        <w:rPr>
          <w:szCs w:val="22"/>
        </w:rPr>
        <w:t xml:space="preserve"> a</w:t>
      </w:r>
      <w:r>
        <w:rPr>
          <w:szCs w:val="22"/>
        </w:rPr>
        <w:t xml:space="preserve"> rural telephone cooperative and </w:t>
      </w:r>
      <w:r w:rsidR="00A11865">
        <w:rPr>
          <w:szCs w:val="22"/>
        </w:rPr>
        <w:t xml:space="preserve">provides service as </w:t>
      </w:r>
      <w:r w:rsidR="0056058F">
        <w:rPr>
          <w:szCs w:val="22"/>
        </w:rPr>
        <w:t xml:space="preserve">an </w:t>
      </w:r>
      <w:r w:rsidR="00903DE0">
        <w:rPr>
          <w:szCs w:val="22"/>
        </w:rPr>
        <w:t xml:space="preserve">incumbent </w:t>
      </w:r>
      <w:r>
        <w:rPr>
          <w:szCs w:val="22"/>
        </w:rPr>
        <w:t>LEC</w:t>
      </w:r>
      <w:r w:rsidR="00253247">
        <w:rPr>
          <w:szCs w:val="22"/>
        </w:rPr>
        <w:t xml:space="preserve"> to approximately 2,400 access lines in north central Missouri.</w:t>
      </w:r>
      <w:r>
        <w:rPr>
          <w:szCs w:val="22"/>
        </w:rPr>
        <w:t xml:space="preserve">  Green Hills is </w:t>
      </w:r>
      <w:r w:rsidR="00903DE0">
        <w:rPr>
          <w:szCs w:val="22"/>
        </w:rPr>
        <w:t>wholly</w:t>
      </w:r>
      <w:r>
        <w:rPr>
          <w:szCs w:val="22"/>
        </w:rPr>
        <w:t xml:space="preserve"> owned by its members and no member has a 10% or greater ownership.</w:t>
      </w:r>
      <w:r>
        <w:rPr>
          <w:rStyle w:val="FootnoteReference"/>
          <w:szCs w:val="22"/>
        </w:rPr>
        <w:footnoteReference w:id="5"/>
      </w:r>
    </w:p>
    <w:p w:rsidR="00E7033D">
      <w:pPr>
        <w:autoSpaceDE w:val="0"/>
        <w:autoSpaceDN w:val="0"/>
        <w:adjustRightInd w:val="0"/>
        <w:ind w:firstLine="720"/>
        <w:rPr>
          <w:color w:val="231F20"/>
          <w:szCs w:val="22"/>
        </w:rPr>
      </w:pPr>
    </w:p>
    <w:p w:rsidR="00E7033D" w:rsidP="00B908C9">
      <w:pPr>
        <w:autoSpaceDE w:val="0"/>
        <w:autoSpaceDN w:val="0"/>
        <w:adjustRightInd w:val="0"/>
        <w:ind w:firstLine="720"/>
        <w:rPr>
          <w:color w:val="231F20"/>
          <w:szCs w:val="22"/>
        </w:rPr>
      </w:pPr>
      <w:r>
        <w:rPr>
          <w:color w:val="231F20"/>
          <w:szCs w:val="22"/>
        </w:rPr>
        <w:t xml:space="preserve">Green Hills offers resold domestic and </w:t>
      </w:r>
      <w:r>
        <w:rPr>
          <w:color w:val="231F20"/>
          <w:szCs w:val="22"/>
        </w:rPr>
        <w:t>long distance</w:t>
      </w:r>
      <w:r>
        <w:rPr>
          <w:color w:val="231F20"/>
          <w:szCs w:val="22"/>
        </w:rPr>
        <w:t xml:space="preserve"> services through its wholly owned subsidiary, Green Hills Communications, Inc. (GH Communications), an interexchange service </w:t>
      </w:r>
      <w:r>
        <w:rPr>
          <w:color w:val="231F20"/>
          <w:szCs w:val="22"/>
        </w:rPr>
        <w:t>provider.  Green Hills Area Cellular Telephone, Inc. (GH Cellular)</w:t>
      </w:r>
      <w:r w:rsidR="00353CB5">
        <w:rPr>
          <w:color w:val="231F20"/>
          <w:szCs w:val="22"/>
        </w:rPr>
        <w:t>,</w:t>
      </w:r>
      <w:r>
        <w:rPr>
          <w:color w:val="231F20"/>
          <w:szCs w:val="22"/>
        </w:rPr>
        <w:t xml:space="preserve"> a wholly owned subsidiary of Green Hills</w:t>
      </w:r>
      <w:r w:rsidR="00BF0B00">
        <w:rPr>
          <w:color w:val="231F20"/>
          <w:szCs w:val="22"/>
        </w:rPr>
        <w:t>,</w:t>
      </w:r>
      <w:r>
        <w:rPr>
          <w:color w:val="231F20"/>
          <w:szCs w:val="22"/>
        </w:rPr>
        <w:t xml:space="preserve"> operates under the business name of Green Hills Telecommunications Services (GH Telecom), which is a competitive LEC providing local exchange services in north central Missouri.  GH Communications offers resold domestic </w:t>
      </w:r>
      <w:r>
        <w:rPr>
          <w:color w:val="231F20"/>
          <w:szCs w:val="22"/>
        </w:rPr>
        <w:t>long distance</w:t>
      </w:r>
      <w:r>
        <w:rPr>
          <w:color w:val="231F20"/>
          <w:szCs w:val="22"/>
        </w:rPr>
        <w:t xml:space="preserve"> services to GH Telecom subscribers</w:t>
      </w:r>
      <w:r w:rsidR="00353CB5">
        <w:rPr>
          <w:color w:val="231F20"/>
          <w:szCs w:val="22"/>
        </w:rPr>
        <w:t>.</w:t>
      </w:r>
      <w:r>
        <w:rPr>
          <w:color w:val="231F20"/>
          <w:szCs w:val="22"/>
        </w:rPr>
        <w:t xml:space="preserve"> </w:t>
      </w:r>
    </w:p>
    <w:p w:rsidR="00E7033D">
      <w:pPr>
        <w:autoSpaceDE w:val="0"/>
        <w:autoSpaceDN w:val="0"/>
        <w:adjustRightInd w:val="0"/>
        <w:rPr>
          <w:color w:val="231F20"/>
          <w:szCs w:val="22"/>
        </w:rPr>
      </w:pPr>
    </w:p>
    <w:p w:rsidR="00E7033D">
      <w:pPr>
        <w:autoSpaceDE w:val="0"/>
        <w:autoSpaceDN w:val="0"/>
        <w:adjustRightInd w:val="0"/>
        <w:ind w:firstLine="720"/>
        <w:rPr>
          <w:bCs/>
          <w:szCs w:val="22"/>
        </w:rPr>
      </w:pPr>
      <w:r>
        <w:rPr>
          <w:szCs w:val="22"/>
        </w:rPr>
        <w:t xml:space="preserve">Pursuant to the terms of the proposed Agreement, Green Hills will acquire </w:t>
      </w:r>
      <w:r>
        <w:rPr>
          <w:szCs w:val="22"/>
        </w:rPr>
        <w:t>all of</w:t>
      </w:r>
      <w:r>
        <w:rPr>
          <w:szCs w:val="22"/>
        </w:rPr>
        <w:t xml:space="preserve"> the stock of CTC and CLD from CCC.  Green Hills will then </w:t>
      </w:r>
      <w:r w:rsidR="00353CB5">
        <w:rPr>
          <w:szCs w:val="22"/>
        </w:rPr>
        <w:t>wholly own</w:t>
      </w:r>
      <w:r>
        <w:rPr>
          <w:szCs w:val="22"/>
        </w:rPr>
        <w:t xml:space="preserve"> the stock of CTC and CLD.  </w:t>
      </w:r>
      <w:r>
        <w:t xml:space="preserve">Applicants state that the service areas of CTC and CLD do not overlap with, nor are they adjacent to, the service areas of Green Hills and its wholly owned subsidiaries.  </w:t>
      </w:r>
      <w:r>
        <w:rPr>
          <w:bCs/>
          <w:szCs w:val="22"/>
        </w:rPr>
        <w:t>Applicants request streamlined treatment of the proposed transaction under the Commission’s rules and assert that a grant of the application would serve the public interest, convenience, and necessity.  We accept this application for filing under section 63.03(b)(2)(iii) of the Commission’s rules.</w:t>
      </w:r>
      <w:r>
        <w:rPr>
          <w:bCs/>
          <w:szCs w:val="22"/>
          <w:vertAlign w:val="superscript"/>
        </w:rPr>
        <w:footnoteReference w:id="6"/>
      </w:r>
      <w:r>
        <w:rPr>
          <w:bCs/>
          <w:szCs w:val="22"/>
        </w:rPr>
        <w:t xml:space="preserve"> </w:t>
      </w:r>
    </w:p>
    <w:p w:rsidR="00E7033D">
      <w:pPr>
        <w:autoSpaceDE w:val="0"/>
        <w:autoSpaceDN w:val="0"/>
        <w:adjustRightInd w:val="0"/>
        <w:rPr>
          <w:b/>
          <w:bCs/>
          <w:szCs w:val="22"/>
        </w:rPr>
      </w:pPr>
    </w:p>
    <w:p w:rsidR="00E7033D">
      <w:pPr>
        <w:ind w:left="1440"/>
        <w:rPr>
          <w:bCs/>
          <w:szCs w:val="22"/>
        </w:rPr>
      </w:pPr>
      <w:r>
        <w:rPr>
          <w:szCs w:val="22"/>
        </w:rPr>
        <w:t>Domestic Section 214 Application Filed for the Transfer of Control of Citizens Communications Corporation, Citizens Telephone Company of Higginsville, Missouri and Citizens Long Distance Company to Green Hills Telephone Corporation, WC Docket No. 20-147 (filed May. 18, 2020).</w:t>
      </w:r>
    </w:p>
    <w:p w:rsidR="00E7033D">
      <w:pPr>
        <w:autoSpaceDE w:val="0"/>
        <w:autoSpaceDN w:val="0"/>
        <w:adjustRightInd w:val="0"/>
        <w:rPr>
          <w:szCs w:val="22"/>
        </w:rPr>
      </w:pPr>
    </w:p>
    <w:p w:rsidR="00E7033D">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w:t>
      </w:r>
      <w:r>
        <w:rPr>
          <w:b/>
          <w:bCs/>
          <w:szCs w:val="22"/>
        </w:rPr>
        <w:t xml:space="preserve">June </w:t>
      </w:r>
      <w:r w:rsidR="00A11865">
        <w:rPr>
          <w:b/>
          <w:bCs/>
          <w:szCs w:val="22"/>
        </w:rPr>
        <w:t>22</w:t>
      </w:r>
      <w:r>
        <w:rPr>
          <w:b/>
          <w:szCs w:val="22"/>
        </w:rPr>
        <w:t>, 2020</w:t>
      </w:r>
      <w:r>
        <w:rPr>
          <w:szCs w:val="22"/>
        </w:rPr>
        <w:t xml:space="preserve">, and reply comments </w:t>
      </w:r>
      <w:r>
        <w:rPr>
          <w:b/>
          <w:szCs w:val="22"/>
        </w:rPr>
        <w:t xml:space="preserve">on or before </w:t>
      </w:r>
      <w:r>
        <w:rPr>
          <w:b/>
          <w:bCs/>
          <w:szCs w:val="22"/>
        </w:rPr>
        <w:t xml:space="preserve">June </w:t>
      </w:r>
      <w:r w:rsidR="00A11865">
        <w:rPr>
          <w:b/>
          <w:bCs/>
          <w:szCs w:val="22"/>
        </w:rPr>
        <w:t>29</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pPr>
        <w:autoSpaceDE w:val="0"/>
        <w:autoSpaceDN w:val="0"/>
        <w:adjustRightInd w:val="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pPr>
        <w:autoSpaceDE w:val="0"/>
        <w:autoSpaceDN w:val="0"/>
        <w:adjustRightInd w:val="0"/>
        <w:ind w:firstLine="720"/>
        <w:rPr>
          <w:b/>
          <w:szCs w:val="22"/>
        </w:rPr>
      </w:pPr>
    </w:p>
    <w:p w:rsidR="00E7033D">
      <w:pPr>
        <w:autoSpaceDE w:val="0"/>
        <w:autoSpaceDN w:val="0"/>
        <w:adjustRightInd w:val="0"/>
        <w:ind w:firstLine="720"/>
        <w:rPr>
          <w:b/>
          <w:szCs w:val="22"/>
        </w:rPr>
      </w:pPr>
      <w:r>
        <w:rPr>
          <w:b/>
          <w:szCs w:val="22"/>
        </w:rPr>
        <w:t>In addition, e-mail one copy of each pleading to each of the following:</w:t>
      </w:r>
    </w:p>
    <w:p w:rsidR="00E7033D">
      <w:pPr>
        <w:autoSpaceDE w:val="0"/>
        <w:autoSpaceDN w:val="0"/>
        <w:adjustRightInd w:val="0"/>
        <w:ind w:firstLine="720"/>
        <w:rPr>
          <w:b/>
          <w:szCs w:val="22"/>
        </w:rPr>
      </w:pPr>
    </w:p>
    <w:p w:rsidR="00E7033D">
      <w:pPr>
        <w:numPr>
          <w:ilvl w:val="0"/>
          <w:numId w:val="18"/>
        </w:numPr>
        <w:autoSpaceDE w:val="0"/>
        <w:autoSpaceDN w:val="0"/>
        <w:adjustRightInd w:val="0"/>
        <w:rPr>
          <w:szCs w:val="22"/>
        </w:rPr>
      </w:pPr>
      <w:r>
        <w:rPr>
          <w:szCs w:val="22"/>
        </w:rPr>
        <w:t xml:space="preserve">Tracey Wilson, Competition Policy Division, Wireline Competition Bureau,  </w:t>
      </w:r>
      <w:hyperlink r:id="rId8" w:history="1">
        <w:r>
          <w:rPr>
            <w:rStyle w:val="Hyperlink"/>
            <w:szCs w:val="22"/>
          </w:rPr>
          <w:t>tracey.wilson@fcc.gov</w:t>
        </w:r>
      </w:hyperlink>
      <w:r>
        <w:rPr>
          <w:szCs w:val="22"/>
        </w:rPr>
        <w:t>;</w:t>
      </w:r>
    </w:p>
    <w:p w:rsidR="00E7033D">
      <w:pPr>
        <w:autoSpaceDE w:val="0"/>
        <w:autoSpaceDN w:val="0"/>
        <w:adjustRightInd w:val="0"/>
        <w:ind w:firstLine="720"/>
        <w:rPr>
          <w:szCs w:val="22"/>
        </w:rPr>
      </w:pPr>
    </w:p>
    <w:p w:rsidR="00E7033D">
      <w:pPr>
        <w:numPr>
          <w:ilvl w:val="0"/>
          <w:numId w:val="18"/>
        </w:numPr>
        <w:autoSpaceDE w:val="0"/>
        <w:autoSpaceDN w:val="0"/>
        <w:adjustRightInd w:val="0"/>
        <w:rPr>
          <w:szCs w:val="22"/>
        </w:rPr>
      </w:pPr>
      <w:r>
        <w:rPr>
          <w:szCs w:val="22"/>
        </w:rPr>
        <w:t xml:space="preserve">Dennis Johnson, Competition Policy Division, Wireline Competition Bureau, </w:t>
      </w:r>
      <w:hyperlink r:id="rId9" w:history="1">
        <w:r>
          <w:rPr>
            <w:rStyle w:val="Hyperlink"/>
            <w:szCs w:val="22"/>
          </w:rPr>
          <w:t>dennis.johnson@fcc.gov</w:t>
        </w:r>
      </w:hyperlink>
      <w:r>
        <w:rPr>
          <w:szCs w:val="22"/>
        </w:rPr>
        <w:t xml:space="preserve">; </w:t>
      </w:r>
    </w:p>
    <w:p w:rsidR="00E7033D" w:rsidP="002C203E">
      <w:pPr>
        <w:pStyle w:val="ListParagraph"/>
        <w:ind w:left="0"/>
        <w:rPr>
          <w:szCs w:val="22"/>
        </w:rPr>
      </w:pPr>
    </w:p>
    <w:p w:rsidR="00E7033D">
      <w:pPr>
        <w:numPr>
          <w:ilvl w:val="0"/>
          <w:numId w:val="18"/>
        </w:numPr>
        <w:autoSpaceDE w:val="0"/>
        <w:autoSpaceDN w:val="0"/>
        <w:adjustRightInd w:val="0"/>
        <w:rPr>
          <w:szCs w:val="22"/>
        </w:rPr>
      </w:pPr>
      <w:r>
        <w:rPr>
          <w:szCs w:val="22"/>
        </w:rPr>
        <w:t xml:space="preserve">David Krech, Policy Division, International Bureau, </w:t>
      </w:r>
      <w:hyperlink r:id="rId10" w:history="1">
        <w:r>
          <w:rPr>
            <w:rStyle w:val="Hyperlink"/>
            <w:szCs w:val="22"/>
          </w:rPr>
          <w:t>david.krech@fcc.gov</w:t>
        </w:r>
      </w:hyperlink>
      <w:r>
        <w:rPr>
          <w:szCs w:val="22"/>
        </w:rPr>
        <w:t>; and</w:t>
      </w:r>
    </w:p>
    <w:p w:rsidR="00E7033D" w:rsidP="0022449B">
      <w:pPr>
        <w:pStyle w:val="ListParagraph"/>
        <w:rPr>
          <w:szCs w:val="22"/>
        </w:rPr>
      </w:pPr>
    </w:p>
    <w:p w:rsidR="00E7033D">
      <w:pPr>
        <w:numPr>
          <w:ilvl w:val="0"/>
          <w:numId w:val="18"/>
        </w:numPr>
        <w:autoSpaceDE w:val="0"/>
        <w:autoSpaceDN w:val="0"/>
        <w:adjustRightInd w:val="0"/>
        <w:rPr>
          <w:szCs w:val="22"/>
        </w:rPr>
      </w:pPr>
      <w:r>
        <w:rPr>
          <w:szCs w:val="22"/>
        </w:rPr>
        <w:t xml:space="preserve">Jim Bird, Office of General Counsel, </w:t>
      </w:r>
      <w:hyperlink r:id="rId11" w:history="1">
        <w:r>
          <w:rPr>
            <w:rStyle w:val="Hyperlink"/>
            <w:szCs w:val="22"/>
          </w:rPr>
          <w:t>jim.bird@fcc.gov</w:t>
        </w:r>
      </w:hyperlink>
      <w:r>
        <w:rPr>
          <w:szCs w:val="22"/>
        </w:rPr>
        <w:t>.</w:t>
      </w:r>
    </w:p>
    <w:p w:rsidR="00E7033D">
      <w:pPr>
        <w:autoSpaceDE w:val="0"/>
        <w:autoSpaceDN w:val="0"/>
        <w:adjustRightInd w:val="0"/>
        <w:ind w:firstLine="720"/>
        <w:rPr>
          <w:szCs w:val="22"/>
        </w:rPr>
      </w:pPr>
    </w:p>
    <w:p w:rsidR="00E7033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pPr>
        <w:autoSpaceDE w:val="0"/>
        <w:autoSpaceDN w:val="0"/>
        <w:adjustRightInd w:val="0"/>
        <w:rPr>
          <w:b/>
          <w:szCs w:val="22"/>
          <w:u w:val="single"/>
        </w:rPr>
      </w:pPr>
    </w:p>
    <w:p w:rsidR="00E7033D">
      <w:pPr>
        <w:autoSpaceDE w:val="0"/>
        <w:autoSpaceDN w:val="0"/>
        <w:adjustRightInd w:val="0"/>
        <w:ind w:firstLine="720"/>
        <w:rPr>
          <w:szCs w:val="22"/>
        </w:rPr>
      </w:pPr>
      <w:r>
        <w:rPr>
          <w:szCs w:val="22"/>
        </w:rPr>
        <w:t>For further information, please contact Tracey Wilson at (202) 418-1394 or Dennis Johnson at (202) 418-0809.</w:t>
      </w:r>
    </w:p>
    <w:p w:rsidR="00E7033D">
      <w:pPr>
        <w:autoSpaceDE w:val="0"/>
        <w:autoSpaceDN w:val="0"/>
        <w:adjustRightInd w:val="0"/>
        <w:ind w:firstLine="720"/>
        <w:rPr>
          <w:szCs w:val="22"/>
        </w:rPr>
      </w:pP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E7033D">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40B2">
      <w:r>
        <w:separator/>
      </w:r>
    </w:p>
  </w:footnote>
  <w:footnote w:type="continuationSeparator" w:id="1">
    <w:p w:rsidR="00ED40B2">
      <w:r>
        <w:continuationSeparator/>
      </w:r>
    </w:p>
  </w:footnote>
  <w:footnote w:type="continuationNotice" w:id="2">
    <w:p w:rsidR="00ED40B2"/>
  </w:footnote>
  <w:footnote w:id="3">
    <w:p w:rsidR="00E7033D" w:rsidP="004808FC">
      <w:pPr>
        <w:spacing w:after="120"/>
      </w:pPr>
      <w:r>
        <w:rPr>
          <w:rStyle w:val="FootnoteReference"/>
        </w:rPr>
        <w:footnoteRef/>
      </w:r>
      <w:r>
        <w:t xml:space="preserve"> </w:t>
      </w:r>
      <w:r>
        <w:rPr>
          <w:i/>
          <w:sz w:val="20"/>
        </w:rPr>
        <w:t>See</w:t>
      </w:r>
      <w:r>
        <w:rPr>
          <w:sz w:val="20"/>
        </w:rPr>
        <w:t xml:space="preserve"> 47 U.S.C. § 214; 47 CFR §§ 63.03-04.  Applicants filed a supplement to their application on May 21, 2020.  Applicants also filed an application for the transfer of authorizations associated with international authorizations.  Any action on this domestic section 214 application is without prejudice to Commission action on other related, pending applications</w:t>
      </w:r>
      <w:r>
        <w:rPr>
          <w:rFonts w:eastAsia="Calibri"/>
          <w:sz w:val="20"/>
        </w:rPr>
        <w:t>.</w:t>
      </w:r>
    </w:p>
  </w:footnote>
  <w:footnote w:id="4">
    <w:p w:rsidR="00E7033D">
      <w:pPr>
        <w:autoSpaceDE w:val="0"/>
        <w:autoSpaceDN w:val="0"/>
        <w:adjustRightInd w:val="0"/>
        <w:rPr>
          <w:rFonts w:ascii="TimesNewRomanPSMT" w:hAnsi="TimesNewRomanPSMT" w:cs="TimesNewRomanPSMT"/>
          <w:sz w:val="20"/>
        </w:rPr>
      </w:pPr>
      <w:r>
        <w:rPr>
          <w:rStyle w:val="FootnoteReference"/>
        </w:rPr>
        <w:footnoteRef/>
      </w:r>
      <w:r>
        <w:t xml:space="preserve"> </w:t>
      </w:r>
      <w:r>
        <w:rPr>
          <w:rFonts w:ascii="TimesNewRomanPSMT" w:hAnsi="TimesNewRomanPSMT" w:cs="TimesNewRomanPSMT"/>
          <w:sz w:val="20"/>
        </w:rPr>
        <w:t>Citizens Cablevision, Inc., a cable service provider with headquarters in Higginsville, Missouri, is also a wholly owned subsidiary of CCC, and will also be acquired by Green Hills in the proposed transaction.</w:t>
      </w:r>
    </w:p>
    <w:p w:rsidR="00903DE0">
      <w:pPr>
        <w:autoSpaceDE w:val="0"/>
        <w:autoSpaceDN w:val="0"/>
        <w:adjustRightInd w:val="0"/>
        <w:rPr>
          <w:rFonts w:ascii="TimesNewRomanPSMT" w:hAnsi="TimesNewRomanPSMT" w:cs="TimesNewRomanPSMT"/>
          <w:sz w:val="20"/>
        </w:rPr>
      </w:pPr>
    </w:p>
  </w:footnote>
  <w:footnote w:id="5">
    <w:p w:rsidR="0022449B" w:rsidRPr="0022449B">
      <w:pPr>
        <w:pStyle w:val="FootnoteText"/>
        <w:rPr>
          <w:sz w:val="20"/>
        </w:rPr>
      </w:pPr>
      <w:r w:rsidRPr="0022449B">
        <w:rPr>
          <w:rStyle w:val="FootnoteReference"/>
          <w:sz w:val="20"/>
        </w:rPr>
        <w:footnoteRef/>
      </w:r>
      <w:r w:rsidRPr="0022449B">
        <w:rPr>
          <w:sz w:val="20"/>
        </w:rPr>
        <w:t xml:space="preserve"> </w:t>
      </w:r>
      <w:r w:rsidRPr="0022449B">
        <w:rPr>
          <w:color w:val="231F20"/>
          <w:sz w:val="20"/>
        </w:rPr>
        <w:t xml:space="preserve">The </w:t>
      </w:r>
      <w:r w:rsidR="00903DE0">
        <w:rPr>
          <w:color w:val="231F20"/>
          <w:sz w:val="20"/>
        </w:rPr>
        <w:t xml:space="preserve">following U.S. citizens are </w:t>
      </w:r>
      <w:r w:rsidRPr="0022449B">
        <w:rPr>
          <w:color w:val="231F20"/>
          <w:sz w:val="20"/>
        </w:rPr>
        <w:t>directors of Green Hills:</w:t>
      </w:r>
      <w:r w:rsidR="00A11865">
        <w:rPr>
          <w:color w:val="231F20"/>
          <w:sz w:val="20"/>
        </w:rPr>
        <w:t xml:space="preserve"> </w:t>
      </w:r>
      <w:r w:rsidRPr="0022449B">
        <w:rPr>
          <w:color w:val="231F20"/>
          <w:sz w:val="20"/>
        </w:rPr>
        <w:t xml:space="preserve"> William Gilliland, Philip Griffith, Willard Wood, Howard Baker, Steve Tarr, Carolyn Shaffer, and Jeff Riley.</w:t>
      </w:r>
    </w:p>
  </w:footnote>
  <w:footnote w:id="6">
    <w:p w:rsidR="00E7033D">
      <w:pPr>
        <w:pStyle w:val="FootnoteText"/>
        <w:rPr>
          <w:sz w:val="20"/>
        </w:rPr>
      </w:pPr>
      <w:r>
        <w:rPr>
          <w:rStyle w:val="FootnoteReference"/>
          <w:sz w:val="20"/>
        </w:rPr>
        <w:footnoteRef/>
      </w:r>
      <w:r>
        <w:rPr>
          <w:sz w:val="20"/>
        </w:rPr>
        <w:t xml:space="preserve"> </w:t>
      </w:r>
      <w:r>
        <w:rPr>
          <w:color w:val="020100"/>
          <w:sz w:val="20"/>
        </w:rPr>
        <w:t>47 CFR § 63.03(b)(2)(iii).</w:t>
      </w:r>
    </w:p>
  </w:footnote>
  <w:footnote w:id="7">
    <w:p w:rsidR="00E7033D">
      <w:pPr>
        <w:pStyle w:val="FootnoteText"/>
        <w:tabs>
          <w:tab w:val="clear" w:pos="720"/>
        </w:tabs>
        <w:spacing w:after="120"/>
        <w:rPr>
          <w:sz w:val="20"/>
        </w:rPr>
      </w:pPr>
      <w:r>
        <w:rPr>
          <w:rStyle w:val="FootnoteReference"/>
          <w:sz w:val="20"/>
        </w:rPr>
        <w:footnoteRef/>
      </w:r>
      <w:r>
        <w:rPr>
          <w:sz w:val="20"/>
        </w:rPr>
        <w:t xml:space="preserve"> </w:t>
      </w:r>
      <w:r>
        <w:rPr>
          <w:i/>
          <w:sz w:val="20"/>
        </w:rPr>
        <w:t>See</w:t>
      </w:r>
      <w:r>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534AC"/>
    <w:rsid w:val="000B4EDD"/>
    <w:rsid w:val="0022449B"/>
    <w:rsid w:val="00253247"/>
    <w:rsid w:val="002C203E"/>
    <w:rsid w:val="00353CB5"/>
    <w:rsid w:val="004808FC"/>
    <w:rsid w:val="0056058F"/>
    <w:rsid w:val="005A64A7"/>
    <w:rsid w:val="0071041E"/>
    <w:rsid w:val="00724722"/>
    <w:rsid w:val="00780F55"/>
    <w:rsid w:val="008F6981"/>
    <w:rsid w:val="00903DE0"/>
    <w:rsid w:val="00A11865"/>
    <w:rsid w:val="00B73AED"/>
    <w:rsid w:val="00B908C9"/>
    <w:rsid w:val="00BF0B00"/>
    <w:rsid w:val="00C612FD"/>
    <w:rsid w:val="00C749BC"/>
    <w:rsid w:val="00D111DF"/>
    <w:rsid w:val="00E54722"/>
    <w:rsid w:val="00E7033D"/>
    <w:rsid w:val="00EC0FDA"/>
    <w:rsid w:val="00ED40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Onvoy-Garden%20Valley%20TOCPN%20(4%202%20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Onvoy-Garden Valley TOCPN (4 2 20)</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